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0105" w14:textId="7405DDFA" w:rsidR="0095506F" w:rsidRPr="0095506F" w:rsidRDefault="0095506F" w:rsidP="00D1077C">
      <w:pPr>
        <w:pStyle w:val="Header"/>
        <w:spacing w:after="36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The information contained in this document does not indicate approval</w:t>
      </w:r>
      <w:r w:rsidR="00F502CC"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b/>
          <w:bCs/>
          <w:i/>
          <w:iCs/>
        </w:rPr>
        <w:t>or recommendation by the RDRSSP.</w:t>
      </w:r>
    </w:p>
    <w:p w14:paraId="2C60C115" w14:textId="1A7C27EA" w:rsidR="00006836" w:rsidRPr="007B0439" w:rsidRDefault="00006836" w:rsidP="00006836">
      <w:pPr>
        <w:pStyle w:val="Heading1"/>
      </w:pPr>
      <w:r w:rsidRPr="007B0439">
        <w:t>Reading Difficulties Risk Screening Selection Panel</w:t>
      </w:r>
      <w:r>
        <w:br/>
      </w:r>
      <w:r w:rsidR="004C0324">
        <w:t xml:space="preserve">DRAFT </w:t>
      </w:r>
      <w:r w:rsidRPr="007B0439">
        <w:t>Screener Information Overview</w:t>
      </w:r>
    </w:p>
    <w:p w14:paraId="17E7E3EE" w14:textId="0206FFAD" w:rsidR="00D011D3" w:rsidRPr="00D011D3" w:rsidRDefault="00635192" w:rsidP="00D011D3">
      <w:pPr>
        <w:pStyle w:val="NoSpacing"/>
        <w:spacing w:after="240"/>
        <w:rPr>
          <w:rFonts w:ascii="Arial" w:hAnsi="Arial" w:cs="Arial"/>
        </w:rPr>
      </w:pPr>
      <w:r w:rsidRPr="00635192">
        <w:rPr>
          <w:rFonts w:ascii="Arial" w:hAnsi="Arial" w:cs="Arial"/>
          <w:i/>
          <w:iCs/>
        </w:rPr>
        <w:t>Note: The information included in this document is based on information provided by the publisher, is subject to change, and should be confirmed by potential purchasers.</w:t>
      </w:r>
    </w:p>
    <w:p w14:paraId="7DEB3059" w14:textId="2BEB6ED1" w:rsidR="00D011D3" w:rsidRPr="00D011D3" w:rsidRDefault="00D011D3" w:rsidP="00C401A9">
      <w:pPr>
        <w:pStyle w:val="Heading2"/>
      </w:pPr>
      <w:r w:rsidRPr="00D011D3">
        <w:t>General Information</w:t>
      </w:r>
    </w:p>
    <w:p w14:paraId="76998A79" w14:textId="1791DB9D" w:rsidR="00D011D3" w:rsidRPr="00D011D3" w:rsidRDefault="3557B300" w:rsidP="008269DF">
      <w:pPr>
        <w:pStyle w:val="Heading3"/>
      </w:pPr>
      <w:r w:rsidRPr="00D011D3">
        <w:t>Screening Instrument Title:</w:t>
      </w:r>
    </w:p>
    <w:p w14:paraId="51ED9F02" w14:textId="5397DEA9" w:rsidR="00910A2B" w:rsidRPr="009E1548" w:rsidRDefault="00E41ED6" w:rsidP="00C401A9">
      <w:pPr>
        <w:autoSpaceDE w:val="0"/>
        <w:autoSpaceDN w:val="0"/>
        <w:adjustRightInd w:val="0"/>
        <w:spacing w:after="240"/>
        <w:contextualSpacing/>
        <w:rPr>
          <w:rFonts w:ascii="Arial" w:hAnsi="Arial" w:cs="Arial"/>
          <w:i/>
          <w:iCs/>
        </w:rPr>
      </w:pPr>
      <w:r w:rsidRPr="009E1548">
        <w:rPr>
          <w:rFonts w:ascii="Arial" w:eastAsia="ArialMT" w:hAnsi="Arial" w:cs="Arial"/>
          <w:i/>
          <w:iCs/>
          <w:kern w:val="0"/>
        </w:rPr>
        <w:t>i-Ready Assessmen</w:t>
      </w:r>
      <w:r w:rsidR="00F50D71">
        <w:rPr>
          <w:rFonts w:ascii="Arial" w:eastAsia="ArialMT" w:hAnsi="Arial" w:cs="Arial"/>
          <w:i/>
          <w:iCs/>
          <w:kern w:val="0"/>
        </w:rPr>
        <w:t>t</w:t>
      </w:r>
    </w:p>
    <w:p w14:paraId="65F137AF" w14:textId="31FF949B" w:rsidR="00D011D3" w:rsidRPr="00D011D3" w:rsidRDefault="4CAB7F30" w:rsidP="008269DF">
      <w:pPr>
        <w:pStyle w:val="Heading3"/>
      </w:pPr>
      <w:r w:rsidRPr="00D011D3">
        <w:t>Organization:</w:t>
      </w:r>
    </w:p>
    <w:p w14:paraId="7392D124" w14:textId="7AE0449D" w:rsidR="00910A2B" w:rsidRPr="00006836" w:rsidRDefault="00E41ED6" w:rsidP="00C401A9">
      <w:pPr>
        <w:pStyle w:val="NoSpacing"/>
        <w:spacing w:after="240"/>
        <w:contextualSpacing/>
        <w:rPr>
          <w:rFonts w:ascii="Arial" w:hAnsi="Arial" w:cs="Arial"/>
        </w:rPr>
      </w:pPr>
      <w:r>
        <w:rPr>
          <w:rFonts w:ascii="Arial" w:eastAsia="ArialMT" w:hAnsi="Arial" w:cs="Arial"/>
          <w:kern w:val="0"/>
        </w:rPr>
        <w:t>Curriculum Associates,</w:t>
      </w:r>
      <w:r w:rsidR="00AE7707" w:rsidRPr="00006836">
        <w:rPr>
          <w:rFonts w:ascii="Arial" w:eastAsia="ArialMT" w:hAnsi="Arial" w:cs="Arial"/>
          <w:kern w:val="0"/>
        </w:rPr>
        <w:t xml:space="preserve"> LLC</w:t>
      </w:r>
    </w:p>
    <w:p w14:paraId="0F523D48" w14:textId="34F4C6EA" w:rsidR="00D011D3" w:rsidRPr="00CD5AA4" w:rsidRDefault="5880B602" w:rsidP="008269DF">
      <w:pPr>
        <w:pStyle w:val="Heading3"/>
      </w:pPr>
      <w:r w:rsidRPr="00CD5AA4">
        <w:t>Web page:</w:t>
      </w:r>
    </w:p>
    <w:p w14:paraId="26D62C64" w14:textId="324FD5B0" w:rsidR="00D011D3" w:rsidRPr="00CD5AA4" w:rsidRDefault="00F03BAE" w:rsidP="00C401A9">
      <w:pPr>
        <w:pStyle w:val="NoSpacing"/>
        <w:spacing w:after="240"/>
        <w:contextualSpacing/>
        <w:rPr>
          <w:rFonts w:ascii="Arial" w:hAnsi="Arial" w:cs="Arial"/>
        </w:rPr>
      </w:pPr>
      <w:hyperlink r:id="rId8" w:tooltip="Curriculum Associates web page" w:history="1">
        <w:r w:rsidRPr="00CD5AA4">
          <w:rPr>
            <w:rStyle w:val="Hyperlink"/>
            <w:rFonts w:ascii="Arial" w:hAnsi="Arial" w:cs="Arial"/>
          </w:rPr>
          <w:t>https://www.curriculumassociates.com/programs/i-ready-assessment</w:t>
        </w:r>
      </w:hyperlink>
    </w:p>
    <w:p w14:paraId="410DA0EC" w14:textId="2D7FD939" w:rsidR="00D011D3" w:rsidRDefault="51FFB96F" w:rsidP="51FFB96F">
      <w:pPr>
        <w:autoSpaceDE w:val="0"/>
        <w:autoSpaceDN w:val="0"/>
        <w:adjustRightInd w:val="0"/>
        <w:spacing w:after="240"/>
        <w:contextualSpacing/>
        <w:rPr>
          <w:rFonts w:ascii="Arial" w:hAnsi="Arial" w:cs="Arial"/>
        </w:rPr>
      </w:pPr>
      <w:r w:rsidRPr="00D011D3">
        <w:rPr>
          <w:rStyle w:val="Heading3Char"/>
        </w:rPr>
        <w:t xml:space="preserve">Contact </w:t>
      </w:r>
      <w:r w:rsidR="00D011D3">
        <w:rPr>
          <w:rStyle w:val="Heading3Char"/>
        </w:rPr>
        <w:t>Informatio</w:t>
      </w:r>
      <w:r w:rsidR="00D011D3" w:rsidRPr="005A34D0">
        <w:rPr>
          <w:rStyle w:val="Heading3Char"/>
        </w:rPr>
        <w:t>n</w:t>
      </w:r>
      <w:r w:rsidRPr="00527A90">
        <w:rPr>
          <w:rFonts w:ascii="Arial" w:hAnsi="Arial" w:cs="Arial"/>
          <w:b/>
          <w:bCs/>
        </w:rPr>
        <w:t>:</w:t>
      </w:r>
    </w:p>
    <w:p w14:paraId="1DB1ADB8" w14:textId="51A2DDD1" w:rsidR="00910A2B" w:rsidRPr="00635192" w:rsidRDefault="00E41ED6" w:rsidP="00C401A9">
      <w:pPr>
        <w:autoSpaceDE w:val="0"/>
        <w:autoSpaceDN w:val="0"/>
        <w:adjustRightInd w:val="0"/>
        <w:spacing w:after="240"/>
        <w:contextualSpacing/>
        <w:rPr>
          <w:rFonts w:ascii="Arial" w:eastAsia="ArialMT" w:hAnsi="Arial" w:cs="Arial"/>
          <w:color w:val="44546A"/>
          <w:kern w:val="0"/>
        </w:rPr>
      </w:pPr>
      <w:r>
        <w:rPr>
          <w:rFonts w:ascii="Arial" w:eastAsia="ArialMT" w:hAnsi="Arial" w:cs="Arial"/>
          <w:color w:val="000000"/>
          <w:kern w:val="0"/>
        </w:rPr>
        <w:t>Erin Rush</w:t>
      </w:r>
      <w:r w:rsidR="00AE7707" w:rsidRPr="00635192">
        <w:rPr>
          <w:rFonts w:ascii="Arial" w:eastAsia="ArialMT" w:hAnsi="Arial" w:cs="Arial"/>
          <w:color w:val="000000"/>
          <w:kern w:val="0"/>
        </w:rPr>
        <w:t xml:space="preserve">, </w:t>
      </w:r>
      <w:r>
        <w:rPr>
          <w:rFonts w:ascii="Arial" w:eastAsia="ArialMT" w:hAnsi="Arial" w:cs="Arial"/>
          <w:color w:val="000000"/>
          <w:kern w:val="0"/>
        </w:rPr>
        <w:t xml:space="preserve">Associate Vice </w:t>
      </w:r>
      <w:r w:rsidR="00AE7707" w:rsidRPr="00635192">
        <w:rPr>
          <w:rFonts w:ascii="Arial" w:eastAsia="ArialMT" w:hAnsi="Arial" w:cs="Arial"/>
          <w:color w:val="000000"/>
          <w:kern w:val="0"/>
        </w:rPr>
        <w:t>President</w:t>
      </w:r>
      <w:r>
        <w:rPr>
          <w:rFonts w:ascii="Arial" w:eastAsia="ArialMT" w:hAnsi="Arial" w:cs="Arial"/>
          <w:color w:val="000000"/>
          <w:kern w:val="0"/>
        </w:rPr>
        <w:t xml:space="preserve"> of Bids and Proposals</w:t>
      </w:r>
      <w:r w:rsidR="00AE7707" w:rsidRPr="00635192">
        <w:rPr>
          <w:rFonts w:ascii="Arial" w:eastAsia="ArialMT" w:hAnsi="Arial" w:cs="Arial"/>
          <w:color w:val="44546A"/>
          <w:kern w:val="0"/>
        </w:rPr>
        <w:t xml:space="preserve">, </w:t>
      </w:r>
      <w:hyperlink r:id="rId9" w:history="1">
        <w:r w:rsidRPr="00691538">
          <w:rPr>
            <w:rStyle w:val="Hyperlink"/>
            <w:rFonts w:ascii="Arial" w:hAnsi="Arial" w:cs="Arial"/>
            <w:kern w:val="0"/>
          </w:rPr>
          <w:t>RFPs@cainc.com</w:t>
        </w:r>
      </w:hyperlink>
    </w:p>
    <w:p w14:paraId="3061808D" w14:textId="101AF26E" w:rsidR="0060597E" w:rsidRPr="00CD4A53" w:rsidRDefault="51FFB96F" w:rsidP="00527A90">
      <w:pPr>
        <w:pStyle w:val="NoSpacing"/>
        <w:spacing w:after="240"/>
        <w:rPr>
          <w:rFonts w:ascii="Arial" w:hAnsi="Arial" w:cs="Arial"/>
        </w:rPr>
      </w:pPr>
      <w:r w:rsidRPr="00DE1C3E">
        <w:rPr>
          <w:rStyle w:val="Heading3Char"/>
        </w:rPr>
        <w:t>Reco</w:t>
      </w:r>
      <w:r w:rsidRPr="00D011D3">
        <w:rPr>
          <w:rStyle w:val="Heading3Char"/>
        </w:rPr>
        <w:t>mmended grade(</w:t>
      </w:r>
      <w:r w:rsidRPr="005A34D0">
        <w:rPr>
          <w:rStyle w:val="Heading3Char"/>
        </w:rPr>
        <w:t>s</w:t>
      </w:r>
      <w:r w:rsidRPr="005A34D0">
        <w:rPr>
          <w:rFonts w:ascii="Arial" w:hAnsi="Arial" w:cs="Arial"/>
          <w:b/>
          <w:bCs/>
        </w:rPr>
        <w:t>):</w:t>
      </w:r>
      <w:r w:rsidRPr="00CD4A53">
        <w:rPr>
          <w:rFonts w:ascii="Arial" w:hAnsi="Arial" w:cs="Arial"/>
          <w:b/>
          <w:bCs/>
        </w:rPr>
        <w:t xml:space="preserve"> </w:t>
      </w:r>
      <w:r w:rsidRPr="00CD4A53">
        <w:rPr>
          <w:rFonts w:ascii="Arial" w:hAnsi="Arial" w:cs="Arial"/>
        </w:rPr>
        <w:t xml:space="preserve">Kindergarten, </w:t>
      </w:r>
      <w:r w:rsidR="00F77845">
        <w:rPr>
          <w:rFonts w:ascii="Arial" w:hAnsi="Arial" w:cs="Arial"/>
        </w:rPr>
        <w:t>g</w:t>
      </w:r>
      <w:r w:rsidRPr="00CD4A53">
        <w:rPr>
          <w:rFonts w:ascii="Arial" w:hAnsi="Arial" w:cs="Arial"/>
        </w:rPr>
        <w:t xml:space="preserve">rade </w:t>
      </w:r>
      <w:r w:rsidR="00F77845">
        <w:rPr>
          <w:rFonts w:ascii="Arial" w:hAnsi="Arial" w:cs="Arial"/>
        </w:rPr>
        <w:t>o</w:t>
      </w:r>
      <w:r w:rsidRPr="00CD4A53">
        <w:rPr>
          <w:rFonts w:ascii="Arial" w:hAnsi="Arial" w:cs="Arial"/>
        </w:rPr>
        <w:t xml:space="preserve">ne, </w:t>
      </w:r>
      <w:r w:rsidR="00F77845">
        <w:rPr>
          <w:rFonts w:ascii="Arial" w:hAnsi="Arial" w:cs="Arial"/>
        </w:rPr>
        <w:t>g</w:t>
      </w:r>
      <w:r w:rsidRPr="00CD4A53">
        <w:rPr>
          <w:rFonts w:ascii="Arial" w:hAnsi="Arial" w:cs="Arial"/>
        </w:rPr>
        <w:t xml:space="preserve">rade </w:t>
      </w:r>
      <w:r w:rsidR="00F77845">
        <w:rPr>
          <w:rFonts w:ascii="Arial" w:hAnsi="Arial" w:cs="Arial"/>
        </w:rPr>
        <w:t>t</w:t>
      </w:r>
      <w:r w:rsidRPr="00CD4A53">
        <w:rPr>
          <w:rFonts w:ascii="Arial" w:hAnsi="Arial" w:cs="Arial"/>
        </w:rPr>
        <w:t>wo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kills measured in kindergarten through grade two."/>
      </w:tblPr>
      <w:tblGrid>
        <w:gridCol w:w="4045"/>
        <w:gridCol w:w="1980"/>
        <w:gridCol w:w="2070"/>
        <w:gridCol w:w="1975"/>
      </w:tblGrid>
      <w:tr w:rsidR="00674E88" w:rsidRPr="00635192" w14:paraId="2421819F" w14:textId="77777777" w:rsidTr="00830492">
        <w:trPr>
          <w:cantSplit/>
          <w:tblHeader/>
        </w:trPr>
        <w:tc>
          <w:tcPr>
            <w:tcW w:w="4045" w:type="dxa"/>
          </w:tcPr>
          <w:p w14:paraId="506C4CBD" w14:textId="1AE545F4" w:rsidR="00674E88" w:rsidRPr="00635192" w:rsidRDefault="3F53BA82" w:rsidP="00006836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3F53BA82">
              <w:rPr>
                <w:rFonts w:ascii="Arial" w:hAnsi="Arial" w:cs="Arial"/>
                <w:b/>
                <w:bCs/>
              </w:rPr>
              <w:t>Skills Measured</w:t>
            </w:r>
          </w:p>
        </w:tc>
        <w:tc>
          <w:tcPr>
            <w:tcW w:w="1980" w:type="dxa"/>
          </w:tcPr>
          <w:p w14:paraId="65C8C0EE" w14:textId="67B5D266" w:rsidR="00674E88" w:rsidRPr="00635192" w:rsidRDefault="00674E88" w:rsidP="00006836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35192">
              <w:rPr>
                <w:rFonts w:ascii="Arial" w:hAnsi="Arial" w:cs="Arial"/>
                <w:b/>
                <w:bCs/>
              </w:rPr>
              <w:t>Kindergarten</w:t>
            </w:r>
          </w:p>
        </w:tc>
        <w:tc>
          <w:tcPr>
            <w:tcW w:w="2070" w:type="dxa"/>
          </w:tcPr>
          <w:p w14:paraId="619E553B" w14:textId="09CA85A9" w:rsidR="00674E88" w:rsidRPr="00635192" w:rsidRDefault="00674E88" w:rsidP="00006836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35192">
              <w:rPr>
                <w:rFonts w:ascii="Arial" w:hAnsi="Arial" w:cs="Arial"/>
                <w:b/>
                <w:bCs/>
              </w:rPr>
              <w:t xml:space="preserve">Grade </w:t>
            </w:r>
            <w:r w:rsidR="00D011D3">
              <w:rPr>
                <w:rFonts w:ascii="Arial" w:hAnsi="Arial" w:cs="Arial"/>
                <w:b/>
                <w:bCs/>
              </w:rPr>
              <w:t>One</w:t>
            </w:r>
          </w:p>
        </w:tc>
        <w:tc>
          <w:tcPr>
            <w:tcW w:w="1975" w:type="dxa"/>
          </w:tcPr>
          <w:p w14:paraId="1238B26C" w14:textId="755B3E58" w:rsidR="00674E88" w:rsidRPr="00635192" w:rsidRDefault="00674E88" w:rsidP="00006836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35192">
              <w:rPr>
                <w:rFonts w:ascii="Arial" w:hAnsi="Arial" w:cs="Arial"/>
                <w:b/>
                <w:bCs/>
              </w:rPr>
              <w:t xml:space="preserve">Grade </w:t>
            </w:r>
            <w:r w:rsidR="00D011D3">
              <w:rPr>
                <w:rFonts w:ascii="Arial" w:hAnsi="Arial" w:cs="Arial"/>
                <w:b/>
                <w:bCs/>
              </w:rPr>
              <w:t>Two</w:t>
            </w:r>
          </w:p>
        </w:tc>
      </w:tr>
      <w:tr w:rsidR="00674E88" w:rsidRPr="00635192" w14:paraId="335C6877" w14:textId="77777777" w:rsidTr="00830492">
        <w:trPr>
          <w:cantSplit/>
        </w:trPr>
        <w:tc>
          <w:tcPr>
            <w:tcW w:w="4045" w:type="dxa"/>
          </w:tcPr>
          <w:p w14:paraId="408BBC48" w14:textId="7901CDBF" w:rsidR="00674E88" w:rsidRPr="00635192" w:rsidRDefault="00674E88" w:rsidP="00006836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oral language</w:t>
            </w:r>
          </w:p>
        </w:tc>
        <w:tc>
          <w:tcPr>
            <w:tcW w:w="1980" w:type="dxa"/>
          </w:tcPr>
          <w:p w14:paraId="4BC2F7B6" w14:textId="63E980A0" w:rsidR="00674E88" w:rsidRPr="00635192" w:rsidRDefault="007341CB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070" w:type="dxa"/>
          </w:tcPr>
          <w:p w14:paraId="11A5EDFE" w14:textId="0FF8717D" w:rsidR="00674E88" w:rsidRPr="00635192" w:rsidRDefault="007341CB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25A7D9D4" w14:textId="49268973" w:rsidR="00674E88" w:rsidRPr="00635192" w:rsidRDefault="007341CB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635192" w14:paraId="17836D69" w14:textId="77777777" w:rsidTr="00830492">
        <w:trPr>
          <w:cantSplit/>
        </w:trPr>
        <w:tc>
          <w:tcPr>
            <w:tcW w:w="4045" w:type="dxa"/>
          </w:tcPr>
          <w:p w14:paraId="38AEB74F" w14:textId="159F7D06" w:rsidR="00674E88" w:rsidRPr="00635192" w:rsidRDefault="00674E88" w:rsidP="00006836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phonological awareness</w:t>
            </w:r>
          </w:p>
        </w:tc>
        <w:tc>
          <w:tcPr>
            <w:tcW w:w="1980" w:type="dxa"/>
          </w:tcPr>
          <w:p w14:paraId="21BB2E8A" w14:textId="464458B2" w:rsidR="00674E88" w:rsidRPr="00635192" w:rsidRDefault="004517F2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070" w:type="dxa"/>
          </w:tcPr>
          <w:p w14:paraId="24F519A2" w14:textId="34244D57" w:rsidR="00674E88" w:rsidRPr="00635192" w:rsidRDefault="00A92885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69E529DA" w14:textId="1CD27BF1" w:rsidR="00674E88" w:rsidRPr="00635192" w:rsidRDefault="00947046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635192" w14:paraId="7CC4B0E7" w14:textId="77777777" w:rsidTr="00830492">
        <w:trPr>
          <w:cantSplit/>
        </w:trPr>
        <w:tc>
          <w:tcPr>
            <w:tcW w:w="4045" w:type="dxa"/>
          </w:tcPr>
          <w:p w14:paraId="2B1AE1A0" w14:textId="17189DE3" w:rsidR="00674E88" w:rsidRPr="00635192" w:rsidRDefault="00674E88" w:rsidP="00006836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phonemic awareness</w:t>
            </w:r>
          </w:p>
        </w:tc>
        <w:tc>
          <w:tcPr>
            <w:tcW w:w="1980" w:type="dxa"/>
          </w:tcPr>
          <w:p w14:paraId="414E7098" w14:textId="1AB5266B" w:rsidR="00674E88" w:rsidRPr="00635192" w:rsidRDefault="004517F2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070" w:type="dxa"/>
          </w:tcPr>
          <w:p w14:paraId="79425D45" w14:textId="45B446ED" w:rsidR="00674E88" w:rsidRPr="00635192" w:rsidRDefault="00A92885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0201090C" w14:textId="4E90EB33" w:rsidR="00674E88" w:rsidRPr="00635192" w:rsidRDefault="00947046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635192" w14:paraId="067347E7" w14:textId="77777777" w:rsidTr="00830492">
        <w:trPr>
          <w:cantSplit/>
        </w:trPr>
        <w:tc>
          <w:tcPr>
            <w:tcW w:w="4045" w:type="dxa"/>
          </w:tcPr>
          <w:p w14:paraId="48CD1865" w14:textId="2B1F4AA6" w:rsidR="00674E88" w:rsidRPr="00635192" w:rsidRDefault="00674E88" w:rsidP="00006836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decoding skills</w:t>
            </w:r>
          </w:p>
        </w:tc>
        <w:tc>
          <w:tcPr>
            <w:tcW w:w="1980" w:type="dxa"/>
          </w:tcPr>
          <w:p w14:paraId="7F2DAAC9" w14:textId="63C928FD" w:rsidR="00674E88" w:rsidRPr="00635192" w:rsidRDefault="0018268D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070" w:type="dxa"/>
          </w:tcPr>
          <w:p w14:paraId="15FDE7E5" w14:textId="59F78304" w:rsidR="00674E88" w:rsidRPr="00635192" w:rsidRDefault="00A92885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48B5EDDE" w14:textId="401A9D9B" w:rsidR="00674E88" w:rsidRPr="00635192" w:rsidRDefault="00947046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635192" w14:paraId="72563357" w14:textId="77777777" w:rsidTr="00830492">
        <w:trPr>
          <w:cantSplit/>
        </w:trPr>
        <w:tc>
          <w:tcPr>
            <w:tcW w:w="4045" w:type="dxa"/>
          </w:tcPr>
          <w:p w14:paraId="347686EE" w14:textId="06D5CD79" w:rsidR="00674E88" w:rsidRPr="00635192" w:rsidRDefault="00674E88" w:rsidP="00006836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letter–sound knowledge</w:t>
            </w:r>
          </w:p>
        </w:tc>
        <w:tc>
          <w:tcPr>
            <w:tcW w:w="1980" w:type="dxa"/>
          </w:tcPr>
          <w:p w14:paraId="42232DF4" w14:textId="2027DCFF" w:rsidR="00674E88" w:rsidRPr="00497962" w:rsidRDefault="004517F2" w:rsidP="00006836">
            <w:pPr>
              <w:pStyle w:val="NoSpacing"/>
              <w:contextualSpacing/>
              <w:jc w:val="center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Yes</w:t>
            </w:r>
          </w:p>
        </w:tc>
        <w:tc>
          <w:tcPr>
            <w:tcW w:w="2070" w:type="dxa"/>
          </w:tcPr>
          <w:p w14:paraId="5AA6CD25" w14:textId="42DBFF2B" w:rsidR="00674E88" w:rsidRPr="00635192" w:rsidRDefault="00A92885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4C18E6AC" w14:textId="0BC89ED3" w:rsidR="00674E88" w:rsidRPr="00635192" w:rsidRDefault="00947046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635192" w14:paraId="74EA08AB" w14:textId="77777777" w:rsidTr="00830492">
        <w:trPr>
          <w:cantSplit/>
        </w:trPr>
        <w:tc>
          <w:tcPr>
            <w:tcW w:w="4045" w:type="dxa"/>
          </w:tcPr>
          <w:p w14:paraId="6FFC8F28" w14:textId="732167F0" w:rsidR="00674E88" w:rsidRPr="00635192" w:rsidRDefault="00674E88" w:rsidP="00006836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knowledge of letter names</w:t>
            </w:r>
          </w:p>
        </w:tc>
        <w:tc>
          <w:tcPr>
            <w:tcW w:w="1980" w:type="dxa"/>
          </w:tcPr>
          <w:p w14:paraId="470CE9CB" w14:textId="51940117" w:rsidR="00674E88" w:rsidRPr="00635192" w:rsidRDefault="0018268D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070" w:type="dxa"/>
          </w:tcPr>
          <w:p w14:paraId="5571D8C0" w14:textId="5EE2AA42" w:rsidR="00674E88" w:rsidRPr="00635192" w:rsidRDefault="00947046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975" w:type="dxa"/>
          </w:tcPr>
          <w:p w14:paraId="0B952CF2" w14:textId="38AA7C85" w:rsidR="00674E88" w:rsidRPr="00635192" w:rsidRDefault="00947046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</w:tr>
      <w:tr w:rsidR="00674E88" w:rsidRPr="00635192" w14:paraId="12B2926C" w14:textId="77777777" w:rsidTr="00830492">
        <w:trPr>
          <w:cantSplit/>
        </w:trPr>
        <w:tc>
          <w:tcPr>
            <w:tcW w:w="4045" w:type="dxa"/>
          </w:tcPr>
          <w:p w14:paraId="515B7045" w14:textId="3868074D" w:rsidR="00674E88" w:rsidRPr="00635192" w:rsidRDefault="00674E88" w:rsidP="00006836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rapid automatized naming</w:t>
            </w:r>
          </w:p>
        </w:tc>
        <w:tc>
          <w:tcPr>
            <w:tcW w:w="1980" w:type="dxa"/>
          </w:tcPr>
          <w:p w14:paraId="3BEEF37D" w14:textId="4FCF3054" w:rsidR="00674E88" w:rsidRPr="00635192" w:rsidRDefault="006773E9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070" w:type="dxa"/>
          </w:tcPr>
          <w:p w14:paraId="58FFD5E1" w14:textId="6E461557" w:rsidR="00674E88" w:rsidRPr="00635192" w:rsidRDefault="006773E9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69BCFFEA" w14:textId="309CBBE2" w:rsidR="00674E88" w:rsidRPr="00635192" w:rsidRDefault="00947046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635192" w14:paraId="0FB09432" w14:textId="77777777" w:rsidTr="00830492">
        <w:trPr>
          <w:cantSplit/>
        </w:trPr>
        <w:tc>
          <w:tcPr>
            <w:tcW w:w="4045" w:type="dxa"/>
          </w:tcPr>
          <w:p w14:paraId="67A7E79D" w14:textId="5E8FB34C" w:rsidR="00674E88" w:rsidRPr="00635192" w:rsidRDefault="00674E88" w:rsidP="00006836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visual attention</w:t>
            </w:r>
          </w:p>
        </w:tc>
        <w:tc>
          <w:tcPr>
            <w:tcW w:w="1980" w:type="dxa"/>
          </w:tcPr>
          <w:p w14:paraId="2F6D5C96" w14:textId="725E1C42" w:rsidR="00674E88" w:rsidRPr="00635192" w:rsidRDefault="00A92885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2070" w:type="dxa"/>
          </w:tcPr>
          <w:p w14:paraId="1185A536" w14:textId="62E0164C" w:rsidR="00674E88" w:rsidRPr="00635192" w:rsidRDefault="006773E9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975" w:type="dxa"/>
          </w:tcPr>
          <w:p w14:paraId="4F1FBD5E" w14:textId="20EEAD5A" w:rsidR="00674E88" w:rsidRPr="00635192" w:rsidRDefault="00F77845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</w:tr>
      <w:tr w:rsidR="00674E88" w:rsidRPr="00635192" w14:paraId="3398A937" w14:textId="77777777" w:rsidTr="00830492">
        <w:trPr>
          <w:cantSplit/>
        </w:trPr>
        <w:tc>
          <w:tcPr>
            <w:tcW w:w="4045" w:type="dxa"/>
          </w:tcPr>
          <w:p w14:paraId="0431FBDD" w14:textId="41B7460C" w:rsidR="00674E88" w:rsidRPr="00635192" w:rsidRDefault="00674E88" w:rsidP="00006836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reading fluency</w:t>
            </w:r>
          </w:p>
        </w:tc>
        <w:tc>
          <w:tcPr>
            <w:tcW w:w="1980" w:type="dxa"/>
          </w:tcPr>
          <w:p w14:paraId="0C97FB85" w14:textId="038A3DED" w:rsidR="00674E88" w:rsidRPr="00635192" w:rsidRDefault="00A92885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2070" w:type="dxa"/>
          </w:tcPr>
          <w:p w14:paraId="3D98D391" w14:textId="4FA70746" w:rsidR="00674E88" w:rsidRPr="00635192" w:rsidRDefault="00A92885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2AF928A2" w14:textId="7CB163E6" w:rsidR="00674E88" w:rsidRPr="00635192" w:rsidRDefault="00947046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635192" w14:paraId="551E6982" w14:textId="77777777" w:rsidTr="00830492">
        <w:trPr>
          <w:cantSplit/>
        </w:trPr>
        <w:tc>
          <w:tcPr>
            <w:tcW w:w="4045" w:type="dxa"/>
          </w:tcPr>
          <w:p w14:paraId="02A07F12" w14:textId="014E8560" w:rsidR="00674E88" w:rsidRPr="00635192" w:rsidRDefault="00674E88" w:rsidP="00006836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vocabulary</w:t>
            </w:r>
          </w:p>
        </w:tc>
        <w:tc>
          <w:tcPr>
            <w:tcW w:w="1980" w:type="dxa"/>
          </w:tcPr>
          <w:p w14:paraId="62379214" w14:textId="3A662F4A" w:rsidR="00674E88" w:rsidRPr="00635192" w:rsidRDefault="0018268D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070" w:type="dxa"/>
          </w:tcPr>
          <w:p w14:paraId="08EC007C" w14:textId="2307125F" w:rsidR="00674E88" w:rsidRPr="00635192" w:rsidRDefault="00A92885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60DB38C9" w14:textId="0BA39D11" w:rsidR="00674E88" w:rsidRPr="00635192" w:rsidRDefault="00947046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635192" w14:paraId="4AC25CE5" w14:textId="77777777" w:rsidTr="00830492">
        <w:trPr>
          <w:cantSplit/>
        </w:trPr>
        <w:tc>
          <w:tcPr>
            <w:tcW w:w="4045" w:type="dxa"/>
          </w:tcPr>
          <w:p w14:paraId="0AC28F0D" w14:textId="5854F7DD" w:rsidR="00674E88" w:rsidRPr="00635192" w:rsidRDefault="00674E88" w:rsidP="00006836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language comprehension</w:t>
            </w:r>
          </w:p>
        </w:tc>
        <w:tc>
          <w:tcPr>
            <w:tcW w:w="1980" w:type="dxa"/>
          </w:tcPr>
          <w:p w14:paraId="64F68BA2" w14:textId="6673CDBA" w:rsidR="00674E88" w:rsidRPr="00635192" w:rsidRDefault="007341CB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2070" w:type="dxa"/>
          </w:tcPr>
          <w:p w14:paraId="6157C29B" w14:textId="03A84751" w:rsidR="00674E88" w:rsidRPr="00635192" w:rsidRDefault="007341CB" w:rsidP="00006836">
            <w:pPr>
              <w:pStyle w:val="NoSpacing"/>
              <w:contextualSpacing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975" w:type="dxa"/>
          </w:tcPr>
          <w:p w14:paraId="7ED19EB4" w14:textId="69C4B3BB" w:rsidR="00674E88" w:rsidRPr="00635192" w:rsidRDefault="007341CB" w:rsidP="00006836">
            <w:pPr>
              <w:pStyle w:val="NoSpacing"/>
              <w:contextualSpacing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</w:tr>
      <w:tr w:rsidR="00AE7707" w:rsidRPr="00635192" w14:paraId="5FB9BA84" w14:textId="77777777" w:rsidTr="00830492">
        <w:trPr>
          <w:cantSplit/>
        </w:trPr>
        <w:tc>
          <w:tcPr>
            <w:tcW w:w="4045" w:type="dxa"/>
          </w:tcPr>
          <w:p w14:paraId="2EA9257E" w14:textId="4510E7C4" w:rsidR="00AE7707" w:rsidRPr="00635192" w:rsidRDefault="00AE7707" w:rsidP="00006836">
            <w:pPr>
              <w:pStyle w:val="NoSpacing"/>
              <w:contextualSpacing/>
              <w:rPr>
                <w:rFonts w:ascii="Arial" w:hAnsi="Arial" w:cs="Arial"/>
                <w:lang w:eastAsia="ko-KR"/>
              </w:rPr>
            </w:pPr>
            <w:r w:rsidRPr="00635192">
              <w:rPr>
                <w:rFonts w:ascii="Arial" w:hAnsi="Arial" w:cs="Arial"/>
              </w:rPr>
              <w:t xml:space="preserve">Other: </w:t>
            </w:r>
            <w:r w:rsidR="006773E9">
              <w:rPr>
                <w:rFonts w:ascii="Arial" w:hAnsi="Arial" w:cs="Arial"/>
              </w:rPr>
              <w:t>e</w:t>
            </w:r>
            <w:r w:rsidRPr="00635192">
              <w:rPr>
                <w:rFonts w:ascii="Arial" w:hAnsi="Arial" w:cs="Arial"/>
              </w:rPr>
              <w:t>ncoding</w:t>
            </w:r>
            <w:r w:rsidR="00D53F74">
              <w:rPr>
                <w:rFonts w:ascii="Arial" w:hAnsi="Arial" w:cs="Arial" w:hint="eastAsia"/>
                <w:lang w:eastAsia="ko-KR"/>
              </w:rPr>
              <w:t xml:space="preserve"> </w:t>
            </w:r>
          </w:p>
        </w:tc>
        <w:tc>
          <w:tcPr>
            <w:tcW w:w="1980" w:type="dxa"/>
          </w:tcPr>
          <w:p w14:paraId="2A101DC7" w14:textId="4E46EDED" w:rsidR="00AE7707" w:rsidRPr="00635192" w:rsidRDefault="0018268D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070" w:type="dxa"/>
          </w:tcPr>
          <w:p w14:paraId="47532E50" w14:textId="29A555CC" w:rsidR="00AE7707" w:rsidRPr="00635192" w:rsidRDefault="00A92885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5D2496CA" w14:textId="3DE0352C" w:rsidR="00AE7707" w:rsidRPr="00635192" w:rsidRDefault="00947046" w:rsidP="00006836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</w:tbl>
    <w:p w14:paraId="5E3BB230" w14:textId="443B8A6E" w:rsidR="00E0102C" w:rsidRDefault="00E0102C" w:rsidP="00CD4A5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after="240"/>
        <w:rPr>
          <w:rFonts w:ascii="Arial" w:hAnsi="Arial" w:cs="Arial"/>
          <w:u w:val="single"/>
        </w:rPr>
      </w:pPr>
      <w:r w:rsidRPr="51FFB96F">
        <w:rPr>
          <w:rFonts w:ascii="Arial" w:hAnsi="Arial" w:cs="Arial"/>
        </w:rPr>
        <w:t xml:space="preserve">Except for </w:t>
      </w:r>
      <w:r w:rsidRPr="51FFB96F">
        <w:rPr>
          <w:rFonts w:ascii="Arial" w:hAnsi="Arial" w:cs="Arial"/>
          <w:i/>
          <w:iCs/>
        </w:rPr>
        <w:t>Other</w:t>
      </w:r>
      <w:r w:rsidRPr="51FFB96F">
        <w:rPr>
          <w:rFonts w:ascii="Arial" w:hAnsi="Arial" w:cs="Arial"/>
        </w:rPr>
        <w:t xml:space="preserve">, the Skills Measured shown in the table </w:t>
      </w:r>
      <w:r w:rsidR="004517F2">
        <w:rPr>
          <w:rFonts w:ascii="Arial" w:hAnsi="Arial" w:cs="Arial"/>
        </w:rPr>
        <w:t>above</w:t>
      </w:r>
      <w:r w:rsidRPr="51FFB96F">
        <w:rPr>
          <w:rFonts w:ascii="Arial" w:hAnsi="Arial" w:cs="Arial"/>
        </w:rPr>
        <w:t xml:space="preserve"> are from California </w:t>
      </w:r>
      <w:r w:rsidRPr="51FFB96F">
        <w:rPr>
          <w:rFonts w:ascii="Arial" w:hAnsi="Arial" w:cs="Arial"/>
          <w:i/>
          <w:iCs/>
        </w:rPr>
        <w:t xml:space="preserve">Education Code </w:t>
      </w:r>
      <w:r w:rsidRPr="51FFB96F">
        <w:rPr>
          <w:rFonts w:ascii="Arial" w:hAnsi="Arial" w:cs="Arial"/>
        </w:rPr>
        <w:t>Section 53008 (g)(1)(B).</w:t>
      </w:r>
    </w:p>
    <w:p w14:paraId="4B0085E1" w14:textId="650DD1EF" w:rsidR="00DC430B" w:rsidRPr="00E0102C" w:rsidRDefault="51FFB96F" w:rsidP="008269DF">
      <w:pPr>
        <w:pStyle w:val="Heading3"/>
      </w:pPr>
      <w:r w:rsidRPr="00E0102C">
        <w:t>Recommended for use with the following student populations:</w:t>
      </w:r>
    </w:p>
    <w:p w14:paraId="45442635" w14:textId="5EA0B0CA" w:rsidR="00DD4201" w:rsidRPr="00F03BAE" w:rsidRDefault="00DC430B" w:rsidP="00EC3CF2">
      <w:pPr>
        <w:pStyle w:val="NoSpacing"/>
        <w:numPr>
          <w:ilvl w:val="0"/>
          <w:numId w:val="8"/>
        </w:numPr>
        <w:contextualSpacing/>
        <w:rPr>
          <w:rFonts w:ascii="Arial" w:hAnsi="Arial" w:cs="Arial"/>
        </w:rPr>
      </w:pPr>
      <w:r w:rsidRPr="00F03BAE">
        <w:rPr>
          <w:rFonts w:ascii="Arial" w:hAnsi="Arial" w:cs="Arial"/>
        </w:rPr>
        <w:t>general education students</w:t>
      </w:r>
    </w:p>
    <w:p w14:paraId="6E1CD5FD" w14:textId="55AB300A" w:rsidR="00DC430B" w:rsidRPr="00F03BAE" w:rsidRDefault="00DC430B" w:rsidP="00EC3CF2">
      <w:pPr>
        <w:pStyle w:val="NoSpacing"/>
        <w:numPr>
          <w:ilvl w:val="0"/>
          <w:numId w:val="8"/>
        </w:numPr>
        <w:contextualSpacing/>
        <w:rPr>
          <w:rFonts w:ascii="Arial" w:hAnsi="Arial" w:cs="Arial"/>
        </w:rPr>
      </w:pPr>
      <w:r w:rsidRPr="00F03BAE">
        <w:rPr>
          <w:rFonts w:ascii="Arial" w:hAnsi="Arial" w:cs="Arial"/>
        </w:rPr>
        <w:t>students with disabilities</w:t>
      </w:r>
    </w:p>
    <w:p w14:paraId="48696BC0" w14:textId="77777777" w:rsidR="00DD4201" w:rsidRPr="00F03BAE" w:rsidRDefault="00DC430B" w:rsidP="00EC3CF2">
      <w:pPr>
        <w:pStyle w:val="NoSpacing"/>
        <w:numPr>
          <w:ilvl w:val="0"/>
          <w:numId w:val="8"/>
        </w:numPr>
        <w:contextualSpacing/>
        <w:rPr>
          <w:rFonts w:ascii="Arial" w:hAnsi="Arial" w:cs="Arial"/>
        </w:rPr>
      </w:pPr>
      <w:r w:rsidRPr="00F03BAE">
        <w:rPr>
          <w:rFonts w:ascii="Arial" w:hAnsi="Arial" w:cs="Arial"/>
        </w:rPr>
        <w:t>English learners</w:t>
      </w:r>
    </w:p>
    <w:p w14:paraId="634A71F2" w14:textId="4EC89721" w:rsidR="00527A90" w:rsidRDefault="00DD4201" w:rsidP="00527A90">
      <w:pPr>
        <w:pStyle w:val="NoSpacing"/>
        <w:numPr>
          <w:ilvl w:val="0"/>
          <w:numId w:val="8"/>
        </w:numPr>
        <w:spacing w:after="480"/>
        <w:rPr>
          <w:rFonts w:ascii="Arial" w:hAnsi="Arial" w:cs="Arial"/>
        </w:rPr>
      </w:pPr>
      <w:r w:rsidRPr="00F03BAE">
        <w:rPr>
          <w:rFonts w:ascii="Arial" w:hAnsi="Arial" w:cs="Arial"/>
        </w:rPr>
        <w:t>bi/multilingual learners</w:t>
      </w:r>
      <w:r w:rsidR="009B234F" w:rsidRPr="00F03BAE">
        <w:rPr>
          <w:rFonts w:ascii="Arial" w:hAnsi="Arial" w:cs="Arial"/>
        </w:rPr>
        <w:t xml:space="preserve"> (English</w:t>
      </w:r>
      <w:r w:rsidR="00D1077C" w:rsidRPr="00F03BAE">
        <w:rPr>
          <w:rFonts w:ascii="Arial" w:hAnsi="Arial" w:cs="Arial"/>
        </w:rPr>
        <w:t>–</w:t>
      </w:r>
      <w:r w:rsidR="009B234F" w:rsidRPr="00F03BAE">
        <w:rPr>
          <w:rFonts w:ascii="Arial" w:hAnsi="Arial" w:cs="Arial"/>
        </w:rPr>
        <w:t>French; English</w:t>
      </w:r>
      <w:r w:rsidR="00D1077C" w:rsidRPr="00F03BAE">
        <w:rPr>
          <w:rFonts w:ascii="Arial" w:hAnsi="Arial" w:cs="Arial"/>
        </w:rPr>
        <w:t>–</w:t>
      </w:r>
      <w:r w:rsidR="009B234F" w:rsidRPr="00F03BAE">
        <w:rPr>
          <w:rFonts w:ascii="Arial" w:hAnsi="Arial" w:cs="Arial"/>
        </w:rPr>
        <w:t>Spanish)</w:t>
      </w:r>
    </w:p>
    <w:p w14:paraId="10B45AE1" w14:textId="4A13F728" w:rsidR="00527A90" w:rsidRDefault="00527A90" w:rsidP="00527A90">
      <w:pPr>
        <w:pStyle w:val="NoSpacing"/>
        <w:spacing w:after="240"/>
        <w:jc w:val="right"/>
        <w:rPr>
          <w:rFonts w:ascii="Arial" w:hAnsi="Arial" w:cs="Arial"/>
        </w:rPr>
      </w:pPr>
      <w:r>
        <w:rPr>
          <w:rFonts w:ascii="Arial" w:hAnsi="Arial" w:cs="Arial"/>
        </w:rPr>
        <w:t>Page 1 of 4</w:t>
      </w:r>
    </w:p>
    <w:p w14:paraId="562EBC77" w14:textId="43E24D8A" w:rsidR="00E0102C" w:rsidRDefault="00527A90" w:rsidP="00527A9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51FFB96F" w:rsidRPr="00E0102C">
        <w:rPr>
          <w:rStyle w:val="Heading3Char"/>
        </w:rPr>
        <w:lastRenderedPageBreak/>
        <w:t>Languages Available:</w:t>
      </w:r>
    </w:p>
    <w:p w14:paraId="5D55521D" w14:textId="4D8F440A" w:rsidR="00E0102C" w:rsidRDefault="51FFB96F" w:rsidP="00CD4A53">
      <w:pPr>
        <w:pStyle w:val="NoSpacing"/>
        <w:rPr>
          <w:rFonts w:ascii="Arial" w:hAnsi="Arial" w:cs="Arial"/>
        </w:rPr>
      </w:pPr>
      <w:r w:rsidRPr="00DE1C3E">
        <w:rPr>
          <w:rFonts w:ascii="Arial" w:hAnsi="Arial" w:cs="Arial"/>
        </w:rPr>
        <w:t>English</w:t>
      </w:r>
      <w:r w:rsidRPr="51FFB96F">
        <w:rPr>
          <w:rFonts w:ascii="Arial" w:hAnsi="Arial" w:cs="Arial"/>
        </w:rPr>
        <w:t xml:space="preserve">, </w:t>
      </w:r>
      <w:r w:rsidR="00E41ED6">
        <w:rPr>
          <w:rFonts w:ascii="Arial" w:hAnsi="Arial" w:cs="Arial"/>
        </w:rPr>
        <w:t xml:space="preserve">with components available in </w:t>
      </w:r>
      <w:r w:rsidRPr="51FFB96F">
        <w:rPr>
          <w:rFonts w:ascii="Arial" w:hAnsi="Arial" w:cs="Arial"/>
        </w:rPr>
        <w:t>Spanish</w:t>
      </w:r>
    </w:p>
    <w:p w14:paraId="60EB8C69" w14:textId="5BC56E03" w:rsidR="00E0102C" w:rsidRDefault="00B46D10" w:rsidP="008269DF">
      <w:pPr>
        <w:pStyle w:val="Heading3"/>
      </w:pPr>
      <w:r w:rsidRPr="00006836">
        <w:t>Information about establishing student language proficiency to administer screener:</w:t>
      </w:r>
      <w:bookmarkStart w:id="0" w:name="_Hlk178922825"/>
    </w:p>
    <w:p w14:paraId="0F609261" w14:textId="64B68267" w:rsidR="00434D5C" w:rsidRDefault="00544D94" w:rsidP="00CD4A5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Minimum language proficiency is not indicated.</w:t>
      </w:r>
    </w:p>
    <w:bookmarkEnd w:id="0"/>
    <w:p w14:paraId="3CE28CB4" w14:textId="77AB1164" w:rsidR="0060597E" w:rsidRPr="00006836" w:rsidRDefault="0060597E" w:rsidP="00C401A9">
      <w:pPr>
        <w:pStyle w:val="Heading2"/>
      </w:pPr>
      <w:r w:rsidRPr="00006836">
        <w:t>Accommodations</w:t>
      </w:r>
    </w:p>
    <w:p w14:paraId="1923931D" w14:textId="401A62D9" w:rsidR="00D011D3" w:rsidRPr="00E0102C" w:rsidRDefault="51FFB96F" w:rsidP="008269DF">
      <w:pPr>
        <w:pStyle w:val="Heading3"/>
      </w:pPr>
      <w:r w:rsidRPr="00E0102C">
        <w:t>Supports or accommodations for students with disabilities:</w:t>
      </w:r>
    </w:p>
    <w:p w14:paraId="672FC58B" w14:textId="651CD523" w:rsidR="00F7225B" w:rsidRPr="00527A90" w:rsidRDefault="00544D94" w:rsidP="009C71B2">
      <w:pPr>
        <w:pStyle w:val="NoSpacing"/>
        <w:spacing w:after="24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</w:rPr>
        <w:t>U</w:t>
      </w:r>
      <w:r w:rsidRPr="00544D94">
        <w:rPr>
          <w:rFonts w:ascii="Arial" w:hAnsi="Arial" w:cs="Arial"/>
        </w:rPr>
        <w:t xml:space="preserve">niversal accessibility features are available to all students and do not need to be enabled. </w:t>
      </w:r>
      <w:r>
        <w:rPr>
          <w:rFonts w:ascii="Arial" w:hAnsi="Arial" w:cs="Arial"/>
        </w:rPr>
        <w:t>There</w:t>
      </w:r>
      <w:r w:rsidR="007D36DF" w:rsidRPr="009C71B2">
        <w:rPr>
          <w:rFonts w:ascii="Arial" w:hAnsi="Arial" w:cs="Arial"/>
        </w:rPr>
        <w:t xml:space="preserve"> are processes and tools</w:t>
      </w:r>
      <w:r w:rsidR="00FC426A">
        <w:rPr>
          <w:rFonts w:ascii="Arial" w:hAnsi="Arial" w:cs="Arial"/>
        </w:rPr>
        <w:t xml:space="preserve"> </w:t>
      </w:r>
      <w:r w:rsidR="007D36DF" w:rsidRPr="009C71B2">
        <w:rPr>
          <w:rFonts w:ascii="Arial" w:hAnsi="Arial" w:cs="Arial"/>
        </w:rPr>
        <w:t xml:space="preserve">that are only used to support students who have documented needs, </w:t>
      </w:r>
      <w:r>
        <w:rPr>
          <w:rFonts w:ascii="Arial" w:hAnsi="Arial" w:cs="Arial"/>
        </w:rPr>
        <w:t>such as</w:t>
      </w:r>
      <w:r w:rsidR="007D36DF" w:rsidRPr="009C71B2">
        <w:rPr>
          <w:rFonts w:ascii="Arial" w:hAnsi="Arial" w:cs="Arial"/>
        </w:rPr>
        <w:t xml:space="preserve"> student</w:t>
      </w:r>
      <w:r>
        <w:rPr>
          <w:rFonts w:ascii="Arial" w:hAnsi="Arial" w:cs="Arial"/>
        </w:rPr>
        <w:t>s with an</w:t>
      </w:r>
      <w:r w:rsidR="00EF73E6">
        <w:rPr>
          <w:rFonts w:ascii="Arial" w:hAnsi="Arial" w:cs="Arial"/>
        </w:rPr>
        <w:t xml:space="preserve"> Individualized Education Program (</w:t>
      </w:r>
      <w:r w:rsidR="007D36DF" w:rsidRPr="009C71B2">
        <w:rPr>
          <w:rFonts w:ascii="Arial" w:hAnsi="Arial" w:cs="Arial"/>
        </w:rPr>
        <w:t>IEP</w:t>
      </w:r>
      <w:r w:rsidR="00EF73E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 504 </w:t>
      </w:r>
      <w:r w:rsidR="007D36DF" w:rsidRPr="009C71B2">
        <w:rPr>
          <w:rFonts w:ascii="Arial" w:hAnsi="Arial" w:cs="Arial"/>
        </w:rPr>
        <w:t xml:space="preserve">plan. IEP teams and other educators determine which accommodations a student receives. </w:t>
      </w:r>
      <w:r>
        <w:rPr>
          <w:rFonts w:ascii="Arial" w:hAnsi="Arial" w:cs="Arial"/>
        </w:rPr>
        <w:t>Guidance is provided</w:t>
      </w:r>
      <w:r w:rsidR="00FC426A">
        <w:rPr>
          <w:rFonts w:ascii="Arial" w:hAnsi="Arial" w:cs="Arial"/>
        </w:rPr>
        <w:t xml:space="preserve"> in </w:t>
      </w:r>
      <w:r w:rsidR="00FC426A" w:rsidRPr="009C71B2">
        <w:rPr>
          <w:rFonts w:ascii="Arial" w:hAnsi="Arial" w:cs="Arial"/>
          <w:i/>
          <w:iCs/>
        </w:rPr>
        <w:t>i-Ready</w:t>
      </w:r>
      <w:r w:rsidR="00FC426A" w:rsidRPr="009C71B2">
        <w:rPr>
          <w:rFonts w:ascii="Arial" w:hAnsi="Arial" w:cs="Arial"/>
        </w:rPr>
        <w:t xml:space="preserve"> </w:t>
      </w:r>
      <w:r w:rsidR="00C55560">
        <w:rPr>
          <w:rFonts w:ascii="Arial" w:hAnsi="Arial" w:cs="Arial"/>
        </w:rPr>
        <w:t>a</w:t>
      </w:r>
      <w:r w:rsidR="00FC426A" w:rsidRPr="009C71B2">
        <w:rPr>
          <w:rFonts w:ascii="Arial" w:hAnsi="Arial" w:cs="Arial"/>
        </w:rPr>
        <w:t xml:space="preserve">ccessibility and </w:t>
      </w:r>
      <w:r w:rsidR="001E040C">
        <w:rPr>
          <w:rFonts w:ascii="Arial" w:hAnsi="Arial" w:cs="Arial"/>
        </w:rPr>
        <w:t>a</w:t>
      </w:r>
      <w:r w:rsidR="00FC426A" w:rsidRPr="009C71B2">
        <w:rPr>
          <w:rFonts w:ascii="Arial" w:hAnsi="Arial" w:cs="Arial"/>
        </w:rPr>
        <w:t>ccommodations documentation</w:t>
      </w:r>
      <w:r>
        <w:rPr>
          <w:rFonts w:ascii="Arial" w:hAnsi="Arial" w:cs="Arial"/>
        </w:rPr>
        <w:t xml:space="preserve"> to support</w:t>
      </w:r>
      <w:r w:rsidR="007D36DF" w:rsidRPr="009C71B2">
        <w:rPr>
          <w:rFonts w:ascii="Arial" w:hAnsi="Arial" w:cs="Arial"/>
        </w:rPr>
        <w:t xml:space="preserve"> various accommodations, </w:t>
      </w:r>
      <w:r>
        <w:rPr>
          <w:rFonts w:ascii="Arial" w:hAnsi="Arial" w:cs="Arial"/>
        </w:rPr>
        <w:t xml:space="preserve">and </w:t>
      </w:r>
      <w:r w:rsidR="007D36DF" w:rsidRPr="009C71B2">
        <w:rPr>
          <w:rFonts w:ascii="Arial" w:hAnsi="Arial" w:cs="Arial"/>
        </w:rPr>
        <w:t>educators who work with individual students determine which accommodations are needed and how to correctly implement those accommodations.</w:t>
      </w:r>
    </w:p>
    <w:p w14:paraId="5F3FBC19" w14:textId="0D573F9B" w:rsidR="00E0102C" w:rsidRPr="00E0102C" w:rsidRDefault="51FFB96F" w:rsidP="009C71B2">
      <w:pPr>
        <w:pStyle w:val="Heading3"/>
      </w:pPr>
      <w:r w:rsidRPr="00E0102C">
        <w:t>Supports or accommodations for students who are not yet proficient with English:</w:t>
      </w:r>
    </w:p>
    <w:p w14:paraId="69CBE98A" w14:textId="712CC520" w:rsidR="00476BC7" w:rsidRPr="007D36DF" w:rsidRDefault="00FC426A" w:rsidP="007D36D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C426A">
        <w:rPr>
          <w:rFonts w:ascii="Arial" w:hAnsi="Arial" w:cs="Arial"/>
        </w:rPr>
        <w:t>udio support is provided for phonological awareness (</w:t>
      </w:r>
      <w:r>
        <w:rPr>
          <w:rFonts w:ascii="Arial" w:hAnsi="Arial" w:cs="Arial"/>
        </w:rPr>
        <w:t>k</w:t>
      </w:r>
      <w:r w:rsidRPr="00FC426A">
        <w:rPr>
          <w:rFonts w:ascii="Arial" w:hAnsi="Arial" w:cs="Arial"/>
        </w:rPr>
        <w:t>indergarten through grade one), phonics (</w:t>
      </w:r>
      <w:r>
        <w:rPr>
          <w:rFonts w:ascii="Arial" w:hAnsi="Arial" w:cs="Arial"/>
        </w:rPr>
        <w:t>k</w:t>
      </w:r>
      <w:r w:rsidRPr="00FC426A">
        <w:rPr>
          <w:rFonts w:ascii="Arial" w:hAnsi="Arial" w:cs="Arial"/>
        </w:rPr>
        <w:t>indergarten through grade two), high-frequency words (</w:t>
      </w:r>
      <w:r>
        <w:rPr>
          <w:rFonts w:ascii="Arial" w:hAnsi="Arial" w:cs="Arial"/>
        </w:rPr>
        <w:t>k</w:t>
      </w:r>
      <w:r w:rsidRPr="00FC426A">
        <w:rPr>
          <w:rFonts w:ascii="Arial" w:hAnsi="Arial" w:cs="Arial"/>
        </w:rPr>
        <w:t>indergarten through grade two), vocabulary (</w:t>
      </w:r>
      <w:r>
        <w:rPr>
          <w:rFonts w:ascii="Arial" w:hAnsi="Arial" w:cs="Arial"/>
        </w:rPr>
        <w:t>k</w:t>
      </w:r>
      <w:r w:rsidRPr="00FC426A">
        <w:rPr>
          <w:rFonts w:ascii="Arial" w:hAnsi="Arial" w:cs="Arial"/>
        </w:rPr>
        <w:t>indergarten through grade one; optional setting for grade two), and comprehension (</w:t>
      </w:r>
      <w:r>
        <w:rPr>
          <w:rFonts w:ascii="Arial" w:hAnsi="Arial" w:cs="Arial"/>
        </w:rPr>
        <w:t>k</w:t>
      </w:r>
      <w:r w:rsidRPr="00FC426A">
        <w:rPr>
          <w:rFonts w:ascii="Arial" w:hAnsi="Arial" w:cs="Arial"/>
        </w:rPr>
        <w:t>indergarten through grade one; optional setting for grade two).</w:t>
      </w:r>
      <w:r>
        <w:rPr>
          <w:rFonts w:ascii="Arial" w:hAnsi="Arial" w:cs="Arial"/>
        </w:rPr>
        <w:t xml:space="preserve"> </w:t>
      </w:r>
      <w:r w:rsidR="00476BC7" w:rsidRPr="00476BC7">
        <w:rPr>
          <w:rFonts w:ascii="Arial" w:hAnsi="Arial" w:cs="Arial"/>
        </w:rPr>
        <w:t>When</w:t>
      </w:r>
      <w:r w:rsidR="00476BC7" w:rsidRPr="00476BC7">
        <w:rPr>
          <w:rFonts w:ascii="Arial" w:hAnsi="Arial" w:cs="Arial"/>
          <w:b/>
          <w:bCs/>
        </w:rPr>
        <w:t xml:space="preserve"> </w:t>
      </w:r>
      <w:r w:rsidR="00476BC7" w:rsidRPr="00476BC7">
        <w:rPr>
          <w:rFonts w:ascii="Arial" w:hAnsi="Arial" w:cs="Arial"/>
        </w:rPr>
        <w:t>applicable, text on screen is accompanied by a</w:t>
      </w:r>
      <w:r w:rsidR="00476BC7" w:rsidRPr="00476BC7">
        <w:rPr>
          <w:rFonts w:ascii="Arial" w:hAnsi="Arial" w:cs="Arial"/>
          <w:b/>
          <w:bCs/>
        </w:rPr>
        <w:t xml:space="preserve"> </w:t>
      </w:r>
      <w:r w:rsidR="00476BC7" w:rsidRPr="00476BC7">
        <w:rPr>
          <w:rFonts w:ascii="Arial" w:hAnsi="Arial" w:cs="Arial"/>
        </w:rPr>
        <w:t>human voice modeling the language fluently and with prosody so</w:t>
      </w:r>
      <w:r w:rsidR="00476BC7" w:rsidRPr="00476BC7">
        <w:rPr>
          <w:rFonts w:ascii="Arial" w:hAnsi="Arial" w:cs="Arial"/>
          <w:b/>
          <w:bCs/>
        </w:rPr>
        <w:t xml:space="preserve"> </w:t>
      </w:r>
      <w:r w:rsidR="00476BC7" w:rsidRPr="00476BC7">
        <w:rPr>
          <w:rFonts w:ascii="Arial" w:hAnsi="Arial" w:cs="Arial"/>
        </w:rPr>
        <w:t>that students hear natural speech patterns and not robotic audio.</w:t>
      </w:r>
    </w:p>
    <w:p w14:paraId="476412C0" w14:textId="6077AA44" w:rsidR="00DC430B" w:rsidRPr="00006836" w:rsidRDefault="704E6191" w:rsidP="001E040C">
      <w:pPr>
        <w:pStyle w:val="Heading2"/>
      </w:pPr>
      <w:r w:rsidRPr="00006836">
        <w:t>Cost Information</w:t>
      </w:r>
    </w:p>
    <w:p w14:paraId="5DFB6F8F" w14:textId="3FE08BBF" w:rsidR="00434D5C" w:rsidRDefault="51FFB96F" w:rsidP="008269DF">
      <w:pPr>
        <w:pStyle w:val="Heading3"/>
      </w:pPr>
      <w:r w:rsidRPr="00DE1C3E">
        <w:t>Initial</w:t>
      </w:r>
      <w:r w:rsidRPr="00E0102C">
        <w:t xml:space="preserve"> cost for implementing program</w:t>
      </w:r>
      <w:r w:rsidR="00554F67">
        <w:t>:</w:t>
      </w:r>
    </w:p>
    <w:p w14:paraId="27DE7EB5" w14:textId="1E298505" w:rsidR="00956D87" w:rsidRPr="00956D87" w:rsidRDefault="00956D87" w:rsidP="00C55560">
      <w:pPr>
        <w:pStyle w:val="Heading4"/>
      </w:pPr>
      <w:r w:rsidRPr="00956D87">
        <w:t xml:space="preserve">i-Ready </w:t>
      </w:r>
      <w:r w:rsidRPr="00C55560">
        <w:t>Assessment</w:t>
      </w:r>
    </w:p>
    <w:p w14:paraId="05288326" w14:textId="0C2AA2B1" w:rsidR="00956D87" w:rsidRDefault="00956D87" w:rsidP="001E040C">
      <w:pPr>
        <w:pStyle w:val="NoSpacing"/>
        <w:numPr>
          <w:ilvl w:val="0"/>
          <w:numId w:val="1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$8 per student</w:t>
      </w:r>
    </w:p>
    <w:p w14:paraId="33303029" w14:textId="3B32971D" w:rsidR="00956D87" w:rsidRDefault="00956D87" w:rsidP="00956D87">
      <w:pPr>
        <w:pStyle w:val="NoSpacing"/>
        <w:numPr>
          <w:ilvl w:val="0"/>
          <w:numId w:val="1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Discounts </w:t>
      </w:r>
      <w:r w:rsidR="00DF5994">
        <w:rPr>
          <w:rFonts w:ascii="Arial" w:hAnsi="Arial" w:cs="Arial"/>
        </w:rPr>
        <w:t>between 5</w:t>
      </w:r>
      <w:r w:rsidR="001E040C">
        <w:rPr>
          <w:rFonts w:ascii="Arial" w:hAnsi="Arial" w:cs="Arial"/>
        </w:rPr>
        <w:t xml:space="preserve"> percent</w:t>
      </w:r>
      <w:r w:rsidR="00DF5994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20</w:t>
      </w:r>
      <w:r w:rsidR="001E040C">
        <w:rPr>
          <w:rFonts w:ascii="Arial" w:hAnsi="Arial" w:cs="Arial"/>
        </w:rPr>
        <w:t xml:space="preserve"> percent</w:t>
      </w:r>
      <w:r>
        <w:rPr>
          <w:rFonts w:ascii="Arial" w:hAnsi="Arial" w:cs="Arial"/>
        </w:rPr>
        <w:t xml:space="preserve"> depending on number of </w:t>
      </w:r>
      <w:r w:rsidR="00DF5994">
        <w:rPr>
          <w:rFonts w:ascii="Arial" w:hAnsi="Arial" w:cs="Arial"/>
        </w:rPr>
        <w:t xml:space="preserve">student licenses </w:t>
      </w:r>
      <w:r>
        <w:rPr>
          <w:rFonts w:ascii="Arial" w:hAnsi="Arial" w:cs="Arial"/>
        </w:rPr>
        <w:t>purchased</w:t>
      </w:r>
    </w:p>
    <w:p w14:paraId="535DDD8A" w14:textId="39E0DA79" w:rsidR="00956D87" w:rsidRPr="00956D87" w:rsidRDefault="00956D87" w:rsidP="00C55560">
      <w:pPr>
        <w:pStyle w:val="Heading4"/>
      </w:pPr>
      <w:r w:rsidRPr="00956D87">
        <w:t xml:space="preserve">i-Ready </w:t>
      </w:r>
      <w:r>
        <w:t xml:space="preserve">Literacy </w:t>
      </w:r>
      <w:r w:rsidR="008269DF">
        <w:t>T</w:t>
      </w:r>
      <w:r>
        <w:t>asks</w:t>
      </w:r>
    </w:p>
    <w:p w14:paraId="15EF1EFE" w14:textId="126C3640" w:rsidR="00956D87" w:rsidRPr="00956D87" w:rsidRDefault="008269DF" w:rsidP="008269DF">
      <w:pPr>
        <w:pStyle w:val="NoSpacing"/>
        <w:numPr>
          <w:ilvl w:val="0"/>
          <w:numId w:val="1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No additional charge; included in the assessment per student pricing</w:t>
      </w:r>
    </w:p>
    <w:p w14:paraId="6C27F138" w14:textId="5B3203E5" w:rsidR="00956D87" w:rsidRDefault="008269DF" w:rsidP="008269D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Site</w:t>
      </w:r>
      <w:r w:rsidR="00DF599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license tiered pricing model, based on </w:t>
      </w:r>
      <w:r w:rsidR="00DF5994">
        <w:rPr>
          <w:rFonts w:ascii="Arial" w:hAnsi="Arial" w:cs="Arial"/>
        </w:rPr>
        <w:t xml:space="preserve">total </w:t>
      </w:r>
      <w:r>
        <w:rPr>
          <w:rFonts w:ascii="Arial" w:hAnsi="Arial" w:cs="Arial"/>
        </w:rPr>
        <w:t>enrollment at a single site</w:t>
      </w:r>
      <w:r w:rsidR="00DF5994">
        <w:rPr>
          <w:rFonts w:ascii="Arial" w:hAnsi="Arial" w:cs="Arial"/>
        </w:rPr>
        <w:t>:</w:t>
      </w:r>
    </w:p>
    <w:p w14:paraId="403891FF" w14:textId="28CC46E7" w:rsidR="008269DF" w:rsidRDefault="008269DF" w:rsidP="008269DF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less than 200 students: $1</w:t>
      </w:r>
      <w:r w:rsidR="00DF5994">
        <w:rPr>
          <w:rFonts w:ascii="Arial" w:hAnsi="Arial" w:cs="Arial"/>
        </w:rPr>
        <w:t>,</w:t>
      </w:r>
      <w:r>
        <w:rPr>
          <w:rFonts w:ascii="Arial" w:hAnsi="Arial" w:cs="Arial"/>
        </w:rPr>
        <w:t>130</w:t>
      </w:r>
    </w:p>
    <w:p w14:paraId="26C5FC1D" w14:textId="3FC8D62C" w:rsidR="008269DF" w:rsidRDefault="008269DF" w:rsidP="008269DF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201 to 350 students: $1</w:t>
      </w:r>
      <w:r w:rsidR="00DF5994">
        <w:rPr>
          <w:rFonts w:ascii="Arial" w:hAnsi="Arial" w:cs="Arial"/>
        </w:rPr>
        <w:t>,</w:t>
      </w:r>
      <w:r>
        <w:rPr>
          <w:rFonts w:ascii="Arial" w:hAnsi="Arial" w:cs="Arial"/>
        </w:rPr>
        <w:t>940</w:t>
      </w:r>
    </w:p>
    <w:p w14:paraId="217888A1" w14:textId="16CD300D" w:rsidR="008269DF" w:rsidRDefault="008269DF" w:rsidP="008269DF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351 to 500 students: $2</w:t>
      </w:r>
      <w:r w:rsidR="00DF5994">
        <w:rPr>
          <w:rFonts w:ascii="Arial" w:hAnsi="Arial" w:cs="Arial"/>
        </w:rPr>
        <w:t>,</w:t>
      </w:r>
      <w:r>
        <w:rPr>
          <w:rFonts w:ascii="Arial" w:hAnsi="Arial" w:cs="Arial"/>
        </w:rPr>
        <w:t>760</w:t>
      </w:r>
    </w:p>
    <w:p w14:paraId="4FBBAD98" w14:textId="58B922EF" w:rsidR="008269DF" w:rsidRDefault="008269DF" w:rsidP="008269DF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501 to 800 students: $3</w:t>
      </w:r>
      <w:r w:rsidR="00DF5994">
        <w:rPr>
          <w:rFonts w:ascii="Arial" w:hAnsi="Arial" w:cs="Arial"/>
        </w:rPr>
        <w:t>,</w:t>
      </w:r>
      <w:r>
        <w:rPr>
          <w:rFonts w:ascii="Arial" w:hAnsi="Arial" w:cs="Arial"/>
        </w:rPr>
        <w:t>250</w:t>
      </w:r>
    </w:p>
    <w:p w14:paraId="33745ED8" w14:textId="0BD8C512" w:rsidR="008269DF" w:rsidRDefault="008269DF" w:rsidP="008269DF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801 to 1</w:t>
      </w:r>
      <w:r w:rsidR="00DF5994">
        <w:rPr>
          <w:rFonts w:ascii="Arial" w:hAnsi="Arial" w:cs="Arial"/>
        </w:rPr>
        <w:t>,</w:t>
      </w:r>
      <w:r>
        <w:rPr>
          <w:rFonts w:ascii="Arial" w:hAnsi="Arial" w:cs="Arial"/>
        </w:rPr>
        <w:t>200 students: $4</w:t>
      </w:r>
      <w:r w:rsidR="00DF5994">
        <w:rPr>
          <w:rFonts w:ascii="Arial" w:hAnsi="Arial" w:cs="Arial"/>
        </w:rPr>
        <w:t>,</w:t>
      </w:r>
      <w:r>
        <w:rPr>
          <w:rFonts w:ascii="Arial" w:hAnsi="Arial" w:cs="Arial"/>
        </w:rPr>
        <w:t>180</w:t>
      </w:r>
    </w:p>
    <w:p w14:paraId="2F5A5E34" w14:textId="160CF837" w:rsidR="008269DF" w:rsidRPr="00956D87" w:rsidRDefault="008269DF" w:rsidP="008269DF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more than 1</w:t>
      </w:r>
      <w:r w:rsidR="00DF5994">
        <w:rPr>
          <w:rFonts w:ascii="Arial" w:hAnsi="Arial" w:cs="Arial"/>
        </w:rPr>
        <w:t>,</w:t>
      </w:r>
      <w:r>
        <w:rPr>
          <w:rFonts w:ascii="Arial" w:hAnsi="Arial" w:cs="Arial"/>
        </w:rPr>
        <w:t>201 students: $4</w:t>
      </w:r>
      <w:r w:rsidR="00DF5994">
        <w:rPr>
          <w:rFonts w:ascii="Arial" w:hAnsi="Arial" w:cs="Arial"/>
        </w:rPr>
        <w:t>,</w:t>
      </w:r>
      <w:r>
        <w:rPr>
          <w:rFonts w:ascii="Arial" w:hAnsi="Arial" w:cs="Arial"/>
        </w:rPr>
        <w:t>670</w:t>
      </w:r>
    </w:p>
    <w:p w14:paraId="78EC6D28" w14:textId="44B2331D" w:rsidR="00494C14" w:rsidRPr="00301E77" w:rsidRDefault="51FFB96F" w:rsidP="008269DF">
      <w:pPr>
        <w:pStyle w:val="Heading3"/>
      </w:pPr>
      <w:r w:rsidRPr="00DE1C3E">
        <w:t>Repl</w:t>
      </w:r>
      <w:r w:rsidRPr="51FFB96F">
        <w:t>acement cost per unit for subsequent use</w:t>
      </w:r>
      <w:r w:rsidR="00554F67">
        <w:t>:</w:t>
      </w:r>
    </w:p>
    <w:p w14:paraId="071DD081" w14:textId="3AD8EB68" w:rsidR="008269DF" w:rsidRDefault="008269DF" w:rsidP="008269DF">
      <w:pPr>
        <w:pStyle w:val="NoSpacing"/>
        <w:spacing w:after="240"/>
        <w:rPr>
          <w:rFonts w:ascii="Arial" w:hAnsi="Arial" w:cs="Arial"/>
        </w:rPr>
      </w:pPr>
      <w:r w:rsidRPr="008269DF">
        <w:rPr>
          <w:rFonts w:ascii="Arial" w:hAnsi="Arial" w:cs="Arial"/>
        </w:rPr>
        <w:t>Renewals</w:t>
      </w:r>
      <w:r w:rsidR="00DF5994">
        <w:rPr>
          <w:rFonts w:ascii="Arial" w:hAnsi="Arial" w:cs="Arial"/>
        </w:rPr>
        <w:t xml:space="preserve"> beyond year </w:t>
      </w:r>
      <w:r w:rsidR="00527A90">
        <w:rPr>
          <w:rFonts w:ascii="Arial" w:hAnsi="Arial" w:cs="Arial"/>
        </w:rPr>
        <w:t>one</w:t>
      </w:r>
      <w:r w:rsidRPr="008269DF">
        <w:rPr>
          <w:rFonts w:ascii="Arial" w:hAnsi="Arial" w:cs="Arial"/>
        </w:rPr>
        <w:t xml:space="preserve"> will be provided at then-current</w:t>
      </w:r>
      <w:r>
        <w:rPr>
          <w:rFonts w:ascii="Arial" w:hAnsi="Arial" w:cs="Arial"/>
        </w:rPr>
        <w:t xml:space="preserve"> </w:t>
      </w:r>
      <w:r w:rsidRPr="008269DF">
        <w:rPr>
          <w:rFonts w:ascii="Arial" w:hAnsi="Arial" w:cs="Arial"/>
        </w:rPr>
        <w:t>pricing.</w:t>
      </w:r>
    </w:p>
    <w:p w14:paraId="0F5BFA3E" w14:textId="516AEC1F" w:rsidR="00E0102C" w:rsidRPr="00E0102C" w:rsidRDefault="51FFB96F" w:rsidP="008269DF">
      <w:pPr>
        <w:pStyle w:val="Heading3"/>
      </w:pPr>
      <w:r w:rsidRPr="00DE1C3E">
        <w:lastRenderedPageBreak/>
        <w:t>Bas</w:t>
      </w:r>
      <w:r w:rsidRPr="00E0102C">
        <w:t>ic pricing plan and structure:</w:t>
      </w:r>
    </w:p>
    <w:p w14:paraId="2FF13B78" w14:textId="1787CD00" w:rsidR="001A6561" w:rsidRDefault="001A6561" w:rsidP="001A6561">
      <w:pPr>
        <w:pStyle w:val="NoSpacing"/>
        <w:spacing w:after="240"/>
        <w:rPr>
          <w:rFonts w:ascii="Arial" w:hAnsi="Arial" w:cs="Arial"/>
        </w:rPr>
      </w:pPr>
      <w:r w:rsidRPr="001A6561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1A6561">
        <w:rPr>
          <w:rFonts w:ascii="Arial" w:hAnsi="Arial" w:cs="Arial"/>
        </w:rPr>
        <w:t>current price is $8 per student</w:t>
      </w:r>
      <w:r>
        <w:rPr>
          <w:rFonts w:ascii="Arial" w:hAnsi="Arial" w:cs="Arial"/>
        </w:rPr>
        <w:t xml:space="preserve"> and includes </w:t>
      </w:r>
      <w:r>
        <w:rPr>
          <w:rFonts w:ascii="Arial" w:hAnsi="Arial" w:cs="Arial"/>
          <w:i/>
          <w:iCs/>
        </w:rPr>
        <w:t>i</w:t>
      </w:r>
      <w:r w:rsidRPr="001A6561">
        <w:rPr>
          <w:rFonts w:ascii="Arial" w:hAnsi="Arial" w:cs="Arial"/>
          <w:i/>
          <w:iCs/>
        </w:rPr>
        <w:t>-Ready Partners</w:t>
      </w:r>
      <w:r>
        <w:rPr>
          <w:rFonts w:ascii="Arial" w:hAnsi="Arial" w:cs="Arial"/>
        </w:rPr>
        <w:t xml:space="preserve"> Services at no cost during the contract term, unlimited access for authorized users to the </w:t>
      </w:r>
      <w:r w:rsidRPr="009E1548">
        <w:rPr>
          <w:rFonts w:ascii="Arial" w:hAnsi="Arial" w:cs="Arial"/>
          <w:i/>
          <w:iCs/>
        </w:rPr>
        <w:t>i-Ready</w:t>
      </w:r>
      <w:r>
        <w:rPr>
          <w:rFonts w:ascii="Arial" w:hAnsi="Arial" w:cs="Arial"/>
        </w:rPr>
        <w:t xml:space="preserve"> Assessment, and all program maintenance during the active license term.</w:t>
      </w:r>
    </w:p>
    <w:p w14:paraId="1CFD0B6F" w14:textId="0397AE88" w:rsidR="001A6561" w:rsidRDefault="001A6561" w:rsidP="001A6561">
      <w:pPr>
        <w:pStyle w:val="NoSpacing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</w:t>
      </w:r>
      <w:r w:rsidRPr="001A6561">
        <w:rPr>
          <w:rFonts w:ascii="Arial" w:hAnsi="Arial" w:cs="Arial"/>
          <w:i/>
          <w:iCs/>
        </w:rPr>
        <w:t>-Ready Partners</w:t>
      </w:r>
      <w:r>
        <w:rPr>
          <w:rFonts w:ascii="Arial" w:hAnsi="Arial" w:cs="Arial"/>
        </w:rPr>
        <w:t xml:space="preserve"> Services includes:</w:t>
      </w:r>
    </w:p>
    <w:p w14:paraId="7BE9F21A" w14:textId="7B18DB1E" w:rsidR="001A6561" w:rsidRDefault="001A6561" w:rsidP="001A65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Initial implementation Services</w:t>
      </w:r>
    </w:p>
    <w:p w14:paraId="6EAF6ACF" w14:textId="1A9B42A7" w:rsidR="001A6561" w:rsidRDefault="001A6561" w:rsidP="001A65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Partner Success management</w:t>
      </w:r>
    </w:p>
    <w:p w14:paraId="5653BAF6" w14:textId="0F72C319" w:rsidR="001A6561" w:rsidRDefault="001A6561" w:rsidP="001A65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Professional learning coordination</w:t>
      </w:r>
    </w:p>
    <w:p w14:paraId="5AD7BD9B" w14:textId="7A23DC89" w:rsidR="001A6561" w:rsidRDefault="001A6561" w:rsidP="001A6561">
      <w:pPr>
        <w:pStyle w:val="NoSpacing"/>
        <w:numPr>
          <w:ilvl w:val="0"/>
          <w:numId w:val="14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Technical support</w:t>
      </w:r>
    </w:p>
    <w:p w14:paraId="16076586" w14:textId="0DF13E2D" w:rsidR="00E0102C" w:rsidRPr="00E0102C" w:rsidRDefault="51FFB96F" w:rsidP="008269DF">
      <w:pPr>
        <w:pStyle w:val="Heading3"/>
      </w:pPr>
      <w:r w:rsidRPr="00DE1C3E">
        <w:t>Bulk</w:t>
      </w:r>
      <w:r w:rsidRPr="00E0102C">
        <w:t xml:space="preserve"> pricing plan:</w:t>
      </w:r>
    </w:p>
    <w:p w14:paraId="5AB583D1" w14:textId="4594F578" w:rsidR="0060597E" w:rsidRPr="00635192" w:rsidRDefault="000B2F33" w:rsidP="00006836">
      <w:pPr>
        <w:pStyle w:val="NoSpacing"/>
        <w:contextualSpacing/>
        <w:rPr>
          <w:rFonts w:ascii="Arial" w:hAnsi="Arial" w:cs="Arial"/>
        </w:rPr>
      </w:pPr>
      <w:r w:rsidRPr="000B2F33">
        <w:rPr>
          <w:rFonts w:ascii="Arial" w:hAnsi="Arial" w:cs="Arial"/>
        </w:rPr>
        <w:t>Volume Discounts are available for</w:t>
      </w:r>
      <w:r>
        <w:rPr>
          <w:rFonts w:ascii="Arial" w:hAnsi="Arial" w:cs="Arial"/>
        </w:rPr>
        <w:t xml:space="preserve"> qualifying</w:t>
      </w:r>
      <w:r w:rsidRPr="000B2F33">
        <w:rPr>
          <w:rFonts w:ascii="Arial" w:hAnsi="Arial" w:cs="Arial"/>
        </w:rPr>
        <w:t xml:space="preserve"> </w:t>
      </w:r>
      <w:r w:rsidRPr="000B2F33">
        <w:rPr>
          <w:rFonts w:ascii="Arial" w:hAnsi="Arial" w:cs="Arial"/>
          <w:i/>
          <w:iCs/>
        </w:rPr>
        <w:t>i-Ready</w:t>
      </w:r>
      <w:r w:rsidRPr="000B2F33">
        <w:rPr>
          <w:rFonts w:ascii="Arial" w:hAnsi="Arial" w:cs="Arial"/>
        </w:rPr>
        <w:t xml:space="preserve"> purchases. Volume discounts are applied per purchase order.</w:t>
      </w:r>
    </w:p>
    <w:p w14:paraId="03A84FA9" w14:textId="3B84157A" w:rsidR="00DC430B" w:rsidRPr="00635192" w:rsidRDefault="704E6191" w:rsidP="00C401A9">
      <w:pPr>
        <w:pStyle w:val="Heading2"/>
      </w:pPr>
      <w:r w:rsidRPr="00635192">
        <w:t>Administration</w:t>
      </w:r>
    </w:p>
    <w:p w14:paraId="7A383EDC" w14:textId="77777777" w:rsidR="00D011D3" w:rsidRPr="00D011D3" w:rsidRDefault="7B79EF78" w:rsidP="008269DF">
      <w:pPr>
        <w:pStyle w:val="Heading3"/>
      </w:pPr>
      <w:r w:rsidRPr="00D011D3">
        <w:t>Mode</w:t>
      </w:r>
      <w:r w:rsidR="00AE7707" w:rsidRPr="00D011D3">
        <w:t>:</w:t>
      </w:r>
    </w:p>
    <w:p w14:paraId="7F5838CE" w14:textId="7AEB00D0" w:rsidR="00DE6B03" w:rsidRPr="00B60602" w:rsidRDefault="0060597E" w:rsidP="00B60602">
      <w:pPr>
        <w:autoSpaceDE w:val="0"/>
        <w:autoSpaceDN w:val="0"/>
        <w:adjustRightInd w:val="0"/>
        <w:spacing w:after="240"/>
        <w:rPr>
          <w:rFonts w:ascii="Arial" w:eastAsia="ArialMT" w:hAnsi="Arial" w:cs="Arial"/>
          <w:kern w:val="0"/>
        </w:rPr>
      </w:pPr>
      <w:r w:rsidRPr="00DE1C3E">
        <w:rPr>
          <w:rFonts w:ascii="Arial" w:hAnsi="Arial" w:cs="Arial"/>
        </w:rPr>
        <w:t>Digita</w:t>
      </w:r>
      <w:r w:rsidR="00E41ED6" w:rsidRPr="00DE1C3E">
        <w:rPr>
          <w:rFonts w:ascii="Arial" w:hAnsi="Arial" w:cs="Arial"/>
        </w:rPr>
        <w:t>l</w:t>
      </w:r>
      <w:r w:rsidR="00E41ED6">
        <w:rPr>
          <w:rFonts w:ascii="Arial" w:eastAsia="ArialMT" w:hAnsi="Arial" w:cs="Arial"/>
          <w:kern w:val="0"/>
        </w:rPr>
        <w:t>, with some tasks also available as PDFs</w:t>
      </w:r>
    </w:p>
    <w:p w14:paraId="7E78A97F" w14:textId="248B1BCF" w:rsidR="00D011D3" w:rsidRPr="00D011D3" w:rsidRDefault="51FFB96F" w:rsidP="008269DF">
      <w:pPr>
        <w:pStyle w:val="Heading3"/>
      </w:pPr>
      <w:r w:rsidRPr="00D011D3">
        <w:t>Required technology:</w:t>
      </w:r>
    </w:p>
    <w:p w14:paraId="27D2C0C0" w14:textId="49FF9601" w:rsidR="000A52C4" w:rsidRPr="00B60602" w:rsidRDefault="00E41ED6" w:rsidP="00B60602">
      <w:pPr>
        <w:pStyle w:val="NoSpacing"/>
        <w:spacing w:after="240"/>
        <w:rPr>
          <w:rFonts w:ascii="Arial" w:hAnsi="Arial" w:cs="Arial"/>
        </w:rPr>
      </w:pPr>
      <w:r w:rsidRPr="00DE1C3E">
        <w:rPr>
          <w:rFonts w:ascii="Arial" w:hAnsi="Arial" w:cs="Arial"/>
        </w:rPr>
        <w:t>Comput</w:t>
      </w:r>
      <w:r>
        <w:rPr>
          <w:rFonts w:ascii="Arial" w:hAnsi="Arial" w:cs="Arial"/>
        </w:rPr>
        <w:t>er, t</w:t>
      </w:r>
      <w:r w:rsidR="51FFB96F" w:rsidRPr="51FFB96F">
        <w:rPr>
          <w:rFonts w:ascii="Arial" w:hAnsi="Arial" w:cs="Arial"/>
        </w:rPr>
        <w:t>ablet, internet connection</w:t>
      </w:r>
    </w:p>
    <w:p w14:paraId="46E9F5F9" w14:textId="3B11A317" w:rsidR="004B7F2D" w:rsidRPr="00D011D3" w:rsidRDefault="51FFB96F" w:rsidP="008269DF">
      <w:pPr>
        <w:pStyle w:val="Heading3"/>
      </w:pPr>
      <w:r w:rsidRPr="00DE1C3E">
        <w:t>Admi</w:t>
      </w:r>
      <w:r w:rsidRPr="00D011D3">
        <w:t>nistration time in minutes:</w:t>
      </w:r>
    </w:p>
    <w:p w14:paraId="5B41CBD2" w14:textId="680F6F72" w:rsidR="00AE7707" w:rsidRPr="00FA108C" w:rsidRDefault="00AE7707" w:rsidP="00FA108C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B60602">
        <w:rPr>
          <w:rFonts w:ascii="Arial" w:hAnsi="Arial" w:cs="Arial"/>
        </w:rPr>
        <w:t xml:space="preserve">Kindergarten: </w:t>
      </w:r>
      <w:r w:rsidR="007E41AA">
        <w:rPr>
          <w:rFonts w:ascii="Arial" w:hAnsi="Arial" w:cs="Arial"/>
        </w:rPr>
        <w:t>20</w:t>
      </w:r>
      <w:r w:rsidR="00FA108C" w:rsidRPr="00FA108C">
        <w:rPr>
          <w:rFonts w:ascii="Arial" w:hAnsi="Arial" w:cs="Arial"/>
        </w:rPr>
        <w:t xml:space="preserve"> to </w:t>
      </w:r>
      <w:r w:rsidR="007E41AA">
        <w:rPr>
          <w:rFonts w:ascii="Arial" w:hAnsi="Arial" w:cs="Arial"/>
        </w:rPr>
        <w:t>50</w:t>
      </w:r>
      <w:r w:rsidR="00FA108C" w:rsidRPr="00FA108C">
        <w:rPr>
          <w:rFonts w:ascii="Arial" w:hAnsi="Arial" w:cs="Arial"/>
        </w:rPr>
        <w:t xml:space="preserve"> minutes</w:t>
      </w:r>
    </w:p>
    <w:p w14:paraId="47FF41A5" w14:textId="7F720918" w:rsidR="00AE7707" w:rsidRPr="00FA108C" w:rsidRDefault="00B60602" w:rsidP="00FA108C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Grade one</w:t>
      </w:r>
      <w:r w:rsidR="00AE7707" w:rsidRPr="00B60602">
        <w:rPr>
          <w:rFonts w:ascii="Arial" w:hAnsi="Arial" w:cs="Arial"/>
        </w:rPr>
        <w:t xml:space="preserve">: </w:t>
      </w:r>
      <w:r w:rsidR="007E41AA">
        <w:rPr>
          <w:rFonts w:ascii="Arial" w:hAnsi="Arial" w:cs="Arial"/>
        </w:rPr>
        <w:t>20</w:t>
      </w:r>
      <w:r w:rsidR="00FA108C" w:rsidRPr="00FA108C">
        <w:rPr>
          <w:rFonts w:ascii="Arial" w:hAnsi="Arial" w:cs="Arial"/>
        </w:rPr>
        <w:t xml:space="preserve"> to </w:t>
      </w:r>
      <w:r w:rsidR="007E41AA">
        <w:rPr>
          <w:rFonts w:ascii="Arial" w:hAnsi="Arial" w:cs="Arial"/>
        </w:rPr>
        <w:t>50</w:t>
      </w:r>
      <w:r w:rsidR="00FA108C" w:rsidRPr="00FA108C">
        <w:rPr>
          <w:rFonts w:ascii="Arial" w:hAnsi="Arial" w:cs="Arial"/>
        </w:rPr>
        <w:t xml:space="preserve"> minutes</w:t>
      </w:r>
    </w:p>
    <w:p w14:paraId="3ECDC6CD" w14:textId="7F6EE797" w:rsidR="000A52C4" w:rsidRPr="00FA108C" w:rsidRDefault="00B60602" w:rsidP="00FA108C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Grade two</w:t>
      </w:r>
      <w:r w:rsidR="00C65D7A" w:rsidRPr="00B60602">
        <w:rPr>
          <w:rFonts w:ascii="Arial" w:hAnsi="Arial" w:cs="Arial"/>
        </w:rPr>
        <w:t>:</w:t>
      </w:r>
      <w:r w:rsidR="00C65D7A" w:rsidRPr="005069E4">
        <w:rPr>
          <w:rFonts w:ascii="Arial" w:hAnsi="Arial" w:cs="Arial"/>
        </w:rPr>
        <w:t xml:space="preserve"> </w:t>
      </w:r>
      <w:r w:rsidR="007E41AA">
        <w:rPr>
          <w:rFonts w:ascii="Arial" w:hAnsi="Arial" w:cs="Arial"/>
        </w:rPr>
        <w:t>40</w:t>
      </w:r>
      <w:r w:rsidR="00947046">
        <w:rPr>
          <w:rFonts w:ascii="Arial" w:hAnsi="Arial" w:cs="Arial"/>
        </w:rPr>
        <w:t xml:space="preserve"> to </w:t>
      </w:r>
      <w:r w:rsidR="007E41AA">
        <w:rPr>
          <w:rFonts w:ascii="Arial" w:hAnsi="Arial" w:cs="Arial"/>
        </w:rPr>
        <w:t>50</w:t>
      </w:r>
      <w:r w:rsidR="00FA108C">
        <w:rPr>
          <w:rFonts w:ascii="Arial" w:hAnsi="Arial" w:cs="Arial"/>
        </w:rPr>
        <w:t xml:space="preserve"> minutes</w:t>
      </w:r>
    </w:p>
    <w:p w14:paraId="3E961123" w14:textId="454ED49E" w:rsidR="004D3CD1" w:rsidRPr="00635192" w:rsidRDefault="004D3CD1" w:rsidP="00C401A9">
      <w:pPr>
        <w:pStyle w:val="Heading2"/>
      </w:pPr>
      <w:r w:rsidRPr="00635192">
        <w:t>Training</w:t>
      </w:r>
    </w:p>
    <w:p w14:paraId="4CA5963D" w14:textId="05E4E5F4" w:rsidR="00E0102C" w:rsidRPr="00E0102C" w:rsidRDefault="2DA40B8D" w:rsidP="008269DF">
      <w:pPr>
        <w:pStyle w:val="Heading3"/>
      </w:pPr>
      <w:r w:rsidRPr="00E0102C">
        <w:t xml:space="preserve">Time required for </w:t>
      </w:r>
      <w:proofErr w:type="gramStart"/>
      <w:r w:rsidR="0060597E" w:rsidRPr="00E0102C">
        <w:t>screener</w:t>
      </w:r>
      <w:proofErr w:type="gramEnd"/>
      <w:r w:rsidR="0060597E" w:rsidRPr="00E0102C">
        <w:t xml:space="preserve"> </w:t>
      </w:r>
      <w:r w:rsidRPr="00E0102C">
        <w:t>administrator training:</w:t>
      </w:r>
    </w:p>
    <w:p w14:paraId="6E1983ED" w14:textId="263BAF73" w:rsidR="00C65D7A" w:rsidRPr="00A87473" w:rsidRDefault="00554F67" w:rsidP="00A87473">
      <w:pPr>
        <w:autoSpaceDE w:val="0"/>
        <w:autoSpaceDN w:val="0"/>
        <w:adjustRightInd w:val="0"/>
        <w:spacing w:after="240"/>
        <w:rPr>
          <w:rFonts w:ascii="Arial" w:eastAsia="ArialMT" w:hAnsi="Arial" w:cs="Arial"/>
          <w:kern w:val="0"/>
        </w:rPr>
      </w:pPr>
      <w:r>
        <w:rPr>
          <w:rFonts w:ascii="Arial" w:eastAsia="ArialMT" w:hAnsi="Arial" w:cs="Arial"/>
          <w:kern w:val="0"/>
        </w:rPr>
        <w:t>Two training sessions are recommended</w:t>
      </w:r>
      <w:r w:rsidR="00DB4268">
        <w:rPr>
          <w:rFonts w:ascii="Arial" w:eastAsia="ArialMT" w:hAnsi="Arial" w:cs="Arial"/>
          <w:kern w:val="0"/>
        </w:rPr>
        <w:t>.</w:t>
      </w:r>
      <w:r w:rsidR="00FA108C">
        <w:rPr>
          <w:rFonts w:ascii="Arial" w:eastAsia="ArialMT" w:hAnsi="Arial" w:cs="Arial"/>
          <w:kern w:val="0"/>
        </w:rPr>
        <w:t xml:space="preserve"> Courses typically range from </w:t>
      </w:r>
      <w:r w:rsidR="007E41AA">
        <w:rPr>
          <w:rFonts w:ascii="Arial" w:eastAsia="ArialMT" w:hAnsi="Arial" w:cs="Arial"/>
          <w:kern w:val="0"/>
        </w:rPr>
        <w:t>90</w:t>
      </w:r>
      <w:r w:rsidR="00FA108C">
        <w:rPr>
          <w:rFonts w:ascii="Arial" w:eastAsia="ArialMT" w:hAnsi="Arial" w:cs="Arial"/>
          <w:kern w:val="0"/>
        </w:rPr>
        <w:t xml:space="preserve"> minutes to three hours.</w:t>
      </w:r>
    </w:p>
    <w:p w14:paraId="05B2A531" w14:textId="39566F93" w:rsidR="00E0102C" w:rsidRPr="00E0102C" w:rsidRDefault="004B7F2D" w:rsidP="008269DF">
      <w:pPr>
        <w:pStyle w:val="Heading3"/>
      </w:pPr>
      <w:r w:rsidRPr="00DE1C3E">
        <w:t>Type</w:t>
      </w:r>
      <w:r w:rsidR="75573527" w:rsidRPr="00E0102C">
        <w:t xml:space="preserve"> of training available for </w:t>
      </w:r>
      <w:proofErr w:type="gramStart"/>
      <w:r w:rsidR="00B46D10" w:rsidRPr="00E0102C">
        <w:t>screener</w:t>
      </w:r>
      <w:proofErr w:type="gramEnd"/>
      <w:r w:rsidR="00B46D10" w:rsidRPr="00E0102C">
        <w:t xml:space="preserve"> </w:t>
      </w:r>
      <w:r w:rsidR="75573527" w:rsidRPr="00E0102C">
        <w:t>administration of the instrument</w:t>
      </w:r>
      <w:r w:rsidR="00943E6C" w:rsidRPr="00E0102C">
        <w:t>:</w:t>
      </w:r>
    </w:p>
    <w:p w14:paraId="4FC73ADA" w14:textId="47380166" w:rsidR="00463CE6" w:rsidRPr="00FA108C" w:rsidRDefault="0010721D" w:rsidP="0010721D">
      <w:pPr>
        <w:autoSpaceDE w:val="0"/>
        <w:autoSpaceDN w:val="0"/>
        <w:adjustRightInd w:val="0"/>
        <w:spacing w:after="240"/>
      </w:pPr>
      <w:r w:rsidRPr="0010721D">
        <w:rPr>
          <w:rFonts w:ascii="Arial" w:eastAsia="ArialMT" w:hAnsi="Arial" w:cs="Arial"/>
          <w:kern w:val="0"/>
        </w:rPr>
        <w:t xml:space="preserve">Curriculum Associates partners with </w:t>
      </w:r>
      <w:r w:rsidR="00D7392A">
        <w:rPr>
          <w:rFonts w:ascii="Arial" w:eastAsia="ArialMT" w:hAnsi="Arial" w:cs="Arial"/>
          <w:kern w:val="0"/>
        </w:rPr>
        <w:t>local educational agencies (</w:t>
      </w:r>
      <w:r w:rsidRPr="0010721D">
        <w:rPr>
          <w:rFonts w:ascii="Arial" w:eastAsia="ArialMT" w:hAnsi="Arial" w:cs="Arial"/>
          <w:kern w:val="0"/>
        </w:rPr>
        <w:t>LEAs</w:t>
      </w:r>
      <w:r w:rsidR="00D7392A">
        <w:rPr>
          <w:rFonts w:ascii="Arial" w:eastAsia="ArialMT" w:hAnsi="Arial" w:cs="Arial"/>
          <w:kern w:val="0"/>
        </w:rPr>
        <w:t>)</w:t>
      </w:r>
      <w:r w:rsidRPr="0010721D">
        <w:rPr>
          <w:rFonts w:ascii="Arial" w:eastAsia="ArialMT" w:hAnsi="Arial" w:cs="Arial"/>
          <w:kern w:val="0"/>
        </w:rPr>
        <w:t xml:space="preserve"> to offer sustained in-person or virtual courses</w:t>
      </w:r>
      <w:r w:rsidR="00FA108C">
        <w:rPr>
          <w:rFonts w:ascii="Arial" w:eastAsia="ArialMT" w:hAnsi="Arial" w:cs="Arial"/>
          <w:kern w:val="0"/>
        </w:rPr>
        <w:t xml:space="preserve">, which can be delivered onsite or remotely. Several online vehicles are also available to users 24/7, including Online Educator Learning (OEL), Collaborative Learning Extensions (CLEs), and an embedded Help System. California educators can also access curated resources via the </w:t>
      </w:r>
      <w:r w:rsidR="00FA108C">
        <w:rPr>
          <w:rFonts w:ascii="Arial" w:eastAsia="ArialMT" w:hAnsi="Arial" w:cs="Arial"/>
          <w:i/>
          <w:iCs/>
          <w:kern w:val="0"/>
        </w:rPr>
        <w:t>i-Ready Central</w:t>
      </w:r>
      <w:r w:rsidR="00FA108C" w:rsidRPr="00FA108C">
        <w:rPr>
          <w:rFonts w:ascii="Arial" w:eastAsia="ArialMT" w:hAnsi="Arial" w:cs="Arial"/>
          <w:kern w:val="0"/>
        </w:rPr>
        <w:t xml:space="preserve"> support website.</w:t>
      </w:r>
    </w:p>
    <w:p w14:paraId="1A4B9145" w14:textId="7C07C62E" w:rsidR="00200CB3" w:rsidRDefault="51FFB96F" w:rsidP="00695FDA">
      <w:pPr>
        <w:pStyle w:val="NoSpacing"/>
        <w:rPr>
          <w:rFonts w:ascii="Arial" w:hAnsi="Arial" w:cs="Arial"/>
        </w:rPr>
      </w:pPr>
      <w:r w:rsidRPr="00DE1C3E">
        <w:rPr>
          <w:rStyle w:val="Heading3Char"/>
        </w:rPr>
        <w:t>Cos</w:t>
      </w:r>
      <w:r w:rsidRPr="00E0102C">
        <w:rPr>
          <w:rStyle w:val="Heading3Char"/>
        </w:rPr>
        <w:t>t required for training</w:t>
      </w:r>
      <w:r w:rsidRPr="51FFB96F">
        <w:rPr>
          <w:rFonts w:ascii="Arial" w:hAnsi="Arial" w:cs="Arial"/>
        </w:rPr>
        <w:t>:</w:t>
      </w:r>
    </w:p>
    <w:p w14:paraId="682F4E58" w14:textId="1190C9D6" w:rsidR="00DF5994" w:rsidRDefault="00DF5994" w:rsidP="00DF5994">
      <w:pPr>
        <w:pStyle w:val="NoSpacing"/>
        <w:spacing w:after="24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95FDA">
        <w:rPr>
          <w:rFonts w:ascii="Arial" w:hAnsi="Arial" w:cs="Arial"/>
        </w:rPr>
        <w:t xml:space="preserve">n-site </w:t>
      </w:r>
      <w:r>
        <w:rPr>
          <w:rFonts w:ascii="Arial" w:hAnsi="Arial" w:cs="Arial"/>
        </w:rPr>
        <w:t xml:space="preserve">and virtual live </w:t>
      </w:r>
      <w:r w:rsidR="00695FDA">
        <w:rPr>
          <w:rFonts w:ascii="Arial" w:hAnsi="Arial" w:cs="Arial"/>
        </w:rPr>
        <w:t>professional learning is $2</w:t>
      </w:r>
      <w:r>
        <w:rPr>
          <w:rFonts w:ascii="Arial" w:hAnsi="Arial" w:cs="Arial"/>
        </w:rPr>
        <w:t>,</w:t>
      </w:r>
      <w:r w:rsidR="00695FDA">
        <w:rPr>
          <w:rFonts w:ascii="Arial" w:hAnsi="Arial" w:cs="Arial"/>
        </w:rPr>
        <w:t xml:space="preserve">300 per day </w:t>
      </w:r>
      <w:r>
        <w:rPr>
          <w:rFonts w:ascii="Arial" w:hAnsi="Arial" w:cs="Arial"/>
        </w:rPr>
        <w:t>and include</w:t>
      </w:r>
      <w:r w:rsidR="001E040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one consultant to support educators onsite </w:t>
      </w:r>
      <w:r w:rsidR="00695FDA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up to </w:t>
      </w:r>
      <w:r w:rsidR="00695FDA">
        <w:rPr>
          <w:rFonts w:ascii="Arial" w:hAnsi="Arial" w:cs="Arial"/>
        </w:rPr>
        <w:t xml:space="preserve">six hours; attendance is limited to </w:t>
      </w:r>
      <w:r w:rsidR="00D7392A">
        <w:rPr>
          <w:rFonts w:ascii="Arial" w:hAnsi="Arial" w:cs="Arial"/>
        </w:rPr>
        <w:t>30</w:t>
      </w:r>
      <w:r w:rsidR="00695FDA">
        <w:rPr>
          <w:rFonts w:ascii="Arial" w:hAnsi="Arial" w:cs="Arial"/>
        </w:rPr>
        <w:t xml:space="preserve"> participants at a time.</w:t>
      </w:r>
    </w:p>
    <w:p w14:paraId="0A6719CF" w14:textId="18A7608A" w:rsidR="00695FDA" w:rsidRDefault="00695FDA" w:rsidP="00DF5994">
      <w:pPr>
        <w:pStyle w:val="NoSpacing"/>
        <w:spacing w:after="240"/>
        <w:rPr>
          <w:rFonts w:ascii="Arial" w:hAnsi="Arial" w:cs="Arial"/>
        </w:rPr>
      </w:pPr>
      <w:r>
        <w:rPr>
          <w:rFonts w:ascii="Arial" w:hAnsi="Arial" w:cs="Arial"/>
        </w:rPr>
        <w:t>LEAs who implement the minimum recommended professional learning requirement for three or more schools receive a free centralized leadership session of up to three hours.</w:t>
      </w:r>
    </w:p>
    <w:p w14:paraId="3173C6F8" w14:textId="4B0E0C71" w:rsidR="004D3CD1" w:rsidRPr="00635192" w:rsidRDefault="004D3CD1" w:rsidP="00C401A9">
      <w:pPr>
        <w:pStyle w:val="Heading2"/>
      </w:pPr>
      <w:r w:rsidRPr="00635192">
        <w:lastRenderedPageBreak/>
        <w:t>Scoring</w:t>
      </w:r>
    </w:p>
    <w:p w14:paraId="08702C39" w14:textId="46350B85" w:rsidR="00E0102C" w:rsidRPr="00E0102C" w:rsidRDefault="51FFB96F" w:rsidP="008269DF">
      <w:pPr>
        <w:pStyle w:val="Heading3"/>
      </w:pPr>
      <w:r w:rsidRPr="00E0102C">
        <w:t>Scores are calculated:</w:t>
      </w:r>
    </w:p>
    <w:p w14:paraId="70150BDC" w14:textId="31062C9E" w:rsidR="0059733D" w:rsidRPr="00A87473" w:rsidRDefault="0018268D" w:rsidP="00A87473">
      <w:pPr>
        <w:pStyle w:val="NoSpacing"/>
        <w:spacing w:after="240"/>
        <w:rPr>
          <w:rFonts w:ascii="Arial" w:hAnsi="Arial" w:cs="Arial"/>
        </w:rPr>
      </w:pPr>
      <w:r w:rsidRPr="00DE1C3E">
        <w:rPr>
          <w:rFonts w:ascii="Arial" w:hAnsi="Arial" w:cs="Arial"/>
        </w:rPr>
        <w:t>A</w:t>
      </w:r>
      <w:r w:rsidR="51FFB96F" w:rsidRPr="00DE1C3E">
        <w:rPr>
          <w:rFonts w:ascii="Arial" w:hAnsi="Arial" w:cs="Arial"/>
        </w:rPr>
        <w:t>utom</w:t>
      </w:r>
      <w:r w:rsidR="51FFB96F" w:rsidRPr="51FFB96F">
        <w:rPr>
          <w:rFonts w:ascii="Arial" w:hAnsi="Arial" w:cs="Arial"/>
        </w:rPr>
        <w:t>atically (computer-scored)</w:t>
      </w:r>
      <w:r>
        <w:rPr>
          <w:rFonts w:ascii="Arial" w:hAnsi="Arial" w:cs="Arial"/>
        </w:rPr>
        <w:t xml:space="preserve"> </w:t>
      </w:r>
      <w:r w:rsidR="00554F67">
        <w:rPr>
          <w:rFonts w:ascii="Arial" w:hAnsi="Arial" w:cs="Arial"/>
        </w:rPr>
        <w:t xml:space="preserve">for most components; </w:t>
      </w:r>
      <w:r w:rsidR="001E040C">
        <w:rPr>
          <w:rFonts w:ascii="Arial" w:hAnsi="Arial" w:cs="Arial"/>
        </w:rPr>
        <w:t>t</w:t>
      </w:r>
      <w:r w:rsidR="00554F67">
        <w:rPr>
          <w:rFonts w:ascii="Arial" w:hAnsi="Arial" w:cs="Arial"/>
        </w:rPr>
        <w:t>eacher scored for some components.</w:t>
      </w:r>
    </w:p>
    <w:p w14:paraId="5DF28A38" w14:textId="514ABCE2" w:rsidR="00E0102C" w:rsidRPr="00E0102C" w:rsidRDefault="51FFB96F" w:rsidP="008269DF">
      <w:pPr>
        <w:pStyle w:val="Heading3"/>
      </w:pPr>
      <w:r w:rsidRPr="00E0102C">
        <w:t>Scoring time in minutes:</w:t>
      </w:r>
    </w:p>
    <w:p w14:paraId="54716A43" w14:textId="616A2B0E" w:rsidR="0018268D" w:rsidRPr="00A87473" w:rsidRDefault="0018268D" w:rsidP="0018268D">
      <w:pPr>
        <w:pStyle w:val="NoSpacing"/>
        <w:spacing w:after="240"/>
        <w:rPr>
          <w:rFonts w:ascii="Arial" w:hAnsi="Arial" w:cs="Arial"/>
        </w:rPr>
      </w:pPr>
      <w:r w:rsidRPr="00DE1C3E">
        <w:rPr>
          <w:rFonts w:ascii="Arial" w:hAnsi="Arial" w:cs="Arial"/>
        </w:rPr>
        <w:t>Autom</w:t>
      </w:r>
      <w:r w:rsidRPr="51FFB96F">
        <w:rPr>
          <w:rFonts w:ascii="Arial" w:hAnsi="Arial" w:cs="Arial"/>
        </w:rPr>
        <w:t>atically (computer-scored)</w:t>
      </w:r>
      <w:r>
        <w:rPr>
          <w:rFonts w:ascii="Arial" w:hAnsi="Arial" w:cs="Arial"/>
        </w:rPr>
        <w:t xml:space="preserve"> </w:t>
      </w:r>
      <w:r w:rsidR="00554F67">
        <w:rPr>
          <w:rFonts w:ascii="Arial" w:hAnsi="Arial" w:cs="Arial"/>
        </w:rPr>
        <w:t xml:space="preserve">immediately; </w:t>
      </w:r>
      <w:r>
        <w:rPr>
          <w:rFonts w:ascii="Arial" w:hAnsi="Arial" w:cs="Arial"/>
        </w:rPr>
        <w:t xml:space="preserve">teacher scored </w:t>
      </w:r>
      <w:r w:rsidR="00554F67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uploaded in</w:t>
      </w:r>
      <w:r w:rsidR="00554F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minutes.</w:t>
      </w:r>
    </w:p>
    <w:p w14:paraId="68918C25" w14:textId="301BEAAC" w:rsidR="004D3CD1" w:rsidRPr="00635192" w:rsidRDefault="004D3CD1" w:rsidP="00C401A9">
      <w:pPr>
        <w:pStyle w:val="Heading2"/>
      </w:pPr>
      <w:r w:rsidRPr="00635192">
        <w:t>Communication and Resources</w:t>
      </w:r>
    </w:p>
    <w:p w14:paraId="476F4A71" w14:textId="54EA7872" w:rsidR="00C65D7A" w:rsidRPr="00D9130E" w:rsidRDefault="3FEEF1C1" w:rsidP="008269DF">
      <w:pPr>
        <w:pStyle w:val="Heading3"/>
      </w:pPr>
      <w:r w:rsidRPr="00DE1C3E">
        <w:t>Type</w:t>
      </w:r>
      <w:r w:rsidRPr="00D9130E">
        <w:t xml:space="preserve">s of resources available for educators, </w:t>
      </w:r>
      <w:proofErr w:type="gramStart"/>
      <w:r w:rsidRPr="00D9130E">
        <w:t>screener</w:t>
      </w:r>
      <w:proofErr w:type="gramEnd"/>
      <w:r w:rsidRPr="00D9130E">
        <w:t xml:space="preserve"> administrators, and families:</w:t>
      </w:r>
    </w:p>
    <w:p w14:paraId="7436BBC0" w14:textId="76C0CB24" w:rsidR="007526FC" w:rsidRDefault="007526FC" w:rsidP="007526FC">
      <w:pPr>
        <w:pStyle w:val="NoSpacing"/>
        <w:spacing w:after="240"/>
        <w:rPr>
          <w:rFonts w:ascii="Arial" w:hAnsi="Arial" w:cs="Arial"/>
        </w:rPr>
      </w:pPr>
      <w:r w:rsidRPr="001A6561">
        <w:rPr>
          <w:rFonts w:ascii="Arial" w:hAnsi="Arial" w:cs="Arial"/>
        </w:rPr>
        <w:t>The</w:t>
      </w:r>
      <w:r w:rsidRPr="005E6EA5">
        <w:rPr>
          <w:rFonts w:ascii="Arial" w:hAnsi="Arial" w:cs="Arial"/>
        </w:rPr>
        <w:t xml:space="preserve"> </w:t>
      </w:r>
      <w:r w:rsidRPr="007526FC">
        <w:rPr>
          <w:rFonts w:ascii="Arial" w:hAnsi="Arial" w:cs="Arial"/>
          <w:i/>
          <w:iCs/>
        </w:rPr>
        <w:t>i-Ready</w:t>
      </w:r>
      <w:r w:rsidRPr="005E6EA5">
        <w:rPr>
          <w:rFonts w:ascii="Arial" w:hAnsi="Arial" w:cs="Arial"/>
        </w:rPr>
        <w:t xml:space="preserve"> OEL platform provides several courses to help educators use different aspects</w:t>
      </w:r>
      <w:r>
        <w:rPr>
          <w:rFonts w:ascii="Arial" w:hAnsi="Arial" w:cs="Arial"/>
        </w:rPr>
        <w:t xml:space="preserve"> </w:t>
      </w:r>
      <w:r w:rsidRPr="005E6EA5">
        <w:rPr>
          <w:rFonts w:ascii="Arial" w:hAnsi="Arial" w:cs="Arial"/>
        </w:rPr>
        <w:t xml:space="preserve">of </w:t>
      </w:r>
      <w:r w:rsidRPr="00515A45">
        <w:rPr>
          <w:rFonts w:ascii="Arial" w:hAnsi="Arial" w:cs="Arial"/>
          <w:i/>
          <w:iCs/>
        </w:rPr>
        <w:t>i-Ready</w:t>
      </w:r>
      <w:r w:rsidRPr="005E6EA5">
        <w:rPr>
          <w:rFonts w:ascii="Arial" w:hAnsi="Arial" w:cs="Arial"/>
        </w:rPr>
        <w:t xml:space="preserve">, including administering the </w:t>
      </w:r>
      <w:r w:rsidRPr="007526FC">
        <w:rPr>
          <w:rFonts w:ascii="Arial" w:hAnsi="Arial" w:cs="Arial"/>
          <w:i/>
          <w:iCs/>
        </w:rPr>
        <w:t>Diagnostic</w:t>
      </w:r>
      <w:r w:rsidRPr="005E6EA5">
        <w:rPr>
          <w:rFonts w:ascii="Arial" w:hAnsi="Arial" w:cs="Arial"/>
        </w:rPr>
        <w:t xml:space="preserve">, and scoring </w:t>
      </w:r>
      <w:r w:rsidRPr="007526FC">
        <w:rPr>
          <w:rFonts w:ascii="Arial" w:hAnsi="Arial" w:cs="Arial"/>
          <w:i/>
          <w:iCs/>
        </w:rPr>
        <w:t>i-Ready Literacy Tasks</w:t>
      </w:r>
      <w:r>
        <w:rPr>
          <w:rFonts w:ascii="Arial" w:hAnsi="Arial" w:cs="Arial"/>
        </w:rPr>
        <w:t>.</w:t>
      </w:r>
    </w:p>
    <w:p w14:paraId="06027757" w14:textId="77777777" w:rsidR="00BE7315" w:rsidRDefault="00BE7315" w:rsidP="00BE7315">
      <w:pPr>
        <w:pStyle w:val="NoSpacing"/>
        <w:rPr>
          <w:rFonts w:ascii="Arial" w:hAnsi="Arial" w:cs="Arial"/>
        </w:rPr>
      </w:pPr>
      <w:r w:rsidRPr="00440011">
        <w:rPr>
          <w:rFonts w:ascii="Arial" w:hAnsi="Arial" w:cs="Arial"/>
          <w:i/>
          <w:iCs/>
        </w:rPr>
        <w:t>Diagnostic</w:t>
      </w:r>
      <w:r w:rsidRPr="00440011">
        <w:rPr>
          <w:rFonts w:ascii="Arial" w:hAnsi="Arial" w:cs="Arial"/>
        </w:rPr>
        <w:t>-related courses</w:t>
      </w:r>
      <w:r>
        <w:rPr>
          <w:rFonts w:ascii="Arial" w:hAnsi="Arial" w:cs="Arial"/>
        </w:rPr>
        <w:t xml:space="preserve"> include:</w:t>
      </w:r>
    </w:p>
    <w:p w14:paraId="27A90665" w14:textId="77777777" w:rsidR="00BE7315" w:rsidRDefault="00BE7315" w:rsidP="00BE7315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Welcome to </w:t>
      </w:r>
      <w:r w:rsidRPr="007526FC">
        <w:rPr>
          <w:rFonts w:ascii="Arial" w:hAnsi="Arial" w:cs="Arial"/>
          <w:i/>
          <w:iCs/>
        </w:rPr>
        <w:t>i-Ready</w:t>
      </w:r>
    </w:p>
    <w:p w14:paraId="1A67169A" w14:textId="77777777" w:rsidR="00BE7315" w:rsidRPr="00440011" w:rsidRDefault="00BE7315" w:rsidP="00BE7315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Administer the </w:t>
      </w:r>
      <w:r w:rsidRPr="00440011">
        <w:rPr>
          <w:rFonts w:ascii="Arial" w:hAnsi="Arial" w:cs="Arial"/>
          <w:i/>
          <w:iCs/>
        </w:rPr>
        <w:t>Diagnostic</w:t>
      </w:r>
    </w:p>
    <w:p w14:paraId="7FDAD77A" w14:textId="77777777" w:rsidR="00BE7315" w:rsidRDefault="00BE7315" w:rsidP="00BE7315">
      <w:pPr>
        <w:pStyle w:val="NoSpacing"/>
        <w:numPr>
          <w:ilvl w:val="0"/>
          <w:numId w:val="12"/>
        </w:numPr>
        <w:spacing w:after="240"/>
        <w:rPr>
          <w:rFonts w:ascii="Arial" w:hAnsi="Arial" w:cs="Arial"/>
        </w:rPr>
      </w:pPr>
      <w:r w:rsidRPr="00440011">
        <w:rPr>
          <w:rFonts w:ascii="Arial" w:hAnsi="Arial" w:cs="Arial"/>
        </w:rPr>
        <w:t>Introduction to</w:t>
      </w:r>
      <w:r>
        <w:rPr>
          <w:rFonts w:ascii="Arial" w:hAnsi="Arial" w:cs="Arial"/>
          <w:i/>
          <w:iCs/>
        </w:rPr>
        <w:t xml:space="preserve"> Diagnostic </w:t>
      </w:r>
      <w:r w:rsidRPr="00440011">
        <w:rPr>
          <w:rFonts w:ascii="Arial" w:hAnsi="Arial" w:cs="Arial"/>
        </w:rPr>
        <w:t>Results</w:t>
      </w:r>
    </w:p>
    <w:p w14:paraId="098952BE" w14:textId="77777777" w:rsidR="00BE7315" w:rsidRDefault="00BE7315" w:rsidP="00BE7315">
      <w:pPr>
        <w:pStyle w:val="NoSpacing"/>
        <w:rPr>
          <w:rFonts w:ascii="Arial" w:hAnsi="Arial" w:cs="Arial"/>
        </w:rPr>
      </w:pPr>
      <w:r w:rsidRPr="00440011">
        <w:rPr>
          <w:rFonts w:ascii="Arial" w:hAnsi="Arial" w:cs="Arial"/>
          <w:i/>
          <w:iCs/>
        </w:rPr>
        <w:t>Literacy Tasks</w:t>
      </w:r>
      <w:r w:rsidRPr="00440011">
        <w:rPr>
          <w:rFonts w:ascii="Arial" w:hAnsi="Arial" w:cs="Arial"/>
        </w:rPr>
        <w:t xml:space="preserve"> courses</w:t>
      </w:r>
      <w:r>
        <w:rPr>
          <w:rFonts w:ascii="Arial" w:hAnsi="Arial" w:cs="Arial"/>
        </w:rPr>
        <w:t xml:space="preserve"> include:</w:t>
      </w:r>
    </w:p>
    <w:p w14:paraId="7437FA65" w14:textId="77777777" w:rsidR="00BE7315" w:rsidRDefault="00BE7315" w:rsidP="00BE7315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440011">
        <w:rPr>
          <w:rFonts w:ascii="Arial" w:hAnsi="Arial" w:cs="Arial"/>
          <w:i/>
          <w:iCs/>
        </w:rPr>
        <w:t>i-Ready Literacy Tasks</w:t>
      </w:r>
      <w:r>
        <w:rPr>
          <w:rFonts w:ascii="Arial" w:hAnsi="Arial" w:cs="Arial"/>
        </w:rPr>
        <w:t xml:space="preserve"> Administration and Scoring</w:t>
      </w:r>
    </w:p>
    <w:p w14:paraId="228DD773" w14:textId="77777777" w:rsidR="00BE7315" w:rsidRPr="00440011" w:rsidRDefault="00BE7315" w:rsidP="00BE7315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Using </w:t>
      </w:r>
      <w:r w:rsidRPr="00440011">
        <w:rPr>
          <w:rFonts w:ascii="Arial" w:hAnsi="Arial" w:cs="Arial"/>
          <w:i/>
          <w:iCs/>
        </w:rPr>
        <w:t>i-Ready Literacy Benchmark Tasks</w:t>
      </w:r>
    </w:p>
    <w:p w14:paraId="368F19D7" w14:textId="77777777" w:rsidR="00BE7315" w:rsidRDefault="00BE7315" w:rsidP="00BE7315">
      <w:pPr>
        <w:pStyle w:val="NoSpacing"/>
        <w:numPr>
          <w:ilvl w:val="0"/>
          <w:numId w:val="12"/>
        </w:numPr>
        <w:spacing w:after="24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Using </w:t>
      </w:r>
      <w:r w:rsidRPr="00440011">
        <w:rPr>
          <w:rFonts w:ascii="Arial" w:hAnsi="Arial" w:cs="Arial"/>
          <w:i/>
          <w:iCs/>
        </w:rPr>
        <w:t xml:space="preserve">i-Ready Literacy </w:t>
      </w:r>
      <w:r>
        <w:rPr>
          <w:rFonts w:ascii="Arial" w:hAnsi="Arial" w:cs="Arial"/>
          <w:i/>
          <w:iCs/>
        </w:rPr>
        <w:t>Progress Monitoring Tasks</w:t>
      </w:r>
    </w:p>
    <w:p w14:paraId="3FC8D06D" w14:textId="5D3E252E" w:rsidR="007526FC" w:rsidRDefault="007526FC" w:rsidP="00C401A9">
      <w:pPr>
        <w:pStyle w:val="NoSpacing"/>
        <w:spacing w:after="240"/>
        <w:rPr>
          <w:rFonts w:ascii="Arial" w:hAnsi="Arial" w:cs="Arial"/>
        </w:rPr>
      </w:pPr>
      <w:r w:rsidRPr="005E6EA5">
        <w:rPr>
          <w:rFonts w:ascii="Arial" w:hAnsi="Arial" w:cs="Arial"/>
        </w:rPr>
        <w:t xml:space="preserve">Parents/guardians may access </w:t>
      </w:r>
      <w:r w:rsidRPr="009E1548">
        <w:rPr>
          <w:rFonts w:ascii="Arial" w:hAnsi="Arial" w:cs="Arial"/>
          <w:i/>
          <w:iCs/>
        </w:rPr>
        <w:t>i-Ready</w:t>
      </w:r>
      <w:r w:rsidRPr="005E6EA5">
        <w:rPr>
          <w:rFonts w:ascii="Arial" w:hAnsi="Arial" w:cs="Arial"/>
        </w:rPr>
        <w:t xml:space="preserve"> via their child’s login</w:t>
      </w:r>
      <w:r>
        <w:rPr>
          <w:rFonts w:ascii="Arial" w:hAnsi="Arial" w:cs="Arial"/>
        </w:rPr>
        <w:t xml:space="preserve"> </w:t>
      </w:r>
      <w:r w:rsidRPr="005E6EA5">
        <w:rPr>
          <w:rFonts w:ascii="Arial" w:hAnsi="Arial" w:cs="Arial"/>
        </w:rPr>
        <w:t>credentials.</w:t>
      </w:r>
      <w:r w:rsidR="00A802BE">
        <w:rPr>
          <w:rFonts w:ascii="Arial" w:hAnsi="Arial" w:cs="Arial"/>
        </w:rPr>
        <w:t xml:space="preserve"> </w:t>
      </w:r>
      <w:r w:rsidR="00A802BE" w:rsidRPr="00A802BE">
        <w:rPr>
          <w:rFonts w:ascii="Arial" w:hAnsi="Arial" w:cs="Arial"/>
        </w:rPr>
        <w:t xml:space="preserve">Teachers can print the For Families report and use it to share </w:t>
      </w:r>
      <w:r w:rsidR="00A802BE" w:rsidRPr="00A802BE">
        <w:rPr>
          <w:rFonts w:ascii="Arial" w:hAnsi="Arial" w:cs="Arial"/>
          <w:i/>
          <w:iCs/>
        </w:rPr>
        <w:t>i-Ready Diagnostic</w:t>
      </w:r>
      <w:r w:rsidR="00A802BE" w:rsidRPr="00A802BE">
        <w:rPr>
          <w:rFonts w:ascii="Arial" w:hAnsi="Arial" w:cs="Arial"/>
        </w:rPr>
        <w:t xml:space="preserve"> scores with parents</w:t>
      </w:r>
      <w:r w:rsidR="00A802BE">
        <w:rPr>
          <w:rFonts w:ascii="Arial" w:hAnsi="Arial" w:cs="Arial"/>
        </w:rPr>
        <w:t xml:space="preserve">. </w:t>
      </w:r>
      <w:r w:rsidR="00A802BE" w:rsidRPr="00A802BE">
        <w:rPr>
          <w:rFonts w:ascii="Arial" w:hAnsi="Arial" w:cs="Arial"/>
        </w:rPr>
        <w:t>This report</w:t>
      </w:r>
      <w:r w:rsidR="00A802BE">
        <w:rPr>
          <w:rFonts w:ascii="Arial" w:hAnsi="Arial" w:cs="Arial"/>
        </w:rPr>
        <w:t xml:space="preserve"> </w:t>
      </w:r>
      <w:r w:rsidR="00A802BE" w:rsidRPr="00A802BE">
        <w:rPr>
          <w:rFonts w:ascii="Arial" w:hAnsi="Arial" w:cs="Arial"/>
        </w:rPr>
        <w:t>presents a summary of scores and the student’s year-to-date performance and helps</w:t>
      </w:r>
      <w:r w:rsidR="00A802BE">
        <w:rPr>
          <w:rFonts w:ascii="Arial" w:hAnsi="Arial" w:cs="Arial"/>
        </w:rPr>
        <w:t xml:space="preserve"> </w:t>
      </w:r>
      <w:r w:rsidR="00A802BE" w:rsidRPr="00A802BE">
        <w:rPr>
          <w:rFonts w:ascii="Arial" w:hAnsi="Arial" w:cs="Arial"/>
        </w:rPr>
        <w:t>teachers communicate student performance in positive, family-friendly terms. It is available in bot</w:t>
      </w:r>
      <w:r w:rsidR="00A802BE">
        <w:rPr>
          <w:rFonts w:ascii="Arial" w:hAnsi="Arial" w:cs="Arial"/>
        </w:rPr>
        <w:t xml:space="preserve">h </w:t>
      </w:r>
      <w:r w:rsidR="00A802BE" w:rsidRPr="00A802BE">
        <w:rPr>
          <w:rFonts w:ascii="Arial" w:hAnsi="Arial" w:cs="Arial"/>
        </w:rPr>
        <w:t>English and Spanish.</w:t>
      </w:r>
    </w:p>
    <w:p w14:paraId="123ABF8F" w14:textId="34252E5A" w:rsidR="00544D94" w:rsidRPr="00544D94" w:rsidRDefault="00DD4201" w:rsidP="00544D94">
      <w:pPr>
        <w:pStyle w:val="Heading3"/>
      </w:pPr>
      <w:r w:rsidRPr="00544D94">
        <w:t>User interfaces and d</w:t>
      </w:r>
      <w:r w:rsidR="00DE6B03" w:rsidRPr="00544D94">
        <w:t>ata management system:</w:t>
      </w:r>
    </w:p>
    <w:p w14:paraId="5B00084F" w14:textId="117007F8" w:rsidR="007526FC" w:rsidRDefault="001971E3" w:rsidP="007526FC">
      <w:pPr>
        <w:pStyle w:val="NoSpacing"/>
        <w:spacing w:after="240"/>
        <w:rPr>
          <w:rFonts w:ascii="Arial" w:hAnsi="Arial" w:cs="Arial"/>
        </w:rPr>
      </w:pPr>
      <w:r w:rsidRPr="001971E3">
        <w:rPr>
          <w:rFonts w:ascii="Arial" w:hAnsi="Arial" w:cs="Arial"/>
        </w:rPr>
        <w:t>Access to i</w:t>
      </w:r>
      <w:r w:rsidRPr="007526FC">
        <w:rPr>
          <w:rFonts w:ascii="Arial" w:hAnsi="Arial" w:cs="Arial"/>
          <w:i/>
          <w:iCs/>
        </w:rPr>
        <w:t>-Ready</w:t>
      </w:r>
      <w:r w:rsidRPr="001971E3">
        <w:rPr>
          <w:rFonts w:ascii="Arial" w:hAnsi="Arial" w:cs="Arial"/>
        </w:rPr>
        <w:t xml:space="preserve"> is permissions-based, and multiple user/access roles are pre-defined. </w:t>
      </w:r>
      <w:r w:rsidRPr="007526FC">
        <w:rPr>
          <w:rFonts w:ascii="Arial" w:hAnsi="Arial" w:cs="Arial"/>
          <w:i/>
          <w:iCs/>
        </w:rPr>
        <w:t>i-Ready</w:t>
      </w:r>
      <w:r>
        <w:rPr>
          <w:rFonts w:ascii="Arial" w:hAnsi="Arial" w:cs="Arial"/>
        </w:rPr>
        <w:t xml:space="preserve"> </w:t>
      </w:r>
      <w:r w:rsidRPr="001971E3">
        <w:rPr>
          <w:rFonts w:ascii="Arial" w:hAnsi="Arial" w:cs="Arial"/>
        </w:rPr>
        <w:t>embeds four user-access levels: District Administrator, School Administrator, Teacher, and Student. Permissions and</w:t>
      </w:r>
      <w:r>
        <w:rPr>
          <w:rFonts w:ascii="Arial" w:hAnsi="Arial" w:cs="Arial"/>
        </w:rPr>
        <w:t xml:space="preserve"> </w:t>
      </w:r>
      <w:r w:rsidRPr="001971E3">
        <w:rPr>
          <w:rFonts w:ascii="Arial" w:hAnsi="Arial" w:cs="Arial"/>
        </w:rPr>
        <w:t>functionality are keyed to each user’s unique login credentials.</w:t>
      </w:r>
      <w:r>
        <w:rPr>
          <w:rFonts w:ascii="Arial" w:hAnsi="Arial" w:cs="Arial"/>
        </w:rPr>
        <w:t xml:space="preserve"> </w:t>
      </w:r>
      <w:r w:rsidRPr="001971E3">
        <w:rPr>
          <w:rFonts w:ascii="Arial" w:hAnsi="Arial" w:cs="Arial"/>
        </w:rPr>
        <w:t>An LEA can assign users to any of these roles, with different access rights and levels of authorization for each.</w:t>
      </w:r>
    </w:p>
    <w:p w14:paraId="520F24C9" w14:textId="531476A5" w:rsidR="007526FC" w:rsidRDefault="007526FC" w:rsidP="007526FC">
      <w:pPr>
        <w:pStyle w:val="NoSpacing"/>
        <w:spacing w:after="48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526FC">
        <w:rPr>
          <w:rFonts w:ascii="Arial" w:hAnsi="Arial" w:cs="Arial"/>
        </w:rPr>
        <w:t>ducators using a</w:t>
      </w:r>
      <w:r w:rsidR="001A6561">
        <w:rPr>
          <w:rFonts w:ascii="Arial" w:hAnsi="Arial" w:cs="Arial"/>
        </w:rPr>
        <w:t xml:space="preserve"> Learning Management System (</w:t>
      </w:r>
      <w:r w:rsidRPr="007526FC">
        <w:rPr>
          <w:rFonts w:ascii="Arial" w:hAnsi="Arial" w:cs="Arial"/>
        </w:rPr>
        <w:t>LMS</w:t>
      </w:r>
      <w:r w:rsidR="001A6561">
        <w:rPr>
          <w:rFonts w:ascii="Arial" w:hAnsi="Arial" w:cs="Arial"/>
        </w:rPr>
        <w:t>)</w:t>
      </w:r>
      <w:r w:rsidRPr="00752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supported </w:t>
      </w:r>
      <w:r w:rsidRPr="007526FC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having</w:t>
      </w:r>
      <w:r w:rsidRPr="007526FC">
        <w:rPr>
          <w:rFonts w:ascii="Arial" w:hAnsi="Arial" w:cs="Arial"/>
        </w:rPr>
        <w:t xml:space="preserve"> easy</w:t>
      </w:r>
      <w:r>
        <w:rPr>
          <w:rFonts w:ascii="Arial" w:hAnsi="Arial" w:cs="Arial"/>
        </w:rPr>
        <w:t xml:space="preserve"> </w:t>
      </w:r>
      <w:r w:rsidRPr="007526FC">
        <w:rPr>
          <w:rFonts w:ascii="Arial" w:hAnsi="Arial" w:cs="Arial"/>
        </w:rPr>
        <w:t>access to i</w:t>
      </w:r>
      <w:r w:rsidRPr="007526FC">
        <w:rPr>
          <w:rFonts w:ascii="Arial" w:hAnsi="Arial" w:cs="Arial"/>
          <w:i/>
          <w:iCs/>
        </w:rPr>
        <w:t>-Ready</w:t>
      </w:r>
      <w:r w:rsidRPr="007526FC">
        <w:rPr>
          <w:rFonts w:ascii="Arial" w:hAnsi="Arial" w:cs="Arial"/>
        </w:rPr>
        <w:t xml:space="preserve"> with S</w:t>
      </w:r>
      <w:r>
        <w:rPr>
          <w:rFonts w:ascii="Arial" w:hAnsi="Arial" w:cs="Arial"/>
        </w:rPr>
        <w:t>ingle Sign On (S</w:t>
      </w:r>
      <w:r w:rsidRPr="007526FC">
        <w:rPr>
          <w:rFonts w:ascii="Arial" w:hAnsi="Arial" w:cs="Arial"/>
        </w:rPr>
        <w:t>SO</w:t>
      </w:r>
      <w:r>
        <w:rPr>
          <w:rFonts w:ascii="Arial" w:hAnsi="Arial" w:cs="Arial"/>
        </w:rPr>
        <w:t>)</w:t>
      </w:r>
      <w:r w:rsidRPr="007526FC">
        <w:rPr>
          <w:rFonts w:ascii="Arial" w:hAnsi="Arial" w:cs="Arial"/>
        </w:rPr>
        <w:t xml:space="preserve"> through district login portals, and options for digital sharing of resources.</w:t>
      </w:r>
    </w:p>
    <w:p w14:paraId="7293F95B" w14:textId="786AED79" w:rsidR="004C0324" w:rsidRDefault="004C0324" w:rsidP="00700E60">
      <w:pPr>
        <w:pStyle w:val="Header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The information contained in this document does not indicate approval </w:t>
      </w:r>
      <w:r w:rsidR="00862674"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b/>
          <w:bCs/>
          <w:i/>
          <w:iCs/>
        </w:rPr>
        <w:t>or recommendation by the RDRSSP.</w:t>
      </w:r>
    </w:p>
    <w:p w14:paraId="209C1D93" w14:textId="2D9A9550" w:rsidR="00E9042E" w:rsidRPr="00E9042E" w:rsidRDefault="00E9042E" w:rsidP="00E9042E">
      <w:pPr>
        <w:pStyle w:val="Header"/>
        <w:spacing w:before="480"/>
        <w:rPr>
          <w:rFonts w:ascii="Arial" w:hAnsi="Arial" w:cs="Arial"/>
        </w:rPr>
      </w:pPr>
      <w:r w:rsidRPr="00E9042E">
        <w:rPr>
          <w:rFonts w:ascii="Arial" w:hAnsi="Arial" w:cs="Arial"/>
        </w:rPr>
        <w:t>California Department of Education: November 2024</w:t>
      </w:r>
    </w:p>
    <w:sectPr w:rsidR="00E9042E" w:rsidRPr="00E9042E" w:rsidSect="00A5247B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9DF79" w14:textId="77777777" w:rsidR="00D85094" w:rsidRPr="006219F8" w:rsidRDefault="00D85094" w:rsidP="001F4EAC">
      <w:r w:rsidRPr="006219F8">
        <w:separator/>
      </w:r>
    </w:p>
  </w:endnote>
  <w:endnote w:type="continuationSeparator" w:id="0">
    <w:p w14:paraId="2E34FFE2" w14:textId="77777777" w:rsidR="00D85094" w:rsidRPr="006219F8" w:rsidRDefault="00D85094" w:rsidP="001F4EAC">
      <w:r w:rsidRPr="006219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3C90F" w14:textId="77777777" w:rsidR="00D85094" w:rsidRPr="006219F8" w:rsidRDefault="00D85094" w:rsidP="001F4EAC">
      <w:r w:rsidRPr="006219F8">
        <w:separator/>
      </w:r>
    </w:p>
  </w:footnote>
  <w:footnote w:type="continuationSeparator" w:id="0">
    <w:p w14:paraId="024621C2" w14:textId="77777777" w:rsidR="00D85094" w:rsidRPr="006219F8" w:rsidRDefault="00D85094" w:rsidP="001F4EAC">
      <w:r w:rsidRPr="006219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FF739" w14:textId="59228EF7" w:rsidR="001F4EAC" w:rsidRPr="006219F8" w:rsidRDefault="001F4EAC" w:rsidP="006979F1">
    <w:pPr>
      <w:pStyle w:val="Header"/>
      <w:spacing w:after="480"/>
      <w:jc w:val="right"/>
      <w:rPr>
        <w:rFonts w:ascii="Arial" w:hAnsi="Arial" w:cs="Arial"/>
      </w:rPr>
    </w:pPr>
    <w:r w:rsidRPr="006219F8">
      <w:rPr>
        <w:rFonts w:ascii="Arial" w:hAnsi="Arial" w:cs="Arial"/>
        <w:kern w:val="0"/>
      </w:rPr>
      <w:t xml:space="preserve">Page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PAGE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1</w:t>
    </w:r>
    <w:r w:rsidRPr="006219F8">
      <w:rPr>
        <w:rFonts w:ascii="Arial" w:hAnsi="Arial" w:cs="Arial"/>
        <w:kern w:val="0"/>
      </w:rPr>
      <w:fldChar w:fldCharType="end"/>
    </w:r>
    <w:r w:rsidRPr="006219F8">
      <w:rPr>
        <w:rFonts w:ascii="Arial" w:hAnsi="Arial" w:cs="Arial"/>
        <w:kern w:val="0"/>
      </w:rPr>
      <w:t xml:space="preserve"> of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NUMPAGES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3</w:t>
    </w:r>
    <w:r w:rsidRPr="006219F8">
      <w:rPr>
        <w:rFonts w:ascii="Arial" w:hAnsi="Arial" w:cs="Arial"/>
        <w:kern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F45"/>
    <w:multiLevelType w:val="hybridMultilevel"/>
    <w:tmpl w:val="C78C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F93"/>
    <w:multiLevelType w:val="hybridMultilevel"/>
    <w:tmpl w:val="F08C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152A1"/>
    <w:multiLevelType w:val="multilevel"/>
    <w:tmpl w:val="C9565D9C"/>
    <w:styleLink w:val="CurrentList1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D3F20"/>
    <w:multiLevelType w:val="hybridMultilevel"/>
    <w:tmpl w:val="D578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D1178"/>
    <w:multiLevelType w:val="hybridMultilevel"/>
    <w:tmpl w:val="8FC2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C3E19"/>
    <w:multiLevelType w:val="hybridMultilevel"/>
    <w:tmpl w:val="08CA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16F22"/>
    <w:multiLevelType w:val="hybridMultilevel"/>
    <w:tmpl w:val="61E6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22816"/>
    <w:multiLevelType w:val="hybridMultilevel"/>
    <w:tmpl w:val="FEFC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150FA"/>
    <w:multiLevelType w:val="hybridMultilevel"/>
    <w:tmpl w:val="9470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F1F92"/>
    <w:multiLevelType w:val="hybridMultilevel"/>
    <w:tmpl w:val="B332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1224B"/>
    <w:multiLevelType w:val="hybridMultilevel"/>
    <w:tmpl w:val="A794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A46FE"/>
    <w:multiLevelType w:val="hybridMultilevel"/>
    <w:tmpl w:val="8806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B0337"/>
    <w:multiLevelType w:val="hybridMultilevel"/>
    <w:tmpl w:val="29CA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2289C"/>
    <w:multiLevelType w:val="hybridMultilevel"/>
    <w:tmpl w:val="87A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C797B"/>
    <w:multiLevelType w:val="hybridMultilevel"/>
    <w:tmpl w:val="8D6E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322AA"/>
    <w:multiLevelType w:val="hybridMultilevel"/>
    <w:tmpl w:val="FAD8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072114">
    <w:abstractNumId w:val="2"/>
  </w:num>
  <w:num w:numId="2" w16cid:durableId="1113594634">
    <w:abstractNumId w:val="14"/>
  </w:num>
  <w:num w:numId="3" w16cid:durableId="611282819">
    <w:abstractNumId w:val="9"/>
  </w:num>
  <w:num w:numId="4" w16cid:durableId="1391808599">
    <w:abstractNumId w:val="12"/>
  </w:num>
  <w:num w:numId="5" w16cid:durableId="2024353833">
    <w:abstractNumId w:val="7"/>
  </w:num>
  <w:num w:numId="6" w16cid:durableId="899245416">
    <w:abstractNumId w:val="1"/>
  </w:num>
  <w:num w:numId="7" w16cid:durableId="625741695">
    <w:abstractNumId w:val="5"/>
  </w:num>
  <w:num w:numId="8" w16cid:durableId="1772817981">
    <w:abstractNumId w:val="10"/>
  </w:num>
  <w:num w:numId="9" w16cid:durableId="995381025">
    <w:abstractNumId w:val="15"/>
  </w:num>
  <w:num w:numId="10" w16cid:durableId="2094737657">
    <w:abstractNumId w:val="0"/>
  </w:num>
  <w:num w:numId="11" w16cid:durableId="158231434">
    <w:abstractNumId w:val="11"/>
  </w:num>
  <w:num w:numId="12" w16cid:durableId="1727339579">
    <w:abstractNumId w:val="4"/>
  </w:num>
  <w:num w:numId="13" w16cid:durableId="368148270">
    <w:abstractNumId w:val="8"/>
  </w:num>
  <w:num w:numId="14" w16cid:durableId="773398778">
    <w:abstractNumId w:val="6"/>
  </w:num>
  <w:num w:numId="15" w16cid:durableId="1659068416">
    <w:abstractNumId w:val="3"/>
  </w:num>
  <w:num w:numId="16" w16cid:durableId="133237106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D3"/>
    <w:rsid w:val="00003D07"/>
    <w:rsid w:val="00006836"/>
    <w:rsid w:val="00011E5A"/>
    <w:rsid w:val="0002540A"/>
    <w:rsid w:val="00027F05"/>
    <w:rsid w:val="0003049B"/>
    <w:rsid w:val="00032083"/>
    <w:rsid w:val="00036067"/>
    <w:rsid w:val="00055A8D"/>
    <w:rsid w:val="00063F19"/>
    <w:rsid w:val="000672E2"/>
    <w:rsid w:val="0007145C"/>
    <w:rsid w:val="0007426D"/>
    <w:rsid w:val="000801DD"/>
    <w:rsid w:val="0009481C"/>
    <w:rsid w:val="00095570"/>
    <w:rsid w:val="000A52C4"/>
    <w:rsid w:val="000B21E3"/>
    <w:rsid w:val="000B2F33"/>
    <w:rsid w:val="000C04E5"/>
    <w:rsid w:val="000C7BBB"/>
    <w:rsid w:val="000D401E"/>
    <w:rsid w:val="000D4CA7"/>
    <w:rsid w:val="000E673E"/>
    <w:rsid w:val="000F5E39"/>
    <w:rsid w:val="000F64AB"/>
    <w:rsid w:val="001026FA"/>
    <w:rsid w:val="0010721D"/>
    <w:rsid w:val="00112857"/>
    <w:rsid w:val="00123624"/>
    <w:rsid w:val="00131399"/>
    <w:rsid w:val="00131BED"/>
    <w:rsid w:val="00132554"/>
    <w:rsid w:val="00140250"/>
    <w:rsid w:val="00141E3B"/>
    <w:rsid w:val="001564DD"/>
    <w:rsid w:val="001569A9"/>
    <w:rsid w:val="0016085C"/>
    <w:rsid w:val="00177AF4"/>
    <w:rsid w:val="0018268D"/>
    <w:rsid w:val="001971E3"/>
    <w:rsid w:val="001A6561"/>
    <w:rsid w:val="001A6ADB"/>
    <w:rsid w:val="001C0462"/>
    <w:rsid w:val="001C70F3"/>
    <w:rsid w:val="001D0CAB"/>
    <w:rsid w:val="001D5EF3"/>
    <w:rsid w:val="001D6352"/>
    <w:rsid w:val="001D66BC"/>
    <w:rsid w:val="001E040C"/>
    <w:rsid w:val="001E7B26"/>
    <w:rsid w:val="001F14A1"/>
    <w:rsid w:val="001F1F84"/>
    <w:rsid w:val="001F3FF8"/>
    <w:rsid w:val="001F4EAC"/>
    <w:rsid w:val="00200CB3"/>
    <w:rsid w:val="0020380A"/>
    <w:rsid w:val="00205C00"/>
    <w:rsid w:val="00234713"/>
    <w:rsid w:val="002409E4"/>
    <w:rsid w:val="00250E7A"/>
    <w:rsid w:val="00252EA4"/>
    <w:rsid w:val="002579C3"/>
    <w:rsid w:val="002868FA"/>
    <w:rsid w:val="002B71B5"/>
    <w:rsid w:val="002C1197"/>
    <w:rsid w:val="002C5A88"/>
    <w:rsid w:val="002C7DEA"/>
    <w:rsid w:val="002D1081"/>
    <w:rsid w:val="002D3B7E"/>
    <w:rsid w:val="002E38F8"/>
    <w:rsid w:val="002F02E1"/>
    <w:rsid w:val="002F0DE8"/>
    <w:rsid w:val="002F25E1"/>
    <w:rsid w:val="002F2A56"/>
    <w:rsid w:val="002F6D72"/>
    <w:rsid w:val="00301E77"/>
    <w:rsid w:val="0030413F"/>
    <w:rsid w:val="003108D9"/>
    <w:rsid w:val="003209C4"/>
    <w:rsid w:val="00323203"/>
    <w:rsid w:val="00323B9E"/>
    <w:rsid w:val="00330959"/>
    <w:rsid w:val="00330C8D"/>
    <w:rsid w:val="00336BF8"/>
    <w:rsid w:val="003375C9"/>
    <w:rsid w:val="003523CD"/>
    <w:rsid w:val="0035534C"/>
    <w:rsid w:val="00355445"/>
    <w:rsid w:val="00374064"/>
    <w:rsid w:val="003822CD"/>
    <w:rsid w:val="003826DA"/>
    <w:rsid w:val="00384D63"/>
    <w:rsid w:val="003A01F0"/>
    <w:rsid w:val="003D6D69"/>
    <w:rsid w:val="003E4FD3"/>
    <w:rsid w:val="0041264B"/>
    <w:rsid w:val="0041461B"/>
    <w:rsid w:val="0041513A"/>
    <w:rsid w:val="00415609"/>
    <w:rsid w:val="004255E9"/>
    <w:rsid w:val="00430D25"/>
    <w:rsid w:val="00434D5C"/>
    <w:rsid w:val="00436F8F"/>
    <w:rsid w:val="00440011"/>
    <w:rsid w:val="00443DDE"/>
    <w:rsid w:val="00447544"/>
    <w:rsid w:val="00447CF5"/>
    <w:rsid w:val="004517F2"/>
    <w:rsid w:val="00452A05"/>
    <w:rsid w:val="00452A41"/>
    <w:rsid w:val="00462332"/>
    <w:rsid w:val="00463CE6"/>
    <w:rsid w:val="00464A33"/>
    <w:rsid w:val="0046722F"/>
    <w:rsid w:val="004676E2"/>
    <w:rsid w:val="00472B6C"/>
    <w:rsid w:val="00476BC7"/>
    <w:rsid w:val="00482E49"/>
    <w:rsid w:val="00492B8E"/>
    <w:rsid w:val="004931CF"/>
    <w:rsid w:val="004948AD"/>
    <w:rsid w:val="00494C14"/>
    <w:rsid w:val="00497962"/>
    <w:rsid w:val="004A41D4"/>
    <w:rsid w:val="004B281E"/>
    <w:rsid w:val="004B2CA9"/>
    <w:rsid w:val="004B2F85"/>
    <w:rsid w:val="004B3C40"/>
    <w:rsid w:val="004B5550"/>
    <w:rsid w:val="004B7F2D"/>
    <w:rsid w:val="004C0324"/>
    <w:rsid w:val="004C1554"/>
    <w:rsid w:val="004D062A"/>
    <w:rsid w:val="004D303E"/>
    <w:rsid w:val="004D3CD1"/>
    <w:rsid w:val="004E0443"/>
    <w:rsid w:val="004E3E31"/>
    <w:rsid w:val="004E6F6A"/>
    <w:rsid w:val="004F06CA"/>
    <w:rsid w:val="005043BD"/>
    <w:rsid w:val="005069E4"/>
    <w:rsid w:val="005116EC"/>
    <w:rsid w:val="00515A45"/>
    <w:rsid w:val="00515EEA"/>
    <w:rsid w:val="00516A14"/>
    <w:rsid w:val="00527A90"/>
    <w:rsid w:val="00544D94"/>
    <w:rsid w:val="00554F67"/>
    <w:rsid w:val="00563CA3"/>
    <w:rsid w:val="00570326"/>
    <w:rsid w:val="00575C59"/>
    <w:rsid w:val="00587933"/>
    <w:rsid w:val="00596C65"/>
    <w:rsid w:val="0059733D"/>
    <w:rsid w:val="005A34D0"/>
    <w:rsid w:val="005B055A"/>
    <w:rsid w:val="005B5CE2"/>
    <w:rsid w:val="005D1EA2"/>
    <w:rsid w:val="005E1410"/>
    <w:rsid w:val="005E30AE"/>
    <w:rsid w:val="005E34CB"/>
    <w:rsid w:val="005E6EA5"/>
    <w:rsid w:val="005F1254"/>
    <w:rsid w:val="005F4A1C"/>
    <w:rsid w:val="0060597E"/>
    <w:rsid w:val="00614775"/>
    <w:rsid w:val="006219F8"/>
    <w:rsid w:val="00627AAE"/>
    <w:rsid w:val="00627D30"/>
    <w:rsid w:val="006347F2"/>
    <w:rsid w:val="00635192"/>
    <w:rsid w:val="006508CD"/>
    <w:rsid w:val="00651C5A"/>
    <w:rsid w:val="0065786F"/>
    <w:rsid w:val="00674E88"/>
    <w:rsid w:val="006773E9"/>
    <w:rsid w:val="00693352"/>
    <w:rsid w:val="00695FDA"/>
    <w:rsid w:val="00697598"/>
    <w:rsid w:val="006979F1"/>
    <w:rsid w:val="006A0C35"/>
    <w:rsid w:val="006A37F2"/>
    <w:rsid w:val="006A6139"/>
    <w:rsid w:val="006B2965"/>
    <w:rsid w:val="006C14BC"/>
    <w:rsid w:val="006D72B0"/>
    <w:rsid w:val="006E5478"/>
    <w:rsid w:val="006E75B3"/>
    <w:rsid w:val="006F256E"/>
    <w:rsid w:val="006F29D6"/>
    <w:rsid w:val="006F3D58"/>
    <w:rsid w:val="00700E60"/>
    <w:rsid w:val="007017CB"/>
    <w:rsid w:val="00710FD0"/>
    <w:rsid w:val="0071153F"/>
    <w:rsid w:val="0071209C"/>
    <w:rsid w:val="007341CB"/>
    <w:rsid w:val="0074438F"/>
    <w:rsid w:val="007526FC"/>
    <w:rsid w:val="00756663"/>
    <w:rsid w:val="007621E7"/>
    <w:rsid w:val="00763646"/>
    <w:rsid w:val="00763DFE"/>
    <w:rsid w:val="007772EB"/>
    <w:rsid w:val="00784D06"/>
    <w:rsid w:val="00790F0F"/>
    <w:rsid w:val="007A76CA"/>
    <w:rsid w:val="007B6213"/>
    <w:rsid w:val="007B737A"/>
    <w:rsid w:val="007D2DCE"/>
    <w:rsid w:val="007D36DF"/>
    <w:rsid w:val="007D5AA6"/>
    <w:rsid w:val="007E0340"/>
    <w:rsid w:val="007E41AA"/>
    <w:rsid w:val="007E625C"/>
    <w:rsid w:val="00817712"/>
    <w:rsid w:val="00820AB0"/>
    <w:rsid w:val="008257E0"/>
    <w:rsid w:val="008269DF"/>
    <w:rsid w:val="00830492"/>
    <w:rsid w:val="00840530"/>
    <w:rsid w:val="0085238E"/>
    <w:rsid w:val="00856CD9"/>
    <w:rsid w:val="00862674"/>
    <w:rsid w:val="00865645"/>
    <w:rsid w:val="00867209"/>
    <w:rsid w:val="008A5F75"/>
    <w:rsid w:val="008B1D62"/>
    <w:rsid w:val="008B3269"/>
    <w:rsid w:val="008C16F1"/>
    <w:rsid w:val="008C3209"/>
    <w:rsid w:val="008D27F8"/>
    <w:rsid w:val="008E290E"/>
    <w:rsid w:val="008E31F2"/>
    <w:rsid w:val="008E4455"/>
    <w:rsid w:val="008E6008"/>
    <w:rsid w:val="008E79A4"/>
    <w:rsid w:val="0090228E"/>
    <w:rsid w:val="00910A2B"/>
    <w:rsid w:val="00911E3F"/>
    <w:rsid w:val="00913E61"/>
    <w:rsid w:val="00922639"/>
    <w:rsid w:val="0092538E"/>
    <w:rsid w:val="00926BAA"/>
    <w:rsid w:val="00930293"/>
    <w:rsid w:val="00930BF5"/>
    <w:rsid w:val="00940D87"/>
    <w:rsid w:val="00943435"/>
    <w:rsid w:val="00943E6C"/>
    <w:rsid w:val="00947046"/>
    <w:rsid w:val="0095506F"/>
    <w:rsid w:val="009569EE"/>
    <w:rsid w:val="00956D87"/>
    <w:rsid w:val="00956E48"/>
    <w:rsid w:val="00957719"/>
    <w:rsid w:val="00961E0B"/>
    <w:rsid w:val="00975574"/>
    <w:rsid w:val="00981F75"/>
    <w:rsid w:val="00991764"/>
    <w:rsid w:val="00993E42"/>
    <w:rsid w:val="009A1F03"/>
    <w:rsid w:val="009A7349"/>
    <w:rsid w:val="009B234F"/>
    <w:rsid w:val="009C71B2"/>
    <w:rsid w:val="009D235B"/>
    <w:rsid w:val="009D5578"/>
    <w:rsid w:val="009E1548"/>
    <w:rsid w:val="009E4096"/>
    <w:rsid w:val="009E6F15"/>
    <w:rsid w:val="009F6E1E"/>
    <w:rsid w:val="00A01467"/>
    <w:rsid w:val="00A078CB"/>
    <w:rsid w:val="00A12448"/>
    <w:rsid w:val="00A21BF7"/>
    <w:rsid w:val="00A31593"/>
    <w:rsid w:val="00A32C52"/>
    <w:rsid w:val="00A477DE"/>
    <w:rsid w:val="00A5247B"/>
    <w:rsid w:val="00A53953"/>
    <w:rsid w:val="00A56316"/>
    <w:rsid w:val="00A802BE"/>
    <w:rsid w:val="00A844DA"/>
    <w:rsid w:val="00A862A4"/>
    <w:rsid w:val="00A86F0B"/>
    <w:rsid w:val="00A87036"/>
    <w:rsid w:val="00A87473"/>
    <w:rsid w:val="00A92707"/>
    <w:rsid w:val="00A92885"/>
    <w:rsid w:val="00AA7285"/>
    <w:rsid w:val="00AB61C4"/>
    <w:rsid w:val="00AB63FF"/>
    <w:rsid w:val="00AB6B8E"/>
    <w:rsid w:val="00AB78F0"/>
    <w:rsid w:val="00AB7E5A"/>
    <w:rsid w:val="00AC79A3"/>
    <w:rsid w:val="00AD68B4"/>
    <w:rsid w:val="00AE7707"/>
    <w:rsid w:val="00AF23B0"/>
    <w:rsid w:val="00B015FF"/>
    <w:rsid w:val="00B055F6"/>
    <w:rsid w:val="00B131BD"/>
    <w:rsid w:val="00B46D10"/>
    <w:rsid w:val="00B508F3"/>
    <w:rsid w:val="00B574B8"/>
    <w:rsid w:val="00B60602"/>
    <w:rsid w:val="00B7378D"/>
    <w:rsid w:val="00B81E9F"/>
    <w:rsid w:val="00B8393E"/>
    <w:rsid w:val="00B84C0A"/>
    <w:rsid w:val="00BA237C"/>
    <w:rsid w:val="00BC7A76"/>
    <w:rsid w:val="00BD4BEF"/>
    <w:rsid w:val="00BD5A9F"/>
    <w:rsid w:val="00BE3929"/>
    <w:rsid w:val="00BE7315"/>
    <w:rsid w:val="00C04BCA"/>
    <w:rsid w:val="00C16E95"/>
    <w:rsid w:val="00C20031"/>
    <w:rsid w:val="00C33BA9"/>
    <w:rsid w:val="00C33D47"/>
    <w:rsid w:val="00C363F3"/>
    <w:rsid w:val="00C401A9"/>
    <w:rsid w:val="00C472A0"/>
    <w:rsid w:val="00C51961"/>
    <w:rsid w:val="00C55560"/>
    <w:rsid w:val="00C575C4"/>
    <w:rsid w:val="00C62C1F"/>
    <w:rsid w:val="00C65D7A"/>
    <w:rsid w:val="00C7104A"/>
    <w:rsid w:val="00C73535"/>
    <w:rsid w:val="00C859C6"/>
    <w:rsid w:val="00C91823"/>
    <w:rsid w:val="00C93479"/>
    <w:rsid w:val="00CA5B91"/>
    <w:rsid w:val="00CA7F7A"/>
    <w:rsid w:val="00CB0BF3"/>
    <w:rsid w:val="00CC55C2"/>
    <w:rsid w:val="00CD4A53"/>
    <w:rsid w:val="00CD4EE9"/>
    <w:rsid w:val="00CD5AA4"/>
    <w:rsid w:val="00CE400B"/>
    <w:rsid w:val="00CE4A44"/>
    <w:rsid w:val="00CE6A2B"/>
    <w:rsid w:val="00D0080C"/>
    <w:rsid w:val="00D011D3"/>
    <w:rsid w:val="00D1077C"/>
    <w:rsid w:val="00D256D9"/>
    <w:rsid w:val="00D27547"/>
    <w:rsid w:val="00D27D84"/>
    <w:rsid w:val="00D366FE"/>
    <w:rsid w:val="00D53F74"/>
    <w:rsid w:val="00D67F3C"/>
    <w:rsid w:val="00D72228"/>
    <w:rsid w:val="00D7392A"/>
    <w:rsid w:val="00D77405"/>
    <w:rsid w:val="00D82049"/>
    <w:rsid w:val="00D8278C"/>
    <w:rsid w:val="00D85094"/>
    <w:rsid w:val="00D9130E"/>
    <w:rsid w:val="00D93BE3"/>
    <w:rsid w:val="00D97502"/>
    <w:rsid w:val="00DA088A"/>
    <w:rsid w:val="00DA0F6B"/>
    <w:rsid w:val="00DA2243"/>
    <w:rsid w:val="00DB19BE"/>
    <w:rsid w:val="00DB3ADB"/>
    <w:rsid w:val="00DB4268"/>
    <w:rsid w:val="00DB4CED"/>
    <w:rsid w:val="00DB67A6"/>
    <w:rsid w:val="00DC132E"/>
    <w:rsid w:val="00DC2AC4"/>
    <w:rsid w:val="00DC430B"/>
    <w:rsid w:val="00DC5B98"/>
    <w:rsid w:val="00DD4201"/>
    <w:rsid w:val="00DD542E"/>
    <w:rsid w:val="00DE0E08"/>
    <w:rsid w:val="00DE1C3E"/>
    <w:rsid w:val="00DE4BA9"/>
    <w:rsid w:val="00DE6B03"/>
    <w:rsid w:val="00DE75D1"/>
    <w:rsid w:val="00DF1B58"/>
    <w:rsid w:val="00DF5994"/>
    <w:rsid w:val="00E00F04"/>
    <w:rsid w:val="00E0102C"/>
    <w:rsid w:val="00E06431"/>
    <w:rsid w:val="00E07A00"/>
    <w:rsid w:val="00E25899"/>
    <w:rsid w:val="00E415FE"/>
    <w:rsid w:val="00E41ED6"/>
    <w:rsid w:val="00E44D15"/>
    <w:rsid w:val="00E4707B"/>
    <w:rsid w:val="00E54531"/>
    <w:rsid w:val="00E57DEF"/>
    <w:rsid w:val="00E61D49"/>
    <w:rsid w:val="00E713B6"/>
    <w:rsid w:val="00E72D52"/>
    <w:rsid w:val="00E74770"/>
    <w:rsid w:val="00E80823"/>
    <w:rsid w:val="00E9042E"/>
    <w:rsid w:val="00E92EE6"/>
    <w:rsid w:val="00E931D8"/>
    <w:rsid w:val="00E93B17"/>
    <w:rsid w:val="00EA4DF6"/>
    <w:rsid w:val="00EB461E"/>
    <w:rsid w:val="00EB6C22"/>
    <w:rsid w:val="00EC3CF2"/>
    <w:rsid w:val="00EC72B3"/>
    <w:rsid w:val="00EE28C2"/>
    <w:rsid w:val="00EF73E6"/>
    <w:rsid w:val="00F02E6F"/>
    <w:rsid w:val="00F03BAE"/>
    <w:rsid w:val="00F26E52"/>
    <w:rsid w:val="00F3028F"/>
    <w:rsid w:val="00F35F1D"/>
    <w:rsid w:val="00F373AA"/>
    <w:rsid w:val="00F501C0"/>
    <w:rsid w:val="00F501F6"/>
    <w:rsid w:val="00F502CC"/>
    <w:rsid w:val="00F50D71"/>
    <w:rsid w:val="00F56609"/>
    <w:rsid w:val="00F5741B"/>
    <w:rsid w:val="00F61395"/>
    <w:rsid w:val="00F61C24"/>
    <w:rsid w:val="00F64BFB"/>
    <w:rsid w:val="00F7225B"/>
    <w:rsid w:val="00F73485"/>
    <w:rsid w:val="00F77845"/>
    <w:rsid w:val="00F8352B"/>
    <w:rsid w:val="00F91CC3"/>
    <w:rsid w:val="00F92F51"/>
    <w:rsid w:val="00FA108C"/>
    <w:rsid w:val="00FA68EF"/>
    <w:rsid w:val="00FC426A"/>
    <w:rsid w:val="00FC783F"/>
    <w:rsid w:val="00FD6DEC"/>
    <w:rsid w:val="00FE289E"/>
    <w:rsid w:val="00FF107F"/>
    <w:rsid w:val="00FF3FF2"/>
    <w:rsid w:val="00FF5798"/>
    <w:rsid w:val="0598C755"/>
    <w:rsid w:val="13050179"/>
    <w:rsid w:val="1A5B112B"/>
    <w:rsid w:val="1BCC1DF3"/>
    <w:rsid w:val="1DEAA4FB"/>
    <w:rsid w:val="245011D4"/>
    <w:rsid w:val="2D5E3543"/>
    <w:rsid w:val="2DA40B8D"/>
    <w:rsid w:val="32D93B55"/>
    <w:rsid w:val="3557B300"/>
    <w:rsid w:val="37C05BC0"/>
    <w:rsid w:val="381C4363"/>
    <w:rsid w:val="3C2850A9"/>
    <w:rsid w:val="3F53BA82"/>
    <w:rsid w:val="3FEEF1C1"/>
    <w:rsid w:val="40D49A7F"/>
    <w:rsid w:val="422234EE"/>
    <w:rsid w:val="45B88535"/>
    <w:rsid w:val="4927FA6A"/>
    <w:rsid w:val="4C6FB6C4"/>
    <w:rsid w:val="4CAB7F30"/>
    <w:rsid w:val="4CCCD6AE"/>
    <w:rsid w:val="4E17BA87"/>
    <w:rsid w:val="50E8D073"/>
    <w:rsid w:val="51FFB96F"/>
    <w:rsid w:val="5880B602"/>
    <w:rsid w:val="5AEC0C71"/>
    <w:rsid w:val="5E0DB6DC"/>
    <w:rsid w:val="63A6B3CF"/>
    <w:rsid w:val="704E6191"/>
    <w:rsid w:val="75573527"/>
    <w:rsid w:val="77E55940"/>
    <w:rsid w:val="7B79E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F5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836"/>
    <w:pPr>
      <w:spacing w:before="240"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006836"/>
    <w:pPr>
      <w:spacing w:before="240" w:after="240"/>
      <w:outlineLvl w:val="1"/>
    </w:pPr>
    <w:rPr>
      <w:rFonts w:ascii="Arial" w:hAnsi="Arial" w:cs="Arial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269DF"/>
    <w:pPr>
      <w:keepNext/>
      <w:keepLines/>
      <w:spacing w:before="160"/>
      <w:contextualSpacing/>
      <w:outlineLvl w:val="2"/>
    </w:pPr>
    <w:rPr>
      <w:rFonts w:ascii="Arial" w:eastAsiaTheme="majorEastAsia" w:hAnsi="Arial" w:cs="Arial"/>
      <w:b/>
      <w:bCs/>
      <w:color w:val="000000" w:themeColor="text1"/>
    </w:rPr>
  </w:style>
  <w:style w:type="paragraph" w:styleId="Heading4">
    <w:name w:val="heading 4"/>
    <w:basedOn w:val="NoSpacing"/>
    <w:next w:val="Normal"/>
    <w:link w:val="Heading4Char"/>
    <w:uiPriority w:val="9"/>
    <w:unhideWhenUsed/>
    <w:qFormat/>
    <w:rsid w:val="00C55560"/>
    <w:pPr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836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6836"/>
    <w:rPr>
      <w:rFonts w:ascii="Arial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69DF"/>
    <w:rPr>
      <w:rFonts w:ascii="Arial" w:eastAsiaTheme="majorEastAsia" w:hAnsi="Arial" w:cs="Arial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C55560"/>
    <w:rPr>
      <w:rFonts w:ascii="Arial" w:hAnsi="Arial" w:cs="Arial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FD3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614775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F4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EAC"/>
  </w:style>
  <w:style w:type="paragraph" w:styleId="Footer">
    <w:name w:val="footer"/>
    <w:basedOn w:val="Normal"/>
    <w:link w:val="Foot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EAC"/>
  </w:style>
  <w:style w:type="paragraph" w:styleId="Revision">
    <w:name w:val="Revision"/>
    <w:hidden/>
    <w:uiPriority w:val="99"/>
    <w:semiHidden/>
    <w:rsid w:val="003209C4"/>
  </w:style>
  <w:style w:type="numbering" w:customStyle="1" w:styleId="CurrentList1">
    <w:name w:val="Current List1"/>
    <w:uiPriority w:val="99"/>
    <w:rsid w:val="00570326"/>
    <w:pPr>
      <w:numPr>
        <w:numId w:val="1"/>
      </w:numPr>
    </w:pPr>
  </w:style>
  <w:style w:type="table" w:styleId="TableGrid">
    <w:name w:val="Table Grid"/>
    <w:basedOn w:val="TableNormal"/>
    <w:uiPriority w:val="39"/>
    <w:rsid w:val="0002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540A"/>
  </w:style>
  <w:style w:type="character" w:styleId="PlaceholderText">
    <w:name w:val="Placeholder Text"/>
    <w:basedOn w:val="DefaultParagraphFont"/>
    <w:uiPriority w:val="99"/>
    <w:semiHidden/>
    <w:rsid w:val="0002540A"/>
    <w:rPr>
      <w:color w:val="666666"/>
    </w:rPr>
  </w:style>
  <w:style w:type="character" w:customStyle="1" w:styleId="RDRSSPform">
    <w:name w:val="RDRSSP form"/>
    <w:basedOn w:val="DefaultParagraphFont"/>
    <w:uiPriority w:val="1"/>
    <w:rsid w:val="0002540A"/>
    <w:rPr>
      <w:rFonts w:asciiTheme="minorHAnsi" w:hAnsiTheme="minorHAnsi"/>
      <w:color w:val="156082" w:themeColor="accent1"/>
      <w:sz w:val="22"/>
    </w:rPr>
  </w:style>
  <w:style w:type="character" w:styleId="SubtleReference">
    <w:name w:val="Subtle Reference"/>
    <w:basedOn w:val="DefaultParagraphFont"/>
    <w:uiPriority w:val="31"/>
    <w:qFormat/>
    <w:rsid w:val="008D27F8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463C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C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72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riculumassociates.com/programs/i-ready-assess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FPs@ca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54F9-3E5D-49F0-9E92-57527B0C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i-Ready Assessment - Reading Difficulties Risk Screening Selection Panel (CA Dept of Education)</vt:lpstr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i-Ready Assessment - Reading Difficulties Risk Screening Selection Panel (CA Dept of Education)</dc:title>
  <dc:subject>Screening Instrument Title: Curriculum Associates, LLC, i-Ready Assessment.</dc:subject>
  <dc:creator/>
  <cp:keywords/>
  <dc:description/>
  <cp:lastModifiedBy/>
  <cp:revision>1</cp:revision>
  <dcterms:created xsi:type="dcterms:W3CDTF">2024-11-15T17:08:00Z</dcterms:created>
  <dcterms:modified xsi:type="dcterms:W3CDTF">2024-11-15T17:11:00Z</dcterms:modified>
</cp:coreProperties>
</file>