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BB31" w14:textId="0B42382F" w:rsidR="001C1B3A" w:rsidRPr="001C1B3A" w:rsidRDefault="001C1B3A" w:rsidP="001C1B3A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 w:rsidR="00375735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64D74ACB" w14:textId="11DD4B34" w:rsidR="0040160E" w:rsidRPr="007B0439" w:rsidRDefault="0040160E" w:rsidP="0040160E">
      <w:pPr>
        <w:pStyle w:val="Heading1"/>
      </w:pPr>
      <w:r w:rsidRPr="007B0439">
        <w:t>Reading Difficulties Risk Screening Selection Panel</w:t>
      </w:r>
      <w:r>
        <w:br/>
      </w:r>
      <w:r w:rsidR="0077480E">
        <w:t xml:space="preserve">DRAFT </w:t>
      </w:r>
      <w:r w:rsidRPr="007B0439">
        <w:t>Screener Information Overview</w:t>
      </w:r>
    </w:p>
    <w:p w14:paraId="11B8E54E" w14:textId="72CDC389" w:rsidR="00DC430B" w:rsidRDefault="00B75AD2" w:rsidP="0040160E">
      <w:pPr>
        <w:pStyle w:val="NoSpacing"/>
        <w:spacing w:after="240"/>
        <w:rPr>
          <w:rFonts w:ascii="Arial" w:hAnsi="Arial" w:cs="Arial"/>
          <w:i/>
          <w:iCs/>
        </w:rPr>
      </w:pPr>
      <w:r w:rsidRPr="00B75AD2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51ED9F02" w14:textId="543D9F55" w:rsidR="00910A2B" w:rsidRPr="0040160E" w:rsidRDefault="3557B300" w:rsidP="0040160E">
      <w:pPr>
        <w:pStyle w:val="NoSpacing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Screening Instrument Title:</w:t>
      </w:r>
      <w:r w:rsidR="00E415FE" w:rsidRPr="0040160E">
        <w:rPr>
          <w:rFonts w:ascii="Arial" w:hAnsi="Arial" w:cs="Arial"/>
        </w:rPr>
        <w:t xml:space="preserve"> </w:t>
      </w:r>
      <w:r w:rsidR="006A220B" w:rsidRPr="0040160E">
        <w:rPr>
          <w:rFonts w:ascii="Arial" w:hAnsi="Arial" w:cs="Arial"/>
        </w:rPr>
        <w:t>Amira</w:t>
      </w:r>
    </w:p>
    <w:p w14:paraId="7392D124" w14:textId="46B72A1F" w:rsidR="00910A2B" w:rsidRPr="0040160E" w:rsidRDefault="4CAB7F30" w:rsidP="0040160E">
      <w:pPr>
        <w:pStyle w:val="NoSpacing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Organization:</w:t>
      </w:r>
      <w:r w:rsidR="00E415FE" w:rsidRPr="0040160E">
        <w:rPr>
          <w:rFonts w:ascii="Arial" w:hAnsi="Arial" w:cs="Arial"/>
        </w:rPr>
        <w:t xml:space="preserve"> </w:t>
      </w:r>
      <w:r w:rsidR="006A220B" w:rsidRPr="0040160E">
        <w:rPr>
          <w:rFonts w:ascii="Arial" w:hAnsi="Arial" w:cs="Arial"/>
        </w:rPr>
        <w:t>Amira Learning, Inc. with H</w:t>
      </w:r>
      <w:r w:rsidR="0040160E">
        <w:rPr>
          <w:rFonts w:ascii="Arial" w:hAnsi="Arial" w:cs="Arial"/>
        </w:rPr>
        <w:t xml:space="preserve">oughton </w:t>
      </w:r>
      <w:r w:rsidR="006A220B" w:rsidRPr="0040160E">
        <w:rPr>
          <w:rFonts w:ascii="Arial" w:hAnsi="Arial" w:cs="Arial"/>
        </w:rPr>
        <w:t>M</w:t>
      </w:r>
      <w:r w:rsidR="0040160E">
        <w:rPr>
          <w:rFonts w:ascii="Arial" w:hAnsi="Arial" w:cs="Arial"/>
        </w:rPr>
        <w:t xml:space="preserve">ifflin </w:t>
      </w:r>
      <w:r w:rsidR="006A220B" w:rsidRPr="0040160E">
        <w:rPr>
          <w:rFonts w:ascii="Arial" w:hAnsi="Arial" w:cs="Arial"/>
        </w:rPr>
        <w:t>H</w:t>
      </w:r>
      <w:r w:rsidR="0040160E">
        <w:rPr>
          <w:rFonts w:ascii="Arial" w:hAnsi="Arial" w:cs="Arial"/>
        </w:rPr>
        <w:t>arcourt (HMH)</w:t>
      </w:r>
      <w:r w:rsidR="006A220B" w:rsidRPr="0040160E">
        <w:rPr>
          <w:rFonts w:ascii="Arial" w:hAnsi="Arial" w:cs="Arial"/>
        </w:rPr>
        <w:t xml:space="preserve"> as official distribution partners</w:t>
      </w:r>
    </w:p>
    <w:p w14:paraId="4D992899" w14:textId="2F1700AA" w:rsidR="0060597E" w:rsidRPr="0040160E" w:rsidRDefault="6B91CCD0" w:rsidP="0040160E">
      <w:pPr>
        <w:pStyle w:val="NoSpacing"/>
        <w:contextualSpacing/>
        <w:rPr>
          <w:rFonts w:ascii="Arial" w:eastAsia="Aptos" w:hAnsi="Arial" w:cs="Arial"/>
          <w:lang w:val="fr-FR"/>
        </w:rPr>
      </w:pPr>
      <w:r w:rsidRPr="0040160E">
        <w:rPr>
          <w:rFonts w:ascii="Arial" w:hAnsi="Arial" w:cs="Arial"/>
          <w:lang w:val="fr-FR"/>
        </w:rPr>
        <w:t>Web</w:t>
      </w:r>
      <w:r w:rsidR="00D55824">
        <w:rPr>
          <w:rFonts w:ascii="Arial" w:hAnsi="Arial" w:cs="Arial"/>
          <w:lang w:val="fr-FR"/>
        </w:rPr>
        <w:t xml:space="preserve"> </w:t>
      </w:r>
      <w:proofErr w:type="gramStart"/>
      <w:r w:rsidRPr="0040160E">
        <w:rPr>
          <w:rFonts w:ascii="Arial" w:hAnsi="Arial" w:cs="Arial"/>
          <w:lang w:val="fr-FR"/>
        </w:rPr>
        <w:t>page:</w:t>
      </w:r>
      <w:proofErr w:type="gramEnd"/>
      <w:r w:rsidRPr="0040160E">
        <w:rPr>
          <w:rFonts w:ascii="Arial" w:hAnsi="Arial" w:cs="Arial"/>
          <w:lang w:val="fr-FR"/>
        </w:rPr>
        <w:t xml:space="preserve"> </w:t>
      </w:r>
      <w:hyperlink r:id="rId8" w:tooltip="Amira Learning web page" w:history="1">
        <w:r w:rsidR="00F0492C" w:rsidRPr="0040160E">
          <w:rPr>
            <w:rStyle w:val="Hyperlink"/>
            <w:rFonts w:ascii="Arial" w:hAnsi="Arial" w:cs="Arial"/>
            <w:lang w:val="fr-FR"/>
          </w:rPr>
          <w:t>https://www.amiralearning.com/</w:t>
        </w:r>
      </w:hyperlink>
    </w:p>
    <w:p w14:paraId="1DB1ADB8" w14:textId="36E03DBB" w:rsidR="00910A2B" w:rsidRPr="0040160E" w:rsidRDefault="4CAB7F30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Contact Name(s), Title(s), Email(s)</w:t>
      </w:r>
      <w:r w:rsidR="00674E88" w:rsidRPr="0040160E">
        <w:rPr>
          <w:rFonts w:ascii="Arial" w:hAnsi="Arial" w:cs="Arial"/>
        </w:rPr>
        <w:t>, and Phone Number(s)</w:t>
      </w:r>
      <w:r w:rsidRPr="0040160E">
        <w:rPr>
          <w:rFonts w:ascii="Arial" w:hAnsi="Arial" w:cs="Arial"/>
        </w:rPr>
        <w:t>:</w:t>
      </w:r>
    </w:p>
    <w:p w14:paraId="7E384F26" w14:textId="39465367" w:rsidR="006A220B" w:rsidRPr="00B75AD2" w:rsidRDefault="006A220B" w:rsidP="002905C2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r w:rsidRPr="00B75AD2">
        <w:rPr>
          <w:rFonts w:ascii="Arial" w:hAnsi="Arial" w:cs="Arial"/>
        </w:rPr>
        <w:t>Amira Learning, Dianne Henderson, V</w:t>
      </w:r>
      <w:r w:rsidR="0040160E">
        <w:rPr>
          <w:rFonts w:ascii="Arial" w:hAnsi="Arial" w:cs="Arial"/>
        </w:rPr>
        <w:t xml:space="preserve">ice </w:t>
      </w:r>
      <w:r w:rsidRPr="00B75AD2">
        <w:rPr>
          <w:rFonts w:ascii="Arial" w:hAnsi="Arial" w:cs="Arial"/>
        </w:rPr>
        <w:t>P</w:t>
      </w:r>
      <w:r w:rsidR="0040160E">
        <w:rPr>
          <w:rFonts w:ascii="Arial" w:hAnsi="Arial" w:cs="Arial"/>
        </w:rPr>
        <w:t>resident</w:t>
      </w:r>
      <w:r w:rsidRPr="00B75AD2">
        <w:rPr>
          <w:rFonts w:ascii="Arial" w:hAnsi="Arial" w:cs="Arial"/>
        </w:rPr>
        <w:t xml:space="preserve"> Impact, </w:t>
      </w:r>
      <w:hyperlink r:id="rId9" w:history="1">
        <w:r w:rsidRPr="002905C2">
          <w:rPr>
            <w:rStyle w:val="Hyperlink"/>
            <w:rFonts w:ascii="Arial" w:hAnsi="Arial" w:cs="Arial"/>
          </w:rPr>
          <w:t>Dianne.Henderson@amiralearning.com</w:t>
        </w:r>
      </w:hyperlink>
      <w:r w:rsidR="00DC4CAB" w:rsidRPr="00B75AD2">
        <w:rPr>
          <w:rFonts w:ascii="Arial" w:hAnsi="Arial" w:cs="Arial"/>
        </w:rPr>
        <w:t xml:space="preserve"> </w:t>
      </w:r>
    </w:p>
    <w:p w14:paraId="1E906F6D" w14:textId="1BCE5390" w:rsidR="006A220B" w:rsidRPr="00B75AD2" w:rsidRDefault="006A220B" w:rsidP="0040160E">
      <w:pPr>
        <w:pStyle w:val="NoSpacing"/>
        <w:numPr>
          <w:ilvl w:val="0"/>
          <w:numId w:val="42"/>
        </w:numPr>
        <w:contextualSpacing/>
        <w:rPr>
          <w:rFonts w:ascii="Arial" w:hAnsi="Arial" w:cs="Arial"/>
        </w:rPr>
      </w:pPr>
      <w:r w:rsidRPr="00B75AD2">
        <w:rPr>
          <w:rFonts w:ascii="Arial" w:hAnsi="Arial" w:cs="Arial"/>
        </w:rPr>
        <w:t>HMH official distribution partner, Edward Howard, V</w:t>
      </w:r>
      <w:r w:rsidR="0040160E">
        <w:rPr>
          <w:rFonts w:ascii="Arial" w:hAnsi="Arial" w:cs="Arial"/>
        </w:rPr>
        <w:t xml:space="preserve">ice </w:t>
      </w:r>
      <w:r w:rsidRPr="00B75AD2">
        <w:rPr>
          <w:rFonts w:ascii="Arial" w:hAnsi="Arial" w:cs="Arial"/>
        </w:rPr>
        <w:t>P</w:t>
      </w:r>
      <w:r w:rsidR="0040160E">
        <w:rPr>
          <w:rFonts w:ascii="Arial" w:hAnsi="Arial" w:cs="Arial"/>
        </w:rPr>
        <w:t>resident</w:t>
      </w:r>
      <w:r w:rsidRPr="00B75AD2">
        <w:rPr>
          <w:rFonts w:ascii="Arial" w:hAnsi="Arial" w:cs="Arial"/>
        </w:rPr>
        <w:t xml:space="preserve"> of Product Management, </w:t>
      </w:r>
      <w:hyperlink r:id="rId10" w:history="1">
        <w:r w:rsidRPr="002905C2">
          <w:rPr>
            <w:rStyle w:val="Hyperlink"/>
            <w:rFonts w:ascii="Arial" w:hAnsi="Arial" w:cs="Arial"/>
          </w:rPr>
          <w:t>edward.howard@hmhco.com</w:t>
        </w:r>
      </w:hyperlink>
      <w:r w:rsidR="00DC4CAB" w:rsidRPr="00B75AD2">
        <w:rPr>
          <w:rFonts w:ascii="Arial" w:hAnsi="Arial" w:cs="Arial"/>
        </w:rPr>
        <w:t xml:space="preserve"> </w:t>
      </w:r>
    </w:p>
    <w:p w14:paraId="27801F61" w14:textId="29EB0894" w:rsidR="002868FA" w:rsidRPr="00B75AD2" w:rsidRDefault="75573527" w:rsidP="0040160E">
      <w:pPr>
        <w:pStyle w:val="Heading2"/>
      </w:pPr>
      <w:r w:rsidRPr="00B75AD2">
        <w:t>General Information</w:t>
      </w:r>
    </w:p>
    <w:p w14:paraId="3F616E78" w14:textId="702E64D2" w:rsidR="00DC430B" w:rsidRPr="0040160E" w:rsidRDefault="75573527" w:rsidP="0040160E">
      <w:pPr>
        <w:pStyle w:val="NoSpacing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Recommended grade(s)</w:t>
      </w:r>
      <w:r w:rsidR="006A220B" w:rsidRPr="0040160E">
        <w:rPr>
          <w:rFonts w:ascii="Arial" w:hAnsi="Arial" w:cs="Arial"/>
        </w:rPr>
        <w:t>:</w:t>
      </w:r>
      <w:r w:rsidR="006A220B" w:rsidRPr="00B75AD2">
        <w:rPr>
          <w:rFonts w:ascii="Arial" w:hAnsi="Arial" w:cs="Arial"/>
          <w:b/>
          <w:bCs/>
        </w:rPr>
        <w:t xml:space="preserve"> </w:t>
      </w:r>
      <w:bookmarkStart w:id="0" w:name="_Hlk181214889"/>
      <w:r w:rsidR="0040160E">
        <w:rPr>
          <w:rFonts w:ascii="Arial" w:hAnsi="Arial" w:cs="Arial"/>
        </w:rPr>
        <w:t>Kindergarten</w:t>
      </w:r>
      <w:r w:rsidR="00C50B7C">
        <w:rPr>
          <w:rFonts w:ascii="Arial" w:hAnsi="Arial" w:cs="Arial"/>
        </w:rPr>
        <w:t>, Grade One, Grade Two</w:t>
      </w:r>
      <w:bookmarkEnd w:id="0"/>
    </w:p>
    <w:p w14:paraId="3061808D" w14:textId="0473CF40" w:rsidR="0060597E" w:rsidRPr="00B75AD2" w:rsidRDefault="00B75AD2" w:rsidP="0040160E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B75AD2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Pr="00B75AD2">
        <w:rPr>
          <w:rFonts w:ascii="Arial" w:hAnsi="Arial" w:cs="Arial"/>
        </w:rPr>
        <w:t>the Skills Measured shown in the table below are from Cal</w:t>
      </w:r>
      <w:r w:rsidR="0040160E">
        <w:rPr>
          <w:rFonts w:ascii="Arial" w:hAnsi="Arial" w:cs="Arial"/>
        </w:rPr>
        <w:t>ifornia</w:t>
      </w:r>
      <w:r w:rsidRPr="00B75AD2">
        <w:rPr>
          <w:rFonts w:ascii="Arial" w:hAnsi="Arial" w:cs="Arial"/>
        </w:rPr>
        <w:t xml:space="preserve"> </w:t>
      </w:r>
      <w:r w:rsidRPr="0040160E">
        <w:rPr>
          <w:rFonts w:ascii="Arial" w:hAnsi="Arial" w:cs="Arial"/>
          <w:i/>
          <w:iCs/>
        </w:rPr>
        <w:t>Ed</w:t>
      </w:r>
      <w:r w:rsidR="0040160E" w:rsidRPr="0040160E">
        <w:rPr>
          <w:rFonts w:ascii="Arial" w:hAnsi="Arial" w:cs="Arial"/>
          <w:i/>
          <w:iCs/>
        </w:rPr>
        <w:t>ucation</w:t>
      </w:r>
      <w:r w:rsidRPr="0040160E">
        <w:rPr>
          <w:rFonts w:ascii="Arial" w:hAnsi="Arial" w:cs="Arial"/>
          <w:i/>
          <w:iCs/>
        </w:rPr>
        <w:t xml:space="preserve"> Code </w:t>
      </w:r>
      <w:r w:rsidR="00F629FA">
        <w:rPr>
          <w:rFonts w:ascii="Arial" w:hAnsi="Arial" w:cs="Arial"/>
        </w:rPr>
        <w:t xml:space="preserve">Section </w:t>
      </w:r>
      <w:r w:rsidRPr="00B75AD2">
        <w:rPr>
          <w:rFonts w:ascii="Arial" w:hAnsi="Arial" w:cs="Arial"/>
        </w:rPr>
        <w:t>53008 (g)(1)(B).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kills measured in kindergarten through grade two."/>
      </w:tblPr>
      <w:tblGrid>
        <w:gridCol w:w="4135"/>
        <w:gridCol w:w="1980"/>
        <w:gridCol w:w="1980"/>
        <w:gridCol w:w="1975"/>
      </w:tblGrid>
      <w:tr w:rsidR="00674E88" w:rsidRPr="00B75AD2" w14:paraId="2421819F" w14:textId="77777777" w:rsidTr="001C1B3A">
        <w:trPr>
          <w:cantSplit/>
          <w:tblHeader/>
        </w:trPr>
        <w:tc>
          <w:tcPr>
            <w:tcW w:w="4135" w:type="dxa"/>
          </w:tcPr>
          <w:p w14:paraId="506C4CBD" w14:textId="5A133509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1980" w:type="dxa"/>
          </w:tcPr>
          <w:p w14:paraId="65C8C0EE" w14:textId="67B5D266" w:rsidR="00674E88" w:rsidRPr="00B75AD2" w:rsidRDefault="00674E88" w:rsidP="004016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75AD2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1980" w:type="dxa"/>
          </w:tcPr>
          <w:p w14:paraId="619E553B" w14:textId="4FE2C94E" w:rsidR="00674E88" w:rsidRPr="00B75AD2" w:rsidRDefault="00674E88" w:rsidP="004016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75AD2">
              <w:rPr>
                <w:rFonts w:ascii="Arial" w:hAnsi="Arial" w:cs="Arial"/>
                <w:b/>
                <w:bCs/>
              </w:rPr>
              <w:t>Grade 1</w:t>
            </w:r>
          </w:p>
        </w:tc>
        <w:tc>
          <w:tcPr>
            <w:tcW w:w="1975" w:type="dxa"/>
          </w:tcPr>
          <w:p w14:paraId="1238B26C" w14:textId="2BFBA645" w:rsidR="00674E88" w:rsidRPr="00B75AD2" w:rsidRDefault="00674E88" w:rsidP="004016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75AD2">
              <w:rPr>
                <w:rFonts w:ascii="Arial" w:hAnsi="Arial" w:cs="Arial"/>
                <w:b/>
                <w:bCs/>
              </w:rPr>
              <w:t>Grade 2</w:t>
            </w:r>
          </w:p>
        </w:tc>
      </w:tr>
      <w:tr w:rsidR="00674E88" w:rsidRPr="00B75AD2" w14:paraId="335C6877" w14:textId="77777777" w:rsidTr="001C1B3A">
        <w:trPr>
          <w:cantSplit/>
        </w:trPr>
        <w:tc>
          <w:tcPr>
            <w:tcW w:w="4135" w:type="dxa"/>
          </w:tcPr>
          <w:p w14:paraId="408BBC48" w14:textId="7901CDBF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oral language</w:t>
            </w:r>
          </w:p>
        </w:tc>
        <w:tc>
          <w:tcPr>
            <w:tcW w:w="1980" w:type="dxa"/>
          </w:tcPr>
          <w:p w14:paraId="4BC2F7B6" w14:textId="44B8B22B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11A5EDFE" w14:textId="7C97FB87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25A7D9D4" w14:textId="6D995710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17836D69" w14:textId="77777777" w:rsidTr="001C1B3A">
        <w:trPr>
          <w:cantSplit/>
        </w:trPr>
        <w:tc>
          <w:tcPr>
            <w:tcW w:w="4135" w:type="dxa"/>
          </w:tcPr>
          <w:p w14:paraId="38AEB74F" w14:textId="159F7D06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proofErr w:type="gramStart"/>
            <w:r w:rsidRPr="00B75AD2">
              <w:rPr>
                <w:rFonts w:ascii="Arial" w:hAnsi="Arial" w:cs="Arial"/>
              </w:rPr>
              <w:t>phonological</w:t>
            </w:r>
            <w:proofErr w:type="gramEnd"/>
            <w:r w:rsidRPr="00B75AD2">
              <w:rPr>
                <w:rFonts w:ascii="Arial" w:hAnsi="Arial" w:cs="Arial"/>
              </w:rPr>
              <w:t xml:space="preserve"> awareness</w:t>
            </w:r>
          </w:p>
        </w:tc>
        <w:tc>
          <w:tcPr>
            <w:tcW w:w="1980" w:type="dxa"/>
          </w:tcPr>
          <w:p w14:paraId="21BB2E8A" w14:textId="72AEF5D3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24F519A2" w14:textId="3FC8D679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69E529DA" w14:textId="6919DA5F" w:rsidR="00674E88" w:rsidRPr="00B75AD2" w:rsidRDefault="000B507F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7CC4B0E7" w14:textId="77777777" w:rsidTr="001C1B3A">
        <w:trPr>
          <w:cantSplit/>
        </w:trPr>
        <w:tc>
          <w:tcPr>
            <w:tcW w:w="4135" w:type="dxa"/>
          </w:tcPr>
          <w:p w14:paraId="2B1AE1A0" w14:textId="17189DE3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phonemic awareness</w:t>
            </w:r>
          </w:p>
        </w:tc>
        <w:tc>
          <w:tcPr>
            <w:tcW w:w="1980" w:type="dxa"/>
          </w:tcPr>
          <w:p w14:paraId="414E7098" w14:textId="5B92C166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79425D45" w14:textId="7FF92594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0201090C" w14:textId="12472993" w:rsidR="00674E88" w:rsidRPr="00B75AD2" w:rsidRDefault="000B507F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067347E7" w14:textId="77777777" w:rsidTr="001C1B3A">
        <w:trPr>
          <w:cantSplit/>
        </w:trPr>
        <w:tc>
          <w:tcPr>
            <w:tcW w:w="4135" w:type="dxa"/>
          </w:tcPr>
          <w:p w14:paraId="48CD1865" w14:textId="2B1F4AA6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decoding skills</w:t>
            </w:r>
          </w:p>
        </w:tc>
        <w:tc>
          <w:tcPr>
            <w:tcW w:w="1980" w:type="dxa"/>
          </w:tcPr>
          <w:p w14:paraId="7F2DAAC9" w14:textId="4FF4867B" w:rsidR="00674E88" w:rsidRPr="00B75AD2" w:rsidRDefault="00D40750" w:rsidP="0040160E">
            <w:pPr>
              <w:pStyle w:val="NoSpacing"/>
              <w:contextualSpacing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1980" w:type="dxa"/>
          </w:tcPr>
          <w:p w14:paraId="15FDE7E5" w14:textId="230EAEAB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48B5EDDE" w14:textId="14A5398C" w:rsidR="00674E88" w:rsidRPr="00B75AD2" w:rsidRDefault="000B507F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72563357" w14:textId="77777777" w:rsidTr="001C1B3A">
        <w:trPr>
          <w:cantSplit/>
        </w:trPr>
        <w:tc>
          <w:tcPr>
            <w:tcW w:w="4135" w:type="dxa"/>
          </w:tcPr>
          <w:p w14:paraId="347686EE" w14:textId="06D5CD79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980" w:type="dxa"/>
          </w:tcPr>
          <w:p w14:paraId="42232DF4" w14:textId="4FF28CC9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5AA6CD25" w14:textId="7B878732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4C18E6AC" w14:textId="1FC9F00F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B75AD2" w14:paraId="74EA08AB" w14:textId="77777777" w:rsidTr="001C1B3A">
        <w:trPr>
          <w:cantSplit/>
        </w:trPr>
        <w:tc>
          <w:tcPr>
            <w:tcW w:w="4135" w:type="dxa"/>
          </w:tcPr>
          <w:p w14:paraId="6FFC8F28" w14:textId="732167F0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980" w:type="dxa"/>
          </w:tcPr>
          <w:p w14:paraId="470CE9CB" w14:textId="496A6CFF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5571D8C0" w14:textId="4433C86B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0B952CF2" w14:textId="210B2447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74E88" w:rsidRPr="00B75AD2" w14:paraId="12B2926C" w14:textId="77777777" w:rsidTr="001C1B3A">
        <w:trPr>
          <w:cantSplit/>
        </w:trPr>
        <w:tc>
          <w:tcPr>
            <w:tcW w:w="4135" w:type="dxa"/>
          </w:tcPr>
          <w:p w14:paraId="515B7045" w14:textId="3868074D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980" w:type="dxa"/>
          </w:tcPr>
          <w:p w14:paraId="3BEEF37D" w14:textId="4649C8CE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58FFD5E1" w14:textId="42664CA3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69BCFFEA" w14:textId="5BDA7686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0FB09432" w14:textId="77777777" w:rsidTr="001C1B3A">
        <w:trPr>
          <w:cantSplit/>
        </w:trPr>
        <w:tc>
          <w:tcPr>
            <w:tcW w:w="4135" w:type="dxa"/>
          </w:tcPr>
          <w:p w14:paraId="67A7E79D" w14:textId="5E8FB34C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visual attention</w:t>
            </w:r>
          </w:p>
        </w:tc>
        <w:tc>
          <w:tcPr>
            <w:tcW w:w="1980" w:type="dxa"/>
          </w:tcPr>
          <w:p w14:paraId="2F6D5C96" w14:textId="5CCDFDD4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1185A536" w14:textId="509D743C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4F1FBD5E" w14:textId="4889F3A2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3398A937" w14:textId="77777777" w:rsidTr="001C1B3A">
        <w:trPr>
          <w:cantSplit/>
        </w:trPr>
        <w:tc>
          <w:tcPr>
            <w:tcW w:w="4135" w:type="dxa"/>
          </w:tcPr>
          <w:p w14:paraId="0431FBDD" w14:textId="41B7460C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reading fluency</w:t>
            </w:r>
          </w:p>
        </w:tc>
        <w:tc>
          <w:tcPr>
            <w:tcW w:w="1980" w:type="dxa"/>
          </w:tcPr>
          <w:p w14:paraId="0C97FB85" w14:textId="152616F3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3D98D391" w14:textId="69748CC8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2AF928A2" w14:textId="266C4E1D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551E6982" w14:textId="77777777" w:rsidTr="001C1B3A">
        <w:trPr>
          <w:cantSplit/>
        </w:trPr>
        <w:tc>
          <w:tcPr>
            <w:tcW w:w="4135" w:type="dxa"/>
          </w:tcPr>
          <w:p w14:paraId="02A07F12" w14:textId="014E8560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vocabulary</w:t>
            </w:r>
          </w:p>
        </w:tc>
        <w:tc>
          <w:tcPr>
            <w:tcW w:w="1980" w:type="dxa"/>
          </w:tcPr>
          <w:p w14:paraId="62379214" w14:textId="4D0D0316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08EC007C" w14:textId="2CF6890D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60DB38C9" w14:textId="296FD3C3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B75AD2" w14:paraId="4AC25CE5" w14:textId="77777777" w:rsidTr="001C1B3A">
        <w:trPr>
          <w:cantSplit/>
        </w:trPr>
        <w:tc>
          <w:tcPr>
            <w:tcW w:w="4135" w:type="dxa"/>
          </w:tcPr>
          <w:p w14:paraId="0AC28F0D" w14:textId="5854F7DD" w:rsidR="00674E88" w:rsidRPr="00B75AD2" w:rsidRDefault="00674E88" w:rsidP="0040160E">
            <w:pPr>
              <w:pStyle w:val="NoSpacing"/>
              <w:contextualSpacing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980" w:type="dxa"/>
          </w:tcPr>
          <w:p w14:paraId="64F68BA2" w14:textId="3A92B232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80" w:type="dxa"/>
          </w:tcPr>
          <w:p w14:paraId="6157C29B" w14:textId="1026E5E2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975" w:type="dxa"/>
          </w:tcPr>
          <w:p w14:paraId="7ED19EB4" w14:textId="248D80AF" w:rsidR="00674E88" w:rsidRPr="00B75AD2" w:rsidRDefault="00B75AD2" w:rsidP="004016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25B000FD" w:rsidRPr="00B75AD2" w14:paraId="4A9FE97C" w14:textId="77777777" w:rsidTr="001C1B3A">
        <w:trPr>
          <w:cantSplit/>
          <w:trHeight w:val="300"/>
        </w:trPr>
        <w:tc>
          <w:tcPr>
            <w:tcW w:w="4135" w:type="dxa"/>
          </w:tcPr>
          <w:p w14:paraId="0AB7EA31" w14:textId="1C79223E" w:rsidR="25B000FD" w:rsidRPr="00B75AD2" w:rsidRDefault="25B000FD" w:rsidP="0040160E">
            <w:pPr>
              <w:pStyle w:val="NoSpacing"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Other: Spelling/Encoding</w:t>
            </w:r>
          </w:p>
        </w:tc>
        <w:tc>
          <w:tcPr>
            <w:tcW w:w="1980" w:type="dxa"/>
          </w:tcPr>
          <w:p w14:paraId="39FB3F64" w14:textId="44BA7929" w:rsidR="25B000FD" w:rsidRPr="00B75AD2" w:rsidRDefault="00B75AD2" w:rsidP="0040160E">
            <w:pPr>
              <w:pStyle w:val="NoSpacing"/>
              <w:jc w:val="center"/>
              <w:rPr>
                <w:rFonts w:ascii="Arial" w:hAnsi="Arial" w:cs="Arial"/>
              </w:rPr>
            </w:pPr>
            <w:r w:rsidRPr="00B75AD2">
              <w:rPr>
                <w:rFonts w:ascii="Arial" w:hAnsi="Arial" w:cs="Arial"/>
              </w:rPr>
              <w:t>Not indicated</w:t>
            </w:r>
          </w:p>
        </w:tc>
        <w:tc>
          <w:tcPr>
            <w:tcW w:w="1980" w:type="dxa"/>
          </w:tcPr>
          <w:p w14:paraId="088729F1" w14:textId="30603CB8" w:rsidR="25B000FD" w:rsidRPr="00B75AD2" w:rsidRDefault="00B75AD2" w:rsidP="004016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975" w:type="dxa"/>
          </w:tcPr>
          <w:p w14:paraId="0C63EE4B" w14:textId="6A001D22" w:rsidR="25B000FD" w:rsidRPr="00B75AD2" w:rsidRDefault="00B75AD2" w:rsidP="004016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854F00" w:rsidRPr="00B75AD2" w14:paraId="3A23B31D" w14:textId="77777777" w:rsidTr="001C1B3A">
        <w:trPr>
          <w:cantSplit/>
          <w:trHeight w:val="300"/>
        </w:trPr>
        <w:tc>
          <w:tcPr>
            <w:tcW w:w="4135" w:type="dxa"/>
          </w:tcPr>
          <w:p w14:paraId="7888C766" w14:textId="013780EA" w:rsidR="00854F00" w:rsidRPr="00854F00" w:rsidRDefault="00854F00" w:rsidP="0040160E">
            <w:pPr>
              <w:pStyle w:val="NoSpacing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Other</w:t>
            </w:r>
            <w:r>
              <w:rPr>
                <w:rFonts w:ascii="Arial" w:eastAsia="Malgun Gothic" w:hAnsi="Arial" w:cs="Arial" w:hint="eastAsia"/>
                <w:lang w:eastAsia="ko-KR"/>
              </w:rPr>
              <w:t xml:space="preserve">: Phonological memory </w:t>
            </w:r>
          </w:p>
        </w:tc>
        <w:tc>
          <w:tcPr>
            <w:tcW w:w="1980" w:type="dxa"/>
          </w:tcPr>
          <w:p w14:paraId="32569D40" w14:textId="4C262E55" w:rsidR="00854F00" w:rsidRPr="00B75AD2" w:rsidRDefault="00D40750" w:rsidP="0040160E">
            <w:pPr>
              <w:pStyle w:val="NoSpacing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1980" w:type="dxa"/>
          </w:tcPr>
          <w:p w14:paraId="3FDB6A34" w14:textId="7EFD06B1" w:rsidR="00854F00" w:rsidRDefault="00D40750" w:rsidP="0040160E">
            <w:pPr>
              <w:pStyle w:val="NoSpacing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  <w:tc>
          <w:tcPr>
            <w:tcW w:w="1975" w:type="dxa"/>
          </w:tcPr>
          <w:p w14:paraId="5F863171" w14:textId="5DEB967A" w:rsidR="00854F00" w:rsidRDefault="00F408B8" w:rsidP="0040160E">
            <w:pPr>
              <w:pStyle w:val="NoSpacing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Not indicated</w:t>
            </w:r>
          </w:p>
        </w:tc>
      </w:tr>
      <w:tr w:rsidR="00F408B8" w:rsidRPr="00B75AD2" w14:paraId="5CBF6391" w14:textId="77777777" w:rsidTr="001C1B3A">
        <w:trPr>
          <w:cantSplit/>
          <w:trHeight w:val="300"/>
        </w:trPr>
        <w:tc>
          <w:tcPr>
            <w:tcW w:w="4135" w:type="dxa"/>
          </w:tcPr>
          <w:p w14:paraId="0AA96290" w14:textId="5D81E777" w:rsidR="00F408B8" w:rsidRDefault="00F408B8" w:rsidP="00F408B8">
            <w:pPr>
              <w:pStyle w:val="NoSpacing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Other</w:t>
            </w:r>
            <w:r>
              <w:rPr>
                <w:rFonts w:ascii="Arial" w:eastAsia="Malgun Gothic" w:hAnsi="Arial" w:cs="Arial" w:hint="eastAsia"/>
                <w:lang w:eastAsia="ko-KR"/>
              </w:rPr>
              <w:t>: Reading comprehension</w:t>
            </w:r>
          </w:p>
        </w:tc>
        <w:tc>
          <w:tcPr>
            <w:tcW w:w="1980" w:type="dxa"/>
          </w:tcPr>
          <w:p w14:paraId="1F36ED41" w14:textId="045DAE5C" w:rsidR="00F408B8" w:rsidRDefault="00F408B8" w:rsidP="00F408B8">
            <w:pPr>
              <w:pStyle w:val="NoSpacing"/>
              <w:jc w:val="center"/>
              <w:rPr>
                <w:rFonts w:ascii="Arial" w:hAnsi="Arial" w:cs="Arial"/>
                <w:lang w:eastAsia="ko-KR"/>
              </w:rPr>
            </w:pPr>
            <w:r w:rsidRPr="00605A21">
              <w:rPr>
                <w:rFonts w:ascii="Arial" w:hAnsi="Arial" w:cs="Arial"/>
              </w:rPr>
              <w:t>Not indicated</w:t>
            </w:r>
          </w:p>
        </w:tc>
        <w:tc>
          <w:tcPr>
            <w:tcW w:w="1980" w:type="dxa"/>
          </w:tcPr>
          <w:p w14:paraId="1938A045" w14:textId="18F6BA05" w:rsidR="00F408B8" w:rsidRDefault="00F408B8" w:rsidP="00F408B8">
            <w:pPr>
              <w:pStyle w:val="NoSpacing"/>
              <w:jc w:val="center"/>
              <w:rPr>
                <w:rFonts w:ascii="Arial" w:hAnsi="Arial" w:cs="Arial"/>
                <w:lang w:eastAsia="ko-KR"/>
              </w:rPr>
            </w:pPr>
            <w:r w:rsidRPr="00605A21">
              <w:rPr>
                <w:rFonts w:ascii="Arial" w:hAnsi="Arial" w:cs="Arial"/>
              </w:rPr>
              <w:t>Not indicated</w:t>
            </w:r>
          </w:p>
        </w:tc>
        <w:tc>
          <w:tcPr>
            <w:tcW w:w="1975" w:type="dxa"/>
          </w:tcPr>
          <w:p w14:paraId="2C693FC0" w14:textId="2DA2AC8B" w:rsidR="00F408B8" w:rsidRDefault="00F408B8" w:rsidP="00F408B8">
            <w:pPr>
              <w:pStyle w:val="NoSpacing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Yes</w:t>
            </w:r>
          </w:p>
        </w:tc>
      </w:tr>
    </w:tbl>
    <w:p w14:paraId="7AB58ED5" w14:textId="2D046C96" w:rsidR="001C1B3A" w:rsidRDefault="001C1B3A" w:rsidP="001C1B3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168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Page 1 of 4</w:t>
      </w:r>
    </w:p>
    <w:p w14:paraId="11772543" w14:textId="7C665D7A" w:rsidR="00B75AD2" w:rsidRPr="0040160E" w:rsidRDefault="25B000FD" w:rsidP="0040160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240" w:after="240"/>
        <w:rPr>
          <w:rFonts w:ascii="Arial" w:hAnsi="Arial" w:cs="Arial"/>
        </w:rPr>
      </w:pPr>
      <w:r w:rsidRPr="0040160E">
        <w:rPr>
          <w:rFonts w:ascii="Arial" w:hAnsi="Arial" w:cs="Arial"/>
        </w:rPr>
        <w:t>Recommended for use with the following student populations:</w:t>
      </w:r>
    </w:p>
    <w:p w14:paraId="1CEEFBDB" w14:textId="7E1CFBF1" w:rsidR="00B75AD2" w:rsidRPr="0040160E" w:rsidRDefault="25B000FD" w:rsidP="0040160E">
      <w:pPr>
        <w:pStyle w:val="NoSpacing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general education students</w:t>
      </w:r>
    </w:p>
    <w:p w14:paraId="29E57C52" w14:textId="38FA38AC" w:rsidR="00B75AD2" w:rsidRPr="0040160E" w:rsidRDefault="25B000FD" w:rsidP="0040160E">
      <w:pPr>
        <w:pStyle w:val="NoSpacing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students with disabilities</w:t>
      </w:r>
    </w:p>
    <w:p w14:paraId="634A71F2" w14:textId="1740BED4" w:rsidR="00447544" w:rsidRPr="0040160E" w:rsidRDefault="25B000FD" w:rsidP="0040160E">
      <w:pPr>
        <w:pStyle w:val="NoSpacing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English learners</w:t>
      </w:r>
    </w:p>
    <w:p w14:paraId="60537746" w14:textId="74505294" w:rsidR="00751652" w:rsidRPr="0040160E" w:rsidRDefault="00751652" w:rsidP="0040160E">
      <w:pPr>
        <w:pStyle w:val="NoSpacing"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bi/multilingual learners (</w:t>
      </w:r>
      <w:proofErr w:type="gramStart"/>
      <w:r w:rsidR="00FF09B4" w:rsidRPr="0040160E">
        <w:rPr>
          <w:rFonts w:ascii="Arial" w:hAnsi="Arial" w:cs="Arial"/>
        </w:rPr>
        <w:t>English</w:t>
      </w:r>
      <w:r w:rsidR="002905C2">
        <w:rPr>
          <w:rFonts w:ascii="Arial" w:hAnsi="Arial" w:cs="Arial"/>
        </w:rPr>
        <w:t>–</w:t>
      </w:r>
      <w:r w:rsidRPr="0040160E">
        <w:rPr>
          <w:rFonts w:ascii="Arial" w:hAnsi="Arial" w:cs="Arial"/>
        </w:rPr>
        <w:t>Spanish</w:t>
      </w:r>
      <w:proofErr w:type="gramEnd"/>
      <w:r w:rsidRPr="0040160E">
        <w:rPr>
          <w:rFonts w:ascii="Arial" w:hAnsi="Arial" w:cs="Arial"/>
        </w:rPr>
        <w:t>)</w:t>
      </w:r>
    </w:p>
    <w:p w14:paraId="538B8FF1" w14:textId="49F4C58B" w:rsidR="00B46D10" w:rsidRPr="0040160E" w:rsidRDefault="00B46D10" w:rsidP="001C1B3A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Languages Available: </w:t>
      </w:r>
      <w:r w:rsidR="006A220B" w:rsidRPr="0040160E">
        <w:rPr>
          <w:rFonts w:ascii="Arial" w:hAnsi="Arial" w:cs="Arial"/>
        </w:rPr>
        <w:t>English, Spanish</w:t>
      </w:r>
    </w:p>
    <w:p w14:paraId="0F609261" w14:textId="10399A83" w:rsidR="00434D5C" w:rsidRPr="00E63784" w:rsidRDefault="7562CE4D" w:rsidP="0040160E">
      <w:pPr>
        <w:pStyle w:val="NoSpacing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Information about establishing student language proficiency to administer screener:</w:t>
      </w:r>
      <w:r w:rsidR="00E63784" w:rsidRPr="0040160E">
        <w:rPr>
          <w:rFonts w:ascii="Arial" w:hAnsi="Arial" w:cs="Arial"/>
        </w:rPr>
        <w:t xml:space="preserve"> </w:t>
      </w:r>
      <w:r w:rsidR="00AF562C">
        <w:rPr>
          <w:rFonts w:ascii="Arial" w:hAnsi="Arial" w:cs="Arial"/>
        </w:rPr>
        <w:t xml:space="preserve">Yes, </w:t>
      </w:r>
      <w:r w:rsidR="00E63784" w:rsidRPr="00E63784">
        <w:rPr>
          <w:rFonts w:ascii="Arial" w:hAnsi="Arial" w:cs="Arial"/>
        </w:rPr>
        <w:t>Amira offers four ways to screen students for reading risk depending on English</w:t>
      </w:r>
      <w:r w:rsidR="00F30E66">
        <w:rPr>
          <w:rFonts w:ascii="Arial" w:hAnsi="Arial" w:cs="Arial"/>
        </w:rPr>
        <w:t xml:space="preserve"> </w:t>
      </w:r>
      <w:r w:rsidR="00E63784" w:rsidRPr="00E63784">
        <w:rPr>
          <w:rFonts w:ascii="Arial" w:hAnsi="Arial" w:cs="Arial"/>
        </w:rPr>
        <w:t>language proficiency</w:t>
      </w:r>
      <w:r w:rsidR="000B507F">
        <w:rPr>
          <w:rFonts w:ascii="Arial" w:hAnsi="Arial" w:cs="Arial"/>
        </w:rPr>
        <w:t xml:space="preserve"> </w:t>
      </w:r>
      <w:r w:rsidR="00E63784" w:rsidRPr="00E63784">
        <w:rPr>
          <w:rFonts w:ascii="Arial" w:hAnsi="Arial" w:cs="Arial"/>
        </w:rPr>
        <w:t>and information to support screening, intervention, and instruction: 1) English Screener with English proctoring</w:t>
      </w:r>
      <w:r w:rsidR="000B507F">
        <w:rPr>
          <w:rFonts w:ascii="Arial" w:hAnsi="Arial" w:cs="Arial"/>
        </w:rPr>
        <w:t xml:space="preserve"> (for students proficient in English or </w:t>
      </w:r>
      <w:r w:rsidR="00C20D92">
        <w:rPr>
          <w:rFonts w:ascii="Arial" w:hAnsi="Arial" w:cs="Arial"/>
        </w:rPr>
        <w:t xml:space="preserve">Level </w:t>
      </w:r>
      <w:r w:rsidR="00FD7B95">
        <w:rPr>
          <w:rFonts w:ascii="Arial" w:hAnsi="Arial" w:cs="Arial"/>
        </w:rPr>
        <w:t>three</w:t>
      </w:r>
      <w:r w:rsidR="00C20D92">
        <w:rPr>
          <w:rFonts w:ascii="Arial" w:hAnsi="Arial" w:cs="Arial"/>
        </w:rPr>
        <w:t xml:space="preserve"> or above on ELPAC)</w:t>
      </w:r>
      <w:r w:rsidR="00E63784" w:rsidRPr="00E63784">
        <w:rPr>
          <w:rFonts w:ascii="Arial" w:hAnsi="Arial" w:cs="Arial"/>
        </w:rPr>
        <w:t>; 2) English Screener with Spanish proctoring</w:t>
      </w:r>
      <w:r w:rsidR="00C20D92">
        <w:rPr>
          <w:rFonts w:ascii="Arial" w:hAnsi="Arial" w:cs="Arial"/>
        </w:rPr>
        <w:t xml:space="preserve"> (Level </w:t>
      </w:r>
      <w:r w:rsidR="00FD7B95">
        <w:rPr>
          <w:rFonts w:ascii="Arial" w:hAnsi="Arial" w:cs="Arial"/>
        </w:rPr>
        <w:t>three</w:t>
      </w:r>
      <w:r w:rsidR="00C20D92">
        <w:rPr>
          <w:rFonts w:ascii="Arial" w:hAnsi="Arial" w:cs="Arial"/>
        </w:rPr>
        <w:t xml:space="preserve"> or above on ELPAC)</w:t>
      </w:r>
      <w:r w:rsidR="00E63784" w:rsidRPr="00E63784">
        <w:rPr>
          <w:rFonts w:ascii="Arial" w:hAnsi="Arial" w:cs="Arial"/>
        </w:rPr>
        <w:t>; 3) Spanish Screener (Amira Espa</w:t>
      </w:r>
      <w:r w:rsidR="00E63784" w:rsidRPr="00E63784">
        <w:rPr>
          <w:rFonts w:ascii="Arial" w:hAnsi="Arial" w:cs="Arial" w:hint="eastAsia"/>
        </w:rPr>
        <w:t>ñ</w:t>
      </w:r>
      <w:r w:rsidR="00E63784" w:rsidRPr="00E63784">
        <w:rPr>
          <w:rFonts w:ascii="Arial" w:hAnsi="Arial" w:cs="Arial"/>
        </w:rPr>
        <w:t>ol) with Spanish proctoring</w:t>
      </w:r>
      <w:r w:rsidR="00C20D92">
        <w:rPr>
          <w:rFonts w:ascii="Arial" w:hAnsi="Arial" w:cs="Arial"/>
        </w:rPr>
        <w:t xml:space="preserve"> (Levels </w:t>
      </w:r>
      <w:r w:rsidR="00FD7B95">
        <w:rPr>
          <w:rFonts w:ascii="Arial" w:hAnsi="Arial" w:cs="Arial"/>
        </w:rPr>
        <w:t>one</w:t>
      </w:r>
      <w:r w:rsidR="00C20D92">
        <w:rPr>
          <w:rFonts w:ascii="Arial" w:hAnsi="Arial" w:cs="Arial"/>
        </w:rPr>
        <w:t xml:space="preserve"> or </w:t>
      </w:r>
      <w:r w:rsidR="00FD7B95">
        <w:rPr>
          <w:rFonts w:ascii="Arial" w:hAnsi="Arial" w:cs="Arial"/>
        </w:rPr>
        <w:t>two</w:t>
      </w:r>
      <w:r w:rsidR="00C20D92">
        <w:rPr>
          <w:rFonts w:ascii="Arial" w:hAnsi="Arial" w:cs="Arial"/>
        </w:rPr>
        <w:t xml:space="preserve"> on ELPAC)</w:t>
      </w:r>
      <w:r w:rsidR="00E63784" w:rsidRPr="00E63784">
        <w:rPr>
          <w:rFonts w:ascii="Arial" w:hAnsi="Arial" w:cs="Arial"/>
        </w:rPr>
        <w:t xml:space="preserve">; 4) Screen in both English and Spanish (numbers </w:t>
      </w:r>
      <w:r w:rsidR="0040160E">
        <w:rPr>
          <w:rFonts w:ascii="Arial" w:hAnsi="Arial" w:cs="Arial"/>
        </w:rPr>
        <w:t>one</w:t>
      </w:r>
      <w:r w:rsidR="00E63784" w:rsidRPr="00E63784">
        <w:rPr>
          <w:rFonts w:ascii="Arial" w:hAnsi="Arial" w:cs="Arial"/>
        </w:rPr>
        <w:t xml:space="preserve"> and </w:t>
      </w:r>
      <w:r w:rsidR="0040160E">
        <w:rPr>
          <w:rFonts w:ascii="Arial" w:hAnsi="Arial" w:cs="Arial"/>
        </w:rPr>
        <w:t>three</w:t>
      </w:r>
      <w:r w:rsidR="00E63784" w:rsidRPr="00E63784">
        <w:rPr>
          <w:rFonts w:ascii="Arial" w:hAnsi="Arial" w:cs="Arial"/>
        </w:rPr>
        <w:t xml:space="preserve"> above</w:t>
      </w:r>
      <w:r w:rsidR="00C20D92">
        <w:rPr>
          <w:rFonts w:ascii="Arial" w:hAnsi="Arial" w:cs="Arial"/>
        </w:rPr>
        <w:t>, when a Spanish-speaking English learner is identified as “high risk” by the English screener</w:t>
      </w:r>
      <w:r w:rsidR="00E63784" w:rsidRPr="00E63784">
        <w:rPr>
          <w:rFonts w:ascii="Arial" w:hAnsi="Arial" w:cs="Arial"/>
        </w:rPr>
        <w:t>).</w:t>
      </w:r>
    </w:p>
    <w:p w14:paraId="3CE28CB4" w14:textId="487CF712" w:rsidR="0060597E" w:rsidRPr="00B75AD2" w:rsidRDefault="7562CE4D" w:rsidP="0040160E">
      <w:pPr>
        <w:pStyle w:val="Heading2"/>
        <w:rPr>
          <w:highlight w:val="yellow"/>
        </w:rPr>
      </w:pPr>
      <w:proofErr w:type="gramStart"/>
      <w:r w:rsidRPr="00B75AD2">
        <w:t>Accommodations</w:t>
      </w:r>
      <w:proofErr w:type="gramEnd"/>
    </w:p>
    <w:p w14:paraId="661550DA" w14:textId="036484F5" w:rsidR="0060597E" w:rsidRPr="0040160E" w:rsidRDefault="25B000FD" w:rsidP="002905C2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Supports or accommodations for students with disabilities: </w:t>
      </w:r>
      <w:r w:rsidR="00C20D92">
        <w:rPr>
          <w:rFonts w:ascii="Arial" w:hAnsi="Arial" w:cs="Arial"/>
        </w:rPr>
        <w:t xml:space="preserve">Amira </w:t>
      </w:r>
      <w:r w:rsidR="00C20D92" w:rsidRPr="00C20D92">
        <w:rPr>
          <w:rFonts w:ascii="Arial" w:hAnsi="Arial" w:cs="Arial"/>
        </w:rPr>
        <w:t xml:space="preserve">offers automated accommodations and publishes guidance with decision-tree aids for educators to tailor the screening process. Amira's decision-based guidance, including decision trees in the Amira Teacher Manual, helps educators make informed choices about whether to administer digital or print assessments, and other special considerations. Amira's training resources </w:t>
      </w:r>
      <w:r w:rsidR="00C20D92">
        <w:rPr>
          <w:rFonts w:ascii="Arial" w:hAnsi="Arial" w:cs="Arial"/>
        </w:rPr>
        <w:t xml:space="preserve">inform </w:t>
      </w:r>
      <w:r w:rsidR="00C20D92" w:rsidRPr="00C20D92">
        <w:rPr>
          <w:rFonts w:ascii="Arial" w:hAnsi="Arial" w:cs="Arial"/>
        </w:rPr>
        <w:t xml:space="preserve">educators to understand and implement </w:t>
      </w:r>
      <w:proofErr w:type="gramStart"/>
      <w:r w:rsidR="00C20D92" w:rsidRPr="00C20D92">
        <w:rPr>
          <w:rFonts w:ascii="Arial" w:hAnsi="Arial" w:cs="Arial"/>
        </w:rPr>
        <w:t>accommodations</w:t>
      </w:r>
      <w:proofErr w:type="gramEnd"/>
      <w:r w:rsidR="00C20D92" w:rsidRPr="00C20D92">
        <w:rPr>
          <w:rFonts w:ascii="Arial" w:hAnsi="Arial" w:cs="Arial"/>
        </w:rPr>
        <w:t xml:space="preserve"> effectively.</w:t>
      </w:r>
    </w:p>
    <w:p w14:paraId="513AE7FA" w14:textId="53AD1090" w:rsidR="0060597E" w:rsidRPr="00B75AD2" w:rsidRDefault="7562CE4D" w:rsidP="0040160E">
      <w:pPr>
        <w:pStyle w:val="NoSpacing"/>
        <w:contextualSpacing/>
        <w:rPr>
          <w:rFonts w:ascii="Arial" w:hAnsi="Arial" w:cs="Arial"/>
          <w:i/>
          <w:iCs/>
          <w:highlight w:val="yellow"/>
          <w:lang w:eastAsia="ko-KR"/>
        </w:rPr>
      </w:pPr>
      <w:r w:rsidRPr="0040160E">
        <w:rPr>
          <w:rFonts w:ascii="Arial" w:hAnsi="Arial" w:cs="Arial"/>
        </w:rPr>
        <w:t>Supports or accommodations for students who are not yet proficient with English:</w:t>
      </w:r>
      <w:r w:rsidRPr="00B75AD2">
        <w:rPr>
          <w:rFonts w:ascii="Arial" w:hAnsi="Arial" w:cs="Arial"/>
          <w:b/>
          <w:bCs/>
        </w:rPr>
        <w:t xml:space="preserve"> </w:t>
      </w:r>
      <w:r w:rsidR="00C20D92" w:rsidRPr="00C20D92">
        <w:rPr>
          <w:rFonts w:ascii="Arial" w:hAnsi="Arial" w:cs="Arial"/>
        </w:rPr>
        <w:t>Amira's decision-based guidance, including decision trees in the Amira Teacher Manual</w:t>
      </w:r>
      <w:r w:rsidR="008617D3">
        <w:rPr>
          <w:rFonts w:ascii="Arial" w:hAnsi="Arial" w:cs="Arial"/>
        </w:rPr>
        <w:t>,</w:t>
      </w:r>
      <w:r w:rsidR="00C20D92" w:rsidRPr="00C20D92">
        <w:rPr>
          <w:rFonts w:ascii="Arial" w:hAnsi="Arial" w:cs="Arial"/>
        </w:rPr>
        <w:t xml:space="preserve"> helps educators make informed choices about language use in screening.</w:t>
      </w:r>
      <w:r w:rsidR="00FB2820">
        <w:rPr>
          <w:rFonts w:ascii="Arial" w:hAnsi="Arial" w:cs="Arial" w:hint="eastAsia"/>
          <w:lang w:eastAsia="ko-KR"/>
        </w:rPr>
        <w:t xml:space="preserve"> </w:t>
      </w:r>
    </w:p>
    <w:p w14:paraId="476412C0" w14:textId="6721565C" w:rsidR="00DC430B" w:rsidRPr="00B75AD2" w:rsidRDefault="704E6191" w:rsidP="0040160E">
      <w:pPr>
        <w:pStyle w:val="Heading2"/>
      </w:pPr>
      <w:r w:rsidRPr="00B75AD2">
        <w:t>Cost Information</w:t>
      </w:r>
    </w:p>
    <w:p w14:paraId="5DFB6F8F" w14:textId="5A1835BB" w:rsidR="00434D5C" w:rsidRPr="0040160E" w:rsidRDefault="00434D5C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Initial cost for implementing program</w:t>
      </w:r>
      <w:r w:rsidR="00DB353F" w:rsidRPr="0040160E">
        <w:rPr>
          <w:rFonts w:ascii="Arial" w:hAnsi="Arial" w:cs="Arial"/>
        </w:rPr>
        <w:t>:</w:t>
      </w:r>
      <w:r w:rsidR="002E37DA" w:rsidRPr="0040160E">
        <w:rPr>
          <w:rFonts w:ascii="Arial" w:hAnsi="Arial" w:cs="Arial"/>
        </w:rPr>
        <w:t xml:space="preserve"> </w:t>
      </w:r>
      <w:r w:rsidR="00DB353F" w:rsidRPr="0040160E">
        <w:rPr>
          <w:rFonts w:ascii="Arial" w:hAnsi="Arial" w:cs="Arial"/>
        </w:rPr>
        <w:t>Initial cost of implementing the Amira Screener is based on</w:t>
      </w:r>
      <w:r w:rsidR="00B75AD2" w:rsidRPr="0040160E">
        <w:rPr>
          <w:rFonts w:ascii="Arial" w:hAnsi="Arial" w:cs="Arial"/>
        </w:rPr>
        <w:t xml:space="preserve"> </w:t>
      </w:r>
      <w:r w:rsidR="00DB353F" w:rsidRPr="0040160E">
        <w:rPr>
          <w:rFonts w:ascii="Arial" w:hAnsi="Arial" w:cs="Arial"/>
        </w:rPr>
        <w:t>a per-student license model of $4.99 per student per year</w:t>
      </w:r>
      <w:r w:rsidR="00B270FB">
        <w:rPr>
          <w:rFonts w:ascii="Arial" w:hAnsi="Arial" w:cs="Arial"/>
        </w:rPr>
        <w:t>, o</w:t>
      </w:r>
      <w:r w:rsidR="00DB353F" w:rsidRPr="0040160E">
        <w:rPr>
          <w:rFonts w:ascii="Arial" w:hAnsi="Arial" w:cs="Arial"/>
        </w:rPr>
        <w:t xml:space="preserve">r </w:t>
      </w:r>
      <w:r w:rsidR="00DD2F11">
        <w:rPr>
          <w:rFonts w:ascii="Arial" w:hAnsi="Arial" w:cs="Arial"/>
        </w:rPr>
        <w:t>d</w:t>
      </w:r>
      <w:r w:rsidR="00DB353F" w:rsidRPr="0040160E">
        <w:rPr>
          <w:rFonts w:ascii="Arial" w:hAnsi="Arial" w:cs="Arial"/>
        </w:rPr>
        <w:t xml:space="preserve">istricts can acquire a free subscription for the instrument where they pay for robust </w:t>
      </w:r>
      <w:r w:rsidR="00DD2F11">
        <w:rPr>
          <w:rFonts w:ascii="Arial" w:hAnsi="Arial" w:cs="Arial"/>
        </w:rPr>
        <w:t>p</w:t>
      </w:r>
      <w:r w:rsidR="00DB353F" w:rsidRPr="0040160E">
        <w:rPr>
          <w:rFonts w:ascii="Arial" w:hAnsi="Arial" w:cs="Arial"/>
        </w:rPr>
        <w:t xml:space="preserve">rofessional </w:t>
      </w:r>
      <w:r w:rsidR="00DD2F11">
        <w:rPr>
          <w:rFonts w:ascii="Arial" w:hAnsi="Arial" w:cs="Arial"/>
        </w:rPr>
        <w:t>d</w:t>
      </w:r>
      <w:r w:rsidR="00DB353F" w:rsidRPr="0040160E">
        <w:rPr>
          <w:rFonts w:ascii="Arial" w:hAnsi="Arial" w:cs="Arial"/>
        </w:rPr>
        <w:t>evelopment at the cost of $20 per student for live virtual training.</w:t>
      </w:r>
    </w:p>
    <w:p w14:paraId="29D37F4D" w14:textId="3570F98E" w:rsidR="00234713" w:rsidRPr="0040160E" w:rsidRDefault="00434D5C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Replacement cost per unit for subsequent use</w:t>
      </w:r>
      <w:r w:rsidR="0061224D" w:rsidRPr="0040160E">
        <w:rPr>
          <w:rFonts w:ascii="Arial" w:hAnsi="Arial" w:cs="Arial"/>
        </w:rPr>
        <w:t>: $0 (Amira’s subscription model ensures that there are no limits on the number of screenings or assessments administered per student.)</w:t>
      </w:r>
    </w:p>
    <w:p w14:paraId="5227309D" w14:textId="4C37A0B9" w:rsidR="0060597E" w:rsidRPr="0040160E" w:rsidRDefault="00434D5C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Basic pricing plan and structure:</w:t>
      </w:r>
      <w:r w:rsidR="00E415FE" w:rsidRPr="0040160E">
        <w:rPr>
          <w:rFonts w:ascii="Arial" w:hAnsi="Arial" w:cs="Arial"/>
        </w:rPr>
        <w:t xml:space="preserve"> </w:t>
      </w:r>
      <w:r w:rsidR="000A1497" w:rsidRPr="0040160E">
        <w:rPr>
          <w:rFonts w:ascii="Arial" w:hAnsi="Arial" w:cs="Arial"/>
        </w:rPr>
        <w:t>All</w:t>
      </w:r>
      <w:r w:rsidR="000A1497" w:rsidRPr="00B75AD2">
        <w:rPr>
          <w:rFonts w:ascii="Arial" w:hAnsi="Arial" w:cs="Arial"/>
        </w:rPr>
        <w:t xml:space="preserve"> plans include unlimited assessments per student, no cost for </w:t>
      </w:r>
      <w:r w:rsidR="00DD2F11">
        <w:rPr>
          <w:rFonts w:ascii="Arial" w:hAnsi="Arial" w:cs="Arial"/>
        </w:rPr>
        <w:t>a</w:t>
      </w:r>
      <w:r w:rsidR="000A1497" w:rsidRPr="00B75AD2">
        <w:rPr>
          <w:rFonts w:ascii="Arial" w:hAnsi="Arial" w:cs="Arial"/>
        </w:rPr>
        <w:t xml:space="preserve">dministrator </w:t>
      </w:r>
      <w:r w:rsidR="00DD2F11">
        <w:rPr>
          <w:rFonts w:ascii="Arial" w:hAnsi="Arial" w:cs="Arial"/>
        </w:rPr>
        <w:t>l</w:t>
      </w:r>
      <w:r w:rsidR="000A1497" w:rsidRPr="00B75AD2">
        <w:rPr>
          <w:rFonts w:ascii="Arial" w:hAnsi="Arial" w:cs="Arial"/>
        </w:rPr>
        <w:t>icenses, asynchronous training required to</w:t>
      </w:r>
      <w:r w:rsidR="00BE286D" w:rsidRPr="00B75AD2">
        <w:rPr>
          <w:rFonts w:ascii="Arial" w:hAnsi="Arial" w:cs="Arial"/>
        </w:rPr>
        <w:t xml:space="preserve"> </w:t>
      </w:r>
      <w:r w:rsidR="000A1497" w:rsidRPr="00B75AD2">
        <w:rPr>
          <w:rFonts w:ascii="Arial" w:hAnsi="Arial" w:cs="Arial"/>
        </w:rPr>
        <w:t xml:space="preserve">administer and utilize the Amira Screener, access to the Science of Reading Dashboard, Family Portal, </w:t>
      </w:r>
      <w:r w:rsidR="007661F8">
        <w:rPr>
          <w:rFonts w:ascii="Arial" w:hAnsi="Arial" w:cs="Arial"/>
        </w:rPr>
        <w:t>u</w:t>
      </w:r>
      <w:r w:rsidR="000A1497" w:rsidRPr="00B75AD2">
        <w:rPr>
          <w:rFonts w:ascii="Arial" w:hAnsi="Arial" w:cs="Arial"/>
        </w:rPr>
        <w:t xml:space="preserve">nlimited technical support, 24/7 online chat help for teachers, </w:t>
      </w:r>
      <w:r w:rsidR="007661F8">
        <w:rPr>
          <w:rFonts w:ascii="Arial" w:hAnsi="Arial" w:cs="Arial"/>
        </w:rPr>
        <w:t>o</w:t>
      </w:r>
      <w:r w:rsidR="000A1497" w:rsidRPr="00B75AD2">
        <w:rPr>
          <w:rFonts w:ascii="Arial" w:hAnsi="Arial" w:cs="Arial"/>
        </w:rPr>
        <w:t xml:space="preserve">nline access to training materials at Amira </w:t>
      </w:r>
      <w:r w:rsidR="000A1497" w:rsidRPr="0040160E">
        <w:rPr>
          <w:rFonts w:ascii="Arial" w:hAnsi="Arial" w:cs="Arial"/>
        </w:rPr>
        <w:t xml:space="preserve">University, </w:t>
      </w:r>
      <w:r w:rsidR="008617D3">
        <w:rPr>
          <w:rFonts w:ascii="Arial" w:hAnsi="Arial" w:cs="Arial"/>
        </w:rPr>
        <w:t xml:space="preserve">and </w:t>
      </w:r>
      <w:r w:rsidR="000A1497" w:rsidRPr="0040160E">
        <w:rPr>
          <w:rFonts w:ascii="Arial" w:hAnsi="Arial" w:cs="Arial"/>
        </w:rPr>
        <w:t>weekly office hour meetings</w:t>
      </w:r>
      <w:r w:rsidR="00BE286D" w:rsidRPr="0040160E">
        <w:rPr>
          <w:rFonts w:ascii="Arial" w:hAnsi="Arial" w:cs="Arial"/>
        </w:rPr>
        <w:t>.</w:t>
      </w:r>
    </w:p>
    <w:p w14:paraId="13F2D692" w14:textId="7BE24D98" w:rsidR="00BE286D" w:rsidRPr="0040160E" w:rsidRDefault="25FD9E7F" w:rsidP="00900656">
      <w:pPr>
        <w:pStyle w:val="NoSpacing"/>
        <w:numPr>
          <w:ilvl w:val="0"/>
          <w:numId w:val="44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lastRenderedPageBreak/>
        <w:t xml:space="preserve">Option </w:t>
      </w:r>
      <w:r w:rsidR="00333901">
        <w:rPr>
          <w:rFonts w:ascii="Arial" w:hAnsi="Arial" w:cs="Arial"/>
        </w:rPr>
        <w:t>o</w:t>
      </w:r>
      <w:r w:rsidR="008617D3">
        <w:rPr>
          <w:rFonts w:ascii="Arial" w:hAnsi="Arial" w:cs="Arial"/>
        </w:rPr>
        <w:t>ne</w:t>
      </w:r>
      <w:r w:rsidRPr="0040160E">
        <w:rPr>
          <w:rFonts w:ascii="Arial" w:hAnsi="Arial" w:cs="Arial"/>
        </w:rPr>
        <w:t>: $0 (Free) Screener Subscription per student with each $20 per student Professional Development Package (live virtual training which includes an introduction to Amira, teacher training specific to instrument administration and a second training on data and reporting).</w:t>
      </w:r>
    </w:p>
    <w:p w14:paraId="661E5B34" w14:textId="12D16E1A" w:rsidR="00BE286D" w:rsidRPr="0040160E" w:rsidRDefault="00BE286D" w:rsidP="00900656">
      <w:pPr>
        <w:pStyle w:val="NoSpacing"/>
        <w:numPr>
          <w:ilvl w:val="0"/>
          <w:numId w:val="44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Option </w:t>
      </w:r>
      <w:r w:rsidR="00333901">
        <w:rPr>
          <w:rFonts w:ascii="Arial" w:hAnsi="Arial" w:cs="Arial"/>
        </w:rPr>
        <w:t>t</w:t>
      </w:r>
      <w:r w:rsidR="008617D3">
        <w:rPr>
          <w:rFonts w:ascii="Arial" w:hAnsi="Arial" w:cs="Arial"/>
        </w:rPr>
        <w:t>wo</w:t>
      </w:r>
      <w:r w:rsidRPr="0040160E">
        <w:rPr>
          <w:rFonts w:ascii="Arial" w:hAnsi="Arial" w:cs="Arial"/>
        </w:rPr>
        <w:t xml:space="preserve">: Screener Subscription for $4.99 per student with free, asynchronous </w:t>
      </w:r>
      <w:r w:rsidR="007661F8">
        <w:rPr>
          <w:rFonts w:ascii="Arial" w:hAnsi="Arial" w:cs="Arial"/>
        </w:rPr>
        <w:t>p</w:t>
      </w:r>
      <w:r w:rsidRPr="0040160E">
        <w:rPr>
          <w:rFonts w:ascii="Arial" w:hAnsi="Arial" w:cs="Arial"/>
        </w:rPr>
        <w:t xml:space="preserve">rofessional </w:t>
      </w:r>
      <w:r w:rsidR="007661F8">
        <w:rPr>
          <w:rFonts w:ascii="Arial" w:hAnsi="Arial" w:cs="Arial"/>
        </w:rPr>
        <w:t>d</w:t>
      </w:r>
      <w:r w:rsidRPr="0040160E">
        <w:rPr>
          <w:rFonts w:ascii="Arial" w:hAnsi="Arial" w:cs="Arial"/>
        </w:rPr>
        <w:t xml:space="preserve">evelopment and </w:t>
      </w:r>
      <w:r w:rsidR="007661F8">
        <w:rPr>
          <w:rFonts w:ascii="Arial" w:hAnsi="Arial" w:cs="Arial"/>
        </w:rPr>
        <w:t>t</w:t>
      </w:r>
      <w:r w:rsidRPr="0040160E">
        <w:rPr>
          <w:rFonts w:ascii="Arial" w:hAnsi="Arial" w:cs="Arial"/>
        </w:rPr>
        <w:t xml:space="preserve">raining incorporated into the subscription. Optional add-on </w:t>
      </w:r>
      <w:r w:rsidR="007661F8">
        <w:rPr>
          <w:rFonts w:ascii="Arial" w:hAnsi="Arial" w:cs="Arial"/>
        </w:rPr>
        <w:t>p</w:t>
      </w:r>
      <w:r w:rsidRPr="0040160E">
        <w:rPr>
          <w:rFonts w:ascii="Arial" w:hAnsi="Arial" w:cs="Arial"/>
        </w:rPr>
        <w:t xml:space="preserve">rofessional </w:t>
      </w:r>
      <w:r w:rsidR="007661F8">
        <w:rPr>
          <w:rFonts w:ascii="Arial" w:hAnsi="Arial" w:cs="Arial"/>
        </w:rPr>
        <w:t>d</w:t>
      </w:r>
      <w:r w:rsidRPr="0040160E">
        <w:rPr>
          <w:rFonts w:ascii="Arial" w:hAnsi="Arial" w:cs="Arial"/>
        </w:rPr>
        <w:t>evelopment is available.</w:t>
      </w:r>
    </w:p>
    <w:p w14:paraId="00B9A7B4" w14:textId="60388534" w:rsidR="00BE286D" w:rsidRPr="00B75AD2" w:rsidRDefault="25FD9E7F" w:rsidP="00900656">
      <w:pPr>
        <w:pStyle w:val="NoSpacing"/>
        <w:numPr>
          <w:ilvl w:val="0"/>
          <w:numId w:val="44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Option </w:t>
      </w:r>
      <w:r w:rsidR="00333901">
        <w:rPr>
          <w:rFonts w:ascii="Arial" w:hAnsi="Arial" w:cs="Arial"/>
        </w:rPr>
        <w:t>t</w:t>
      </w:r>
      <w:r w:rsidR="008617D3">
        <w:rPr>
          <w:rFonts w:ascii="Arial" w:hAnsi="Arial" w:cs="Arial"/>
        </w:rPr>
        <w:t>hree</w:t>
      </w:r>
      <w:r w:rsidRPr="0040160E">
        <w:rPr>
          <w:rFonts w:ascii="Arial" w:hAnsi="Arial" w:cs="Arial"/>
        </w:rPr>
        <w:t>: Amira Suite Subscription (Amira Tutoring &amp; Practice and Amira Assessment) for $20 (Available</w:t>
      </w:r>
      <w:r w:rsidRPr="00B75AD2">
        <w:rPr>
          <w:rFonts w:ascii="Arial" w:hAnsi="Arial" w:cs="Arial"/>
        </w:rPr>
        <w:t xml:space="preserve"> for purchase through Amira or HMH)</w:t>
      </w:r>
    </w:p>
    <w:p w14:paraId="35CED320" w14:textId="04F368B4" w:rsidR="25FD9E7F" w:rsidRPr="00B75AD2" w:rsidRDefault="25FD9E7F" w:rsidP="0040160E">
      <w:pPr>
        <w:pStyle w:val="NoSpacing"/>
        <w:numPr>
          <w:ilvl w:val="0"/>
          <w:numId w:val="44"/>
        </w:numPr>
        <w:spacing w:after="240"/>
        <w:rPr>
          <w:rFonts w:ascii="Arial" w:hAnsi="Arial" w:cs="Arial"/>
        </w:rPr>
      </w:pPr>
      <w:r w:rsidRPr="00B75AD2">
        <w:rPr>
          <w:rFonts w:ascii="Arial" w:hAnsi="Arial" w:cs="Arial"/>
        </w:rPr>
        <w:t xml:space="preserve">Option </w:t>
      </w:r>
      <w:r w:rsidR="00333901">
        <w:rPr>
          <w:rFonts w:ascii="Arial" w:hAnsi="Arial" w:cs="Arial"/>
        </w:rPr>
        <w:t>f</w:t>
      </w:r>
      <w:r w:rsidR="008617D3">
        <w:rPr>
          <w:rFonts w:ascii="Arial" w:hAnsi="Arial" w:cs="Arial"/>
        </w:rPr>
        <w:t>our</w:t>
      </w:r>
      <w:r w:rsidRPr="00B75AD2">
        <w:rPr>
          <w:rFonts w:ascii="Arial" w:hAnsi="Arial" w:cs="Arial"/>
        </w:rPr>
        <w:t>: HMH Bundle is also available for $9</w:t>
      </w:r>
    </w:p>
    <w:p w14:paraId="5AB583D1" w14:textId="567E3E4B" w:rsidR="0060597E" w:rsidRPr="00B75AD2" w:rsidRDefault="0060597E" w:rsidP="0040160E">
      <w:pPr>
        <w:pStyle w:val="NoSpacing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Bulk pricing </w:t>
      </w:r>
      <w:r w:rsidR="00674E88" w:rsidRPr="0040160E">
        <w:rPr>
          <w:rFonts w:ascii="Arial" w:hAnsi="Arial" w:cs="Arial"/>
        </w:rPr>
        <w:t>plan</w:t>
      </w:r>
      <w:r w:rsidRPr="0040160E">
        <w:rPr>
          <w:rFonts w:ascii="Arial" w:hAnsi="Arial" w:cs="Arial"/>
        </w:rPr>
        <w:t>:</w:t>
      </w:r>
      <w:r w:rsidRPr="00B75AD2">
        <w:rPr>
          <w:rFonts w:ascii="Arial" w:hAnsi="Arial" w:cs="Arial"/>
          <w:b/>
          <w:bCs/>
        </w:rPr>
        <w:t xml:space="preserve"> </w:t>
      </w:r>
      <w:r w:rsidR="0061224D" w:rsidRPr="00B75AD2">
        <w:rPr>
          <w:rFonts w:ascii="Arial" w:hAnsi="Arial" w:cs="Arial"/>
        </w:rPr>
        <w:t xml:space="preserve">Bulk pricing is available for purchases above 1,000 </w:t>
      </w:r>
      <w:r w:rsidR="007661F8">
        <w:rPr>
          <w:rFonts w:ascii="Arial" w:hAnsi="Arial" w:cs="Arial"/>
        </w:rPr>
        <w:t>s</w:t>
      </w:r>
      <w:r w:rsidR="0061224D" w:rsidRPr="00B75AD2">
        <w:rPr>
          <w:rFonts w:ascii="Arial" w:hAnsi="Arial" w:cs="Arial"/>
        </w:rPr>
        <w:t xml:space="preserve">ubscriptions (student seats). Bulk pricing discounts are available for purchases of either </w:t>
      </w:r>
      <w:proofErr w:type="gramStart"/>
      <w:r w:rsidR="007661F8">
        <w:rPr>
          <w:rFonts w:ascii="Arial" w:hAnsi="Arial" w:cs="Arial"/>
        </w:rPr>
        <w:t>s</w:t>
      </w:r>
      <w:r w:rsidR="0061224D" w:rsidRPr="00B75AD2">
        <w:rPr>
          <w:rFonts w:ascii="Arial" w:hAnsi="Arial" w:cs="Arial"/>
        </w:rPr>
        <w:t>creener only</w:t>
      </w:r>
      <w:proofErr w:type="gramEnd"/>
      <w:r w:rsidR="0061224D" w:rsidRPr="00B75AD2">
        <w:rPr>
          <w:rFonts w:ascii="Arial" w:hAnsi="Arial" w:cs="Arial"/>
        </w:rPr>
        <w:t xml:space="preserve"> or Amira Suite Subscriptions.</w:t>
      </w:r>
    </w:p>
    <w:p w14:paraId="03A84FA9" w14:textId="3B84157A" w:rsidR="00DC430B" w:rsidRPr="00B75AD2" w:rsidRDefault="704E6191" w:rsidP="0040160E">
      <w:pPr>
        <w:pStyle w:val="Heading2"/>
      </w:pPr>
      <w:r w:rsidRPr="00B75AD2">
        <w:t>Administration</w:t>
      </w:r>
    </w:p>
    <w:p w14:paraId="7F5838CE" w14:textId="554158D0" w:rsidR="00DE6B03" w:rsidRPr="0040160E" w:rsidRDefault="25B000FD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Mode: Digital (Note: Standard Amira administration is digital; hard copy administration is available as </w:t>
      </w:r>
      <w:proofErr w:type="gramStart"/>
      <w:r w:rsidRPr="0040160E">
        <w:rPr>
          <w:rFonts w:ascii="Arial" w:hAnsi="Arial" w:cs="Arial"/>
        </w:rPr>
        <w:t>an accommodation</w:t>
      </w:r>
      <w:proofErr w:type="gramEnd"/>
      <w:r w:rsidRPr="0040160E">
        <w:rPr>
          <w:rFonts w:ascii="Arial" w:hAnsi="Arial" w:cs="Arial"/>
        </w:rPr>
        <w:t>.)</w:t>
      </w:r>
    </w:p>
    <w:p w14:paraId="27D2C0C0" w14:textId="553DDD61" w:rsidR="000A52C4" w:rsidRPr="0040160E" w:rsidRDefault="1DEAA4FB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Required technology</w:t>
      </w:r>
      <w:r w:rsidR="006A220B" w:rsidRPr="0040160E">
        <w:rPr>
          <w:rFonts w:ascii="Arial" w:hAnsi="Arial" w:cs="Arial"/>
        </w:rPr>
        <w:t xml:space="preserve">: Computer, </w:t>
      </w:r>
      <w:r w:rsidR="00496C17">
        <w:rPr>
          <w:rFonts w:ascii="Arial" w:hAnsi="Arial" w:cs="Arial"/>
        </w:rPr>
        <w:t>t</w:t>
      </w:r>
      <w:r w:rsidR="006A220B" w:rsidRPr="0040160E">
        <w:rPr>
          <w:rFonts w:ascii="Arial" w:hAnsi="Arial" w:cs="Arial"/>
        </w:rPr>
        <w:t xml:space="preserve">ablet, </w:t>
      </w:r>
      <w:r w:rsidR="00496C17">
        <w:rPr>
          <w:rFonts w:ascii="Arial" w:hAnsi="Arial" w:cs="Arial"/>
        </w:rPr>
        <w:t>i</w:t>
      </w:r>
      <w:r w:rsidR="006A220B" w:rsidRPr="0040160E">
        <w:rPr>
          <w:rFonts w:ascii="Arial" w:hAnsi="Arial" w:cs="Arial"/>
        </w:rPr>
        <w:t>nternet connection</w:t>
      </w:r>
    </w:p>
    <w:p w14:paraId="46E9F5F9" w14:textId="5A8AEEAD" w:rsidR="004B7F2D" w:rsidRPr="0040160E" w:rsidRDefault="004B7F2D" w:rsidP="00900656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Administration time in minutes</w:t>
      </w:r>
      <w:r w:rsidR="006A220B" w:rsidRPr="0040160E">
        <w:rPr>
          <w:rFonts w:ascii="Arial" w:hAnsi="Arial" w:cs="Arial"/>
        </w:rPr>
        <w:t>:</w:t>
      </w:r>
    </w:p>
    <w:p w14:paraId="78E12A44" w14:textId="0178EC8E" w:rsidR="006A220B" w:rsidRPr="0040160E" w:rsidRDefault="006A220B" w:rsidP="00900656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Kindergarten: Median 16 </w:t>
      </w:r>
      <w:r w:rsidR="00496C17">
        <w:rPr>
          <w:rFonts w:ascii="Arial" w:hAnsi="Arial" w:cs="Arial"/>
        </w:rPr>
        <w:t>m</w:t>
      </w:r>
      <w:r w:rsidRPr="0040160E">
        <w:rPr>
          <w:rFonts w:ascii="Arial" w:hAnsi="Arial" w:cs="Arial"/>
        </w:rPr>
        <w:t>inutes; group administration</w:t>
      </w:r>
    </w:p>
    <w:p w14:paraId="3ECDC6CD" w14:textId="01EB289B" w:rsidR="000A52C4" w:rsidRPr="0040160E" w:rsidRDefault="0040160E" w:rsidP="00900656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Grade one</w:t>
      </w:r>
      <w:r w:rsidR="006A220B" w:rsidRPr="0040160E">
        <w:rPr>
          <w:rFonts w:ascii="Arial" w:hAnsi="Arial" w:cs="Arial"/>
        </w:rPr>
        <w:t xml:space="preserve">: Median 18 </w:t>
      </w:r>
      <w:r w:rsidR="00496C17">
        <w:rPr>
          <w:rFonts w:ascii="Arial" w:hAnsi="Arial" w:cs="Arial"/>
        </w:rPr>
        <w:t>m</w:t>
      </w:r>
      <w:r w:rsidR="006A220B" w:rsidRPr="0040160E">
        <w:rPr>
          <w:rFonts w:ascii="Arial" w:hAnsi="Arial" w:cs="Arial"/>
        </w:rPr>
        <w:t>inutes; group administration</w:t>
      </w:r>
    </w:p>
    <w:p w14:paraId="5384D9B2" w14:textId="4097F864" w:rsidR="006A220B" w:rsidRPr="00B75AD2" w:rsidRDefault="0040160E" w:rsidP="0040160E">
      <w:pPr>
        <w:pStyle w:val="NoSpacing"/>
        <w:numPr>
          <w:ilvl w:val="0"/>
          <w:numId w:val="4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Grade two</w:t>
      </w:r>
      <w:r w:rsidR="006A220B" w:rsidRPr="0040160E">
        <w:rPr>
          <w:rFonts w:ascii="Arial" w:hAnsi="Arial" w:cs="Arial"/>
        </w:rPr>
        <w:t>:</w:t>
      </w:r>
      <w:r w:rsidR="006A220B" w:rsidRPr="00B75AD2">
        <w:rPr>
          <w:rFonts w:ascii="Arial" w:hAnsi="Arial" w:cs="Arial"/>
        </w:rPr>
        <w:t xml:space="preserve"> Median 17 </w:t>
      </w:r>
      <w:r w:rsidR="00496C17">
        <w:rPr>
          <w:rFonts w:ascii="Arial" w:hAnsi="Arial" w:cs="Arial"/>
        </w:rPr>
        <w:t>m</w:t>
      </w:r>
      <w:r w:rsidR="006A220B" w:rsidRPr="00B75AD2">
        <w:rPr>
          <w:rFonts w:ascii="Arial" w:hAnsi="Arial" w:cs="Arial"/>
        </w:rPr>
        <w:t>inutes; group administration</w:t>
      </w:r>
    </w:p>
    <w:p w14:paraId="3E961123" w14:textId="5F4FDE12" w:rsidR="004D3CD1" w:rsidRPr="00B75AD2" w:rsidRDefault="25FD9E7F" w:rsidP="0040160E">
      <w:pPr>
        <w:pStyle w:val="Heading2"/>
        <w:rPr>
          <w:highlight w:val="yellow"/>
        </w:rPr>
      </w:pPr>
      <w:r w:rsidRPr="00B75AD2">
        <w:t>Training</w:t>
      </w:r>
    </w:p>
    <w:p w14:paraId="22D02895" w14:textId="14D6F99C" w:rsidR="00DB67A6" w:rsidRPr="0040160E" w:rsidRDefault="25FD9E7F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Time required for </w:t>
      </w:r>
      <w:proofErr w:type="gramStart"/>
      <w:r w:rsidRPr="0040160E">
        <w:rPr>
          <w:rFonts w:ascii="Arial" w:hAnsi="Arial" w:cs="Arial"/>
        </w:rPr>
        <w:t>screener</w:t>
      </w:r>
      <w:proofErr w:type="gramEnd"/>
      <w:r w:rsidRPr="0040160E">
        <w:rPr>
          <w:rFonts w:ascii="Arial" w:hAnsi="Arial" w:cs="Arial"/>
        </w:rPr>
        <w:t xml:space="preserve"> administrator training: </w:t>
      </w:r>
      <w:r w:rsidR="0040160E">
        <w:rPr>
          <w:rFonts w:ascii="Arial" w:hAnsi="Arial" w:cs="Arial"/>
        </w:rPr>
        <w:t>two</w:t>
      </w:r>
      <w:r w:rsidRPr="0040160E">
        <w:rPr>
          <w:rFonts w:ascii="Arial" w:hAnsi="Arial" w:cs="Arial"/>
        </w:rPr>
        <w:t xml:space="preserve"> hours</w:t>
      </w:r>
    </w:p>
    <w:p w14:paraId="0B44FB5E" w14:textId="1B7741F4" w:rsidR="00DB67A6" w:rsidRPr="0040160E" w:rsidRDefault="25FD9E7F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Type of training available for screener administration of the instrument: The average amount of training and professional development time required for educators to administer the Amira screener is approximately </w:t>
      </w:r>
      <w:r w:rsidR="0040160E">
        <w:rPr>
          <w:rFonts w:ascii="Arial" w:hAnsi="Arial" w:cs="Arial"/>
        </w:rPr>
        <w:t>two</w:t>
      </w:r>
      <w:r w:rsidRPr="0040160E">
        <w:rPr>
          <w:rFonts w:ascii="Arial" w:hAnsi="Arial" w:cs="Arial"/>
        </w:rPr>
        <w:t xml:space="preserve"> hours to complete the Basic Training, which covers administering the screener and interpreting the data. This training, delivered by a highly experienced team of Amira trainers, is designed to be concise yet comprehensive, equipping educators with the necessary skills to effectively </w:t>
      </w:r>
      <w:proofErr w:type="gramStart"/>
      <w:r w:rsidRPr="0040160E">
        <w:rPr>
          <w:rFonts w:ascii="Arial" w:hAnsi="Arial" w:cs="Arial"/>
        </w:rPr>
        <w:t>proctor assessments</w:t>
      </w:r>
      <w:proofErr w:type="gramEnd"/>
      <w:r w:rsidRPr="0040160E">
        <w:rPr>
          <w:rFonts w:ascii="Arial" w:hAnsi="Arial" w:cs="Arial"/>
        </w:rPr>
        <w:t xml:space="preserve"> and utilize data for instructional planning.</w:t>
      </w:r>
    </w:p>
    <w:p w14:paraId="4E075802" w14:textId="20E30DA5" w:rsidR="00333901" w:rsidRDefault="704E6191" w:rsidP="0040160E">
      <w:pPr>
        <w:pStyle w:val="NoSpacing"/>
        <w:spacing w:after="120"/>
        <w:contextualSpacing/>
        <w:rPr>
          <w:rFonts w:ascii="Arial" w:hAnsi="Arial" w:cs="Arial"/>
        </w:rPr>
      </w:pPr>
      <w:r w:rsidRPr="0040160E">
        <w:rPr>
          <w:rFonts w:ascii="Arial" w:hAnsi="Arial" w:cs="Arial"/>
        </w:rPr>
        <w:t>Describe the cost required for training, if applicabl</w:t>
      </w:r>
      <w:r w:rsidR="00943E6C" w:rsidRPr="0040160E">
        <w:rPr>
          <w:rFonts w:ascii="Arial" w:hAnsi="Arial" w:cs="Arial"/>
        </w:rPr>
        <w:t>e:</w:t>
      </w:r>
      <w:r w:rsidR="00E415FE" w:rsidRPr="00B75AD2">
        <w:rPr>
          <w:rFonts w:ascii="Arial" w:hAnsi="Arial" w:cs="Arial"/>
          <w:b/>
          <w:bCs/>
        </w:rPr>
        <w:t xml:space="preserve"> </w:t>
      </w:r>
      <w:r w:rsidR="000A1497" w:rsidRPr="00B75AD2">
        <w:rPr>
          <w:rFonts w:ascii="Arial" w:hAnsi="Arial" w:cs="Arial"/>
        </w:rPr>
        <w:t>$0.</w:t>
      </w:r>
      <w:r w:rsidR="000A1497" w:rsidRPr="00B75AD2">
        <w:rPr>
          <w:rFonts w:ascii="Arial" w:hAnsi="Arial" w:cs="Arial"/>
          <w:b/>
          <w:bCs/>
        </w:rPr>
        <w:t xml:space="preserve"> </w:t>
      </w:r>
      <w:r w:rsidR="00935D64" w:rsidRPr="00B75AD2">
        <w:rPr>
          <w:rFonts w:ascii="Arial" w:hAnsi="Arial" w:cs="Arial"/>
        </w:rPr>
        <w:t xml:space="preserve">Amira waives the cost of all asynchronous virtual training sessions and on-demand resources to provide </w:t>
      </w:r>
      <w:proofErr w:type="gramStart"/>
      <w:r w:rsidR="00935D64" w:rsidRPr="00B75AD2">
        <w:rPr>
          <w:rFonts w:ascii="Arial" w:hAnsi="Arial" w:cs="Arial"/>
        </w:rPr>
        <w:t>educators</w:t>
      </w:r>
      <w:proofErr w:type="gramEnd"/>
      <w:r w:rsidR="00935D64" w:rsidRPr="00B75AD2">
        <w:rPr>
          <w:rFonts w:ascii="Arial" w:hAnsi="Arial" w:cs="Arial"/>
        </w:rPr>
        <w:t xml:space="preserve"> ongoing, embedded, just-in-time support. </w:t>
      </w:r>
    </w:p>
    <w:p w14:paraId="418F3CD2" w14:textId="77777777" w:rsidR="00333901" w:rsidRDefault="003339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73C6F8" w14:textId="4B0E0C71" w:rsidR="004D3CD1" w:rsidRPr="00B75AD2" w:rsidRDefault="004D3CD1" w:rsidP="0040160E">
      <w:pPr>
        <w:pStyle w:val="Heading2"/>
      </w:pPr>
      <w:r w:rsidRPr="00B75AD2">
        <w:lastRenderedPageBreak/>
        <w:t>Scoring</w:t>
      </w:r>
    </w:p>
    <w:p w14:paraId="186083CD" w14:textId="2116C428" w:rsidR="00DE6B03" w:rsidRPr="0040160E" w:rsidRDefault="004D3CD1" w:rsidP="0040160E">
      <w:pPr>
        <w:pStyle w:val="NoSpacing"/>
        <w:spacing w:after="240"/>
        <w:rPr>
          <w:rFonts w:ascii="Arial" w:eastAsia="MS Gothic" w:hAnsi="Arial" w:cs="Arial"/>
        </w:rPr>
      </w:pPr>
      <w:r w:rsidRPr="0040160E">
        <w:rPr>
          <w:rFonts w:ascii="Arial" w:hAnsi="Arial" w:cs="Arial"/>
        </w:rPr>
        <w:t>Scores are calculated</w:t>
      </w:r>
      <w:r w:rsidR="006A220B" w:rsidRPr="0040160E">
        <w:rPr>
          <w:rFonts w:ascii="Arial" w:hAnsi="Arial" w:cs="Arial"/>
        </w:rPr>
        <w:t xml:space="preserve">: </w:t>
      </w:r>
      <w:r w:rsidR="77E55940" w:rsidRPr="0040160E">
        <w:rPr>
          <w:rFonts w:ascii="Arial" w:hAnsi="Arial" w:cs="Arial"/>
        </w:rPr>
        <w:t>Automatically (computer</w:t>
      </w:r>
      <w:r w:rsidR="00496C17">
        <w:rPr>
          <w:rFonts w:ascii="Arial" w:hAnsi="Arial" w:cs="Arial"/>
        </w:rPr>
        <w:t>-</w:t>
      </w:r>
      <w:r w:rsidR="77E55940" w:rsidRPr="0040160E">
        <w:rPr>
          <w:rFonts w:ascii="Arial" w:hAnsi="Arial" w:cs="Arial"/>
        </w:rPr>
        <w:t>scored)</w:t>
      </w:r>
    </w:p>
    <w:p w14:paraId="41EAEF4A" w14:textId="7B820B14" w:rsidR="0060597E" w:rsidRPr="00B75AD2" w:rsidRDefault="0060597E" w:rsidP="0040160E">
      <w:pPr>
        <w:pStyle w:val="NoSpacing"/>
        <w:spacing w:after="120"/>
        <w:contextualSpacing/>
        <w:rPr>
          <w:rStyle w:val="PlaceholderText"/>
          <w:rFonts w:ascii="Arial" w:hAnsi="Arial" w:cs="Arial"/>
          <w:color w:val="auto"/>
        </w:rPr>
      </w:pPr>
      <w:r w:rsidRPr="0040160E">
        <w:rPr>
          <w:rFonts w:ascii="Arial" w:hAnsi="Arial" w:cs="Arial"/>
        </w:rPr>
        <w:t>Scoring time in minutes</w:t>
      </w:r>
      <w:r w:rsidR="008440CD" w:rsidRPr="0040160E">
        <w:rPr>
          <w:rFonts w:ascii="Arial" w:hAnsi="Arial" w:cs="Arial"/>
        </w:rPr>
        <w:t>:</w:t>
      </w:r>
      <w:r w:rsidR="008440CD" w:rsidRPr="00B75AD2">
        <w:rPr>
          <w:rFonts w:ascii="Arial" w:hAnsi="Arial" w:cs="Arial"/>
        </w:rPr>
        <w:t xml:space="preserve"> </w:t>
      </w:r>
      <w:r w:rsidR="0040160E">
        <w:rPr>
          <w:rFonts w:ascii="Arial" w:hAnsi="Arial" w:cs="Arial"/>
        </w:rPr>
        <w:t xml:space="preserve">Less than </w:t>
      </w:r>
      <w:r w:rsidR="00241EC8">
        <w:rPr>
          <w:rFonts w:ascii="Arial" w:hAnsi="Arial" w:cs="Arial"/>
        </w:rPr>
        <w:t>one</w:t>
      </w:r>
      <w:r w:rsidR="008440CD" w:rsidRPr="00B75AD2">
        <w:rPr>
          <w:rFonts w:ascii="Arial" w:hAnsi="Arial" w:cs="Arial"/>
        </w:rPr>
        <w:t xml:space="preserve"> minute per construct</w:t>
      </w:r>
    </w:p>
    <w:p w14:paraId="68918C25" w14:textId="301BEAAC" w:rsidR="004D3CD1" w:rsidRPr="00B75AD2" w:rsidRDefault="004D3CD1" w:rsidP="0040160E">
      <w:pPr>
        <w:pStyle w:val="Heading2"/>
      </w:pPr>
      <w:r w:rsidRPr="00B75AD2">
        <w:t>Communication and Resources</w:t>
      </w:r>
    </w:p>
    <w:p w14:paraId="2F40777D" w14:textId="110F695E" w:rsidR="00DB67A6" w:rsidRPr="0040160E" w:rsidRDefault="25B000FD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Types of resources available for educators, </w:t>
      </w:r>
      <w:proofErr w:type="gramStart"/>
      <w:r w:rsidRPr="0040160E">
        <w:rPr>
          <w:rFonts w:ascii="Arial" w:hAnsi="Arial" w:cs="Arial"/>
        </w:rPr>
        <w:t>screener</w:t>
      </w:r>
      <w:proofErr w:type="gramEnd"/>
      <w:r w:rsidRPr="0040160E">
        <w:rPr>
          <w:rFonts w:ascii="Arial" w:hAnsi="Arial" w:cs="Arial"/>
        </w:rPr>
        <w:t xml:space="preserve"> administrators, and families: </w:t>
      </w:r>
    </w:p>
    <w:p w14:paraId="7EC3D5D1" w14:textId="615EB777" w:rsidR="00DB67A6" w:rsidRPr="0040160E" w:rsidRDefault="25FD9E7F" w:rsidP="00900656">
      <w:pPr>
        <w:pStyle w:val="NoSpacing"/>
        <w:numPr>
          <w:ilvl w:val="0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 xml:space="preserve">For educators: Amira offers </w:t>
      </w:r>
      <w:proofErr w:type="gramStart"/>
      <w:r w:rsidRPr="0040160E">
        <w:rPr>
          <w:rFonts w:ascii="Arial" w:hAnsi="Arial" w:cs="Arial"/>
        </w:rPr>
        <w:t>a comprehensive</w:t>
      </w:r>
      <w:proofErr w:type="gramEnd"/>
      <w:r w:rsidRPr="0040160E">
        <w:rPr>
          <w:rFonts w:ascii="Arial" w:hAnsi="Arial" w:cs="Arial"/>
        </w:rPr>
        <w:t>, research-driven training and professional development program designed to ensure that educators are thoroughly equipped to administer the screener and utilize its results effectively. Resources include</w:t>
      </w:r>
      <w:r w:rsidR="00900656">
        <w:rPr>
          <w:rFonts w:ascii="Arial" w:hAnsi="Arial" w:cs="Arial"/>
        </w:rPr>
        <w:t>:</w:t>
      </w:r>
    </w:p>
    <w:p w14:paraId="1FA615AB" w14:textId="16B66729" w:rsidR="25B000FD" w:rsidRPr="0040160E" w:rsidRDefault="25B000FD" w:rsidP="00900656">
      <w:pPr>
        <w:pStyle w:val="NoSpacing"/>
        <w:numPr>
          <w:ilvl w:val="1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"Getting Started with Amira" Training (60 minutes)</w:t>
      </w:r>
    </w:p>
    <w:p w14:paraId="64A0ACB7" w14:textId="4C05C1C5" w:rsidR="25B000FD" w:rsidRPr="0040160E" w:rsidRDefault="25B000FD" w:rsidP="00900656">
      <w:pPr>
        <w:pStyle w:val="NoSpacing"/>
        <w:numPr>
          <w:ilvl w:val="1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Amira Screener Training (60 minutes)</w:t>
      </w:r>
    </w:p>
    <w:p w14:paraId="2BFCC847" w14:textId="14481B5D" w:rsidR="25B000FD" w:rsidRPr="0040160E" w:rsidRDefault="25B000FD" w:rsidP="00900656">
      <w:pPr>
        <w:pStyle w:val="NoSpacing"/>
        <w:numPr>
          <w:ilvl w:val="1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Interpreting Data Workshop (60 minutes)</w:t>
      </w:r>
    </w:p>
    <w:p w14:paraId="1630008D" w14:textId="3C462868" w:rsidR="25B000FD" w:rsidRPr="0040160E" w:rsidRDefault="25B000FD" w:rsidP="000330B6">
      <w:pPr>
        <w:pStyle w:val="NoSpacing"/>
        <w:numPr>
          <w:ilvl w:val="1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Office Hours (Optional, 60 minutes)</w:t>
      </w:r>
    </w:p>
    <w:p w14:paraId="5E59D0AE" w14:textId="2DB574C2" w:rsidR="25B000FD" w:rsidRPr="0040160E" w:rsidRDefault="25B000FD" w:rsidP="000330B6">
      <w:pPr>
        <w:pStyle w:val="NoSpacing"/>
        <w:numPr>
          <w:ilvl w:val="1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On-Demand Resources</w:t>
      </w:r>
    </w:p>
    <w:p w14:paraId="05ECB943" w14:textId="32F2F104" w:rsidR="0019354A" w:rsidRPr="00B75AD2" w:rsidRDefault="25FD9E7F" w:rsidP="0040160E">
      <w:pPr>
        <w:pStyle w:val="NoSpacing"/>
        <w:numPr>
          <w:ilvl w:val="0"/>
          <w:numId w:val="46"/>
        </w:numPr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For parents: Parent</w:t>
      </w:r>
      <w:r w:rsidRPr="00B75AD2">
        <w:rPr>
          <w:rFonts w:ascii="Arial" w:hAnsi="Arial" w:cs="Arial"/>
        </w:rPr>
        <w:t xml:space="preserve"> Portal allows parents and guardians to access real-time reports and updates in English and Spanish on their child's reading progress.</w:t>
      </w:r>
    </w:p>
    <w:p w14:paraId="63C00DE5" w14:textId="4D36F73E" w:rsidR="0061224D" w:rsidRPr="00B75AD2" w:rsidRDefault="25FD9E7F" w:rsidP="0040160E">
      <w:pPr>
        <w:pStyle w:val="NoSpacing"/>
        <w:spacing w:after="240"/>
        <w:rPr>
          <w:rFonts w:ascii="Arial" w:hAnsi="Arial" w:cs="Arial"/>
        </w:rPr>
      </w:pPr>
      <w:r w:rsidRPr="0040160E">
        <w:rPr>
          <w:rFonts w:ascii="Arial" w:hAnsi="Arial" w:cs="Arial"/>
        </w:rPr>
        <w:t>User interfaces and data management system:</w:t>
      </w:r>
      <w:r w:rsidRPr="00B75AD2">
        <w:rPr>
          <w:rFonts w:ascii="Arial" w:hAnsi="Arial" w:cs="Arial"/>
          <w:b/>
          <w:bCs/>
        </w:rPr>
        <w:t xml:space="preserve"> </w:t>
      </w:r>
      <w:r w:rsidRPr="00B75AD2">
        <w:rPr>
          <w:rFonts w:ascii="Arial" w:hAnsi="Arial" w:cs="Arial"/>
        </w:rPr>
        <w:t>Amira provides a range of mechanisms for teachers to track the screening process and view scores. (Tracking Report, Scoring Screen, Risk Report, Benchmark Report, Class Performance Report, Instructional Recommendations Report, Skills Diagnostic Report)</w:t>
      </w:r>
    </w:p>
    <w:p w14:paraId="6BE55C71" w14:textId="29A83EC4" w:rsidR="00C23ADA" w:rsidRDefault="25FD9E7F" w:rsidP="00496C17">
      <w:pPr>
        <w:pStyle w:val="NoSpacing"/>
        <w:spacing w:after="480"/>
        <w:rPr>
          <w:rFonts w:ascii="Arial" w:hAnsi="Arial" w:cs="Arial"/>
        </w:rPr>
      </w:pPr>
      <w:r w:rsidRPr="00B75AD2">
        <w:rPr>
          <w:rFonts w:ascii="Arial" w:hAnsi="Arial" w:cs="Arial"/>
        </w:rPr>
        <w:t>Students, teachers, administrators, and families access Amira via the web</w:t>
      </w:r>
      <w:r w:rsidR="00807744">
        <w:rPr>
          <w:rFonts w:ascii="Arial" w:hAnsi="Arial" w:cs="Arial" w:hint="eastAsia"/>
          <w:lang w:eastAsia="ko-KR"/>
        </w:rPr>
        <w:t xml:space="preserve">; </w:t>
      </w:r>
      <w:r w:rsidRPr="00B75AD2">
        <w:rPr>
          <w:rFonts w:ascii="Arial" w:hAnsi="Arial" w:cs="Arial"/>
        </w:rPr>
        <w:t>no additional equipment or plug-ins are required.</w:t>
      </w:r>
    </w:p>
    <w:p w14:paraId="4CCADB1B" w14:textId="09030D12" w:rsidR="00C23ADA" w:rsidRPr="00B75AD2" w:rsidRDefault="00C23ADA" w:rsidP="00496C17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496C17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</w:t>
      </w:r>
      <w:r w:rsidR="0077480E">
        <w:rPr>
          <w:rFonts w:ascii="Arial" w:hAnsi="Arial" w:cs="Arial"/>
          <w:b/>
          <w:bCs/>
          <w:i/>
          <w:iCs/>
        </w:rPr>
        <w:t>n by</w:t>
      </w:r>
      <w:r>
        <w:rPr>
          <w:rFonts w:ascii="Arial" w:hAnsi="Arial" w:cs="Arial"/>
          <w:b/>
          <w:bCs/>
          <w:i/>
          <w:iCs/>
        </w:rPr>
        <w:t xml:space="preserve"> the RDRSSP.</w:t>
      </w:r>
    </w:p>
    <w:sectPr w:rsidR="00C23ADA" w:rsidRPr="00B75AD2" w:rsidSect="00A5247B">
      <w:headerReference w:type="default" r:id="rId11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FCDC" w14:textId="77777777" w:rsidR="00461FEA" w:rsidRPr="006219F8" w:rsidRDefault="00461FEA" w:rsidP="001F4EAC">
      <w:r w:rsidRPr="006219F8">
        <w:separator/>
      </w:r>
    </w:p>
  </w:endnote>
  <w:endnote w:type="continuationSeparator" w:id="0">
    <w:p w14:paraId="2467204D" w14:textId="77777777" w:rsidR="00461FEA" w:rsidRPr="006219F8" w:rsidRDefault="00461FEA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927C" w14:textId="77777777" w:rsidR="00461FEA" w:rsidRPr="006219F8" w:rsidRDefault="00461FEA" w:rsidP="001F4EAC">
      <w:r w:rsidRPr="006219F8">
        <w:separator/>
      </w:r>
    </w:p>
  </w:footnote>
  <w:footnote w:type="continuationSeparator" w:id="0">
    <w:p w14:paraId="2E08B798" w14:textId="77777777" w:rsidR="00461FEA" w:rsidRPr="006219F8" w:rsidRDefault="00461FEA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2CEAE74A" w:rsidR="001F4EAC" w:rsidRPr="006219F8" w:rsidRDefault="001F4EAC" w:rsidP="00297C3B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2FE"/>
    <w:multiLevelType w:val="hybridMultilevel"/>
    <w:tmpl w:val="9686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9E9"/>
    <w:multiLevelType w:val="hybridMultilevel"/>
    <w:tmpl w:val="CA76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3512E"/>
    <w:multiLevelType w:val="hybridMultilevel"/>
    <w:tmpl w:val="E1BE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842AE"/>
    <w:multiLevelType w:val="hybridMultilevel"/>
    <w:tmpl w:val="88FE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7110A"/>
    <w:multiLevelType w:val="hybridMultilevel"/>
    <w:tmpl w:val="C662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5"/>
  </w:num>
  <w:num w:numId="3" w16cid:durableId="993223764">
    <w:abstractNumId w:val="45"/>
  </w:num>
  <w:num w:numId="4" w16cid:durableId="1479541470">
    <w:abstractNumId w:val="19"/>
  </w:num>
  <w:num w:numId="5" w16cid:durableId="1995251995">
    <w:abstractNumId w:val="31"/>
  </w:num>
  <w:num w:numId="6" w16cid:durableId="2020500112">
    <w:abstractNumId w:val="41"/>
  </w:num>
  <w:num w:numId="7" w16cid:durableId="89283719">
    <w:abstractNumId w:val="23"/>
  </w:num>
  <w:num w:numId="8" w16cid:durableId="1148666860">
    <w:abstractNumId w:val="14"/>
  </w:num>
  <w:num w:numId="9" w16cid:durableId="1329023295">
    <w:abstractNumId w:val="18"/>
  </w:num>
  <w:num w:numId="10" w16cid:durableId="1348866529">
    <w:abstractNumId w:val="29"/>
  </w:num>
  <w:num w:numId="11" w16cid:durableId="92673518">
    <w:abstractNumId w:val="7"/>
  </w:num>
  <w:num w:numId="12" w16cid:durableId="1116947002">
    <w:abstractNumId w:val="21"/>
  </w:num>
  <w:num w:numId="13" w16cid:durableId="1109394904">
    <w:abstractNumId w:val="1"/>
  </w:num>
  <w:num w:numId="14" w16cid:durableId="453909771">
    <w:abstractNumId w:val="30"/>
  </w:num>
  <w:num w:numId="15" w16cid:durableId="1403259421">
    <w:abstractNumId w:val="8"/>
  </w:num>
  <w:num w:numId="16" w16cid:durableId="2123524270">
    <w:abstractNumId w:val="36"/>
  </w:num>
  <w:num w:numId="17" w16cid:durableId="271398002">
    <w:abstractNumId w:val="9"/>
  </w:num>
  <w:num w:numId="18" w16cid:durableId="561794394">
    <w:abstractNumId w:val="38"/>
  </w:num>
  <w:num w:numId="19" w16cid:durableId="123693800">
    <w:abstractNumId w:val="39"/>
  </w:num>
  <w:num w:numId="20" w16cid:durableId="1013072114">
    <w:abstractNumId w:val="17"/>
  </w:num>
  <w:num w:numId="21" w16cid:durableId="884830337">
    <w:abstractNumId w:val="28"/>
  </w:num>
  <w:num w:numId="22" w16cid:durableId="1653679645">
    <w:abstractNumId w:val="37"/>
  </w:num>
  <w:num w:numId="23" w16cid:durableId="1770660235">
    <w:abstractNumId w:val="5"/>
  </w:num>
  <w:num w:numId="24" w16cid:durableId="327682631">
    <w:abstractNumId w:val="2"/>
  </w:num>
  <w:num w:numId="25" w16cid:durableId="1881935351">
    <w:abstractNumId w:val="33"/>
  </w:num>
  <w:num w:numId="26" w16cid:durableId="1162090147">
    <w:abstractNumId w:val="13"/>
  </w:num>
  <w:num w:numId="27" w16cid:durableId="1909222722">
    <w:abstractNumId w:val="22"/>
  </w:num>
  <w:num w:numId="28" w16cid:durableId="1571041235">
    <w:abstractNumId w:val="34"/>
  </w:num>
  <w:num w:numId="29" w16cid:durableId="1207910260">
    <w:abstractNumId w:val="43"/>
  </w:num>
  <w:num w:numId="30" w16cid:durableId="1030909382">
    <w:abstractNumId w:val="12"/>
  </w:num>
  <w:num w:numId="31" w16cid:durableId="319886494">
    <w:abstractNumId w:val="20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42"/>
  </w:num>
  <w:num w:numId="35" w16cid:durableId="957027904">
    <w:abstractNumId w:val="27"/>
  </w:num>
  <w:num w:numId="36" w16cid:durableId="1698043899">
    <w:abstractNumId w:val="24"/>
  </w:num>
  <w:num w:numId="37" w16cid:durableId="458496155">
    <w:abstractNumId w:val="16"/>
  </w:num>
  <w:num w:numId="38" w16cid:durableId="337197515">
    <w:abstractNumId w:val="35"/>
  </w:num>
  <w:num w:numId="39" w16cid:durableId="542642396">
    <w:abstractNumId w:val="44"/>
  </w:num>
  <w:num w:numId="40" w16cid:durableId="977488328">
    <w:abstractNumId w:val="26"/>
  </w:num>
  <w:num w:numId="41" w16cid:durableId="2121139790">
    <w:abstractNumId w:val="10"/>
  </w:num>
  <w:num w:numId="42" w16cid:durableId="301814673">
    <w:abstractNumId w:val="15"/>
  </w:num>
  <w:num w:numId="43" w16cid:durableId="1927839652">
    <w:abstractNumId w:val="6"/>
  </w:num>
  <w:num w:numId="44" w16cid:durableId="977684907">
    <w:abstractNumId w:val="40"/>
  </w:num>
  <w:num w:numId="45" w16cid:durableId="594360455">
    <w:abstractNumId w:val="32"/>
  </w:num>
  <w:num w:numId="46" w16cid:durableId="1762410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168FE"/>
    <w:rsid w:val="0002540A"/>
    <w:rsid w:val="0003049B"/>
    <w:rsid w:val="00032083"/>
    <w:rsid w:val="000330B6"/>
    <w:rsid w:val="0007426D"/>
    <w:rsid w:val="000801DD"/>
    <w:rsid w:val="000853E8"/>
    <w:rsid w:val="00097250"/>
    <w:rsid w:val="000A1497"/>
    <w:rsid w:val="000A52C4"/>
    <w:rsid w:val="000B21E3"/>
    <w:rsid w:val="000B507F"/>
    <w:rsid w:val="000C04E5"/>
    <w:rsid w:val="000E673E"/>
    <w:rsid w:val="000F64AB"/>
    <w:rsid w:val="001026FA"/>
    <w:rsid w:val="00131399"/>
    <w:rsid w:val="00131BED"/>
    <w:rsid w:val="001355D1"/>
    <w:rsid w:val="00140250"/>
    <w:rsid w:val="00141E3B"/>
    <w:rsid w:val="0014447A"/>
    <w:rsid w:val="0014599D"/>
    <w:rsid w:val="001564DD"/>
    <w:rsid w:val="0016085C"/>
    <w:rsid w:val="00177AF4"/>
    <w:rsid w:val="0019354A"/>
    <w:rsid w:val="001A6ADB"/>
    <w:rsid w:val="001C1B3A"/>
    <w:rsid w:val="001C70F3"/>
    <w:rsid w:val="001D3116"/>
    <w:rsid w:val="001D5EF3"/>
    <w:rsid w:val="001E652D"/>
    <w:rsid w:val="001F14A1"/>
    <w:rsid w:val="001F1F84"/>
    <w:rsid w:val="001F3FF8"/>
    <w:rsid w:val="001F4EAC"/>
    <w:rsid w:val="00205C00"/>
    <w:rsid w:val="00234713"/>
    <w:rsid w:val="00241EC8"/>
    <w:rsid w:val="002422AD"/>
    <w:rsid w:val="00243797"/>
    <w:rsid w:val="00250E7A"/>
    <w:rsid w:val="002550E6"/>
    <w:rsid w:val="002729E0"/>
    <w:rsid w:val="002868FA"/>
    <w:rsid w:val="002905C2"/>
    <w:rsid w:val="002912ED"/>
    <w:rsid w:val="002926A6"/>
    <w:rsid w:val="00297479"/>
    <w:rsid w:val="00297C3B"/>
    <w:rsid w:val="002C1197"/>
    <w:rsid w:val="002D0137"/>
    <w:rsid w:val="002D1081"/>
    <w:rsid w:val="002D3B7E"/>
    <w:rsid w:val="002E37DA"/>
    <w:rsid w:val="002E38F8"/>
    <w:rsid w:val="002F0DE8"/>
    <w:rsid w:val="002F25E1"/>
    <w:rsid w:val="0030413F"/>
    <w:rsid w:val="003108D9"/>
    <w:rsid w:val="003209C4"/>
    <w:rsid w:val="00323203"/>
    <w:rsid w:val="00323B9E"/>
    <w:rsid w:val="003256C3"/>
    <w:rsid w:val="00330959"/>
    <w:rsid w:val="00330C8D"/>
    <w:rsid w:val="00333901"/>
    <w:rsid w:val="00336BF8"/>
    <w:rsid w:val="003375C9"/>
    <w:rsid w:val="003523CD"/>
    <w:rsid w:val="0035534C"/>
    <w:rsid w:val="00374064"/>
    <w:rsid w:val="00375735"/>
    <w:rsid w:val="00384D63"/>
    <w:rsid w:val="00392EC3"/>
    <w:rsid w:val="0039717C"/>
    <w:rsid w:val="003A01F0"/>
    <w:rsid w:val="003E27D6"/>
    <w:rsid w:val="003E4FD3"/>
    <w:rsid w:val="003F0719"/>
    <w:rsid w:val="0040160E"/>
    <w:rsid w:val="004068A5"/>
    <w:rsid w:val="00406D67"/>
    <w:rsid w:val="00420357"/>
    <w:rsid w:val="00434D5C"/>
    <w:rsid w:val="00436F8F"/>
    <w:rsid w:val="00447544"/>
    <w:rsid w:val="00447CF5"/>
    <w:rsid w:val="0046168A"/>
    <w:rsid w:val="00461FEA"/>
    <w:rsid w:val="00462332"/>
    <w:rsid w:val="004676E2"/>
    <w:rsid w:val="00472B6C"/>
    <w:rsid w:val="0047700F"/>
    <w:rsid w:val="00482E49"/>
    <w:rsid w:val="00487AA7"/>
    <w:rsid w:val="004931CF"/>
    <w:rsid w:val="00496C17"/>
    <w:rsid w:val="004B3C40"/>
    <w:rsid w:val="004B5550"/>
    <w:rsid w:val="004B7F2D"/>
    <w:rsid w:val="004C1554"/>
    <w:rsid w:val="004D062A"/>
    <w:rsid w:val="004D303E"/>
    <w:rsid w:val="004D3CD1"/>
    <w:rsid w:val="004E0443"/>
    <w:rsid w:val="004E6F6A"/>
    <w:rsid w:val="004F06CA"/>
    <w:rsid w:val="005116EC"/>
    <w:rsid w:val="00516A14"/>
    <w:rsid w:val="005343B8"/>
    <w:rsid w:val="00543D19"/>
    <w:rsid w:val="00547D0E"/>
    <w:rsid w:val="00563CA3"/>
    <w:rsid w:val="00570326"/>
    <w:rsid w:val="00584C82"/>
    <w:rsid w:val="00596C65"/>
    <w:rsid w:val="005B5CE2"/>
    <w:rsid w:val="005D0F3A"/>
    <w:rsid w:val="005E00B3"/>
    <w:rsid w:val="005E30AE"/>
    <w:rsid w:val="005E34CB"/>
    <w:rsid w:val="005F4A1C"/>
    <w:rsid w:val="0060597E"/>
    <w:rsid w:val="0061224D"/>
    <w:rsid w:val="00614775"/>
    <w:rsid w:val="006219F8"/>
    <w:rsid w:val="00622689"/>
    <w:rsid w:val="00627AAE"/>
    <w:rsid w:val="006302D5"/>
    <w:rsid w:val="0065786F"/>
    <w:rsid w:val="00674E88"/>
    <w:rsid w:val="00697598"/>
    <w:rsid w:val="006A0C35"/>
    <w:rsid w:val="006A220B"/>
    <w:rsid w:val="006A37F2"/>
    <w:rsid w:val="006B4F09"/>
    <w:rsid w:val="006C14BC"/>
    <w:rsid w:val="006E446B"/>
    <w:rsid w:val="006E5478"/>
    <w:rsid w:val="006F256E"/>
    <w:rsid w:val="006F29D6"/>
    <w:rsid w:val="00710FD0"/>
    <w:rsid w:val="0071153F"/>
    <w:rsid w:val="0071209C"/>
    <w:rsid w:val="0072708F"/>
    <w:rsid w:val="0074438F"/>
    <w:rsid w:val="00750C1E"/>
    <w:rsid w:val="00751652"/>
    <w:rsid w:val="00763DFE"/>
    <w:rsid w:val="007661F8"/>
    <w:rsid w:val="0077480E"/>
    <w:rsid w:val="007772EB"/>
    <w:rsid w:val="00784D06"/>
    <w:rsid w:val="007B1821"/>
    <w:rsid w:val="007B6213"/>
    <w:rsid w:val="007D2DCE"/>
    <w:rsid w:val="007D5AA6"/>
    <w:rsid w:val="007E0340"/>
    <w:rsid w:val="007E625C"/>
    <w:rsid w:val="00807744"/>
    <w:rsid w:val="00816E14"/>
    <w:rsid w:val="00817712"/>
    <w:rsid w:val="00820AB0"/>
    <w:rsid w:val="00840530"/>
    <w:rsid w:val="008440CD"/>
    <w:rsid w:val="0085238E"/>
    <w:rsid w:val="00852713"/>
    <w:rsid w:val="00854F00"/>
    <w:rsid w:val="00856CD9"/>
    <w:rsid w:val="008617D3"/>
    <w:rsid w:val="00865645"/>
    <w:rsid w:val="00867209"/>
    <w:rsid w:val="008A5F75"/>
    <w:rsid w:val="008C16F1"/>
    <w:rsid w:val="008C3209"/>
    <w:rsid w:val="008D27F8"/>
    <w:rsid w:val="008E290E"/>
    <w:rsid w:val="008E4455"/>
    <w:rsid w:val="008E79A4"/>
    <w:rsid w:val="00900656"/>
    <w:rsid w:val="009030ED"/>
    <w:rsid w:val="00910A2B"/>
    <w:rsid w:val="0091135C"/>
    <w:rsid w:val="00911E3F"/>
    <w:rsid w:val="00913E61"/>
    <w:rsid w:val="00922639"/>
    <w:rsid w:val="0092538E"/>
    <w:rsid w:val="00930BF5"/>
    <w:rsid w:val="00935D64"/>
    <w:rsid w:val="00940D87"/>
    <w:rsid w:val="00943435"/>
    <w:rsid w:val="00943E6C"/>
    <w:rsid w:val="009569EE"/>
    <w:rsid w:val="00956E48"/>
    <w:rsid w:val="00957719"/>
    <w:rsid w:val="00960B5E"/>
    <w:rsid w:val="00961E0B"/>
    <w:rsid w:val="00981F75"/>
    <w:rsid w:val="00991764"/>
    <w:rsid w:val="009A0478"/>
    <w:rsid w:val="009A7349"/>
    <w:rsid w:val="009D235B"/>
    <w:rsid w:val="009D3F33"/>
    <w:rsid w:val="009D5578"/>
    <w:rsid w:val="009E23D1"/>
    <w:rsid w:val="009E4096"/>
    <w:rsid w:val="009E6F15"/>
    <w:rsid w:val="009F6E1E"/>
    <w:rsid w:val="00A01467"/>
    <w:rsid w:val="00A022C2"/>
    <w:rsid w:val="00A078CB"/>
    <w:rsid w:val="00A31593"/>
    <w:rsid w:val="00A32C52"/>
    <w:rsid w:val="00A35761"/>
    <w:rsid w:val="00A43B39"/>
    <w:rsid w:val="00A477DE"/>
    <w:rsid w:val="00A5247B"/>
    <w:rsid w:val="00A53953"/>
    <w:rsid w:val="00A54226"/>
    <w:rsid w:val="00A862A4"/>
    <w:rsid w:val="00A87036"/>
    <w:rsid w:val="00AA7285"/>
    <w:rsid w:val="00AB78F0"/>
    <w:rsid w:val="00AF562C"/>
    <w:rsid w:val="00B055F6"/>
    <w:rsid w:val="00B270FB"/>
    <w:rsid w:val="00B46D10"/>
    <w:rsid w:val="00B508F3"/>
    <w:rsid w:val="00B574B8"/>
    <w:rsid w:val="00B75AD2"/>
    <w:rsid w:val="00B81E9F"/>
    <w:rsid w:val="00B8213A"/>
    <w:rsid w:val="00B8393E"/>
    <w:rsid w:val="00BA237C"/>
    <w:rsid w:val="00BD4BEF"/>
    <w:rsid w:val="00BD5A9F"/>
    <w:rsid w:val="00BE286D"/>
    <w:rsid w:val="00BF6154"/>
    <w:rsid w:val="00C04BCA"/>
    <w:rsid w:val="00C16E95"/>
    <w:rsid w:val="00C20031"/>
    <w:rsid w:val="00C20D92"/>
    <w:rsid w:val="00C23ADA"/>
    <w:rsid w:val="00C33BA9"/>
    <w:rsid w:val="00C33D47"/>
    <w:rsid w:val="00C472A0"/>
    <w:rsid w:val="00C50B7C"/>
    <w:rsid w:val="00C51961"/>
    <w:rsid w:val="00C55A65"/>
    <w:rsid w:val="00CB0BF3"/>
    <w:rsid w:val="00CB2259"/>
    <w:rsid w:val="00CC55C2"/>
    <w:rsid w:val="00CD4EE9"/>
    <w:rsid w:val="00CE400B"/>
    <w:rsid w:val="00CE6A2B"/>
    <w:rsid w:val="00D0080C"/>
    <w:rsid w:val="00D2073E"/>
    <w:rsid w:val="00D256D9"/>
    <w:rsid w:val="00D27547"/>
    <w:rsid w:val="00D366FE"/>
    <w:rsid w:val="00D40750"/>
    <w:rsid w:val="00D55824"/>
    <w:rsid w:val="00D67990"/>
    <w:rsid w:val="00D71A70"/>
    <w:rsid w:val="00D72228"/>
    <w:rsid w:val="00D8278C"/>
    <w:rsid w:val="00D87FC5"/>
    <w:rsid w:val="00D93BE3"/>
    <w:rsid w:val="00DA088A"/>
    <w:rsid w:val="00DB19BE"/>
    <w:rsid w:val="00DB353F"/>
    <w:rsid w:val="00DB4CED"/>
    <w:rsid w:val="00DB67A6"/>
    <w:rsid w:val="00DB7A45"/>
    <w:rsid w:val="00DC132E"/>
    <w:rsid w:val="00DC430B"/>
    <w:rsid w:val="00DC4CAB"/>
    <w:rsid w:val="00DD137D"/>
    <w:rsid w:val="00DD2F11"/>
    <w:rsid w:val="00DD4201"/>
    <w:rsid w:val="00DE0E08"/>
    <w:rsid w:val="00DE4BA9"/>
    <w:rsid w:val="00DE6B03"/>
    <w:rsid w:val="00DE75D1"/>
    <w:rsid w:val="00DF1B58"/>
    <w:rsid w:val="00E0228D"/>
    <w:rsid w:val="00E07A00"/>
    <w:rsid w:val="00E11E68"/>
    <w:rsid w:val="00E25899"/>
    <w:rsid w:val="00E415FE"/>
    <w:rsid w:val="00E44D15"/>
    <w:rsid w:val="00E4707B"/>
    <w:rsid w:val="00E51B7C"/>
    <w:rsid w:val="00E54531"/>
    <w:rsid w:val="00E57DEF"/>
    <w:rsid w:val="00E61D49"/>
    <w:rsid w:val="00E63784"/>
    <w:rsid w:val="00E80823"/>
    <w:rsid w:val="00E92EE6"/>
    <w:rsid w:val="00E931D8"/>
    <w:rsid w:val="00EA1BAE"/>
    <w:rsid w:val="00EA4DF6"/>
    <w:rsid w:val="00EA7687"/>
    <w:rsid w:val="00EB461E"/>
    <w:rsid w:val="00EB6C22"/>
    <w:rsid w:val="00EC1C16"/>
    <w:rsid w:val="00ED5746"/>
    <w:rsid w:val="00EE28C2"/>
    <w:rsid w:val="00F02E6F"/>
    <w:rsid w:val="00F0492C"/>
    <w:rsid w:val="00F26E52"/>
    <w:rsid w:val="00F30E66"/>
    <w:rsid w:val="00F373AA"/>
    <w:rsid w:val="00F408B8"/>
    <w:rsid w:val="00F501C0"/>
    <w:rsid w:val="00F501F6"/>
    <w:rsid w:val="00F549A9"/>
    <w:rsid w:val="00F56609"/>
    <w:rsid w:val="00F5741B"/>
    <w:rsid w:val="00F61C24"/>
    <w:rsid w:val="00F629FA"/>
    <w:rsid w:val="00F73485"/>
    <w:rsid w:val="00F91CC3"/>
    <w:rsid w:val="00FA649D"/>
    <w:rsid w:val="00FA68EF"/>
    <w:rsid w:val="00FB2820"/>
    <w:rsid w:val="00FC3568"/>
    <w:rsid w:val="00FC783F"/>
    <w:rsid w:val="00FD6DEC"/>
    <w:rsid w:val="00FD7B95"/>
    <w:rsid w:val="00FE289E"/>
    <w:rsid w:val="00FE3FC0"/>
    <w:rsid w:val="00FF09B4"/>
    <w:rsid w:val="00FF107F"/>
    <w:rsid w:val="00FF5423"/>
    <w:rsid w:val="00FF5798"/>
    <w:rsid w:val="0598C755"/>
    <w:rsid w:val="13050179"/>
    <w:rsid w:val="1A5B112B"/>
    <w:rsid w:val="1BCC1DF3"/>
    <w:rsid w:val="1DEAA4FB"/>
    <w:rsid w:val="245011D4"/>
    <w:rsid w:val="25B000FD"/>
    <w:rsid w:val="25FD9E7F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E0DB6DC"/>
    <w:rsid w:val="63A6B3CF"/>
    <w:rsid w:val="6B91CCD0"/>
    <w:rsid w:val="704E6191"/>
    <w:rsid w:val="75573527"/>
    <w:rsid w:val="7562CE4D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C9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C1197"/>
    <w:pPr>
      <w:spacing w:before="240" w:after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5AD2"/>
    <w:pPr>
      <w:keepNext/>
      <w:keepLines/>
      <w:spacing w:before="160" w:line="276" w:lineRule="auto"/>
      <w:contextualSpacing/>
      <w:outlineLvl w:val="2"/>
    </w:pPr>
    <w:rPr>
      <w:rFonts w:ascii="Arial" w:eastAsiaTheme="majorEastAsia" w:hAnsi="Arial" w:cs="Arial"/>
      <w:b/>
      <w:b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C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197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AD2"/>
    <w:rPr>
      <w:rFonts w:ascii="Arial" w:eastAsiaTheme="majorEastAsia" w:hAnsi="Arial" w:cs="Arial"/>
      <w:b/>
      <w:bCs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22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2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9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ralearnin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ward.howard@hmh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ne.Henderson@amira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Amira - Reading Difficulties Risk Screening Selection Panel (CA Dept of Education)</vt:lpstr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Amira - Reading Difficulties Risk Screening Selection Panel (CA Dept of Education)</dc:title>
  <dc:subject>Screening Instrument Title: Amira of Amira Learning, Inc. with Houghton Mifflin Harcourt (HMH) as official distribution partners.</dc:subject>
  <dc:creator/>
  <cp:keywords/>
  <dc:description/>
  <cp:lastModifiedBy/>
  <cp:revision>1</cp:revision>
  <dcterms:created xsi:type="dcterms:W3CDTF">2024-11-06T22:48:00Z</dcterms:created>
  <dcterms:modified xsi:type="dcterms:W3CDTF">2024-11-06T23:03:00Z</dcterms:modified>
</cp:coreProperties>
</file>