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51E3" w14:textId="77777777" w:rsidR="00C3543C" w:rsidRPr="007C25F9" w:rsidRDefault="00C3543C" w:rsidP="004773C9">
      <w:pPr>
        <w:pStyle w:val="Header"/>
        <w:jc w:val="right"/>
      </w:pPr>
      <w:r w:rsidRPr="007C25F9">
        <w:t>California Department of Education</w:t>
      </w:r>
    </w:p>
    <w:p w14:paraId="3EB5568B" w14:textId="77777777" w:rsidR="00C3543C" w:rsidRPr="007C25F9" w:rsidRDefault="00C3543C" w:rsidP="004773C9">
      <w:pPr>
        <w:pStyle w:val="Header"/>
        <w:jc w:val="right"/>
      </w:pPr>
      <w:r w:rsidRPr="007C25F9">
        <w:t>Charter Schools Division</w:t>
      </w:r>
    </w:p>
    <w:p w14:paraId="4DC5ED9C" w14:textId="77777777" w:rsidR="00C3543C" w:rsidRPr="007C25F9" w:rsidRDefault="00C3543C" w:rsidP="004773C9">
      <w:pPr>
        <w:pStyle w:val="Header"/>
        <w:jc w:val="right"/>
      </w:pPr>
      <w:r w:rsidRPr="007C25F9">
        <w:t>Created 03/2025</w:t>
      </w:r>
    </w:p>
    <w:p w14:paraId="71D4B51A" w14:textId="77777777" w:rsidR="00BB2FC9" w:rsidRDefault="00BB2FC9" w:rsidP="004773C9">
      <w:pPr>
        <w:pStyle w:val="Header"/>
        <w:jc w:val="right"/>
      </w:pPr>
      <w:r>
        <w:t>memo-</w:t>
      </w:r>
      <w:r w:rsidRPr="007C25F9">
        <w:t>lacb-csd-</w:t>
      </w:r>
      <w:r>
        <w:t>apr</w:t>
      </w:r>
      <w:r w:rsidRPr="007C25F9">
        <w:t>25item</w:t>
      </w:r>
      <w:r>
        <w:t>02</w:t>
      </w:r>
    </w:p>
    <w:p w14:paraId="5A8DA28A" w14:textId="4551953A" w:rsidR="00C3543C" w:rsidRPr="007C25F9" w:rsidRDefault="00C3543C" w:rsidP="004773C9">
      <w:pPr>
        <w:pStyle w:val="Header"/>
        <w:jc w:val="right"/>
      </w:pPr>
      <w:r w:rsidRPr="007C25F9">
        <w:t xml:space="preserve">Attachment </w:t>
      </w:r>
      <w:r w:rsidR="0068008A">
        <w:t>17</w:t>
      </w:r>
    </w:p>
    <w:p w14:paraId="06A15CBB" w14:textId="77777777" w:rsidR="00C3543C" w:rsidRPr="007C25F9" w:rsidRDefault="00C3543C" w:rsidP="008C1CCA">
      <w:pPr>
        <w:pStyle w:val="Heading1"/>
      </w:pPr>
      <w:r w:rsidRPr="007C25F9">
        <w:t>California State Board of Education-Authorized Charter School 2024 Academic Memorandum Form</w:t>
      </w:r>
    </w:p>
    <w:p w14:paraId="776F282E" w14:textId="77777777" w:rsidR="00C3543C" w:rsidRPr="007C25F9" w:rsidRDefault="00C3543C" w:rsidP="008C1CCA">
      <w:pPr>
        <w:spacing w:after="480"/>
        <w:jc w:val="center"/>
        <w:rPr>
          <w:rFonts w:eastAsia="Calibri" w:cs="Arial"/>
          <w14:ligatures w14:val="none"/>
        </w:rPr>
      </w:pPr>
      <w:r w:rsidRPr="007C25F9">
        <w:rPr>
          <w:rFonts w:eastAsia="Calibri" w:cs="Arial"/>
          <w14:ligatures w14:val="none"/>
        </w:rPr>
        <w:t>CALIFORNIA DEPARTMENT OF EDUCATION</w:t>
      </w:r>
    </w:p>
    <w:p w14:paraId="7E655A07" w14:textId="65D6A3D1" w:rsidR="00C3543C" w:rsidRPr="007C25F9" w:rsidRDefault="00C3543C"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 xml:space="preserve">John Henry High </w:t>
      </w:r>
      <w:r w:rsidRPr="007C25F9">
        <w:rPr>
          <w:rFonts w:eastAsia="Calibri" w:cs="Arial"/>
          <w14:ligatures w14:val="none"/>
        </w:rPr>
        <w:t>(Charter #</w:t>
      </w:r>
      <w:r w:rsidRPr="00616C08">
        <w:rPr>
          <w:rFonts w:eastAsia="Calibri" w:cs="Arial"/>
          <w:noProof/>
          <w14:ligatures w14:val="none"/>
        </w:rPr>
        <w:t>1741</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113BBF59" w14:textId="77777777" w:rsidR="00C3543C" w:rsidRPr="007C25F9" w:rsidRDefault="00C3543C" w:rsidP="00D852E7">
      <w:pPr>
        <w:spacing w:after="160" w:line="259" w:lineRule="auto"/>
        <w:rPr>
          <w:rFonts w:eastAsiaTheme="majorEastAsia" w:cstheme="majorBidi"/>
          <w:b/>
          <w:sz w:val="32"/>
          <w:szCs w:val="26"/>
        </w:rPr>
      </w:pPr>
      <w:r w:rsidRPr="007C25F9">
        <w:br w:type="page"/>
      </w:r>
    </w:p>
    <w:p w14:paraId="3C287619" w14:textId="624877CF" w:rsidR="00C3543C" w:rsidRPr="007C25F9" w:rsidRDefault="00C3543C" w:rsidP="00A42D0A">
      <w:pPr>
        <w:pStyle w:val="Heading2"/>
      </w:pPr>
      <w:r w:rsidRPr="00616C08">
        <w:lastRenderedPageBreak/>
        <w:t>John Henry High</w:t>
      </w:r>
      <w:r w:rsidRPr="007C25F9">
        <w:br/>
        <w:t>2024 Academic Memorandum Form</w:t>
      </w:r>
    </w:p>
    <w:p w14:paraId="774782D5" w14:textId="77777777" w:rsidR="00C3543C" w:rsidRPr="007C25F9" w:rsidRDefault="00C3543C" w:rsidP="00A42D0A">
      <w:pPr>
        <w:pStyle w:val="Heading3"/>
      </w:pPr>
      <w:r w:rsidRPr="007C25F9">
        <w:t>Section 1. Charter School Information</w:t>
      </w:r>
    </w:p>
    <w:p w14:paraId="0D7318D9" w14:textId="77777777" w:rsidR="00C3543C" w:rsidRPr="007C25F9" w:rsidRDefault="00C3543C" w:rsidP="00A42D0A">
      <w:pPr>
        <w:pStyle w:val="Heading4"/>
      </w:pPr>
      <w:r w:rsidRPr="007C25F9">
        <w:t>General Information</w:t>
      </w:r>
    </w:p>
    <w:p w14:paraId="138CECDD" w14:textId="77777777" w:rsidR="00C3543C" w:rsidRPr="007C25F9" w:rsidRDefault="00C3543C"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C3543C" w:rsidRPr="007C25F9" w14:paraId="01123BD2" w14:textId="77777777" w:rsidTr="007929F6">
        <w:trPr>
          <w:cantSplit/>
          <w:tblHeader/>
        </w:trPr>
        <w:tc>
          <w:tcPr>
            <w:tcW w:w="4675" w:type="dxa"/>
            <w:shd w:val="clear" w:color="auto" w:fill="D9D9D9" w:themeFill="background1" w:themeFillShade="D9"/>
          </w:tcPr>
          <w:p w14:paraId="20679E53" w14:textId="77777777" w:rsidR="00C3543C" w:rsidRPr="007C25F9" w:rsidRDefault="00C3543C" w:rsidP="00765AEF">
            <w:pPr>
              <w:rPr>
                <w:b/>
                <w:bCs/>
              </w:rPr>
            </w:pPr>
            <w:r w:rsidRPr="007C25F9">
              <w:rPr>
                <w:b/>
                <w:bCs/>
              </w:rPr>
              <w:t>Prompt</w:t>
            </w:r>
          </w:p>
        </w:tc>
        <w:tc>
          <w:tcPr>
            <w:tcW w:w="4675" w:type="dxa"/>
            <w:shd w:val="clear" w:color="auto" w:fill="D9D9D9" w:themeFill="background1" w:themeFillShade="D9"/>
          </w:tcPr>
          <w:p w14:paraId="423186EE" w14:textId="77777777" w:rsidR="00C3543C" w:rsidRPr="007C25F9" w:rsidRDefault="00C3543C" w:rsidP="00765AEF">
            <w:pPr>
              <w:rPr>
                <w:b/>
                <w:bCs/>
              </w:rPr>
            </w:pPr>
            <w:r w:rsidRPr="007C25F9">
              <w:rPr>
                <w:b/>
                <w:bCs/>
              </w:rPr>
              <w:t>Response</w:t>
            </w:r>
          </w:p>
        </w:tc>
      </w:tr>
      <w:tr w:rsidR="00C3543C" w:rsidRPr="007C25F9" w14:paraId="4727345B" w14:textId="77777777" w:rsidTr="00C2622E">
        <w:tc>
          <w:tcPr>
            <w:tcW w:w="4675" w:type="dxa"/>
          </w:tcPr>
          <w:p w14:paraId="338D9539" w14:textId="77777777" w:rsidR="00C3543C" w:rsidRPr="007C25F9" w:rsidRDefault="00C3543C" w:rsidP="00765AEF">
            <w:r w:rsidRPr="007C25F9">
              <w:t>Charter School Name</w:t>
            </w:r>
          </w:p>
        </w:tc>
        <w:tc>
          <w:tcPr>
            <w:tcW w:w="4675" w:type="dxa"/>
          </w:tcPr>
          <w:p w14:paraId="59A26C72" w14:textId="77777777" w:rsidR="00C3543C" w:rsidRPr="007C25F9" w:rsidRDefault="00C3543C" w:rsidP="00765AEF">
            <w:r w:rsidRPr="00616C08">
              <w:rPr>
                <w:noProof/>
              </w:rPr>
              <w:t>John Henry High School</w:t>
            </w:r>
          </w:p>
        </w:tc>
      </w:tr>
      <w:tr w:rsidR="00C3543C" w:rsidRPr="007C25F9" w14:paraId="0E2A2174" w14:textId="77777777" w:rsidTr="00C2622E">
        <w:tc>
          <w:tcPr>
            <w:tcW w:w="4675" w:type="dxa"/>
          </w:tcPr>
          <w:p w14:paraId="46106E9C" w14:textId="77777777" w:rsidR="00C3543C" w:rsidRPr="007C25F9" w:rsidRDefault="00C3543C" w:rsidP="00765AEF">
            <w:r w:rsidRPr="007C25F9">
              <w:t>School Address</w:t>
            </w:r>
          </w:p>
        </w:tc>
        <w:tc>
          <w:tcPr>
            <w:tcW w:w="4675" w:type="dxa"/>
          </w:tcPr>
          <w:p w14:paraId="7F70318E" w14:textId="77777777" w:rsidR="00C3543C" w:rsidRPr="007C25F9" w:rsidRDefault="00C3543C" w:rsidP="00765AEF">
            <w:r w:rsidRPr="00616C08">
              <w:rPr>
                <w:noProof/>
              </w:rPr>
              <w:t>1402 Marina Way South</w:t>
            </w:r>
          </w:p>
        </w:tc>
      </w:tr>
      <w:tr w:rsidR="00C3543C" w:rsidRPr="007C25F9" w14:paraId="451C65D0" w14:textId="77777777" w:rsidTr="00C2622E">
        <w:tc>
          <w:tcPr>
            <w:tcW w:w="4675" w:type="dxa"/>
          </w:tcPr>
          <w:p w14:paraId="01522534" w14:textId="77777777" w:rsidR="00C3543C" w:rsidRPr="007C25F9" w:rsidRDefault="00C3543C" w:rsidP="00765AEF">
            <w:r w:rsidRPr="007C25F9">
              <w:t>City</w:t>
            </w:r>
          </w:p>
        </w:tc>
        <w:tc>
          <w:tcPr>
            <w:tcW w:w="4675" w:type="dxa"/>
          </w:tcPr>
          <w:p w14:paraId="4769E8FF" w14:textId="77777777" w:rsidR="00C3543C" w:rsidRPr="007C25F9" w:rsidRDefault="00C3543C" w:rsidP="00765AEF">
            <w:r w:rsidRPr="00616C08">
              <w:rPr>
                <w:noProof/>
              </w:rPr>
              <w:t>Richmond</w:t>
            </w:r>
          </w:p>
        </w:tc>
      </w:tr>
      <w:tr w:rsidR="00C3543C" w:rsidRPr="007C25F9" w14:paraId="2C8D5359" w14:textId="77777777" w:rsidTr="00C2622E">
        <w:tc>
          <w:tcPr>
            <w:tcW w:w="4675" w:type="dxa"/>
          </w:tcPr>
          <w:p w14:paraId="6D7AC66F" w14:textId="77777777" w:rsidR="00C3543C" w:rsidRPr="007C25F9" w:rsidRDefault="00C3543C" w:rsidP="00765AEF">
            <w:r w:rsidRPr="007C25F9">
              <w:t>ZIP Code</w:t>
            </w:r>
          </w:p>
        </w:tc>
        <w:tc>
          <w:tcPr>
            <w:tcW w:w="4675" w:type="dxa"/>
          </w:tcPr>
          <w:p w14:paraId="1A1B836B" w14:textId="77777777" w:rsidR="00C3543C" w:rsidRPr="007C25F9" w:rsidRDefault="00C3543C" w:rsidP="00765AEF">
            <w:r w:rsidRPr="00616C08">
              <w:rPr>
                <w:noProof/>
              </w:rPr>
              <w:t>94804</w:t>
            </w:r>
          </w:p>
        </w:tc>
      </w:tr>
      <w:tr w:rsidR="00C3543C" w:rsidRPr="007C25F9" w14:paraId="7C686456" w14:textId="77777777" w:rsidTr="00C2622E">
        <w:tc>
          <w:tcPr>
            <w:tcW w:w="4675" w:type="dxa"/>
          </w:tcPr>
          <w:p w14:paraId="44C34F01" w14:textId="77777777" w:rsidR="00C3543C" w:rsidRPr="007C25F9" w:rsidRDefault="00C3543C" w:rsidP="00765AEF">
            <w:r w:rsidRPr="007C25F9">
              <w:t>Located in District</w:t>
            </w:r>
          </w:p>
        </w:tc>
        <w:tc>
          <w:tcPr>
            <w:tcW w:w="4675" w:type="dxa"/>
          </w:tcPr>
          <w:p w14:paraId="13BAB2C1" w14:textId="77777777" w:rsidR="00C3543C" w:rsidRPr="007C25F9" w:rsidRDefault="00C3543C" w:rsidP="00765AEF">
            <w:r w:rsidRPr="00616C08">
              <w:rPr>
                <w:noProof/>
              </w:rPr>
              <w:t>West Contra Costa</w:t>
            </w:r>
          </w:p>
        </w:tc>
      </w:tr>
      <w:tr w:rsidR="00C3543C" w:rsidRPr="007C25F9" w14:paraId="12985BD0" w14:textId="77777777" w:rsidTr="00C2622E">
        <w:tc>
          <w:tcPr>
            <w:tcW w:w="4675" w:type="dxa"/>
          </w:tcPr>
          <w:p w14:paraId="4BDE295C" w14:textId="77777777" w:rsidR="00C3543C" w:rsidRPr="007C25F9" w:rsidRDefault="00C3543C" w:rsidP="00765AEF">
            <w:r w:rsidRPr="007C25F9">
              <w:t>County</w:t>
            </w:r>
          </w:p>
        </w:tc>
        <w:tc>
          <w:tcPr>
            <w:tcW w:w="4675" w:type="dxa"/>
          </w:tcPr>
          <w:p w14:paraId="24E57A7A" w14:textId="77777777" w:rsidR="00C3543C" w:rsidRPr="007C25F9" w:rsidRDefault="00C3543C" w:rsidP="00765AEF">
            <w:r w:rsidRPr="00616C08">
              <w:rPr>
                <w:noProof/>
              </w:rPr>
              <w:t>Contra Costa</w:t>
            </w:r>
          </w:p>
        </w:tc>
      </w:tr>
      <w:tr w:rsidR="00C3543C" w:rsidRPr="007C25F9" w14:paraId="47D0B680" w14:textId="77777777" w:rsidTr="00C2622E">
        <w:tc>
          <w:tcPr>
            <w:tcW w:w="4675" w:type="dxa"/>
          </w:tcPr>
          <w:p w14:paraId="7A06E498" w14:textId="77777777" w:rsidR="00C3543C" w:rsidRPr="007C25F9" w:rsidRDefault="00C3543C" w:rsidP="00765AEF">
            <w:r w:rsidRPr="007C25F9">
              <w:t>Website Address</w:t>
            </w:r>
          </w:p>
        </w:tc>
        <w:tc>
          <w:tcPr>
            <w:tcW w:w="4675" w:type="dxa"/>
          </w:tcPr>
          <w:p w14:paraId="757C9799" w14:textId="77777777" w:rsidR="00C3543C" w:rsidRPr="007C25F9" w:rsidRDefault="00C3543C" w:rsidP="00765AEF">
            <w:r w:rsidRPr="00616C08">
              <w:rPr>
                <w:noProof/>
              </w:rPr>
              <w:t>https://jhhs.amethodschools.org/</w:t>
            </w:r>
          </w:p>
        </w:tc>
      </w:tr>
      <w:tr w:rsidR="00C3543C" w:rsidRPr="007C25F9" w14:paraId="0D5327F2" w14:textId="77777777" w:rsidTr="00C2622E">
        <w:tc>
          <w:tcPr>
            <w:tcW w:w="4675" w:type="dxa"/>
          </w:tcPr>
          <w:p w14:paraId="2CF63853" w14:textId="77777777" w:rsidR="00C3543C" w:rsidRPr="007C25F9" w:rsidRDefault="00C3543C" w:rsidP="00765AEF">
            <w:r w:rsidRPr="007C25F9">
              <w:t>County District School (CDS) Code</w:t>
            </w:r>
          </w:p>
        </w:tc>
        <w:tc>
          <w:tcPr>
            <w:tcW w:w="4675" w:type="dxa"/>
          </w:tcPr>
          <w:p w14:paraId="7CDB8A3C" w14:textId="77777777" w:rsidR="00C3543C" w:rsidRPr="007C25F9" w:rsidRDefault="00C3543C" w:rsidP="00765AEF">
            <w:r w:rsidRPr="00616C08">
              <w:rPr>
                <w:noProof/>
              </w:rPr>
              <w:t>07-77354-0132233</w:t>
            </w:r>
          </w:p>
        </w:tc>
      </w:tr>
      <w:tr w:rsidR="00C3543C" w:rsidRPr="007C25F9" w14:paraId="35AC7AFC" w14:textId="77777777" w:rsidTr="00C2622E">
        <w:tc>
          <w:tcPr>
            <w:tcW w:w="4675" w:type="dxa"/>
          </w:tcPr>
          <w:p w14:paraId="4A30240A" w14:textId="77777777" w:rsidR="00C3543C" w:rsidRPr="007C25F9" w:rsidRDefault="00C3543C" w:rsidP="00765AEF">
            <w:r w:rsidRPr="007C25F9">
              <w:t>Charter Number</w:t>
            </w:r>
          </w:p>
        </w:tc>
        <w:tc>
          <w:tcPr>
            <w:tcW w:w="4675" w:type="dxa"/>
          </w:tcPr>
          <w:p w14:paraId="33E36528" w14:textId="77777777" w:rsidR="00C3543C" w:rsidRPr="007C25F9" w:rsidRDefault="00C3543C" w:rsidP="00765AEF">
            <w:r w:rsidRPr="00616C08">
              <w:rPr>
                <w:noProof/>
              </w:rPr>
              <w:t>1741</w:t>
            </w:r>
          </w:p>
        </w:tc>
      </w:tr>
      <w:tr w:rsidR="00C3543C" w:rsidRPr="007C25F9" w14:paraId="61EEFB86" w14:textId="77777777" w:rsidTr="00C2622E">
        <w:tc>
          <w:tcPr>
            <w:tcW w:w="4675" w:type="dxa"/>
          </w:tcPr>
          <w:p w14:paraId="34F6EC04" w14:textId="77777777" w:rsidR="00C3543C" w:rsidRPr="007C25F9" w:rsidRDefault="00C3543C" w:rsidP="00765AEF">
            <w:r w:rsidRPr="007C25F9">
              <w:t>Current Charter Term Start Date</w:t>
            </w:r>
          </w:p>
        </w:tc>
        <w:tc>
          <w:tcPr>
            <w:tcW w:w="4675" w:type="dxa"/>
          </w:tcPr>
          <w:p w14:paraId="7FC92074" w14:textId="77777777" w:rsidR="00C3543C" w:rsidRPr="007C25F9" w:rsidRDefault="00C3543C" w:rsidP="00765AEF">
            <w:r w:rsidRPr="00616C08">
              <w:rPr>
                <w:noProof/>
              </w:rPr>
              <w:t>7/1/2020</w:t>
            </w:r>
          </w:p>
        </w:tc>
      </w:tr>
      <w:tr w:rsidR="00C3543C" w:rsidRPr="007C25F9" w14:paraId="5C1484DE" w14:textId="77777777" w:rsidTr="00C2622E">
        <w:tc>
          <w:tcPr>
            <w:tcW w:w="4675" w:type="dxa"/>
          </w:tcPr>
          <w:p w14:paraId="28342769" w14:textId="77777777" w:rsidR="00C3543C" w:rsidRPr="007C25F9" w:rsidRDefault="00C3543C" w:rsidP="00765AEF">
            <w:r w:rsidRPr="007C25F9">
              <w:t>Current Charter Term End Date</w:t>
            </w:r>
          </w:p>
        </w:tc>
        <w:tc>
          <w:tcPr>
            <w:tcW w:w="4675" w:type="dxa"/>
          </w:tcPr>
          <w:p w14:paraId="73D8B7EA" w14:textId="68944AAC" w:rsidR="00C3543C" w:rsidRPr="007C25F9" w:rsidRDefault="00C3543C" w:rsidP="00765AEF">
            <w:r w:rsidRPr="00616C08">
              <w:rPr>
                <w:noProof/>
              </w:rPr>
              <w:t>6/30/202</w:t>
            </w:r>
            <w:r w:rsidR="00830B40">
              <w:rPr>
                <w:noProof/>
              </w:rPr>
              <w:t>8</w:t>
            </w:r>
          </w:p>
        </w:tc>
      </w:tr>
      <w:tr w:rsidR="00C3543C" w:rsidRPr="007C25F9" w14:paraId="73AFDEAC" w14:textId="77777777" w:rsidTr="00C2622E">
        <w:tc>
          <w:tcPr>
            <w:tcW w:w="4675" w:type="dxa"/>
          </w:tcPr>
          <w:p w14:paraId="1A3A120A" w14:textId="77777777" w:rsidR="00C3543C" w:rsidRPr="007C25F9" w:rsidRDefault="00C3543C" w:rsidP="00765AEF">
            <w:r w:rsidRPr="007C25F9">
              <w:t>Grade Levels Served</w:t>
            </w:r>
          </w:p>
        </w:tc>
        <w:tc>
          <w:tcPr>
            <w:tcW w:w="4675" w:type="dxa"/>
          </w:tcPr>
          <w:p w14:paraId="40D2D7DC" w14:textId="24151C95" w:rsidR="00C3543C" w:rsidRPr="007C25F9" w:rsidRDefault="00FC6421" w:rsidP="00765AEF">
            <w:r>
              <w:rPr>
                <w:noProof/>
              </w:rPr>
              <w:t>9</w:t>
            </w:r>
            <w:r w:rsidR="00E23017">
              <w:rPr>
                <w:noProof/>
              </w:rPr>
              <w:t>-</w:t>
            </w:r>
            <w:r>
              <w:rPr>
                <w:noProof/>
              </w:rPr>
              <w:t>12</w:t>
            </w:r>
          </w:p>
        </w:tc>
      </w:tr>
      <w:tr w:rsidR="00C3543C" w:rsidRPr="007C25F9" w14:paraId="66490D07" w14:textId="77777777" w:rsidTr="00C2622E">
        <w:tc>
          <w:tcPr>
            <w:tcW w:w="4675" w:type="dxa"/>
          </w:tcPr>
          <w:p w14:paraId="3CFE5ED3" w14:textId="77777777" w:rsidR="00C3543C" w:rsidRPr="007C25F9" w:rsidRDefault="00C3543C" w:rsidP="00765AEF">
            <w:r w:rsidRPr="007C25F9">
              <w:t>2023–24 Enrollment</w:t>
            </w:r>
          </w:p>
        </w:tc>
        <w:tc>
          <w:tcPr>
            <w:tcW w:w="4675" w:type="dxa"/>
          </w:tcPr>
          <w:p w14:paraId="0588A5B0" w14:textId="5CF538A8" w:rsidR="00C3543C" w:rsidRPr="007C25F9" w:rsidRDefault="003C5F3C" w:rsidP="00765AEF">
            <w:r>
              <w:t>285</w:t>
            </w:r>
          </w:p>
        </w:tc>
      </w:tr>
      <w:tr w:rsidR="00C3543C" w:rsidRPr="007C25F9" w14:paraId="77B328FC" w14:textId="77777777" w:rsidTr="00C2622E">
        <w:tc>
          <w:tcPr>
            <w:tcW w:w="4675" w:type="dxa"/>
          </w:tcPr>
          <w:p w14:paraId="1B85B94F" w14:textId="77777777" w:rsidR="00C3543C" w:rsidRPr="007C25F9" w:rsidRDefault="00C3543C" w:rsidP="00765AEF">
            <w:r w:rsidRPr="007C25F9">
              <w:t>Instruction Type</w:t>
            </w:r>
          </w:p>
        </w:tc>
        <w:tc>
          <w:tcPr>
            <w:tcW w:w="4675" w:type="dxa"/>
          </w:tcPr>
          <w:p w14:paraId="7422D786" w14:textId="77777777" w:rsidR="00C3543C" w:rsidRPr="007C25F9" w:rsidRDefault="00C3543C" w:rsidP="00765AEF">
            <w:r w:rsidRPr="00616C08">
              <w:rPr>
                <w:noProof/>
              </w:rPr>
              <w:t>Classroom-based</w:t>
            </w:r>
          </w:p>
        </w:tc>
      </w:tr>
    </w:tbl>
    <w:p w14:paraId="2F384EBF" w14:textId="77777777" w:rsidR="00C3543C" w:rsidRPr="007C25F9" w:rsidRDefault="00C3543C" w:rsidP="00765AEF">
      <w:pPr>
        <w:rPr>
          <w:b/>
          <w:bCs/>
        </w:rPr>
      </w:pPr>
      <w:r w:rsidRPr="007C25F9">
        <w:rPr>
          <w:b/>
          <w:bCs/>
        </w:rPr>
        <w:t>School Description:</w:t>
      </w:r>
    </w:p>
    <w:p w14:paraId="1E31D153" w14:textId="77777777" w:rsidR="00C3543C" w:rsidRPr="007C25F9" w:rsidRDefault="00C3543C" w:rsidP="00C2622E">
      <w:pPr>
        <w:rPr>
          <w:bCs/>
        </w:rPr>
      </w:pPr>
      <w:r w:rsidRPr="00616C08">
        <w:rPr>
          <w:bCs/>
          <w:noProof/>
        </w:rPr>
        <w:t xml:space="preserve">Amethod Public Schools’ Mission is to provide a rigorous college preparatory education and character development program that will prepare students from underserved communities to succeed in college and beyond.  Amethod Public Schools - Core Values: AMPS Core Values are integral to our success and the strength of our </w:t>
      </w:r>
      <w:r w:rsidRPr="00616C08">
        <w:rPr>
          <w:bCs/>
          <w:noProof/>
        </w:rPr>
        <w:lastRenderedPageBreak/>
        <w:t>organization throughout our twenty years of service in public education. They are:    1. Students First  2. Be Adaptable  3. Persevere  4. Take Responsibility  5. Commitment to Distinction  John Henry High School serves 330 students from 9th through 12th grade, providing students with a rigorous academic program to maximize their opportunities for success in college or four-year universities. We strive to create a community of lifelong learners who are responsible, intelligent, and analytical thinkers. We accomplish this by teaching a college preparatory curriculum, empowering our teachers, and treating our students as leaders. Our campus is in the city of Richmond, serving youth from the surrounding community. The current demographics are 82.2% Socioeconomically Disadvantaged, 38.6% English Learners, 11.9% Students with Disabilities, 83.8% Graduation Rates,  and 1:28 teacher-to-student ratio.   The majority of our students are enrolled in six academic classes and one advisory class. Students earn five credits for the courses they pass with a C- or higher. We offer 9 AP Courses and 7 honors courses to prepare our students for post-high school success.  John Henry High School also offers a variety of after-school clubs. These clubs are almost always student-initiated and led by staff advisors: Black Student Alliance, Dungeon &amp; Dragons, Cheerleading, Self-Defence, College Club, Volleyball, Basketball, Track and Soccer, Leadership, and Yearbook.    We believe that all students, regardless of socioeconomic status (SES), ethnicity, or neighborhood, have the right to an education that prepares them for their post-secondary experiences, whether it be college, career, or community work.  Further, we collectively aim to narrow the achievement and opportunity gaps between the highest and lowest-performing students, eliminating the predictability of which student groups (race, gender, language profile, learning designation) occupy the highest and lowest achievement categories.</w:t>
      </w:r>
    </w:p>
    <w:p w14:paraId="7838321E" w14:textId="77777777" w:rsidR="00C3543C" w:rsidRPr="007C25F9" w:rsidRDefault="00C3543C" w:rsidP="00A42D0A">
      <w:pPr>
        <w:pStyle w:val="Heading5"/>
      </w:pPr>
      <w:r w:rsidRPr="007C25F9">
        <w:t>Demographic Information</w:t>
      </w:r>
    </w:p>
    <w:p w14:paraId="1EE7A85B" w14:textId="77777777" w:rsidR="00C3543C" w:rsidRPr="007C25F9" w:rsidRDefault="00C3543C" w:rsidP="00CE1DD0">
      <w:r w:rsidRPr="007C25F9">
        <w:t>Provide the following information as a percentage of the charter school's total student population. Provide the information as it is reported on the 2024 California School Dashboard.</w:t>
      </w:r>
    </w:p>
    <w:p w14:paraId="38325D7C" w14:textId="77777777" w:rsidR="00C3543C" w:rsidRPr="007C25F9" w:rsidRDefault="00C3543C"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C3543C" w:rsidRPr="007C25F9" w14:paraId="71C2B982" w14:textId="77777777" w:rsidTr="007929F6">
        <w:trPr>
          <w:cantSplit/>
          <w:tblHeader/>
        </w:trPr>
        <w:tc>
          <w:tcPr>
            <w:tcW w:w="4675" w:type="dxa"/>
            <w:shd w:val="clear" w:color="auto" w:fill="D9D9D9" w:themeFill="background1" w:themeFillShade="D9"/>
          </w:tcPr>
          <w:p w14:paraId="7F394140" w14:textId="77777777" w:rsidR="00C3543C" w:rsidRPr="007C25F9" w:rsidRDefault="00C3543C" w:rsidP="00D41927">
            <w:pPr>
              <w:rPr>
                <w:b/>
                <w:bCs/>
              </w:rPr>
            </w:pPr>
            <w:r w:rsidRPr="007C25F9">
              <w:rPr>
                <w:b/>
                <w:bCs/>
              </w:rPr>
              <w:t>Prompt</w:t>
            </w:r>
          </w:p>
        </w:tc>
        <w:tc>
          <w:tcPr>
            <w:tcW w:w="4675" w:type="dxa"/>
            <w:shd w:val="clear" w:color="auto" w:fill="D9D9D9" w:themeFill="background1" w:themeFillShade="D9"/>
          </w:tcPr>
          <w:p w14:paraId="528920F8" w14:textId="77777777" w:rsidR="00C3543C" w:rsidRPr="007C25F9" w:rsidRDefault="00C3543C" w:rsidP="00D41927">
            <w:pPr>
              <w:rPr>
                <w:b/>
                <w:bCs/>
              </w:rPr>
            </w:pPr>
            <w:r w:rsidRPr="007C25F9">
              <w:rPr>
                <w:b/>
                <w:bCs/>
              </w:rPr>
              <w:t>Percentage</w:t>
            </w:r>
          </w:p>
        </w:tc>
      </w:tr>
      <w:tr w:rsidR="00C3543C" w:rsidRPr="007C25F9" w14:paraId="26EA2168" w14:textId="77777777" w:rsidTr="007929F6">
        <w:trPr>
          <w:cantSplit/>
          <w:tblHeader/>
        </w:trPr>
        <w:tc>
          <w:tcPr>
            <w:tcW w:w="4675" w:type="dxa"/>
          </w:tcPr>
          <w:p w14:paraId="5653B440" w14:textId="77777777" w:rsidR="00C3543C" w:rsidRPr="007C25F9" w:rsidRDefault="00C3543C" w:rsidP="00D41927">
            <w:r w:rsidRPr="007C25F9">
              <w:t>English Learners</w:t>
            </w:r>
          </w:p>
        </w:tc>
        <w:tc>
          <w:tcPr>
            <w:tcW w:w="4675" w:type="dxa"/>
          </w:tcPr>
          <w:p w14:paraId="6436D72F" w14:textId="77777777" w:rsidR="00C3543C" w:rsidRPr="007C25F9" w:rsidRDefault="00C3543C" w:rsidP="00D41927">
            <w:r w:rsidRPr="00616C08">
              <w:rPr>
                <w:noProof/>
              </w:rPr>
              <w:t>38.6</w:t>
            </w:r>
          </w:p>
        </w:tc>
      </w:tr>
      <w:tr w:rsidR="00C3543C" w:rsidRPr="007C25F9" w14:paraId="10CC15CF" w14:textId="77777777" w:rsidTr="007929F6">
        <w:trPr>
          <w:cantSplit/>
          <w:tblHeader/>
        </w:trPr>
        <w:tc>
          <w:tcPr>
            <w:tcW w:w="4675" w:type="dxa"/>
          </w:tcPr>
          <w:p w14:paraId="7F106BDE" w14:textId="77777777" w:rsidR="00C3543C" w:rsidRPr="007C25F9" w:rsidRDefault="00C3543C" w:rsidP="00D41927">
            <w:r w:rsidRPr="007C25F9">
              <w:t>Foster Youth</w:t>
            </w:r>
          </w:p>
        </w:tc>
        <w:tc>
          <w:tcPr>
            <w:tcW w:w="4675" w:type="dxa"/>
          </w:tcPr>
          <w:p w14:paraId="340722BA" w14:textId="77777777" w:rsidR="00C3543C" w:rsidRPr="007C25F9" w:rsidRDefault="00C3543C" w:rsidP="00D41927">
            <w:r w:rsidRPr="00616C08">
              <w:rPr>
                <w:noProof/>
              </w:rPr>
              <w:t>0</w:t>
            </w:r>
          </w:p>
        </w:tc>
      </w:tr>
      <w:tr w:rsidR="00C3543C" w:rsidRPr="007C25F9" w14:paraId="6E68AB23" w14:textId="77777777" w:rsidTr="007929F6">
        <w:trPr>
          <w:cantSplit/>
          <w:tblHeader/>
        </w:trPr>
        <w:tc>
          <w:tcPr>
            <w:tcW w:w="4675" w:type="dxa"/>
          </w:tcPr>
          <w:p w14:paraId="006D70AF" w14:textId="77777777" w:rsidR="00C3543C" w:rsidRPr="007C25F9" w:rsidRDefault="00C3543C" w:rsidP="00D41927">
            <w:r w:rsidRPr="007C25F9">
              <w:t>Homeless</w:t>
            </w:r>
          </w:p>
        </w:tc>
        <w:tc>
          <w:tcPr>
            <w:tcW w:w="4675" w:type="dxa"/>
          </w:tcPr>
          <w:p w14:paraId="01888BD2" w14:textId="77777777" w:rsidR="00C3543C" w:rsidRPr="007C25F9" w:rsidRDefault="00C3543C" w:rsidP="00D41927">
            <w:r w:rsidRPr="00616C08">
              <w:rPr>
                <w:noProof/>
              </w:rPr>
              <w:t>0</w:t>
            </w:r>
          </w:p>
        </w:tc>
      </w:tr>
      <w:tr w:rsidR="00C3543C" w:rsidRPr="007C25F9" w14:paraId="5F72B84C" w14:textId="77777777" w:rsidTr="007929F6">
        <w:trPr>
          <w:cantSplit/>
          <w:tblHeader/>
        </w:trPr>
        <w:tc>
          <w:tcPr>
            <w:tcW w:w="4675" w:type="dxa"/>
          </w:tcPr>
          <w:p w14:paraId="407A5DBA" w14:textId="77777777" w:rsidR="00C3543C" w:rsidRPr="007C25F9" w:rsidRDefault="00C3543C" w:rsidP="00D41927">
            <w:r w:rsidRPr="007C25F9">
              <w:t>Socioeconomically Disadvantaged</w:t>
            </w:r>
          </w:p>
        </w:tc>
        <w:tc>
          <w:tcPr>
            <w:tcW w:w="4675" w:type="dxa"/>
          </w:tcPr>
          <w:p w14:paraId="316A8B67" w14:textId="77777777" w:rsidR="00C3543C" w:rsidRPr="007C25F9" w:rsidRDefault="00C3543C" w:rsidP="00D41927">
            <w:r w:rsidRPr="00616C08">
              <w:rPr>
                <w:noProof/>
              </w:rPr>
              <w:t>82.8</w:t>
            </w:r>
          </w:p>
        </w:tc>
      </w:tr>
      <w:tr w:rsidR="00C3543C" w:rsidRPr="007C25F9" w14:paraId="47C5F9B3" w14:textId="77777777" w:rsidTr="007929F6">
        <w:trPr>
          <w:cantSplit/>
          <w:tblHeader/>
        </w:trPr>
        <w:tc>
          <w:tcPr>
            <w:tcW w:w="4675" w:type="dxa"/>
          </w:tcPr>
          <w:p w14:paraId="4F151932" w14:textId="77777777" w:rsidR="00C3543C" w:rsidRPr="007C25F9" w:rsidRDefault="00C3543C" w:rsidP="00D41927">
            <w:r w:rsidRPr="007C25F9">
              <w:t>Students with Disabilities</w:t>
            </w:r>
          </w:p>
        </w:tc>
        <w:tc>
          <w:tcPr>
            <w:tcW w:w="4675" w:type="dxa"/>
          </w:tcPr>
          <w:p w14:paraId="777467FB" w14:textId="77777777" w:rsidR="00C3543C" w:rsidRPr="007C25F9" w:rsidRDefault="00C3543C" w:rsidP="00D41927">
            <w:r w:rsidRPr="00616C08">
              <w:rPr>
                <w:noProof/>
              </w:rPr>
              <w:t>11.9</w:t>
            </w:r>
          </w:p>
        </w:tc>
      </w:tr>
    </w:tbl>
    <w:p w14:paraId="11092910" w14:textId="77777777" w:rsidR="00C3543C" w:rsidRPr="007C25F9" w:rsidRDefault="00C3543C" w:rsidP="00A42D0A">
      <w:pPr>
        <w:pStyle w:val="Heading6"/>
      </w:pPr>
      <w:r w:rsidRPr="007C25F9">
        <w:lastRenderedPageBreak/>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C3543C" w:rsidRPr="007C25F9" w14:paraId="5C686866" w14:textId="77777777" w:rsidTr="007929F6">
        <w:trPr>
          <w:cantSplit/>
          <w:tblHeader/>
        </w:trPr>
        <w:tc>
          <w:tcPr>
            <w:tcW w:w="4675" w:type="dxa"/>
            <w:shd w:val="clear" w:color="auto" w:fill="D9D9D9" w:themeFill="background1" w:themeFillShade="D9"/>
          </w:tcPr>
          <w:p w14:paraId="277906E8" w14:textId="77777777" w:rsidR="00C3543C" w:rsidRPr="007C25F9" w:rsidRDefault="00C3543C" w:rsidP="00D41927">
            <w:pPr>
              <w:rPr>
                <w:b/>
                <w:bCs/>
              </w:rPr>
            </w:pPr>
            <w:r w:rsidRPr="007C25F9">
              <w:rPr>
                <w:b/>
                <w:bCs/>
              </w:rPr>
              <w:t>Prompt</w:t>
            </w:r>
          </w:p>
        </w:tc>
        <w:tc>
          <w:tcPr>
            <w:tcW w:w="4675" w:type="dxa"/>
            <w:shd w:val="clear" w:color="auto" w:fill="D9D9D9" w:themeFill="background1" w:themeFillShade="D9"/>
          </w:tcPr>
          <w:p w14:paraId="690ABFAE" w14:textId="77777777" w:rsidR="00C3543C" w:rsidRPr="007C25F9" w:rsidRDefault="00C3543C" w:rsidP="00D41927">
            <w:pPr>
              <w:rPr>
                <w:b/>
                <w:bCs/>
              </w:rPr>
            </w:pPr>
            <w:r w:rsidRPr="007C25F9">
              <w:rPr>
                <w:b/>
                <w:bCs/>
              </w:rPr>
              <w:t>Percentage</w:t>
            </w:r>
          </w:p>
        </w:tc>
      </w:tr>
      <w:tr w:rsidR="00C3543C" w:rsidRPr="007C25F9" w14:paraId="6959C5C0" w14:textId="77777777" w:rsidTr="007929F6">
        <w:trPr>
          <w:cantSplit/>
          <w:tblHeader/>
        </w:trPr>
        <w:tc>
          <w:tcPr>
            <w:tcW w:w="4675" w:type="dxa"/>
          </w:tcPr>
          <w:p w14:paraId="2C7A0A5D" w14:textId="77777777" w:rsidR="00C3543C" w:rsidRPr="007C25F9" w:rsidRDefault="00C3543C" w:rsidP="00D41927">
            <w:r w:rsidRPr="007C25F9">
              <w:t>African American</w:t>
            </w:r>
          </w:p>
        </w:tc>
        <w:tc>
          <w:tcPr>
            <w:tcW w:w="4675" w:type="dxa"/>
          </w:tcPr>
          <w:p w14:paraId="60EC6E8B" w14:textId="77777777" w:rsidR="00C3543C" w:rsidRPr="007C25F9" w:rsidRDefault="00C3543C" w:rsidP="00D41927">
            <w:r w:rsidRPr="00616C08">
              <w:rPr>
                <w:noProof/>
              </w:rPr>
              <w:t>3.2</w:t>
            </w:r>
          </w:p>
        </w:tc>
      </w:tr>
      <w:tr w:rsidR="00C3543C" w:rsidRPr="007C25F9" w14:paraId="27265BB7" w14:textId="77777777" w:rsidTr="007929F6">
        <w:trPr>
          <w:cantSplit/>
          <w:tblHeader/>
        </w:trPr>
        <w:tc>
          <w:tcPr>
            <w:tcW w:w="4675" w:type="dxa"/>
          </w:tcPr>
          <w:p w14:paraId="34044F3C" w14:textId="77777777" w:rsidR="00C3543C" w:rsidRPr="007C25F9" w:rsidRDefault="00C3543C" w:rsidP="00D41927">
            <w:r w:rsidRPr="007C25F9">
              <w:t>American Indian</w:t>
            </w:r>
          </w:p>
        </w:tc>
        <w:tc>
          <w:tcPr>
            <w:tcW w:w="4675" w:type="dxa"/>
          </w:tcPr>
          <w:p w14:paraId="24608DA3" w14:textId="77777777" w:rsidR="00C3543C" w:rsidRPr="007C25F9" w:rsidRDefault="00C3543C" w:rsidP="00D41927">
            <w:r w:rsidRPr="00616C08">
              <w:rPr>
                <w:noProof/>
              </w:rPr>
              <w:t>0</w:t>
            </w:r>
          </w:p>
        </w:tc>
      </w:tr>
      <w:tr w:rsidR="00C3543C" w:rsidRPr="007C25F9" w14:paraId="21EEB989" w14:textId="77777777" w:rsidTr="007929F6">
        <w:trPr>
          <w:cantSplit/>
          <w:tblHeader/>
        </w:trPr>
        <w:tc>
          <w:tcPr>
            <w:tcW w:w="4675" w:type="dxa"/>
          </w:tcPr>
          <w:p w14:paraId="0599497C" w14:textId="77777777" w:rsidR="00C3543C" w:rsidRPr="007C25F9" w:rsidRDefault="00C3543C" w:rsidP="00D41927">
            <w:r w:rsidRPr="007C25F9">
              <w:t>Asian</w:t>
            </w:r>
          </w:p>
        </w:tc>
        <w:tc>
          <w:tcPr>
            <w:tcW w:w="4675" w:type="dxa"/>
          </w:tcPr>
          <w:p w14:paraId="64A4D0E4" w14:textId="77777777" w:rsidR="00C3543C" w:rsidRPr="007C25F9" w:rsidRDefault="00C3543C" w:rsidP="00D41927">
            <w:r w:rsidRPr="00616C08">
              <w:rPr>
                <w:noProof/>
              </w:rPr>
              <w:t>0</w:t>
            </w:r>
          </w:p>
        </w:tc>
      </w:tr>
      <w:tr w:rsidR="00C3543C" w:rsidRPr="007C25F9" w14:paraId="4796DEB3" w14:textId="77777777" w:rsidTr="007929F6">
        <w:trPr>
          <w:cantSplit/>
          <w:tblHeader/>
        </w:trPr>
        <w:tc>
          <w:tcPr>
            <w:tcW w:w="4675" w:type="dxa"/>
          </w:tcPr>
          <w:p w14:paraId="5E50762A" w14:textId="77777777" w:rsidR="00C3543C" w:rsidRPr="007C25F9" w:rsidRDefault="00C3543C" w:rsidP="00D41927">
            <w:r w:rsidRPr="007C25F9">
              <w:t>Filipino</w:t>
            </w:r>
          </w:p>
        </w:tc>
        <w:tc>
          <w:tcPr>
            <w:tcW w:w="4675" w:type="dxa"/>
          </w:tcPr>
          <w:p w14:paraId="4FD20857" w14:textId="77777777" w:rsidR="00C3543C" w:rsidRPr="007C25F9" w:rsidRDefault="00C3543C" w:rsidP="00D41927">
            <w:r w:rsidRPr="00616C08">
              <w:rPr>
                <w:noProof/>
              </w:rPr>
              <w:t>0</w:t>
            </w:r>
          </w:p>
        </w:tc>
      </w:tr>
      <w:tr w:rsidR="00C3543C" w:rsidRPr="007C25F9" w14:paraId="61A2C8F0" w14:textId="77777777" w:rsidTr="007929F6">
        <w:trPr>
          <w:cantSplit/>
          <w:tblHeader/>
        </w:trPr>
        <w:tc>
          <w:tcPr>
            <w:tcW w:w="4675" w:type="dxa"/>
          </w:tcPr>
          <w:p w14:paraId="01EA64DA" w14:textId="77777777" w:rsidR="00C3543C" w:rsidRPr="007C25F9" w:rsidRDefault="00C3543C" w:rsidP="00D41927">
            <w:r w:rsidRPr="007C25F9">
              <w:t>Hispanic</w:t>
            </w:r>
          </w:p>
        </w:tc>
        <w:tc>
          <w:tcPr>
            <w:tcW w:w="4675" w:type="dxa"/>
          </w:tcPr>
          <w:p w14:paraId="182BC149" w14:textId="77777777" w:rsidR="00C3543C" w:rsidRPr="007C25F9" w:rsidRDefault="00C3543C" w:rsidP="00D41927">
            <w:r w:rsidRPr="00616C08">
              <w:rPr>
                <w:noProof/>
              </w:rPr>
              <w:t>94.4</w:t>
            </w:r>
          </w:p>
        </w:tc>
      </w:tr>
      <w:tr w:rsidR="00C3543C" w:rsidRPr="007C25F9" w14:paraId="07596A83" w14:textId="77777777" w:rsidTr="007929F6">
        <w:trPr>
          <w:cantSplit/>
          <w:tblHeader/>
        </w:trPr>
        <w:tc>
          <w:tcPr>
            <w:tcW w:w="4675" w:type="dxa"/>
          </w:tcPr>
          <w:p w14:paraId="3D03919A" w14:textId="77777777" w:rsidR="00C3543C" w:rsidRPr="007C25F9" w:rsidRDefault="00C3543C" w:rsidP="00D41927">
            <w:r w:rsidRPr="007C25F9">
              <w:t>Pacific Islander</w:t>
            </w:r>
          </w:p>
        </w:tc>
        <w:tc>
          <w:tcPr>
            <w:tcW w:w="4675" w:type="dxa"/>
          </w:tcPr>
          <w:p w14:paraId="4CF5A8CC" w14:textId="77777777" w:rsidR="00C3543C" w:rsidRPr="007C25F9" w:rsidRDefault="00C3543C" w:rsidP="00D41927">
            <w:r w:rsidRPr="00616C08">
              <w:rPr>
                <w:noProof/>
              </w:rPr>
              <w:t>0.4</w:t>
            </w:r>
          </w:p>
        </w:tc>
      </w:tr>
      <w:tr w:rsidR="00C3543C" w:rsidRPr="007C25F9" w14:paraId="333BDDCC" w14:textId="77777777" w:rsidTr="007929F6">
        <w:trPr>
          <w:cantSplit/>
          <w:tblHeader/>
        </w:trPr>
        <w:tc>
          <w:tcPr>
            <w:tcW w:w="4675" w:type="dxa"/>
          </w:tcPr>
          <w:p w14:paraId="0C57D33F" w14:textId="77777777" w:rsidR="00C3543C" w:rsidRPr="007C25F9" w:rsidRDefault="00C3543C" w:rsidP="00D41927">
            <w:r w:rsidRPr="007C25F9">
              <w:t>Two or More Races</w:t>
            </w:r>
          </w:p>
        </w:tc>
        <w:tc>
          <w:tcPr>
            <w:tcW w:w="4675" w:type="dxa"/>
          </w:tcPr>
          <w:p w14:paraId="204FDF72" w14:textId="77777777" w:rsidR="00C3543C" w:rsidRPr="007C25F9" w:rsidRDefault="00C3543C" w:rsidP="00D41927">
            <w:r w:rsidRPr="00616C08">
              <w:rPr>
                <w:noProof/>
              </w:rPr>
              <w:t>0</w:t>
            </w:r>
          </w:p>
        </w:tc>
      </w:tr>
      <w:tr w:rsidR="00C3543C" w:rsidRPr="007C25F9" w14:paraId="5ECD3783" w14:textId="77777777" w:rsidTr="007929F6">
        <w:trPr>
          <w:cantSplit/>
          <w:tblHeader/>
        </w:trPr>
        <w:tc>
          <w:tcPr>
            <w:tcW w:w="4675" w:type="dxa"/>
          </w:tcPr>
          <w:p w14:paraId="1AB8BC98" w14:textId="77777777" w:rsidR="00C3543C" w:rsidRPr="007C25F9" w:rsidRDefault="00C3543C" w:rsidP="00D41927">
            <w:r w:rsidRPr="007C25F9">
              <w:t>White</w:t>
            </w:r>
          </w:p>
        </w:tc>
        <w:tc>
          <w:tcPr>
            <w:tcW w:w="4675" w:type="dxa"/>
          </w:tcPr>
          <w:p w14:paraId="3C27D2C2" w14:textId="77777777" w:rsidR="00C3543C" w:rsidRPr="007C25F9" w:rsidRDefault="00C3543C" w:rsidP="00D41927">
            <w:r w:rsidRPr="00616C08">
              <w:rPr>
                <w:noProof/>
              </w:rPr>
              <w:t>1.8</w:t>
            </w:r>
          </w:p>
        </w:tc>
      </w:tr>
    </w:tbl>
    <w:p w14:paraId="01D79108" w14:textId="77777777" w:rsidR="00C3543C" w:rsidRPr="007C25F9" w:rsidRDefault="00C3543C">
      <w:pPr>
        <w:spacing w:before="0"/>
        <w:rPr>
          <w:rFonts w:eastAsiaTheme="majorEastAsia"/>
          <w:b/>
          <w:bCs/>
          <w:sz w:val="32"/>
          <w:szCs w:val="32"/>
        </w:rPr>
      </w:pPr>
      <w:r w:rsidRPr="007C25F9">
        <w:br w:type="page"/>
      </w:r>
    </w:p>
    <w:p w14:paraId="45E39DB9" w14:textId="77777777" w:rsidR="00C3543C" w:rsidRPr="007C25F9" w:rsidRDefault="00C3543C" w:rsidP="00A42D0A">
      <w:pPr>
        <w:pStyle w:val="Heading3"/>
      </w:pPr>
      <w:r w:rsidRPr="007C25F9">
        <w:lastRenderedPageBreak/>
        <w:t>Section 2. California School Dashboard Data Overview</w:t>
      </w:r>
    </w:p>
    <w:p w14:paraId="4826966E" w14:textId="77777777" w:rsidR="00C3543C" w:rsidRPr="007C25F9" w:rsidRDefault="00C3543C" w:rsidP="00A42D0A">
      <w:pPr>
        <w:pStyle w:val="Heading4"/>
      </w:pPr>
      <w:r w:rsidRPr="007C25F9">
        <w:t>California School Dashboard</w:t>
      </w:r>
    </w:p>
    <w:p w14:paraId="0B65CABD" w14:textId="77777777" w:rsidR="00C3543C" w:rsidRPr="007C25F9" w:rsidRDefault="00C3543C"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5B1F60CB" w14:textId="77777777" w:rsidR="00C3543C" w:rsidRPr="007C25F9" w:rsidRDefault="00C3543C"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C3543C" w:rsidRPr="007C25F9" w14:paraId="7C2BF61B" w14:textId="77777777" w:rsidTr="007929F6">
        <w:trPr>
          <w:cantSplit/>
          <w:tblHeader/>
        </w:trPr>
        <w:tc>
          <w:tcPr>
            <w:tcW w:w="3350" w:type="dxa"/>
            <w:shd w:val="clear" w:color="auto" w:fill="D9D9D9" w:themeFill="background1" w:themeFillShade="D9"/>
          </w:tcPr>
          <w:p w14:paraId="5DD1250F" w14:textId="77777777" w:rsidR="00C3543C" w:rsidRPr="007C25F9" w:rsidRDefault="00C3543C" w:rsidP="00D41927">
            <w:pPr>
              <w:rPr>
                <w:b/>
                <w:bCs/>
              </w:rPr>
            </w:pPr>
            <w:r w:rsidRPr="007C25F9">
              <w:rPr>
                <w:b/>
                <w:bCs/>
              </w:rPr>
              <w:t>Prompt</w:t>
            </w:r>
          </w:p>
        </w:tc>
        <w:tc>
          <w:tcPr>
            <w:tcW w:w="3246" w:type="dxa"/>
            <w:shd w:val="clear" w:color="auto" w:fill="D9D9D9" w:themeFill="background1" w:themeFillShade="D9"/>
          </w:tcPr>
          <w:p w14:paraId="3B879E12" w14:textId="77777777" w:rsidR="00C3543C" w:rsidRPr="007C25F9" w:rsidRDefault="00C3543C" w:rsidP="00D41927">
            <w:pPr>
              <w:rPr>
                <w:b/>
                <w:bCs/>
              </w:rPr>
            </w:pPr>
            <w:r w:rsidRPr="007C25F9">
              <w:rPr>
                <w:b/>
                <w:bCs/>
              </w:rPr>
              <w:t>Percentage</w:t>
            </w:r>
          </w:p>
        </w:tc>
        <w:tc>
          <w:tcPr>
            <w:tcW w:w="2754" w:type="dxa"/>
            <w:shd w:val="clear" w:color="auto" w:fill="D9D9D9" w:themeFill="background1" w:themeFillShade="D9"/>
          </w:tcPr>
          <w:p w14:paraId="5CC7E869" w14:textId="77777777" w:rsidR="00C3543C" w:rsidRPr="007C25F9" w:rsidRDefault="00C3543C" w:rsidP="00D41927">
            <w:pPr>
              <w:rPr>
                <w:b/>
                <w:bCs/>
              </w:rPr>
            </w:pPr>
            <w:r w:rsidRPr="007C25F9">
              <w:rPr>
                <w:b/>
                <w:bCs/>
              </w:rPr>
              <w:t>Color</w:t>
            </w:r>
          </w:p>
        </w:tc>
      </w:tr>
      <w:tr w:rsidR="00C3543C" w:rsidRPr="007C25F9" w14:paraId="5A43D266" w14:textId="77777777" w:rsidTr="007929F6">
        <w:trPr>
          <w:cantSplit/>
          <w:tblHeader/>
        </w:trPr>
        <w:tc>
          <w:tcPr>
            <w:tcW w:w="3350" w:type="dxa"/>
          </w:tcPr>
          <w:p w14:paraId="3D8D7494" w14:textId="77777777" w:rsidR="00C3543C" w:rsidRPr="007C25F9" w:rsidRDefault="00C3543C" w:rsidP="00D41927">
            <w:r w:rsidRPr="007C25F9">
              <w:t>Chronic Absenteeism</w:t>
            </w:r>
          </w:p>
        </w:tc>
        <w:tc>
          <w:tcPr>
            <w:tcW w:w="3246" w:type="dxa"/>
          </w:tcPr>
          <w:p w14:paraId="76BE1486" w14:textId="2935C792" w:rsidR="00C3543C" w:rsidRPr="007C25F9" w:rsidRDefault="00A00F03" w:rsidP="00D41927">
            <w:r>
              <w:t>[No Response]</w:t>
            </w:r>
          </w:p>
        </w:tc>
        <w:tc>
          <w:tcPr>
            <w:tcW w:w="2754" w:type="dxa"/>
          </w:tcPr>
          <w:p w14:paraId="752652CF" w14:textId="77777777" w:rsidR="00C3543C" w:rsidRPr="007C25F9" w:rsidRDefault="00C3543C" w:rsidP="00D41927">
            <w:r w:rsidRPr="00616C08">
              <w:rPr>
                <w:noProof/>
              </w:rPr>
              <w:t>No Performance Color</w:t>
            </w:r>
          </w:p>
        </w:tc>
      </w:tr>
      <w:tr w:rsidR="00C3543C" w:rsidRPr="007C25F9" w14:paraId="6EF6C97D" w14:textId="77777777" w:rsidTr="007929F6">
        <w:trPr>
          <w:cantSplit/>
          <w:tblHeader/>
        </w:trPr>
        <w:tc>
          <w:tcPr>
            <w:tcW w:w="3350" w:type="dxa"/>
          </w:tcPr>
          <w:p w14:paraId="76EB6EFD" w14:textId="77777777" w:rsidR="00C3543C" w:rsidRPr="007C25F9" w:rsidRDefault="00C3543C" w:rsidP="00D41927">
            <w:r w:rsidRPr="007C25F9">
              <w:t>Suspension Rate</w:t>
            </w:r>
          </w:p>
        </w:tc>
        <w:tc>
          <w:tcPr>
            <w:tcW w:w="3246" w:type="dxa"/>
          </w:tcPr>
          <w:p w14:paraId="410DDB3E" w14:textId="77777777" w:rsidR="00C3543C" w:rsidRPr="007C25F9" w:rsidRDefault="00C3543C" w:rsidP="00D41927">
            <w:r w:rsidRPr="00616C08">
              <w:rPr>
                <w:noProof/>
              </w:rPr>
              <w:t>5.5</w:t>
            </w:r>
          </w:p>
        </w:tc>
        <w:tc>
          <w:tcPr>
            <w:tcW w:w="2754" w:type="dxa"/>
          </w:tcPr>
          <w:p w14:paraId="4BA0B2C3" w14:textId="77777777" w:rsidR="00C3543C" w:rsidRPr="007C25F9" w:rsidRDefault="00C3543C" w:rsidP="00D41927">
            <w:r w:rsidRPr="00616C08">
              <w:rPr>
                <w:noProof/>
              </w:rPr>
              <w:t>Orange</w:t>
            </w:r>
          </w:p>
        </w:tc>
      </w:tr>
      <w:tr w:rsidR="00C3543C" w:rsidRPr="007C25F9" w14:paraId="1624A0BF" w14:textId="77777777" w:rsidTr="007929F6">
        <w:trPr>
          <w:cantSplit/>
          <w:tblHeader/>
        </w:trPr>
        <w:tc>
          <w:tcPr>
            <w:tcW w:w="3350" w:type="dxa"/>
          </w:tcPr>
          <w:p w14:paraId="0C9CBAC6" w14:textId="77777777" w:rsidR="00C3543C" w:rsidRPr="007C25F9" w:rsidRDefault="00C3543C" w:rsidP="00D41927">
            <w:r w:rsidRPr="007C25F9">
              <w:t>English Learner Progress</w:t>
            </w:r>
          </w:p>
        </w:tc>
        <w:tc>
          <w:tcPr>
            <w:tcW w:w="3246" w:type="dxa"/>
          </w:tcPr>
          <w:p w14:paraId="73B5E2DE" w14:textId="77777777" w:rsidR="00C3543C" w:rsidRPr="007C25F9" w:rsidRDefault="00C3543C" w:rsidP="00D41927">
            <w:r w:rsidRPr="00616C08">
              <w:rPr>
                <w:noProof/>
              </w:rPr>
              <w:t>34</w:t>
            </w:r>
          </w:p>
        </w:tc>
        <w:tc>
          <w:tcPr>
            <w:tcW w:w="2754" w:type="dxa"/>
          </w:tcPr>
          <w:p w14:paraId="23CD4D8B" w14:textId="77777777" w:rsidR="00C3543C" w:rsidRPr="007C25F9" w:rsidRDefault="00C3543C" w:rsidP="00D41927">
            <w:r w:rsidRPr="00616C08">
              <w:rPr>
                <w:noProof/>
              </w:rPr>
              <w:t>Red</w:t>
            </w:r>
          </w:p>
        </w:tc>
      </w:tr>
      <w:tr w:rsidR="00C3543C" w:rsidRPr="007C25F9" w14:paraId="520A7D70" w14:textId="77777777" w:rsidTr="007929F6">
        <w:trPr>
          <w:cantSplit/>
          <w:tblHeader/>
        </w:trPr>
        <w:tc>
          <w:tcPr>
            <w:tcW w:w="3350" w:type="dxa"/>
          </w:tcPr>
          <w:p w14:paraId="16376B4C" w14:textId="77777777" w:rsidR="00C3543C" w:rsidRPr="007C25F9" w:rsidRDefault="00C3543C" w:rsidP="00D41927">
            <w:r w:rsidRPr="007C25F9">
              <w:t>Graduation Rate</w:t>
            </w:r>
          </w:p>
        </w:tc>
        <w:tc>
          <w:tcPr>
            <w:tcW w:w="3246" w:type="dxa"/>
          </w:tcPr>
          <w:p w14:paraId="671C0704" w14:textId="77777777" w:rsidR="00C3543C" w:rsidRPr="007C25F9" w:rsidRDefault="00C3543C" w:rsidP="00D41927">
            <w:r w:rsidRPr="00616C08">
              <w:rPr>
                <w:noProof/>
              </w:rPr>
              <w:t>83.4</w:t>
            </w:r>
          </w:p>
        </w:tc>
        <w:tc>
          <w:tcPr>
            <w:tcW w:w="2754" w:type="dxa"/>
          </w:tcPr>
          <w:p w14:paraId="39461E70" w14:textId="77777777" w:rsidR="00C3543C" w:rsidRPr="007C25F9" w:rsidRDefault="00C3543C" w:rsidP="00D41927">
            <w:r w:rsidRPr="00616C08">
              <w:rPr>
                <w:noProof/>
              </w:rPr>
              <w:t>Green</w:t>
            </w:r>
          </w:p>
        </w:tc>
      </w:tr>
      <w:tr w:rsidR="00C3543C" w:rsidRPr="007C25F9" w14:paraId="7F42732B" w14:textId="77777777" w:rsidTr="007929F6">
        <w:trPr>
          <w:cantSplit/>
          <w:tblHeader/>
        </w:trPr>
        <w:tc>
          <w:tcPr>
            <w:tcW w:w="3350" w:type="dxa"/>
          </w:tcPr>
          <w:p w14:paraId="777B07DA" w14:textId="77777777" w:rsidR="00C3543C" w:rsidRPr="007C25F9" w:rsidRDefault="00C3543C" w:rsidP="00D41927">
            <w:r w:rsidRPr="007C25F9">
              <w:t>College/Career</w:t>
            </w:r>
          </w:p>
        </w:tc>
        <w:tc>
          <w:tcPr>
            <w:tcW w:w="3246" w:type="dxa"/>
          </w:tcPr>
          <w:p w14:paraId="45E9320D" w14:textId="77777777" w:rsidR="00C3543C" w:rsidRPr="007C25F9" w:rsidRDefault="00C3543C" w:rsidP="00D41927">
            <w:r w:rsidRPr="00616C08">
              <w:rPr>
                <w:noProof/>
              </w:rPr>
              <w:t>29.7</w:t>
            </w:r>
          </w:p>
        </w:tc>
        <w:tc>
          <w:tcPr>
            <w:tcW w:w="2754" w:type="dxa"/>
          </w:tcPr>
          <w:p w14:paraId="1E32004E" w14:textId="77777777" w:rsidR="00C3543C" w:rsidRPr="007C25F9" w:rsidRDefault="00C3543C" w:rsidP="00D41927">
            <w:r w:rsidRPr="00616C08">
              <w:rPr>
                <w:noProof/>
              </w:rPr>
              <w:t>Orange</w:t>
            </w:r>
          </w:p>
        </w:tc>
      </w:tr>
    </w:tbl>
    <w:p w14:paraId="334939B9" w14:textId="77777777" w:rsidR="00C3543C" w:rsidRPr="007C25F9" w:rsidRDefault="00C3543C"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C3543C" w:rsidRPr="007C25F9" w14:paraId="3BB67E97" w14:textId="77777777" w:rsidTr="00927BE3">
        <w:trPr>
          <w:cantSplit/>
          <w:tblHeader/>
        </w:trPr>
        <w:tc>
          <w:tcPr>
            <w:tcW w:w="2655" w:type="dxa"/>
            <w:shd w:val="clear" w:color="auto" w:fill="D9D9D9" w:themeFill="background1" w:themeFillShade="D9"/>
          </w:tcPr>
          <w:p w14:paraId="1B3846DA" w14:textId="77777777" w:rsidR="00C3543C" w:rsidRPr="007C25F9" w:rsidRDefault="00C3543C" w:rsidP="00D41927">
            <w:pPr>
              <w:rPr>
                <w:b/>
                <w:bCs/>
              </w:rPr>
            </w:pPr>
            <w:r w:rsidRPr="007C25F9">
              <w:rPr>
                <w:b/>
                <w:bCs/>
              </w:rPr>
              <w:t>Prompt</w:t>
            </w:r>
          </w:p>
        </w:tc>
        <w:tc>
          <w:tcPr>
            <w:tcW w:w="2061" w:type="dxa"/>
            <w:shd w:val="clear" w:color="auto" w:fill="D9D9D9" w:themeFill="background1" w:themeFillShade="D9"/>
          </w:tcPr>
          <w:p w14:paraId="5902C819" w14:textId="77777777" w:rsidR="00C3543C" w:rsidRPr="007C25F9" w:rsidRDefault="00C3543C" w:rsidP="00D41927">
            <w:pPr>
              <w:rPr>
                <w:b/>
                <w:bCs/>
              </w:rPr>
            </w:pPr>
            <w:r w:rsidRPr="007C25F9">
              <w:rPr>
                <w:b/>
                <w:bCs/>
              </w:rPr>
              <w:t>Color</w:t>
            </w:r>
          </w:p>
        </w:tc>
        <w:tc>
          <w:tcPr>
            <w:tcW w:w="2467" w:type="dxa"/>
            <w:shd w:val="clear" w:color="auto" w:fill="D9D9D9" w:themeFill="background1" w:themeFillShade="D9"/>
          </w:tcPr>
          <w:p w14:paraId="5AC35C0B" w14:textId="77777777" w:rsidR="00C3543C" w:rsidRPr="007C25F9" w:rsidRDefault="00C3543C" w:rsidP="00D41927">
            <w:pPr>
              <w:rPr>
                <w:b/>
                <w:bCs/>
              </w:rPr>
            </w:pPr>
            <w:r w:rsidRPr="007C25F9">
              <w:rPr>
                <w:b/>
                <w:bCs/>
              </w:rPr>
              <w:t>Above or Below Standard</w:t>
            </w:r>
          </w:p>
        </w:tc>
        <w:tc>
          <w:tcPr>
            <w:tcW w:w="2167" w:type="dxa"/>
            <w:shd w:val="clear" w:color="auto" w:fill="D9D9D9" w:themeFill="background1" w:themeFillShade="D9"/>
          </w:tcPr>
          <w:p w14:paraId="13AF0098" w14:textId="77777777" w:rsidR="00C3543C" w:rsidRPr="007C25F9" w:rsidRDefault="00C3543C" w:rsidP="00D41927">
            <w:pPr>
              <w:rPr>
                <w:b/>
                <w:bCs/>
              </w:rPr>
            </w:pPr>
            <w:r w:rsidRPr="007C25F9">
              <w:rPr>
                <w:b/>
                <w:bCs/>
              </w:rPr>
              <w:t>Distance From Standard</w:t>
            </w:r>
          </w:p>
        </w:tc>
      </w:tr>
      <w:tr w:rsidR="00C3543C" w:rsidRPr="007C25F9" w14:paraId="7327DAED" w14:textId="77777777" w:rsidTr="00927BE3">
        <w:trPr>
          <w:cantSplit/>
          <w:tblHeader/>
        </w:trPr>
        <w:tc>
          <w:tcPr>
            <w:tcW w:w="2655" w:type="dxa"/>
          </w:tcPr>
          <w:p w14:paraId="6323499C" w14:textId="77777777" w:rsidR="00C3543C" w:rsidRPr="007C25F9" w:rsidRDefault="00C3543C" w:rsidP="00D41927">
            <w:r w:rsidRPr="007C25F9">
              <w:t>English Language Arts</w:t>
            </w:r>
          </w:p>
        </w:tc>
        <w:tc>
          <w:tcPr>
            <w:tcW w:w="2061" w:type="dxa"/>
          </w:tcPr>
          <w:p w14:paraId="5BCBCEF2" w14:textId="77777777" w:rsidR="00C3543C" w:rsidRPr="007C25F9" w:rsidRDefault="00C3543C" w:rsidP="00D41927">
            <w:r w:rsidRPr="00616C08">
              <w:rPr>
                <w:noProof/>
              </w:rPr>
              <w:t>Yellow</w:t>
            </w:r>
          </w:p>
        </w:tc>
        <w:tc>
          <w:tcPr>
            <w:tcW w:w="2467" w:type="dxa"/>
          </w:tcPr>
          <w:p w14:paraId="34CEFB9F" w14:textId="77777777" w:rsidR="00C3543C" w:rsidRPr="007C25F9" w:rsidRDefault="00C3543C" w:rsidP="00D41927">
            <w:r w:rsidRPr="00616C08">
              <w:rPr>
                <w:noProof/>
              </w:rPr>
              <w:t>Below standard</w:t>
            </w:r>
          </w:p>
        </w:tc>
        <w:tc>
          <w:tcPr>
            <w:tcW w:w="2167" w:type="dxa"/>
          </w:tcPr>
          <w:p w14:paraId="0397D736" w14:textId="77777777" w:rsidR="00C3543C" w:rsidRPr="007C25F9" w:rsidRDefault="00C3543C" w:rsidP="00D41927">
            <w:r w:rsidRPr="00616C08">
              <w:rPr>
                <w:noProof/>
              </w:rPr>
              <w:t>37.8</w:t>
            </w:r>
          </w:p>
        </w:tc>
      </w:tr>
      <w:tr w:rsidR="00C3543C" w:rsidRPr="007C25F9" w14:paraId="225CF85E" w14:textId="77777777" w:rsidTr="00927BE3">
        <w:trPr>
          <w:cantSplit/>
          <w:tblHeader/>
        </w:trPr>
        <w:tc>
          <w:tcPr>
            <w:tcW w:w="2655" w:type="dxa"/>
          </w:tcPr>
          <w:p w14:paraId="5B06ABA9" w14:textId="77777777" w:rsidR="00C3543C" w:rsidRPr="007C25F9" w:rsidRDefault="00C3543C" w:rsidP="00D41927">
            <w:r w:rsidRPr="007C25F9">
              <w:t>Mathematics</w:t>
            </w:r>
          </w:p>
        </w:tc>
        <w:tc>
          <w:tcPr>
            <w:tcW w:w="2061" w:type="dxa"/>
          </w:tcPr>
          <w:p w14:paraId="29F44C16" w14:textId="77777777" w:rsidR="00C3543C" w:rsidRPr="007C25F9" w:rsidRDefault="00C3543C" w:rsidP="00D41927">
            <w:r w:rsidRPr="00616C08">
              <w:rPr>
                <w:noProof/>
              </w:rPr>
              <w:t>Orange</w:t>
            </w:r>
          </w:p>
        </w:tc>
        <w:tc>
          <w:tcPr>
            <w:tcW w:w="2467" w:type="dxa"/>
          </w:tcPr>
          <w:p w14:paraId="1C17ABBB" w14:textId="77777777" w:rsidR="00C3543C" w:rsidRPr="007C25F9" w:rsidRDefault="00C3543C" w:rsidP="00D41927">
            <w:r w:rsidRPr="00616C08">
              <w:rPr>
                <w:noProof/>
              </w:rPr>
              <w:t>Below standard</w:t>
            </w:r>
          </w:p>
        </w:tc>
        <w:tc>
          <w:tcPr>
            <w:tcW w:w="2167" w:type="dxa"/>
          </w:tcPr>
          <w:p w14:paraId="5323E033" w14:textId="77777777" w:rsidR="00C3543C" w:rsidRPr="007C25F9" w:rsidRDefault="00C3543C" w:rsidP="00D41927">
            <w:r w:rsidRPr="00616C08">
              <w:rPr>
                <w:noProof/>
              </w:rPr>
              <w:t>127.2</w:t>
            </w:r>
          </w:p>
        </w:tc>
      </w:tr>
    </w:tbl>
    <w:p w14:paraId="63B100F1" w14:textId="77777777" w:rsidR="00C3543C" w:rsidRPr="007C25F9" w:rsidRDefault="00C3543C" w:rsidP="00A42D0A">
      <w:pPr>
        <w:pStyle w:val="Heading4"/>
      </w:pPr>
      <w:r w:rsidRPr="007C25F9">
        <w:t>California Assessment of Student Performance and Progress</w:t>
      </w:r>
    </w:p>
    <w:p w14:paraId="187E12BE" w14:textId="77777777" w:rsidR="00C3543C" w:rsidRPr="007C25F9" w:rsidRDefault="00C3543C">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C3543C" w:rsidRPr="007C25F9" w14:paraId="05238A91" w14:textId="77777777" w:rsidTr="007929F6">
        <w:trPr>
          <w:cantSplit/>
          <w:tblHeader/>
        </w:trPr>
        <w:tc>
          <w:tcPr>
            <w:tcW w:w="4675" w:type="dxa"/>
            <w:shd w:val="clear" w:color="auto" w:fill="D9D9D9" w:themeFill="background1" w:themeFillShade="D9"/>
          </w:tcPr>
          <w:p w14:paraId="37A1B9CC" w14:textId="77777777" w:rsidR="00C3543C" w:rsidRPr="007C25F9" w:rsidRDefault="00C3543C" w:rsidP="00D41927">
            <w:pPr>
              <w:rPr>
                <w:b/>
                <w:bCs/>
              </w:rPr>
            </w:pPr>
            <w:r w:rsidRPr="007C25F9">
              <w:rPr>
                <w:b/>
                <w:bCs/>
              </w:rPr>
              <w:t>Prompt</w:t>
            </w:r>
          </w:p>
        </w:tc>
        <w:tc>
          <w:tcPr>
            <w:tcW w:w="4675" w:type="dxa"/>
            <w:shd w:val="clear" w:color="auto" w:fill="D9D9D9" w:themeFill="background1" w:themeFillShade="D9"/>
          </w:tcPr>
          <w:p w14:paraId="5261987B" w14:textId="77777777" w:rsidR="00C3543C" w:rsidRPr="007C25F9" w:rsidRDefault="00C3543C" w:rsidP="00D41927">
            <w:pPr>
              <w:rPr>
                <w:b/>
                <w:bCs/>
              </w:rPr>
            </w:pPr>
            <w:r w:rsidRPr="007C25F9">
              <w:rPr>
                <w:b/>
                <w:bCs/>
              </w:rPr>
              <w:t>Percentage</w:t>
            </w:r>
          </w:p>
        </w:tc>
      </w:tr>
      <w:tr w:rsidR="00C3543C" w:rsidRPr="007C25F9" w14:paraId="1CAB6964" w14:textId="77777777" w:rsidTr="007929F6">
        <w:trPr>
          <w:cantSplit/>
          <w:tblHeader/>
        </w:trPr>
        <w:tc>
          <w:tcPr>
            <w:tcW w:w="4675" w:type="dxa"/>
          </w:tcPr>
          <w:p w14:paraId="3F879506" w14:textId="77777777" w:rsidR="00C3543C" w:rsidRPr="007C25F9" w:rsidRDefault="00C3543C" w:rsidP="00D41927">
            <w:r w:rsidRPr="007C25F9">
              <w:t>English Language Arts</w:t>
            </w:r>
          </w:p>
        </w:tc>
        <w:tc>
          <w:tcPr>
            <w:tcW w:w="4675" w:type="dxa"/>
          </w:tcPr>
          <w:p w14:paraId="4F6CD16F" w14:textId="77777777" w:rsidR="00C3543C" w:rsidRPr="007C25F9" w:rsidRDefault="00C3543C" w:rsidP="00D41927">
            <w:r w:rsidRPr="00616C08">
              <w:rPr>
                <w:noProof/>
              </w:rPr>
              <w:t>41</w:t>
            </w:r>
          </w:p>
        </w:tc>
      </w:tr>
      <w:tr w:rsidR="00C3543C" w:rsidRPr="007C25F9" w14:paraId="7F320A06" w14:textId="77777777" w:rsidTr="007929F6">
        <w:trPr>
          <w:cantSplit/>
          <w:tblHeader/>
        </w:trPr>
        <w:tc>
          <w:tcPr>
            <w:tcW w:w="4675" w:type="dxa"/>
          </w:tcPr>
          <w:p w14:paraId="76F6E18A" w14:textId="77777777" w:rsidR="00C3543C" w:rsidRPr="007C25F9" w:rsidRDefault="00C3543C" w:rsidP="00D41927">
            <w:r w:rsidRPr="007C25F9">
              <w:t>Mathematics</w:t>
            </w:r>
          </w:p>
        </w:tc>
        <w:tc>
          <w:tcPr>
            <w:tcW w:w="4675" w:type="dxa"/>
          </w:tcPr>
          <w:p w14:paraId="78375E85" w14:textId="77777777" w:rsidR="00C3543C" w:rsidRPr="007C25F9" w:rsidRDefault="00C3543C" w:rsidP="00D41927">
            <w:r w:rsidRPr="00616C08">
              <w:rPr>
                <w:noProof/>
              </w:rPr>
              <w:t>15</w:t>
            </w:r>
          </w:p>
        </w:tc>
      </w:tr>
    </w:tbl>
    <w:p w14:paraId="3DB7962B" w14:textId="77777777" w:rsidR="00C3543C" w:rsidRPr="007C25F9" w:rsidRDefault="00C3543C">
      <w:pPr>
        <w:spacing w:before="0"/>
        <w:rPr>
          <w:rFonts w:eastAsiaTheme="majorEastAsia"/>
          <w:b/>
          <w:bCs/>
          <w:sz w:val="32"/>
          <w:szCs w:val="32"/>
        </w:rPr>
      </w:pPr>
      <w:r w:rsidRPr="007C25F9">
        <w:br w:type="page"/>
      </w:r>
    </w:p>
    <w:p w14:paraId="4708D18D" w14:textId="77777777" w:rsidR="00C3543C" w:rsidRPr="007C25F9" w:rsidRDefault="00C3543C" w:rsidP="00A42D0A">
      <w:pPr>
        <w:pStyle w:val="Heading3"/>
      </w:pPr>
      <w:r w:rsidRPr="007C25F9">
        <w:lastRenderedPageBreak/>
        <w:t>Section 3. Areas of Greatest Progress and Need</w:t>
      </w:r>
    </w:p>
    <w:p w14:paraId="385BF793" w14:textId="77777777" w:rsidR="00C3543C" w:rsidRPr="007C25F9" w:rsidRDefault="00C3543C" w:rsidP="00783ABE">
      <w:r w:rsidRPr="007C25F9">
        <w:t>Provide a narrative response to each of the below questions.</w:t>
      </w:r>
    </w:p>
    <w:p w14:paraId="3B3584B7" w14:textId="77777777" w:rsidR="00C3543C" w:rsidRPr="007C25F9" w:rsidRDefault="00C3543C" w:rsidP="00093A2F">
      <w:pPr>
        <w:numPr>
          <w:ilvl w:val="0"/>
          <w:numId w:val="13"/>
        </w:numPr>
      </w:pPr>
      <w:r w:rsidRPr="007C25F9">
        <w:t>Based on California School Dashboard (Dashboard) data, identify the charter school’s areas of greatest progress.</w:t>
      </w:r>
    </w:p>
    <w:p w14:paraId="0F3130CF" w14:textId="77777777" w:rsidR="00C3543C" w:rsidRPr="007C25F9" w:rsidRDefault="00C3543C" w:rsidP="0003147F">
      <w:r w:rsidRPr="00616C08">
        <w:rPr>
          <w:noProof/>
        </w:rPr>
        <w:t>The current dashboard shows that ELA increased by 23.6 points while our current English Learners have also increased by 12.3 Points. Most JHHS student groups outperform the district and neighborhood schools in Smarter Balanced Assessment Consortium (“SBAC”) ELA proficiency.   In the 2023-2024 school year John Henry saw an increase of 11th-grade students who met the standard or who were proficient for that school year.  This steady increase is promising and is aligned with our revamping of the math department.  Teachers were given a new curriculum that focused not only on the procedural side of math but also the conceptual understanding of it.  In addition, teachers had the opportunity to work with a math consultant who provided guidance on course facilitation, classroom management within a math room, unpacking of units, and support for EL students.  Not only did John Henry see an increase in math productivity but also in Math proficiency via our Winter NWEA MAP test.    In 2022-2023 JHHS saw a decline in the amount of suspensions with a slight increase in the year 2023-2024.  2024-2025 saw a decrease in the number of suspensions in the first semester with the use of restorative practices and tiering of consequences.  Through this effort, we have increased student buy-in in our culture program and mediated situations appropriately, efficiently, and effectively.</w:t>
      </w:r>
    </w:p>
    <w:p w14:paraId="6D2A1DE2" w14:textId="77777777" w:rsidR="00C3543C" w:rsidRPr="007C25F9" w:rsidRDefault="00C3543C"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03C95925" w14:textId="77777777" w:rsidR="00C3543C" w:rsidRPr="007C25F9" w:rsidRDefault="00C3543C" w:rsidP="0003147F">
      <w:r w:rsidRPr="00616C08">
        <w:rPr>
          <w:noProof/>
        </w:rPr>
        <w:t>The NWEA MAP Growth test is a standardized test that JHHS uses 3 times a year to help drive instruction and professional development. The assessment measures a student's knowledge in reading, math, language, and science. It's used to help teachers identify learning needs and plan instruction. NWEA is on the approved verified data list.</w:t>
      </w:r>
    </w:p>
    <w:p w14:paraId="5E6DA599" w14:textId="77777777" w:rsidR="00C3543C" w:rsidRPr="007C25F9" w:rsidRDefault="00C3543C" w:rsidP="00093A2F">
      <w:pPr>
        <w:numPr>
          <w:ilvl w:val="0"/>
          <w:numId w:val="13"/>
        </w:numPr>
      </w:pPr>
      <w:r w:rsidRPr="007C25F9">
        <w:t>Based on Dashboard data, identify the charter school’s areas of greatest need. Include references to student groups.</w:t>
      </w:r>
    </w:p>
    <w:p w14:paraId="2F76D186" w14:textId="77777777" w:rsidR="00C3543C" w:rsidRPr="007C25F9" w:rsidRDefault="00C3543C" w:rsidP="0003147F">
      <w:r w:rsidRPr="00616C08">
        <w:rPr>
          <w:noProof/>
        </w:rPr>
        <w:t>While the relative performance on the 2023 ELA and Math CAASPP has increased, we acknowledge room for improvement based on the percentage of students that Met/Exceeded the Standard. To address the needs of our student population, we have implemented several targeted initiatives. We partnered with IXL to provide students with personalized practice and feedback on essential skills. Adding a Director of Instruction has strengthened our instructional coaching program, providing teachers with individualized support and professional development to enhance their classroom practices.</w:t>
      </w:r>
    </w:p>
    <w:p w14:paraId="7C50CD94" w14:textId="77777777" w:rsidR="00C3543C" w:rsidRPr="007C25F9" w:rsidRDefault="00C3543C" w:rsidP="00093A2F">
      <w:pPr>
        <w:numPr>
          <w:ilvl w:val="0"/>
          <w:numId w:val="13"/>
        </w:numPr>
      </w:pPr>
      <w:r w:rsidRPr="007C25F9">
        <w:lastRenderedPageBreak/>
        <w:t>How is the charter school addressing these areas of need? Include references to student groups.</w:t>
      </w:r>
    </w:p>
    <w:p w14:paraId="42EBA70B" w14:textId="77777777" w:rsidR="00C3543C" w:rsidRPr="007C25F9" w:rsidRDefault="00C3543C" w:rsidP="0003147F">
      <w:pPr>
        <w:rPr>
          <w:rFonts w:cs="Arial"/>
        </w:rPr>
      </w:pPr>
      <w:r w:rsidRPr="00616C08">
        <w:rPr>
          <w:noProof/>
        </w:rPr>
        <w:t>Instructional leadership uses planning meetings and review of day-to-day and summative assessments to assess students' mastery and to remediate skills that were not mastered. Each teacher has a designated day for office hours which allows for more individualized support as well as rapport building between teacher and student.  Students are afforded opportunities for mock SBAC and ELPAC testing to ensure their readiness for the official test.  Teachers use this information to drive their instruction to ensure students’ strengths remain and their challenges are addressed.  While the actions contributed to progress towards the goal, challenges remain in achieving desired academic outcomes and English learner (EL) metrics. Professional development continues to be a key strategy, with Friday sessions focused on academic rigor, supplemental materials, and Common Core implementation. Additionally, JHHS is working to improve compliance with IEPs and support for special education students through the SST/MTSS process. The decrease in the EL reclassification rate, caused by inconsistent participation in English Language Development (ELD) courses, prompted the addition of a paraprofessional to support EL students with small group and one-on-one instruction. In response to decreased SBAC math scores, OCHS is securing additional professional development for math and science teachers and has implemented IXL as a supplemental program to target skill mastery. To better support our EL students, we have implemented several program changes. These include adding a paraprofessional to assist with small group and one-on-one instruction for English Language Learners (ELL) starting in the 2023-24 academic year. The Amethod network has hired an ELD (English Language Development) specialist and Director of Student Services to support our staff in differentiating instruction. Additionally, we have hired an ELD teacher on-site to provide real-time support to students.</w:t>
      </w:r>
    </w:p>
    <w:p w14:paraId="657429A2" w14:textId="77777777" w:rsidR="00C3543C" w:rsidRPr="007C25F9" w:rsidRDefault="00C3543C">
      <w:pPr>
        <w:spacing w:before="0"/>
        <w:rPr>
          <w:rFonts w:eastAsiaTheme="majorEastAsia"/>
          <w:b/>
          <w:bCs/>
          <w:sz w:val="32"/>
          <w:szCs w:val="32"/>
        </w:rPr>
      </w:pPr>
      <w:r w:rsidRPr="007C25F9">
        <w:br w:type="page"/>
      </w:r>
    </w:p>
    <w:p w14:paraId="346E277C" w14:textId="77777777" w:rsidR="00C3543C" w:rsidRPr="007C25F9" w:rsidRDefault="00C3543C" w:rsidP="00A42D0A">
      <w:pPr>
        <w:pStyle w:val="Heading3"/>
      </w:pPr>
      <w:r w:rsidRPr="007C25F9">
        <w:lastRenderedPageBreak/>
        <w:t>Section 4. Summary of Performance on Measurable Pupil Outcomes</w:t>
      </w:r>
    </w:p>
    <w:p w14:paraId="00ED8EA7" w14:textId="77777777" w:rsidR="00C3543C" w:rsidRPr="007C25F9" w:rsidRDefault="00C3543C" w:rsidP="00783ABE">
      <w:r w:rsidRPr="007C25F9">
        <w:t xml:space="preserve">Provide a narrative response to the </w:t>
      </w:r>
      <w:proofErr w:type="gramStart"/>
      <w:r w:rsidRPr="007C25F9">
        <w:t>below question</w:t>
      </w:r>
      <w:proofErr w:type="gramEnd"/>
      <w:r w:rsidRPr="007C25F9">
        <w:t>.</w:t>
      </w:r>
    </w:p>
    <w:p w14:paraId="34863E89" w14:textId="77777777" w:rsidR="00C3543C" w:rsidRPr="007C25F9" w:rsidRDefault="00C3543C" w:rsidP="00DF32B9">
      <w:pPr>
        <w:numPr>
          <w:ilvl w:val="0"/>
          <w:numId w:val="14"/>
        </w:numPr>
      </w:pPr>
      <w:r w:rsidRPr="007C25F9">
        <w:t>Identify the Measurable Pupil Outcomes in Element 2 of the charter petition. Summarize the performance for each outcome.</w:t>
      </w:r>
    </w:p>
    <w:p w14:paraId="1D19EB82" w14:textId="77777777" w:rsidR="00C3543C" w:rsidRPr="007C25F9" w:rsidRDefault="00C3543C" w:rsidP="0003147F">
      <w:pPr>
        <w:rPr>
          <w:rFonts w:cs="Arial"/>
        </w:rPr>
      </w:pPr>
      <w:r w:rsidRPr="00616C08">
        <w:rPr>
          <w:rFonts w:cs="Arial"/>
          <w:noProof/>
        </w:rPr>
        <w:t>English / Language Arts SBAC (CAASPP)  ? 65% or more of students will receive a score of “met” or “exceeded” on  While we have made great progress and students have shown improvement, there is still work to do to support students meeting proficiently.  Currently only 41% of students have met or exceeded the standard  ? 70% of ELL students will demonstrate a 50+ Lexile point growth per year  Currently, 50% of all EL students have made 30 or more lexile points of growth-  details and breakdown in LCAP progress reporting.  ? 75% of students will demonstrate proficiency on standards-based Interim Assessments (NWEA)  Currently taking NWEA now to provide updated information. At last testing cycle, only 26% were proficient   Mathematics SBAC (CAASP)   ? 35% or more of students will receive a score of “met” or “exceeded” on SBAC math tests  Math has been a focus this year based on scores and outcomes. Currently, 15% of students have met or exceeded the standard   ? 75% of students will demonstrate proficiency on standards-based Interim Assessments  Currently taking NWEA now to provide updated information. At lest testing cycle, only 20% were proficient     ? 100% of 9th grade students will have taken or be enrolled in Algebra I.  Goal Met</w:t>
      </w:r>
    </w:p>
    <w:p w14:paraId="066CA220" w14:textId="77777777" w:rsidR="00C3543C" w:rsidRPr="007C25F9" w:rsidRDefault="00C3543C" w:rsidP="00A42D0A">
      <w:pPr>
        <w:pStyle w:val="Heading3"/>
      </w:pPr>
      <w:r w:rsidRPr="007C25F9">
        <w:t>Section 5. Local Control and Accountability Plan Progress</w:t>
      </w:r>
    </w:p>
    <w:p w14:paraId="109450D3" w14:textId="77777777" w:rsidR="00C3543C" w:rsidRPr="007C25F9" w:rsidRDefault="00C3543C" w:rsidP="00783ABE">
      <w:r w:rsidRPr="007C25F9">
        <w:t>Provide a narrative response to each of the below questions.</w:t>
      </w:r>
    </w:p>
    <w:p w14:paraId="24ED6A69" w14:textId="77777777" w:rsidR="00C3543C" w:rsidRPr="007C25F9" w:rsidRDefault="00C3543C" w:rsidP="00DF32B9">
      <w:pPr>
        <w:numPr>
          <w:ilvl w:val="0"/>
          <w:numId w:val="15"/>
        </w:numPr>
      </w:pPr>
      <w:r w:rsidRPr="007C25F9">
        <w:t>Provide a summary of progress made in meeting the charter school’s 2023–24 Local Control and Accountability Plan (LCAP) goals.</w:t>
      </w:r>
    </w:p>
    <w:p w14:paraId="4317FF5F" w14:textId="77777777" w:rsidR="00C3543C" w:rsidRPr="007C25F9" w:rsidRDefault="00C3543C" w:rsidP="0003147F">
      <w:r w:rsidRPr="00616C08">
        <w:rPr>
          <w:rFonts w:cs="Arial"/>
          <w:noProof/>
        </w:rPr>
        <w:t xml:space="preserve">Goal 1:  Provide High-Quality Curriculum, Assessment, and Intervention Systems that Promote College and Career Readiness and the Acquisition of 21st Century Skills.   JHHS has shown significant improvement within this goal. Our academic program is grounded in growth, proficiency, and achievement metrics some examples include: California Dashboard, College and Career Tracking, A-G completion rate, and SBAC scores.  Areas that we are constantly improving and fine-tuning through professional development are topics on: culture and relationship building amongst students and families, data collection and analysis, student discourse/engagement, and teacher pedagogy and content conceptual knowledge.  Teachers use formative and summative assessments to drive instruction and interventions as well as co-plan with paraprofessionals to ensure all students' needs are being met.    Goal 2: Hire and retain a High Quality Teaching Staff who are developed, supported and cultivate a shared sense of community.   John Henry High School utilizes platforms such as Ed-Join, </w:t>
      </w:r>
      <w:r w:rsidRPr="00616C08">
        <w:rPr>
          <w:rFonts w:cs="Arial"/>
          <w:noProof/>
        </w:rPr>
        <w:lastRenderedPageBreak/>
        <w:t xml:space="preserve">Linkedin, Indeed, and others to disseminate information about job openings to attract highly qualified and motivated individuals to serve in our school community.  Our interview process ensures that all teachers are fully credentialed, possess expertise in their subject areas, and are culturally competent to meet the needs of our students.  Throughout the year, professional development is provided with our specific school community and as a whole with our network, Amethod Public Schools, that focus on topics aimed at improving instructional practices, content-specific training, workshops, and culturally relevant teacher pedagogy.   Family, Student, and Teacher (FST/SSC) meetings are held to provide a space for parents and guardians to provide input feedback and to stay abreast about all aspects of compliance, such as: the effectiveness of our English Learner (EL) programs and services.  Teachers also receive professional development to support language and academic instruction, catered to ELPAC proficiency levels, assessment results, and intensive instruction in reading, comprehension, listening, speaking, and writing in core and ELD courses.   John Henry High has made great strides in retaining teachers and building a strong adult culture.  While we successfully retained sixty-six percent of the permanent staff last year,with one staff member being promoted to a leadership position at another campus, we did not meet our target for teacher retention.   The turnover in leadership prior to AY 23-24 and AY 24-25 provided for a lack of confidence in the school administration.  However the current administration is working diligently to foster, build, and maintain strong collegial bonds amongst staff and has offered anonymous surveys to teachers in order to gauge their needs to be able to meet them effectively and efficiently.    Goal 3: Create an engaged parent community that is invested in and connected to the school culture and academic program.   John Henry High School is committed to building a vibrant community of parents and community stakeholders.  JHHS has fostered a community of consistent communication focusing on increasing parent involvement, student engagement, and community participation to support the mission of John Henry.  Family, Staff, and Teacher (FST) meetings have been held.  Parentsquare, our district-wide communication system, serves as an effective tool to communicate with parents about myriad of topics such as: school events, conferences, positive praise, student strengths and challenges, parent workshops and college information.  The school consistently uses phone calls, conferences, and online platforms to engage families. Parent/Teacher meetings remain essential for student success, and extracurricular activities, clubs, and student events play a significant role in boosting student morale Goal 4: Create a safe, inclusive, and welcoming school climate where students are engaged and supported by staff members who are committed to the academic and socio-emotional well-being of all students.  JHHS is committed to restorative justice practices, logical consequences, and other opportunities for student growth and development, which are essential to our Student Support Team(SST).  SST consists of Academic Counselors, School Wellness Counselors, Education Specialists, and the Administration, and works collaboratively with families to ensure all stakeholders are aligned.  When incidents occur, students have the space and resources to speak about the issue in order to address and mitigate the issue in the least invasive way possible.  Depending on the incident, students are assigned a logical consequence that is aligned to the infraction that was committed.  This ensures that we, </w:t>
      </w:r>
      <w:r w:rsidRPr="00616C08">
        <w:rPr>
          <w:rFonts w:cs="Arial"/>
          <w:noProof/>
        </w:rPr>
        <w:lastRenderedPageBreak/>
        <w:t>as a school community, are punishing the behavior and not the child.  In addition, JHHS also put preventative measures in place to mediate peer-to-peer, teacher-to-peer</w:t>
      </w:r>
    </w:p>
    <w:p w14:paraId="0AACAAB5" w14:textId="77777777" w:rsidR="00C3543C" w:rsidRPr="007C25F9" w:rsidRDefault="00C3543C" w:rsidP="00DF32B9">
      <w:pPr>
        <w:numPr>
          <w:ilvl w:val="0"/>
          <w:numId w:val="15"/>
        </w:numPr>
      </w:pPr>
      <w:r w:rsidRPr="007C25F9">
        <w:t>Provide a summary of the charter school’s 2024–25 LCAP mid-year update that describes what the charter school is doing to increase community input.</w:t>
      </w:r>
    </w:p>
    <w:p w14:paraId="1D1D8C9E" w14:textId="77777777" w:rsidR="00C3543C" w:rsidRPr="007C25F9" w:rsidRDefault="00C3543C" w:rsidP="0003147F">
      <w:pPr>
        <w:rPr>
          <w:rFonts w:cs="Arial"/>
        </w:rPr>
      </w:pPr>
      <w:r w:rsidRPr="00616C08">
        <w:rPr>
          <w:rFonts w:cs="Arial"/>
          <w:noProof/>
        </w:rPr>
        <w:t>John Henry High School is committed to building a vibrant community of parents and educational partners  JHHS has fostered a community of consistent communication focusing on increasing parent involvement, student engagement, and community participation to support the mission of John Henry.  Family, Staff, and Teacher (FST) meetings are held quarterly to review and provide feedback input on important school issues like LCPA, extracurricular activities, and any parent concerns. This also serves as an ELAC committee that focuses on target ELL issues.  Parentsquare, our district-wide communication system, serves as an effective tool to communicate with parents about myriad of topics such as school events, conferences, positive praise, student strengths and challenges, parent workshops, and college information.   Parent/Teacher conference nights help bring equity to the curriculum. Equity is increased by sharing curriculum information with stakeholders.  Parent Orientation before school starts each year which provides information on financial assistance, public transportation, school lunch, athletics, and extracurricular activities such as clubs and college opportunities.   At John Henry High School, we make it a monthly goal to have documentation of family communication at least 10 times a month. That includes five positive calls, texts, emails or parentsquare messages and five for improvement and or student concerns. It is imperative to be in constant communication with student families to facilitate and create an environment with a sense of academic support, safety, and social-emotional support from both staff and faculty. Messages could be instant chat or formal emails. Parents get any and all announcements and updates on events, alerts, and class schedules. Appointments can be made, zoom meetings can take place, and added links to media are also available. We make it our mission to follow through with our communication quota and document the communications in our call logs along with a detailed description.  Lastly, in a collaborative effort between the school and the families once a month, we hold an FST meeting as well as Board meetings. An FST meeting is where family members, along with school administrators and staff members, come together to discuss the school's strengths and challenges that aim to develop a collaborative plan to support the well-being and progress of the entire student population. Understanding that engagement and inspiration are key to academic success, JJHHS works closely with all stakeholders to ensure their voices are heard and integrated into decision-making.</w:t>
      </w:r>
    </w:p>
    <w:p w14:paraId="11A838FB" w14:textId="77777777" w:rsidR="00C3543C" w:rsidRPr="007C25F9" w:rsidRDefault="00C3543C">
      <w:pPr>
        <w:spacing w:before="0"/>
        <w:rPr>
          <w:rFonts w:eastAsiaTheme="majorEastAsia"/>
          <w:b/>
          <w:bCs/>
          <w:sz w:val="32"/>
          <w:szCs w:val="32"/>
        </w:rPr>
      </w:pPr>
      <w:r w:rsidRPr="007C25F9">
        <w:br w:type="page"/>
      </w:r>
    </w:p>
    <w:p w14:paraId="7D9EB5C5" w14:textId="77777777" w:rsidR="00C3543C" w:rsidRPr="007C25F9" w:rsidRDefault="00C3543C" w:rsidP="00A42D0A">
      <w:pPr>
        <w:pStyle w:val="Heading3"/>
      </w:pPr>
      <w:r w:rsidRPr="007C25F9">
        <w:lastRenderedPageBreak/>
        <w:t>Section 6. Differentiated Assistance</w:t>
      </w:r>
    </w:p>
    <w:p w14:paraId="4CB0366F" w14:textId="77777777" w:rsidR="00C3543C" w:rsidRPr="007C25F9" w:rsidRDefault="00C3543C" w:rsidP="004926FC">
      <w:pPr>
        <w:numPr>
          <w:ilvl w:val="0"/>
          <w:numId w:val="16"/>
        </w:numPr>
      </w:pPr>
      <w:r w:rsidRPr="007C25F9">
        <w:t>Does the charter school qualify for Differentiated Assistance?</w:t>
      </w:r>
    </w:p>
    <w:p w14:paraId="1F252182" w14:textId="77777777" w:rsidR="00C3543C" w:rsidRPr="007C25F9" w:rsidRDefault="00C3543C" w:rsidP="00DC3882">
      <w:r w:rsidRPr="00616C08">
        <w:rPr>
          <w:noProof/>
        </w:rPr>
        <w:t>No</w:t>
      </w:r>
    </w:p>
    <w:p w14:paraId="6E834241" w14:textId="77777777" w:rsidR="00C3543C" w:rsidRPr="007C25F9" w:rsidRDefault="00C3543C" w:rsidP="00783ABE">
      <w:r w:rsidRPr="007C25F9">
        <w:t>If yes, provide a narrative response to each of the below questions.</w:t>
      </w:r>
    </w:p>
    <w:p w14:paraId="3C91A323" w14:textId="77777777" w:rsidR="00C3543C" w:rsidRPr="007C25F9" w:rsidRDefault="00C3543C" w:rsidP="004926FC">
      <w:pPr>
        <w:numPr>
          <w:ilvl w:val="0"/>
          <w:numId w:val="16"/>
        </w:numPr>
      </w:pPr>
      <w:r w:rsidRPr="007C25F9">
        <w:t>Under which student groups and state priorities did the charter school meet the eligibility criteria for Differentiated Assistance (DA) in both the prior and current year?</w:t>
      </w:r>
    </w:p>
    <w:p w14:paraId="3A2C425E" w14:textId="77777777" w:rsidR="00C3543C" w:rsidRPr="007C25F9" w:rsidRDefault="00C3543C" w:rsidP="00D46026">
      <w:r w:rsidRPr="00616C08">
        <w:rPr>
          <w:noProof/>
        </w:rPr>
        <w:t>[No Response]</w:t>
      </w:r>
    </w:p>
    <w:p w14:paraId="4EFAE305" w14:textId="77777777" w:rsidR="00C3543C" w:rsidRPr="007C25F9" w:rsidRDefault="00C3543C" w:rsidP="004926FC">
      <w:pPr>
        <w:numPr>
          <w:ilvl w:val="0"/>
          <w:numId w:val="16"/>
        </w:numPr>
      </w:pPr>
      <w:r w:rsidRPr="007C25F9">
        <w:t>Identify the support provider the charter school will be working with for technical assistance with DA.</w:t>
      </w:r>
    </w:p>
    <w:p w14:paraId="09E40C9D" w14:textId="77777777" w:rsidR="00C3543C" w:rsidRPr="007C25F9" w:rsidRDefault="00C3543C" w:rsidP="00D46026">
      <w:r w:rsidRPr="00616C08">
        <w:rPr>
          <w:noProof/>
        </w:rPr>
        <w:t>[No Response]</w:t>
      </w:r>
    </w:p>
    <w:p w14:paraId="0CC495B1" w14:textId="77777777" w:rsidR="00C3543C" w:rsidRPr="007C25F9" w:rsidRDefault="00C3543C"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6CAF52AF" w14:textId="77777777" w:rsidR="00C3543C" w:rsidRPr="007C25F9" w:rsidRDefault="00C3543C" w:rsidP="00D46026">
      <w:r w:rsidRPr="00616C08">
        <w:rPr>
          <w:noProof/>
        </w:rPr>
        <w:t>[No Response]</w:t>
      </w:r>
    </w:p>
    <w:p w14:paraId="1D03E3EF" w14:textId="77777777" w:rsidR="00C3543C" w:rsidRPr="007C25F9" w:rsidRDefault="00C3543C">
      <w:pPr>
        <w:spacing w:before="0"/>
        <w:rPr>
          <w:rFonts w:eastAsiaTheme="majorEastAsia"/>
          <w:b/>
          <w:bCs/>
          <w:sz w:val="32"/>
          <w:szCs w:val="32"/>
        </w:rPr>
      </w:pPr>
      <w:r w:rsidRPr="007C25F9">
        <w:br w:type="page"/>
      </w:r>
    </w:p>
    <w:p w14:paraId="394C1214" w14:textId="77777777" w:rsidR="00C3543C" w:rsidRPr="007C25F9" w:rsidRDefault="00C3543C" w:rsidP="00A42D0A">
      <w:pPr>
        <w:pStyle w:val="Heading3"/>
      </w:pPr>
      <w:r w:rsidRPr="007C25F9">
        <w:lastRenderedPageBreak/>
        <w:t>Section 7. Acknowledgment, Certification, and Submission</w:t>
      </w:r>
    </w:p>
    <w:p w14:paraId="365E6355" w14:textId="77777777" w:rsidR="00C3543C" w:rsidRPr="007C25F9" w:rsidRDefault="00C3543C" w:rsidP="00B9677C">
      <w:r w:rsidRPr="007C25F9">
        <w:t xml:space="preserve">Initial each of the below statements to confirm that you have read and understand </w:t>
      </w:r>
      <w:proofErr w:type="gramStart"/>
      <w:r w:rsidRPr="007C25F9">
        <w:t>following</w:t>
      </w:r>
      <w:proofErr w:type="gramEnd"/>
      <w:r w:rsidRPr="007C25F9">
        <w:t>:</w:t>
      </w:r>
    </w:p>
    <w:p w14:paraId="5E157417" w14:textId="77777777" w:rsidR="00C3543C" w:rsidRPr="007C25F9" w:rsidRDefault="00C3543C" w:rsidP="00A42D0A">
      <w:pPr>
        <w:pStyle w:val="Heading4"/>
      </w:pPr>
      <w:r w:rsidRPr="007C25F9">
        <w:t>Acknowledgment</w:t>
      </w:r>
    </w:p>
    <w:p w14:paraId="781389BE" w14:textId="77777777" w:rsidR="00C3543C" w:rsidRPr="007C25F9" w:rsidRDefault="00C3543C"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209833BD" w14:textId="77777777" w:rsidR="00C3543C" w:rsidRPr="007C25F9" w:rsidRDefault="00C3543C" w:rsidP="00783ABE">
      <w:r w:rsidRPr="00616C08">
        <w:rPr>
          <w:noProof/>
        </w:rPr>
        <w:t>MA</w:t>
      </w:r>
    </w:p>
    <w:p w14:paraId="0A059AED" w14:textId="77777777" w:rsidR="00C3543C" w:rsidRPr="007C25F9" w:rsidRDefault="00C3543C" w:rsidP="00A42D0A">
      <w:pPr>
        <w:pStyle w:val="Heading4"/>
      </w:pPr>
      <w:r w:rsidRPr="007C25F9">
        <w:t>Certification</w:t>
      </w:r>
    </w:p>
    <w:p w14:paraId="14153198" w14:textId="77777777" w:rsidR="00C3543C" w:rsidRPr="007C25F9" w:rsidRDefault="00C3543C"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0C1C503D" w14:textId="77777777" w:rsidR="00C3543C" w:rsidRPr="007C25F9" w:rsidRDefault="00C3543C" w:rsidP="00783ABE">
      <w:r w:rsidRPr="00616C08">
        <w:rPr>
          <w:noProof/>
        </w:rPr>
        <w:t>MA</w:t>
      </w:r>
    </w:p>
    <w:p w14:paraId="353EFA98" w14:textId="77777777" w:rsidR="00C3543C" w:rsidRPr="007C25F9" w:rsidRDefault="00C3543C"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C3543C" w:rsidRPr="007C25F9" w14:paraId="57235D15" w14:textId="77777777" w:rsidTr="007929F6">
        <w:trPr>
          <w:cantSplit/>
          <w:tblHeader/>
        </w:trPr>
        <w:tc>
          <w:tcPr>
            <w:tcW w:w="4675" w:type="dxa"/>
            <w:shd w:val="clear" w:color="auto" w:fill="D9D9D9" w:themeFill="background1" w:themeFillShade="D9"/>
          </w:tcPr>
          <w:p w14:paraId="4C20692B" w14:textId="77777777" w:rsidR="00C3543C" w:rsidRPr="007C25F9" w:rsidRDefault="00C3543C" w:rsidP="00D41927">
            <w:pPr>
              <w:rPr>
                <w:b/>
                <w:bCs/>
              </w:rPr>
            </w:pPr>
            <w:r w:rsidRPr="007C25F9">
              <w:rPr>
                <w:b/>
                <w:bCs/>
              </w:rPr>
              <w:t>Prompt</w:t>
            </w:r>
          </w:p>
        </w:tc>
        <w:tc>
          <w:tcPr>
            <w:tcW w:w="4675" w:type="dxa"/>
            <w:shd w:val="clear" w:color="auto" w:fill="D9D9D9" w:themeFill="background1" w:themeFillShade="D9"/>
          </w:tcPr>
          <w:p w14:paraId="126F6932" w14:textId="77777777" w:rsidR="00C3543C" w:rsidRPr="007C25F9" w:rsidRDefault="00C3543C" w:rsidP="00D41927">
            <w:pPr>
              <w:rPr>
                <w:b/>
                <w:bCs/>
              </w:rPr>
            </w:pPr>
            <w:r w:rsidRPr="007C25F9">
              <w:rPr>
                <w:b/>
                <w:bCs/>
              </w:rPr>
              <w:t>Response</w:t>
            </w:r>
          </w:p>
        </w:tc>
      </w:tr>
      <w:tr w:rsidR="00C3543C" w:rsidRPr="007C25F9" w14:paraId="5A5CFE3E" w14:textId="77777777" w:rsidTr="007929F6">
        <w:trPr>
          <w:cantSplit/>
          <w:tblHeader/>
        </w:trPr>
        <w:tc>
          <w:tcPr>
            <w:tcW w:w="4675" w:type="dxa"/>
          </w:tcPr>
          <w:p w14:paraId="02B6D822" w14:textId="77777777" w:rsidR="00C3543C" w:rsidRPr="007C25F9" w:rsidRDefault="00C3543C" w:rsidP="00D41927">
            <w:r w:rsidRPr="007C25F9">
              <w:t>Full Legal Name</w:t>
            </w:r>
          </w:p>
        </w:tc>
        <w:tc>
          <w:tcPr>
            <w:tcW w:w="4675" w:type="dxa"/>
          </w:tcPr>
          <w:p w14:paraId="3B8E3A3D" w14:textId="77777777" w:rsidR="00C3543C" w:rsidRPr="007C25F9" w:rsidRDefault="00C3543C" w:rsidP="00D41927">
            <w:r w:rsidRPr="00616C08">
              <w:rPr>
                <w:noProof/>
              </w:rPr>
              <w:t>Maria Arechiga</w:t>
            </w:r>
          </w:p>
        </w:tc>
      </w:tr>
      <w:tr w:rsidR="00C3543C" w:rsidRPr="007C25F9" w14:paraId="2F4947FB" w14:textId="77777777" w:rsidTr="007929F6">
        <w:trPr>
          <w:cantSplit/>
          <w:tblHeader/>
        </w:trPr>
        <w:tc>
          <w:tcPr>
            <w:tcW w:w="4675" w:type="dxa"/>
          </w:tcPr>
          <w:p w14:paraId="3C927753" w14:textId="77777777" w:rsidR="00C3543C" w:rsidRPr="007C25F9" w:rsidRDefault="00C3543C" w:rsidP="00D41927">
            <w:r w:rsidRPr="007C25F9">
              <w:t>Job Title</w:t>
            </w:r>
          </w:p>
        </w:tc>
        <w:tc>
          <w:tcPr>
            <w:tcW w:w="4675" w:type="dxa"/>
          </w:tcPr>
          <w:p w14:paraId="59F88D15" w14:textId="77777777" w:rsidR="00C3543C" w:rsidRPr="007C25F9" w:rsidRDefault="00C3543C" w:rsidP="00D41927">
            <w:r w:rsidRPr="00616C08">
              <w:rPr>
                <w:noProof/>
              </w:rPr>
              <w:t>Chief Strategy and Compliance Officer</w:t>
            </w:r>
          </w:p>
        </w:tc>
      </w:tr>
      <w:tr w:rsidR="00C3543C" w:rsidRPr="007C25F9" w14:paraId="4C55EFEB" w14:textId="77777777" w:rsidTr="007929F6">
        <w:trPr>
          <w:cantSplit/>
          <w:tblHeader/>
        </w:trPr>
        <w:tc>
          <w:tcPr>
            <w:tcW w:w="4675" w:type="dxa"/>
          </w:tcPr>
          <w:p w14:paraId="295B2A7F" w14:textId="77777777" w:rsidR="00C3543C" w:rsidRPr="007C25F9" w:rsidRDefault="00C3543C" w:rsidP="00D41927">
            <w:r w:rsidRPr="007C25F9">
              <w:t>Email Address</w:t>
            </w:r>
          </w:p>
        </w:tc>
        <w:tc>
          <w:tcPr>
            <w:tcW w:w="4675" w:type="dxa"/>
          </w:tcPr>
          <w:p w14:paraId="297A1A76" w14:textId="77777777" w:rsidR="00C3543C" w:rsidRPr="007C25F9" w:rsidRDefault="00C3543C" w:rsidP="00D41927">
            <w:r w:rsidRPr="00616C08">
              <w:rPr>
                <w:noProof/>
              </w:rPr>
              <w:t>marechiga@amethodschools.org</w:t>
            </w:r>
          </w:p>
        </w:tc>
      </w:tr>
      <w:tr w:rsidR="00C3543C" w14:paraId="43FA6BF0" w14:textId="77777777" w:rsidTr="007929F6">
        <w:trPr>
          <w:cantSplit/>
          <w:tblHeader/>
        </w:trPr>
        <w:tc>
          <w:tcPr>
            <w:tcW w:w="4675" w:type="dxa"/>
          </w:tcPr>
          <w:p w14:paraId="17E1D60D" w14:textId="77777777" w:rsidR="00C3543C" w:rsidRPr="007C25F9" w:rsidRDefault="00C3543C" w:rsidP="00D41927">
            <w:r w:rsidRPr="007C25F9">
              <w:t>Phone Number</w:t>
            </w:r>
          </w:p>
        </w:tc>
        <w:tc>
          <w:tcPr>
            <w:tcW w:w="4675" w:type="dxa"/>
          </w:tcPr>
          <w:p w14:paraId="4DDD75BB" w14:textId="77777777" w:rsidR="00C3543C" w:rsidRDefault="00C3543C" w:rsidP="00D41927">
            <w:r w:rsidRPr="00616C08">
              <w:rPr>
                <w:noProof/>
              </w:rPr>
              <w:t>510-599-3996</w:t>
            </w:r>
          </w:p>
        </w:tc>
      </w:tr>
    </w:tbl>
    <w:p w14:paraId="4F92580B" w14:textId="77777777" w:rsidR="00C3543C" w:rsidRPr="00E810BB" w:rsidRDefault="00C3543C" w:rsidP="00E33535"/>
    <w:sectPr w:rsidR="00C3543C" w:rsidRPr="00E810BB" w:rsidSect="00C3543C">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F6B6" w14:textId="77777777" w:rsidR="00C3543C" w:rsidRDefault="00C3543C" w:rsidP="002174BD">
      <w:pPr>
        <w:spacing w:after="0"/>
      </w:pPr>
      <w:r>
        <w:separator/>
      </w:r>
    </w:p>
  </w:endnote>
  <w:endnote w:type="continuationSeparator" w:id="0">
    <w:p w14:paraId="3D097FB3" w14:textId="77777777" w:rsidR="00C3543C" w:rsidRDefault="00C3543C"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1411" w14:textId="77777777" w:rsidR="00C3543C" w:rsidRDefault="00C3543C" w:rsidP="002174BD">
      <w:pPr>
        <w:spacing w:after="0"/>
      </w:pPr>
      <w:r>
        <w:separator/>
      </w:r>
    </w:p>
  </w:footnote>
  <w:footnote w:type="continuationSeparator" w:id="0">
    <w:p w14:paraId="7671D300" w14:textId="77777777" w:rsidR="00C3543C" w:rsidRDefault="00C3543C"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B1C8" w14:textId="77777777" w:rsidR="00BB2FC9" w:rsidRDefault="00BB2FC9" w:rsidP="004773C9">
    <w:pPr>
      <w:pStyle w:val="Header"/>
      <w:jc w:val="right"/>
    </w:pPr>
    <w:r>
      <w:t>memo-</w:t>
    </w:r>
    <w:r w:rsidRPr="007C25F9">
      <w:t>lacb-csd-</w:t>
    </w:r>
    <w:r>
      <w:t>apr</w:t>
    </w:r>
    <w:r w:rsidRPr="007C25F9">
      <w:t>25item</w:t>
    </w:r>
    <w:r>
      <w:t>02</w:t>
    </w:r>
  </w:p>
  <w:p w14:paraId="27CF7968" w14:textId="67440051" w:rsidR="00D852E7" w:rsidRDefault="00D852E7" w:rsidP="004773C9">
    <w:pPr>
      <w:pStyle w:val="Header"/>
      <w:jc w:val="right"/>
    </w:pPr>
    <w:r w:rsidRPr="0068008A">
      <w:t xml:space="preserve">Attachment </w:t>
    </w:r>
    <w:r w:rsidR="0068008A" w:rsidRPr="0068008A">
      <w:t>17</w:t>
    </w:r>
    <w:r w:rsidRPr="0068008A">
      <w:t xml:space="preserve"> - </w:t>
    </w:r>
    <w:r w:rsidR="00526D4F" w:rsidRPr="0068008A">
      <w:rPr>
        <w:noProof/>
      </w:rPr>
      <w:t xml:space="preserve">John Henry High </w:t>
    </w:r>
    <w:r w:rsidRPr="0068008A">
      <w:t>(Charter #</w:t>
    </w:r>
    <w:r w:rsidR="00526D4F" w:rsidRPr="0068008A">
      <w:rPr>
        <w:noProof/>
      </w:rPr>
      <w:t>1741</w:t>
    </w:r>
    <w:r w:rsidRPr="0068008A">
      <w:t>)</w:t>
    </w:r>
  </w:p>
  <w:p w14:paraId="5D715363" w14:textId="77777777" w:rsidR="00AC0320" w:rsidRPr="00D852E7" w:rsidRDefault="00D852E7" w:rsidP="004773C9">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E6B98"/>
    <w:rsid w:val="001F249C"/>
    <w:rsid w:val="001F6EDC"/>
    <w:rsid w:val="0020095A"/>
    <w:rsid w:val="00203DA8"/>
    <w:rsid w:val="002040BB"/>
    <w:rsid w:val="002174BD"/>
    <w:rsid w:val="002278F5"/>
    <w:rsid w:val="00247F98"/>
    <w:rsid w:val="00272F2D"/>
    <w:rsid w:val="002A6AF3"/>
    <w:rsid w:val="002B6DCA"/>
    <w:rsid w:val="003002B4"/>
    <w:rsid w:val="00330138"/>
    <w:rsid w:val="00334354"/>
    <w:rsid w:val="003418E1"/>
    <w:rsid w:val="003425F0"/>
    <w:rsid w:val="00342FE5"/>
    <w:rsid w:val="003878C5"/>
    <w:rsid w:val="003B125B"/>
    <w:rsid w:val="003C5F3C"/>
    <w:rsid w:val="0040704F"/>
    <w:rsid w:val="004235EF"/>
    <w:rsid w:val="0045774B"/>
    <w:rsid w:val="004773C9"/>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8008A"/>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0B40"/>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0F03"/>
    <w:rsid w:val="00A0719E"/>
    <w:rsid w:val="00A3600D"/>
    <w:rsid w:val="00A42D0A"/>
    <w:rsid w:val="00A45C62"/>
    <w:rsid w:val="00A579D8"/>
    <w:rsid w:val="00A971A6"/>
    <w:rsid w:val="00AB2A51"/>
    <w:rsid w:val="00AC0320"/>
    <w:rsid w:val="00AC2B91"/>
    <w:rsid w:val="00AE4773"/>
    <w:rsid w:val="00AF5D30"/>
    <w:rsid w:val="00B61D84"/>
    <w:rsid w:val="00B63405"/>
    <w:rsid w:val="00B9677C"/>
    <w:rsid w:val="00B97A3C"/>
    <w:rsid w:val="00BB2FC9"/>
    <w:rsid w:val="00BC6BA7"/>
    <w:rsid w:val="00BE1ECA"/>
    <w:rsid w:val="00BF0851"/>
    <w:rsid w:val="00C235D2"/>
    <w:rsid w:val="00C2622E"/>
    <w:rsid w:val="00C31395"/>
    <w:rsid w:val="00C3543C"/>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92638"/>
    <w:rsid w:val="00DA7848"/>
    <w:rsid w:val="00DC3882"/>
    <w:rsid w:val="00DC5A7E"/>
    <w:rsid w:val="00DE3428"/>
    <w:rsid w:val="00DE56CE"/>
    <w:rsid w:val="00DF32B9"/>
    <w:rsid w:val="00E23017"/>
    <w:rsid w:val="00E324EF"/>
    <w:rsid w:val="00E33535"/>
    <w:rsid w:val="00E47889"/>
    <w:rsid w:val="00E50B16"/>
    <w:rsid w:val="00E57B8B"/>
    <w:rsid w:val="00E76516"/>
    <w:rsid w:val="00E810BB"/>
    <w:rsid w:val="00EB4763"/>
    <w:rsid w:val="00EF054D"/>
    <w:rsid w:val="00EF0E1C"/>
    <w:rsid w:val="00F303BC"/>
    <w:rsid w:val="00F35436"/>
    <w:rsid w:val="00F36F1F"/>
    <w:rsid w:val="00FA0A46"/>
    <w:rsid w:val="00FC6421"/>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1EE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3185</Words>
  <Characters>18158</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17 - Information Memorandum (CA State Board of Education)</dc:title>
  <dc:subject>John Henry High Academic Memorandum Response.</dc:subject>
  <dc:creator/>
  <cp:keywords/>
  <dc:description/>
  <cp:lastModifiedBy/>
  <dcterms:created xsi:type="dcterms:W3CDTF">2025-02-25T16:08:00Z</dcterms:created>
  <dcterms:modified xsi:type="dcterms:W3CDTF">2025-04-18T22:29:00Z</dcterms:modified>
  <cp:category/>
</cp:coreProperties>
</file>