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8FE5" w14:textId="77777777" w:rsidR="00533F55" w:rsidRPr="007C25F9" w:rsidRDefault="00533F55" w:rsidP="00FB6508">
      <w:pPr>
        <w:pStyle w:val="Header"/>
        <w:jc w:val="right"/>
      </w:pPr>
      <w:r w:rsidRPr="007C25F9">
        <w:t>California Department of Education</w:t>
      </w:r>
    </w:p>
    <w:p w14:paraId="503B1B42" w14:textId="77777777" w:rsidR="00533F55" w:rsidRPr="007C25F9" w:rsidRDefault="00533F55" w:rsidP="00FB6508">
      <w:pPr>
        <w:pStyle w:val="Header"/>
        <w:jc w:val="right"/>
      </w:pPr>
      <w:r w:rsidRPr="007C25F9">
        <w:t>Charter Schools Division</w:t>
      </w:r>
    </w:p>
    <w:p w14:paraId="06918F5E" w14:textId="77777777" w:rsidR="00533F55" w:rsidRPr="007C25F9" w:rsidRDefault="00533F55" w:rsidP="00FB6508">
      <w:pPr>
        <w:pStyle w:val="Header"/>
        <w:jc w:val="right"/>
      </w:pPr>
      <w:r w:rsidRPr="007C25F9">
        <w:t>Created 03/2025</w:t>
      </w:r>
    </w:p>
    <w:p w14:paraId="1935BB34" w14:textId="06CA1B78" w:rsidR="00533F55" w:rsidRPr="007C25F9" w:rsidRDefault="007755D4" w:rsidP="00FB6508">
      <w:pPr>
        <w:pStyle w:val="Header"/>
        <w:jc w:val="right"/>
      </w:pPr>
      <w:r>
        <w:t>memo-</w:t>
      </w:r>
      <w:r w:rsidR="00533F55" w:rsidRPr="007C25F9">
        <w:t>lacb-csd-</w:t>
      </w:r>
      <w:r>
        <w:t>apr</w:t>
      </w:r>
      <w:r w:rsidR="00533F55" w:rsidRPr="007C25F9">
        <w:t>25item</w:t>
      </w:r>
      <w:r>
        <w:t>02</w:t>
      </w:r>
    </w:p>
    <w:p w14:paraId="3D5B7A41" w14:textId="5A203996" w:rsidR="00533F55" w:rsidRPr="007C25F9" w:rsidRDefault="00533F55" w:rsidP="00FB6508">
      <w:pPr>
        <w:pStyle w:val="Header"/>
        <w:jc w:val="right"/>
      </w:pPr>
      <w:r w:rsidRPr="007C25F9">
        <w:t xml:space="preserve">Attachment </w:t>
      </w:r>
      <w:r w:rsidR="0071351F">
        <w:t>3</w:t>
      </w:r>
    </w:p>
    <w:p w14:paraId="796DEA93" w14:textId="77777777" w:rsidR="00533F55" w:rsidRPr="007C25F9" w:rsidRDefault="00533F55" w:rsidP="008C1CCA">
      <w:pPr>
        <w:pStyle w:val="Heading1"/>
      </w:pPr>
      <w:r w:rsidRPr="007C25F9">
        <w:t>California State Board of Education-Authorized Charter School 2024 Academic Memorandum Form</w:t>
      </w:r>
    </w:p>
    <w:p w14:paraId="08CCF6E0" w14:textId="77777777" w:rsidR="00533F55" w:rsidRPr="007C25F9" w:rsidRDefault="00533F55" w:rsidP="008C1CCA">
      <w:pPr>
        <w:spacing w:after="480"/>
        <w:jc w:val="center"/>
        <w:rPr>
          <w:rFonts w:eastAsia="Calibri" w:cs="Arial"/>
          <w14:ligatures w14:val="none"/>
        </w:rPr>
      </w:pPr>
      <w:r w:rsidRPr="007C25F9">
        <w:rPr>
          <w:rFonts w:eastAsia="Calibri" w:cs="Arial"/>
          <w14:ligatures w14:val="none"/>
        </w:rPr>
        <w:t>CALIFORNIA DEPARTMENT OF EDUCATION</w:t>
      </w:r>
    </w:p>
    <w:p w14:paraId="3A27B163" w14:textId="77777777" w:rsidR="00533F55" w:rsidRPr="007C25F9" w:rsidRDefault="00533F55"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Academia Avance Charter</w:t>
      </w:r>
      <w:r w:rsidRPr="007C25F9">
        <w:rPr>
          <w:rFonts w:eastAsia="Calibri" w:cs="Arial"/>
          <w:noProof/>
          <w14:ligatures w14:val="none"/>
        </w:rPr>
        <w:t xml:space="preserve"> </w:t>
      </w:r>
      <w:r w:rsidRPr="007C25F9">
        <w:rPr>
          <w:rFonts w:eastAsia="Calibri" w:cs="Arial"/>
          <w14:ligatures w14:val="none"/>
        </w:rPr>
        <w:t>(Charter #</w:t>
      </w:r>
      <w:r w:rsidRPr="00616C08">
        <w:rPr>
          <w:rFonts w:eastAsia="Calibri" w:cs="Arial"/>
          <w:noProof/>
          <w14:ligatures w14:val="none"/>
        </w:rPr>
        <w:t>0738</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1FCCFDC8" w14:textId="77777777" w:rsidR="00533F55" w:rsidRPr="007C25F9" w:rsidRDefault="00533F55" w:rsidP="00D852E7">
      <w:pPr>
        <w:spacing w:after="160" w:line="259" w:lineRule="auto"/>
        <w:rPr>
          <w:rFonts w:eastAsiaTheme="majorEastAsia" w:cstheme="majorBidi"/>
          <w:b/>
          <w:sz w:val="32"/>
          <w:szCs w:val="26"/>
        </w:rPr>
      </w:pPr>
      <w:r w:rsidRPr="007C25F9">
        <w:br w:type="page"/>
      </w:r>
    </w:p>
    <w:p w14:paraId="16309AD4" w14:textId="77777777" w:rsidR="00533F55" w:rsidRPr="007C25F9" w:rsidRDefault="00533F55" w:rsidP="00A42D0A">
      <w:pPr>
        <w:pStyle w:val="Heading2"/>
      </w:pPr>
      <w:r w:rsidRPr="00616C08">
        <w:lastRenderedPageBreak/>
        <w:t>Academia Avance Charter</w:t>
      </w:r>
      <w:r w:rsidRPr="007C25F9">
        <w:br/>
        <w:t>2024 Academic Memorandum Form</w:t>
      </w:r>
    </w:p>
    <w:p w14:paraId="61B08131" w14:textId="77777777" w:rsidR="00533F55" w:rsidRPr="007C25F9" w:rsidRDefault="00533F55" w:rsidP="00A42D0A">
      <w:pPr>
        <w:pStyle w:val="Heading3"/>
      </w:pPr>
      <w:r w:rsidRPr="007C25F9">
        <w:t>Section 1. Charter School Information</w:t>
      </w:r>
    </w:p>
    <w:p w14:paraId="4B592E42" w14:textId="77777777" w:rsidR="00533F55" w:rsidRPr="007C25F9" w:rsidRDefault="00533F55" w:rsidP="00A42D0A">
      <w:pPr>
        <w:pStyle w:val="Heading4"/>
      </w:pPr>
      <w:r w:rsidRPr="007C25F9">
        <w:t>General Information</w:t>
      </w:r>
    </w:p>
    <w:p w14:paraId="375084AD" w14:textId="77777777" w:rsidR="00533F55" w:rsidRPr="007C25F9" w:rsidRDefault="00533F55"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533F55" w:rsidRPr="007C25F9" w14:paraId="6C90444D" w14:textId="77777777" w:rsidTr="007929F6">
        <w:trPr>
          <w:cantSplit/>
          <w:tblHeader/>
        </w:trPr>
        <w:tc>
          <w:tcPr>
            <w:tcW w:w="4675" w:type="dxa"/>
            <w:shd w:val="clear" w:color="auto" w:fill="D9D9D9" w:themeFill="background1" w:themeFillShade="D9"/>
          </w:tcPr>
          <w:p w14:paraId="26FEAD80" w14:textId="77777777" w:rsidR="00533F55" w:rsidRPr="007C25F9" w:rsidRDefault="00533F55" w:rsidP="00765AEF">
            <w:pPr>
              <w:rPr>
                <w:b/>
                <w:bCs/>
              </w:rPr>
            </w:pPr>
            <w:r w:rsidRPr="007C25F9">
              <w:rPr>
                <w:b/>
                <w:bCs/>
              </w:rPr>
              <w:t>Prompt</w:t>
            </w:r>
          </w:p>
        </w:tc>
        <w:tc>
          <w:tcPr>
            <w:tcW w:w="4675" w:type="dxa"/>
            <w:shd w:val="clear" w:color="auto" w:fill="D9D9D9" w:themeFill="background1" w:themeFillShade="D9"/>
          </w:tcPr>
          <w:p w14:paraId="1352DA60" w14:textId="77777777" w:rsidR="00533F55" w:rsidRPr="007C25F9" w:rsidRDefault="00533F55" w:rsidP="00765AEF">
            <w:pPr>
              <w:rPr>
                <w:b/>
                <w:bCs/>
              </w:rPr>
            </w:pPr>
            <w:r w:rsidRPr="007C25F9">
              <w:rPr>
                <w:b/>
                <w:bCs/>
              </w:rPr>
              <w:t>Response</w:t>
            </w:r>
          </w:p>
        </w:tc>
      </w:tr>
      <w:tr w:rsidR="00533F55" w:rsidRPr="007C25F9" w14:paraId="559A0A7C" w14:textId="77777777" w:rsidTr="00C2622E">
        <w:tc>
          <w:tcPr>
            <w:tcW w:w="4675" w:type="dxa"/>
          </w:tcPr>
          <w:p w14:paraId="75993D59" w14:textId="77777777" w:rsidR="00533F55" w:rsidRPr="007C25F9" w:rsidRDefault="00533F55" w:rsidP="00765AEF">
            <w:r w:rsidRPr="007C25F9">
              <w:t>Charter School Name</w:t>
            </w:r>
          </w:p>
        </w:tc>
        <w:tc>
          <w:tcPr>
            <w:tcW w:w="4675" w:type="dxa"/>
          </w:tcPr>
          <w:p w14:paraId="12D37772" w14:textId="77777777" w:rsidR="00533F55" w:rsidRPr="007C25F9" w:rsidRDefault="00533F55" w:rsidP="00765AEF">
            <w:r w:rsidRPr="00616C08">
              <w:rPr>
                <w:noProof/>
              </w:rPr>
              <w:t>Academia Avance Charter</w:t>
            </w:r>
          </w:p>
        </w:tc>
      </w:tr>
      <w:tr w:rsidR="00533F55" w:rsidRPr="007C25F9" w14:paraId="5C6100E5" w14:textId="77777777" w:rsidTr="00C2622E">
        <w:tc>
          <w:tcPr>
            <w:tcW w:w="4675" w:type="dxa"/>
          </w:tcPr>
          <w:p w14:paraId="1191081F" w14:textId="77777777" w:rsidR="00533F55" w:rsidRPr="007C25F9" w:rsidRDefault="00533F55" w:rsidP="00765AEF">
            <w:r w:rsidRPr="007C25F9">
              <w:t>School Address</w:t>
            </w:r>
          </w:p>
        </w:tc>
        <w:tc>
          <w:tcPr>
            <w:tcW w:w="4675" w:type="dxa"/>
          </w:tcPr>
          <w:p w14:paraId="03F15546" w14:textId="77777777" w:rsidR="00533F55" w:rsidRPr="007C25F9" w:rsidRDefault="00533F55" w:rsidP="00765AEF">
            <w:r w:rsidRPr="00616C08">
              <w:rPr>
                <w:noProof/>
              </w:rPr>
              <w:t>115 North Avenue 53</w:t>
            </w:r>
          </w:p>
        </w:tc>
      </w:tr>
      <w:tr w:rsidR="00533F55" w:rsidRPr="007C25F9" w14:paraId="2F9CB71B" w14:textId="77777777" w:rsidTr="00C2622E">
        <w:tc>
          <w:tcPr>
            <w:tcW w:w="4675" w:type="dxa"/>
          </w:tcPr>
          <w:p w14:paraId="106C4050" w14:textId="77777777" w:rsidR="00533F55" w:rsidRPr="007C25F9" w:rsidRDefault="00533F55" w:rsidP="00765AEF">
            <w:r w:rsidRPr="007C25F9">
              <w:t>City</w:t>
            </w:r>
          </w:p>
        </w:tc>
        <w:tc>
          <w:tcPr>
            <w:tcW w:w="4675" w:type="dxa"/>
          </w:tcPr>
          <w:p w14:paraId="23EBFEDA" w14:textId="77777777" w:rsidR="00533F55" w:rsidRPr="007C25F9" w:rsidRDefault="00533F55" w:rsidP="00765AEF">
            <w:r w:rsidRPr="00616C08">
              <w:rPr>
                <w:noProof/>
              </w:rPr>
              <w:t>Los Angeles</w:t>
            </w:r>
          </w:p>
        </w:tc>
      </w:tr>
      <w:tr w:rsidR="00533F55" w:rsidRPr="007C25F9" w14:paraId="19FBE4D8" w14:textId="77777777" w:rsidTr="00C2622E">
        <w:tc>
          <w:tcPr>
            <w:tcW w:w="4675" w:type="dxa"/>
          </w:tcPr>
          <w:p w14:paraId="2A294C58" w14:textId="77777777" w:rsidR="00533F55" w:rsidRPr="007C25F9" w:rsidRDefault="00533F55" w:rsidP="00765AEF">
            <w:r w:rsidRPr="007C25F9">
              <w:t>ZIP Code</w:t>
            </w:r>
          </w:p>
        </w:tc>
        <w:tc>
          <w:tcPr>
            <w:tcW w:w="4675" w:type="dxa"/>
          </w:tcPr>
          <w:p w14:paraId="0D629507" w14:textId="77777777" w:rsidR="00533F55" w:rsidRPr="007C25F9" w:rsidRDefault="00533F55" w:rsidP="00765AEF">
            <w:r w:rsidRPr="00616C08">
              <w:rPr>
                <w:noProof/>
              </w:rPr>
              <w:t>90042</w:t>
            </w:r>
          </w:p>
        </w:tc>
      </w:tr>
      <w:tr w:rsidR="00533F55" w:rsidRPr="007C25F9" w14:paraId="7B378309" w14:textId="77777777" w:rsidTr="00C2622E">
        <w:tc>
          <w:tcPr>
            <w:tcW w:w="4675" w:type="dxa"/>
          </w:tcPr>
          <w:p w14:paraId="6F86E7E4" w14:textId="77777777" w:rsidR="00533F55" w:rsidRPr="007C25F9" w:rsidRDefault="00533F55" w:rsidP="00765AEF">
            <w:r w:rsidRPr="007C25F9">
              <w:t>Located in District</w:t>
            </w:r>
          </w:p>
        </w:tc>
        <w:tc>
          <w:tcPr>
            <w:tcW w:w="4675" w:type="dxa"/>
          </w:tcPr>
          <w:p w14:paraId="257B033A" w14:textId="77777777" w:rsidR="00533F55" w:rsidRPr="007C25F9" w:rsidRDefault="00533F55" w:rsidP="00765AEF">
            <w:r w:rsidRPr="00616C08">
              <w:rPr>
                <w:noProof/>
              </w:rPr>
              <w:t>Los Angeles Unified</w:t>
            </w:r>
          </w:p>
        </w:tc>
      </w:tr>
      <w:tr w:rsidR="00533F55" w:rsidRPr="007C25F9" w14:paraId="4501195A" w14:textId="77777777" w:rsidTr="00C2622E">
        <w:tc>
          <w:tcPr>
            <w:tcW w:w="4675" w:type="dxa"/>
          </w:tcPr>
          <w:p w14:paraId="1BAAEE9A" w14:textId="77777777" w:rsidR="00533F55" w:rsidRPr="007C25F9" w:rsidRDefault="00533F55" w:rsidP="00765AEF">
            <w:r w:rsidRPr="007C25F9">
              <w:t>County</w:t>
            </w:r>
          </w:p>
        </w:tc>
        <w:tc>
          <w:tcPr>
            <w:tcW w:w="4675" w:type="dxa"/>
          </w:tcPr>
          <w:p w14:paraId="07904704" w14:textId="77777777" w:rsidR="00533F55" w:rsidRPr="007C25F9" w:rsidRDefault="00533F55" w:rsidP="00765AEF">
            <w:r w:rsidRPr="00616C08">
              <w:rPr>
                <w:noProof/>
              </w:rPr>
              <w:t>Los Angeles</w:t>
            </w:r>
          </w:p>
        </w:tc>
      </w:tr>
      <w:tr w:rsidR="00533F55" w:rsidRPr="007C25F9" w14:paraId="29B8971A" w14:textId="77777777" w:rsidTr="00C2622E">
        <w:tc>
          <w:tcPr>
            <w:tcW w:w="4675" w:type="dxa"/>
          </w:tcPr>
          <w:p w14:paraId="563674AD" w14:textId="77777777" w:rsidR="00533F55" w:rsidRPr="007C25F9" w:rsidRDefault="00533F55" w:rsidP="00765AEF">
            <w:r w:rsidRPr="007C25F9">
              <w:t>Website Address</w:t>
            </w:r>
          </w:p>
        </w:tc>
        <w:tc>
          <w:tcPr>
            <w:tcW w:w="4675" w:type="dxa"/>
          </w:tcPr>
          <w:p w14:paraId="0226E8AB" w14:textId="77777777" w:rsidR="00533F55" w:rsidRPr="007C25F9" w:rsidRDefault="00533F55" w:rsidP="00765AEF">
            <w:r w:rsidRPr="00616C08">
              <w:rPr>
                <w:noProof/>
              </w:rPr>
              <w:t>https://www.academiaavance.org/</w:t>
            </w:r>
          </w:p>
        </w:tc>
      </w:tr>
      <w:tr w:rsidR="00533F55" w:rsidRPr="007C25F9" w14:paraId="090279B9" w14:textId="77777777" w:rsidTr="00C2622E">
        <w:tc>
          <w:tcPr>
            <w:tcW w:w="4675" w:type="dxa"/>
          </w:tcPr>
          <w:p w14:paraId="29899604" w14:textId="77777777" w:rsidR="00533F55" w:rsidRPr="007C25F9" w:rsidRDefault="00533F55" w:rsidP="00765AEF">
            <w:r w:rsidRPr="007C25F9">
              <w:t>County District School (CDS) Code</w:t>
            </w:r>
          </w:p>
        </w:tc>
        <w:tc>
          <w:tcPr>
            <w:tcW w:w="4675" w:type="dxa"/>
          </w:tcPr>
          <w:p w14:paraId="1E4CF291" w14:textId="77777777" w:rsidR="00533F55" w:rsidRPr="007C25F9" w:rsidRDefault="00533F55" w:rsidP="00765AEF">
            <w:r w:rsidRPr="00616C08">
              <w:rPr>
                <w:noProof/>
              </w:rPr>
              <w:t>19-76968-0109926</w:t>
            </w:r>
          </w:p>
        </w:tc>
      </w:tr>
      <w:tr w:rsidR="00533F55" w:rsidRPr="007C25F9" w14:paraId="19C8C734" w14:textId="77777777" w:rsidTr="00C2622E">
        <w:tc>
          <w:tcPr>
            <w:tcW w:w="4675" w:type="dxa"/>
          </w:tcPr>
          <w:p w14:paraId="3F0467E7" w14:textId="77777777" w:rsidR="00533F55" w:rsidRPr="007C25F9" w:rsidRDefault="00533F55" w:rsidP="00765AEF">
            <w:r w:rsidRPr="007C25F9">
              <w:t>Charter Number</w:t>
            </w:r>
          </w:p>
        </w:tc>
        <w:tc>
          <w:tcPr>
            <w:tcW w:w="4675" w:type="dxa"/>
          </w:tcPr>
          <w:p w14:paraId="2712DD84" w14:textId="77777777" w:rsidR="00533F55" w:rsidRPr="007C25F9" w:rsidRDefault="00533F55" w:rsidP="00765AEF">
            <w:r w:rsidRPr="00616C08">
              <w:rPr>
                <w:noProof/>
              </w:rPr>
              <w:t>0738</w:t>
            </w:r>
          </w:p>
        </w:tc>
      </w:tr>
      <w:tr w:rsidR="00533F55" w:rsidRPr="007C25F9" w14:paraId="39409940" w14:textId="77777777" w:rsidTr="00C2622E">
        <w:tc>
          <w:tcPr>
            <w:tcW w:w="4675" w:type="dxa"/>
          </w:tcPr>
          <w:p w14:paraId="468EDCD9" w14:textId="77777777" w:rsidR="00533F55" w:rsidRPr="007C25F9" w:rsidRDefault="00533F55" w:rsidP="00765AEF">
            <w:r w:rsidRPr="007C25F9">
              <w:t>Current Charter Term Start Date</w:t>
            </w:r>
          </w:p>
        </w:tc>
        <w:tc>
          <w:tcPr>
            <w:tcW w:w="4675" w:type="dxa"/>
          </w:tcPr>
          <w:p w14:paraId="71BB4B31" w14:textId="77777777" w:rsidR="00533F55" w:rsidRPr="007C25F9" w:rsidRDefault="00533F55" w:rsidP="00765AEF">
            <w:r w:rsidRPr="00616C08">
              <w:rPr>
                <w:noProof/>
              </w:rPr>
              <w:t>7/1/2020</w:t>
            </w:r>
          </w:p>
        </w:tc>
      </w:tr>
      <w:tr w:rsidR="00533F55" w:rsidRPr="007C25F9" w14:paraId="3D73C698" w14:textId="77777777" w:rsidTr="00C2622E">
        <w:tc>
          <w:tcPr>
            <w:tcW w:w="4675" w:type="dxa"/>
          </w:tcPr>
          <w:p w14:paraId="7E440F3A" w14:textId="77777777" w:rsidR="00533F55" w:rsidRPr="007C25F9" w:rsidRDefault="00533F55" w:rsidP="00765AEF">
            <w:r w:rsidRPr="007C25F9">
              <w:t>Current Charter Term End Date</w:t>
            </w:r>
          </w:p>
        </w:tc>
        <w:tc>
          <w:tcPr>
            <w:tcW w:w="4675" w:type="dxa"/>
          </w:tcPr>
          <w:p w14:paraId="14092241" w14:textId="77777777" w:rsidR="00533F55" w:rsidRPr="007C25F9" w:rsidRDefault="00533F55" w:rsidP="00765AEF">
            <w:r w:rsidRPr="00616C08">
              <w:rPr>
                <w:noProof/>
              </w:rPr>
              <w:t>6/30/2028</w:t>
            </w:r>
          </w:p>
        </w:tc>
      </w:tr>
      <w:tr w:rsidR="00533F55" w:rsidRPr="007C25F9" w14:paraId="322C5EE2" w14:textId="77777777" w:rsidTr="00C2622E">
        <w:tc>
          <w:tcPr>
            <w:tcW w:w="4675" w:type="dxa"/>
          </w:tcPr>
          <w:p w14:paraId="1D968ACA" w14:textId="77777777" w:rsidR="00533F55" w:rsidRPr="007C25F9" w:rsidRDefault="00533F55" w:rsidP="00765AEF">
            <w:r w:rsidRPr="007C25F9">
              <w:t>Grade Levels Served</w:t>
            </w:r>
          </w:p>
        </w:tc>
        <w:tc>
          <w:tcPr>
            <w:tcW w:w="4675" w:type="dxa"/>
          </w:tcPr>
          <w:p w14:paraId="33572B7E" w14:textId="77777777" w:rsidR="00533F55" w:rsidRPr="007C25F9" w:rsidRDefault="00533F55" w:rsidP="00765AEF">
            <w:r w:rsidRPr="00616C08">
              <w:rPr>
                <w:noProof/>
              </w:rPr>
              <w:t>6-12</w:t>
            </w:r>
          </w:p>
        </w:tc>
      </w:tr>
      <w:tr w:rsidR="00533F55" w:rsidRPr="007C25F9" w14:paraId="3F3A8460" w14:textId="77777777" w:rsidTr="00C2622E">
        <w:tc>
          <w:tcPr>
            <w:tcW w:w="4675" w:type="dxa"/>
          </w:tcPr>
          <w:p w14:paraId="6B40E355" w14:textId="77777777" w:rsidR="00533F55" w:rsidRPr="007C25F9" w:rsidRDefault="00533F55" w:rsidP="00765AEF">
            <w:r w:rsidRPr="007C25F9">
              <w:t>2023–24 Enrollment</w:t>
            </w:r>
          </w:p>
        </w:tc>
        <w:tc>
          <w:tcPr>
            <w:tcW w:w="4675" w:type="dxa"/>
          </w:tcPr>
          <w:p w14:paraId="335E2EEA" w14:textId="77777777" w:rsidR="00533F55" w:rsidRPr="007C25F9" w:rsidRDefault="00533F55" w:rsidP="00765AEF">
            <w:r w:rsidRPr="00616C08">
              <w:rPr>
                <w:noProof/>
              </w:rPr>
              <w:t>241</w:t>
            </w:r>
          </w:p>
        </w:tc>
      </w:tr>
      <w:tr w:rsidR="00533F55" w:rsidRPr="007C25F9" w14:paraId="398FDACA" w14:textId="77777777" w:rsidTr="00C2622E">
        <w:tc>
          <w:tcPr>
            <w:tcW w:w="4675" w:type="dxa"/>
          </w:tcPr>
          <w:p w14:paraId="42F527A6" w14:textId="77777777" w:rsidR="00533F55" w:rsidRPr="007C25F9" w:rsidRDefault="00533F55" w:rsidP="00765AEF">
            <w:r w:rsidRPr="007C25F9">
              <w:t>Instruction Type</w:t>
            </w:r>
          </w:p>
        </w:tc>
        <w:tc>
          <w:tcPr>
            <w:tcW w:w="4675" w:type="dxa"/>
          </w:tcPr>
          <w:p w14:paraId="51FEDDCD" w14:textId="77777777" w:rsidR="00533F55" w:rsidRPr="007C25F9" w:rsidRDefault="00533F55" w:rsidP="00765AEF">
            <w:r w:rsidRPr="00616C08">
              <w:rPr>
                <w:noProof/>
              </w:rPr>
              <w:t>Classroom-based</w:t>
            </w:r>
          </w:p>
        </w:tc>
      </w:tr>
    </w:tbl>
    <w:p w14:paraId="5EC93EA3" w14:textId="77777777" w:rsidR="00533F55" w:rsidRPr="007C25F9" w:rsidRDefault="00533F55" w:rsidP="00765AEF">
      <w:pPr>
        <w:rPr>
          <w:b/>
          <w:bCs/>
        </w:rPr>
      </w:pPr>
      <w:r w:rsidRPr="007C25F9">
        <w:rPr>
          <w:b/>
          <w:bCs/>
        </w:rPr>
        <w:t>School Description:</w:t>
      </w:r>
    </w:p>
    <w:p w14:paraId="6974E973" w14:textId="77777777" w:rsidR="00533F55" w:rsidRPr="007C25F9" w:rsidRDefault="00533F55" w:rsidP="00C2622E">
      <w:pPr>
        <w:rPr>
          <w:bCs/>
        </w:rPr>
      </w:pPr>
      <w:r w:rsidRPr="00616C08">
        <w:rPr>
          <w:bCs/>
          <w:noProof/>
        </w:rPr>
        <w:t xml:space="preserve">Academia Avance (Avance) is an independent public charter school located in the Northeast Los Angeles community of Highland Park. The school has been in existence since August 2005.  The school was created to provide an opportunity for students and parents seeking a college preparatory middle and high school.  Avance’s vision is to </w:t>
      </w:r>
      <w:r w:rsidRPr="00616C08">
        <w:rPr>
          <w:bCs/>
          <w:noProof/>
        </w:rPr>
        <w:lastRenderedPageBreak/>
        <w:t>annually successfully graduate a class prepared to succeed in college and beyond. The strong college and career readiness outcomes of the classes we have graduated are proof positive that the Avance academic and personal development programs do work.  Historically, a high percentage of all Avance graduates receive acceptance letters to at least one four-year institution. Furthermore. The second component of Avance’s mission is to prepare our students for professional careers after college via the Avance Life Prep Workplace Education Experience (WEE) Program.  This is an internship completed in the Senior year of over 80 hours in professional setting aligned with the career interest of the student.  Through the WEE internship program, Avance has developed a network of professional mentor partnerships with over three dozen private and public agencies in the medical, education, legal, architecture and arts fields, among others. These include partnership with the Huntington Hospital, White Memorial, Miriam's Design, Audubon Center at Debs Park, Chinatown Service Center, Union Station Homeless Service, South Pasadena Unified School District Art Program, Homeboy Industries, Mi Dentista, to name a few.</w:t>
      </w:r>
    </w:p>
    <w:p w14:paraId="452CD2BE" w14:textId="77777777" w:rsidR="00533F55" w:rsidRPr="007C25F9" w:rsidRDefault="00533F55" w:rsidP="00A42D0A">
      <w:pPr>
        <w:pStyle w:val="Heading5"/>
      </w:pPr>
      <w:r w:rsidRPr="007C25F9">
        <w:t>Demographic Information</w:t>
      </w:r>
    </w:p>
    <w:p w14:paraId="639DA76D" w14:textId="77777777" w:rsidR="00533F55" w:rsidRPr="007C25F9" w:rsidRDefault="00533F55" w:rsidP="00CE1DD0">
      <w:r w:rsidRPr="007C25F9">
        <w:t>Provide the following information as a percentage of the charter school's total student population. Provide the information as it is reported on the 2024 California School Dashboard.</w:t>
      </w:r>
    </w:p>
    <w:p w14:paraId="322CE9B9" w14:textId="77777777" w:rsidR="00533F55" w:rsidRPr="007C25F9" w:rsidRDefault="00533F55"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533F55" w:rsidRPr="007C25F9" w14:paraId="46D4E927" w14:textId="77777777" w:rsidTr="007929F6">
        <w:trPr>
          <w:cantSplit/>
          <w:tblHeader/>
        </w:trPr>
        <w:tc>
          <w:tcPr>
            <w:tcW w:w="4675" w:type="dxa"/>
            <w:shd w:val="clear" w:color="auto" w:fill="D9D9D9" w:themeFill="background1" w:themeFillShade="D9"/>
          </w:tcPr>
          <w:p w14:paraId="000F31FB" w14:textId="77777777" w:rsidR="00533F55" w:rsidRPr="007C25F9" w:rsidRDefault="00533F55" w:rsidP="00D41927">
            <w:pPr>
              <w:rPr>
                <w:b/>
                <w:bCs/>
              </w:rPr>
            </w:pPr>
            <w:r w:rsidRPr="007C25F9">
              <w:rPr>
                <w:b/>
                <w:bCs/>
              </w:rPr>
              <w:t>Prompt</w:t>
            </w:r>
          </w:p>
        </w:tc>
        <w:tc>
          <w:tcPr>
            <w:tcW w:w="4675" w:type="dxa"/>
            <w:shd w:val="clear" w:color="auto" w:fill="D9D9D9" w:themeFill="background1" w:themeFillShade="D9"/>
          </w:tcPr>
          <w:p w14:paraId="61FD2081" w14:textId="77777777" w:rsidR="00533F55" w:rsidRPr="007C25F9" w:rsidRDefault="00533F55" w:rsidP="00D41927">
            <w:pPr>
              <w:rPr>
                <w:b/>
                <w:bCs/>
              </w:rPr>
            </w:pPr>
            <w:r w:rsidRPr="007C25F9">
              <w:rPr>
                <w:b/>
                <w:bCs/>
              </w:rPr>
              <w:t>Percentage</w:t>
            </w:r>
          </w:p>
        </w:tc>
      </w:tr>
      <w:tr w:rsidR="00533F55" w:rsidRPr="007C25F9" w14:paraId="3A77C4CB" w14:textId="77777777" w:rsidTr="007929F6">
        <w:trPr>
          <w:cantSplit/>
          <w:tblHeader/>
        </w:trPr>
        <w:tc>
          <w:tcPr>
            <w:tcW w:w="4675" w:type="dxa"/>
          </w:tcPr>
          <w:p w14:paraId="7101610B" w14:textId="77777777" w:rsidR="00533F55" w:rsidRPr="007C25F9" w:rsidRDefault="00533F55" w:rsidP="00D41927">
            <w:r w:rsidRPr="007C25F9">
              <w:t>English Learners</w:t>
            </w:r>
          </w:p>
        </w:tc>
        <w:tc>
          <w:tcPr>
            <w:tcW w:w="4675" w:type="dxa"/>
          </w:tcPr>
          <w:p w14:paraId="5CF4E811" w14:textId="77777777" w:rsidR="00533F55" w:rsidRPr="007C25F9" w:rsidRDefault="00533F55" w:rsidP="00D41927">
            <w:r w:rsidRPr="00616C08">
              <w:rPr>
                <w:noProof/>
              </w:rPr>
              <w:t>19.9</w:t>
            </w:r>
          </w:p>
        </w:tc>
      </w:tr>
      <w:tr w:rsidR="00533F55" w:rsidRPr="007C25F9" w14:paraId="0261FF53" w14:textId="77777777" w:rsidTr="007929F6">
        <w:trPr>
          <w:cantSplit/>
          <w:tblHeader/>
        </w:trPr>
        <w:tc>
          <w:tcPr>
            <w:tcW w:w="4675" w:type="dxa"/>
          </w:tcPr>
          <w:p w14:paraId="1FC579D0" w14:textId="77777777" w:rsidR="00533F55" w:rsidRPr="007C25F9" w:rsidRDefault="00533F55" w:rsidP="00D41927">
            <w:r w:rsidRPr="007C25F9">
              <w:t>Foster Youth</w:t>
            </w:r>
          </w:p>
        </w:tc>
        <w:tc>
          <w:tcPr>
            <w:tcW w:w="4675" w:type="dxa"/>
          </w:tcPr>
          <w:p w14:paraId="75DEE0C6" w14:textId="77777777" w:rsidR="00533F55" w:rsidRPr="007C25F9" w:rsidRDefault="00533F55" w:rsidP="00D41927">
            <w:r w:rsidRPr="00616C08">
              <w:rPr>
                <w:noProof/>
              </w:rPr>
              <w:t>1.7</w:t>
            </w:r>
          </w:p>
        </w:tc>
      </w:tr>
      <w:tr w:rsidR="00533F55" w:rsidRPr="007C25F9" w14:paraId="5F9E8C95" w14:textId="77777777" w:rsidTr="007929F6">
        <w:trPr>
          <w:cantSplit/>
          <w:tblHeader/>
        </w:trPr>
        <w:tc>
          <w:tcPr>
            <w:tcW w:w="4675" w:type="dxa"/>
          </w:tcPr>
          <w:p w14:paraId="048CBC24" w14:textId="77777777" w:rsidR="00533F55" w:rsidRPr="007C25F9" w:rsidRDefault="00533F55" w:rsidP="00D41927">
            <w:r w:rsidRPr="007C25F9">
              <w:t>Homeless</w:t>
            </w:r>
          </w:p>
        </w:tc>
        <w:tc>
          <w:tcPr>
            <w:tcW w:w="4675" w:type="dxa"/>
          </w:tcPr>
          <w:p w14:paraId="261A7245" w14:textId="77777777" w:rsidR="00533F55" w:rsidRPr="007C25F9" w:rsidRDefault="00533F55" w:rsidP="00D41927">
            <w:r w:rsidRPr="00616C08">
              <w:rPr>
                <w:noProof/>
              </w:rPr>
              <w:t>5.8</w:t>
            </w:r>
          </w:p>
        </w:tc>
      </w:tr>
      <w:tr w:rsidR="00533F55" w:rsidRPr="007C25F9" w14:paraId="71F17EAD" w14:textId="77777777" w:rsidTr="007929F6">
        <w:trPr>
          <w:cantSplit/>
          <w:tblHeader/>
        </w:trPr>
        <w:tc>
          <w:tcPr>
            <w:tcW w:w="4675" w:type="dxa"/>
          </w:tcPr>
          <w:p w14:paraId="608424AE" w14:textId="77777777" w:rsidR="00533F55" w:rsidRPr="007C25F9" w:rsidRDefault="00533F55" w:rsidP="00D41927">
            <w:r w:rsidRPr="007C25F9">
              <w:t>Socioeconomically Disadvantaged</w:t>
            </w:r>
          </w:p>
        </w:tc>
        <w:tc>
          <w:tcPr>
            <w:tcW w:w="4675" w:type="dxa"/>
          </w:tcPr>
          <w:p w14:paraId="488002A0" w14:textId="77777777" w:rsidR="00533F55" w:rsidRPr="007C25F9" w:rsidRDefault="00533F55" w:rsidP="00D41927">
            <w:r w:rsidRPr="00616C08">
              <w:rPr>
                <w:noProof/>
              </w:rPr>
              <w:t>73.9</w:t>
            </w:r>
          </w:p>
        </w:tc>
      </w:tr>
      <w:tr w:rsidR="00533F55" w:rsidRPr="007C25F9" w14:paraId="3C98CFCD" w14:textId="77777777" w:rsidTr="007929F6">
        <w:trPr>
          <w:cantSplit/>
          <w:tblHeader/>
        </w:trPr>
        <w:tc>
          <w:tcPr>
            <w:tcW w:w="4675" w:type="dxa"/>
          </w:tcPr>
          <w:p w14:paraId="5895A8C9" w14:textId="77777777" w:rsidR="00533F55" w:rsidRPr="007C25F9" w:rsidRDefault="00533F55" w:rsidP="00D41927">
            <w:r w:rsidRPr="007C25F9">
              <w:t>Students with Disabilities</w:t>
            </w:r>
          </w:p>
        </w:tc>
        <w:tc>
          <w:tcPr>
            <w:tcW w:w="4675" w:type="dxa"/>
          </w:tcPr>
          <w:p w14:paraId="0078FD44" w14:textId="77777777" w:rsidR="00533F55" w:rsidRPr="007C25F9" w:rsidRDefault="00533F55" w:rsidP="00D41927">
            <w:r w:rsidRPr="00616C08">
              <w:rPr>
                <w:noProof/>
              </w:rPr>
              <w:t>15.4</w:t>
            </w:r>
          </w:p>
        </w:tc>
      </w:tr>
    </w:tbl>
    <w:p w14:paraId="4D68CADB" w14:textId="77777777" w:rsidR="00533F55" w:rsidRPr="007C25F9" w:rsidRDefault="00533F55" w:rsidP="00A42D0A">
      <w:pPr>
        <w:pStyle w:val="Heading6"/>
      </w:pPr>
      <w:r w:rsidRPr="007C25F9">
        <w:lastRenderedPageBreak/>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533F55" w:rsidRPr="007C25F9" w14:paraId="70740E70" w14:textId="77777777" w:rsidTr="007929F6">
        <w:trPr>
          <w:cantSplit/>
          <w:tblHeader/>
        </w:trPr>
        <w:tc>
          <w:tcPr>
            <w:tcW w:w="4675" w:type="dxa"/>
            <w:shd w:val="clear" w:color="auto" w:fill="D9D9D9" w:themeFill="background1" w:themeFillShade="D9"/>
          </w:tcPr>
          <w:p w14:paraId="483B21A1" w14:textId="77777777" w:rsidR="00533F55" w:rsidRPr="007C25F9" w:rsidRDefault="00533F55" w:rsidP="00D41927">
            <w:pPr>
              <w:rPr>
                <w:b/>
                <w:bCs/>
              </w:rPr>
            </w:pPr>
            <w:r w:rsidRPr="007C25F9">
              <w:rPr>
                <w:b/>
                <w:bCs/>
              </w:rPr>
              <w:t>Prompt</w:t>
            </w:r>
          </w:p>
        </w:tc>
        <w:tc>
          <w:tcPr>
            <w:tcW w:w="4675" w:type="dxa"/>
            <w:shd w:val="clear" w:color="auto" w:fill="D9D9D9" w:themeFill="background1" w:themeFillShade="D9"/>
          </w:tcPr>
          <w:p w14:paraId="1F85F0D0" w14:textId="77777777" w:rsidR="00533F55" w:rsidRPr="007C25F9" w:rsidRDefault="00533F55" w:rsidP="00D41927">
            <w:pPr>
              <w:rPr>
                <w:b/>
                <w:bCs/>
              </w:rPr>
            </w:pPr>
            <w:r w:rsidRPr="007C25F9">
              <w:rPr>
                <w:b/>
                <w:bCs/>
              </w:rPr>
              <w:t>Percentage</w:t>
            </w:r>
          </w:p>
        </w:tc>
      </w:tr>
      <w:tr w:rsidR="00533F55" w:rsidRPr="007C25F9" w14:paraId="771294E9" w14:textId="77777777" w:rsidTr="007929F6">
        <w:trPr>
          <w:cantSplit/>
          <w:tblHeader/>
        </w:trPr>
        <w:tc>
          <w:tcPr>
            <w:tcW w:w="4675" w:type="dxa"/>
          </w:tcPr>
          <w:p w14:paraId="2F5AC557" w14:textId="77777777" w:rsidR="00533F55" w:rsidRPr="007C25F9" w:rsidRDefault="00533F55" w:rsidP="00D41927">
            <w:r w:rsidRPr="007C25F9">
              <w:t>African American</w:t>
            </w:r>
          </w:p>
        </w:tc>
        <w:tc>
          <w:tcPr>
            <w:tcW w:w="4675" w:type="dxa"/>
          </w:tcPr>
          <w:p w14:paraId="48516EC0" w14:textId="77777777" w:rsidR="00533F55" w:rsidRPr="007C25F9" w:rsidRDefault="00533F55" w:rsidP="00D41927">
            <w:r w:rsidRPr="00616C08">
              <w:rPr>
                <w:noProof/>
              </w:rPr>
              <w:t>0.8</w:t>
            </w:r>
          </w:p>
        </w:tc>
      </w:tr>
      <w:tr w:rsidR="00533F55" w:rsidRPr="007C25F9" w14:paraId="70312D98" w14:textId="77777777" w:rsidTr="007929F6">
        <w:trPr>
          <w:cantSplit/>
          <w:tblHeader/>
        </w:trPr>
        <w:tc>
          <w:tcPr>
            <w:tcW w:w="4675" w:type="dxa"/>
          </w:tcPr>
          <w:p w14:paraId="1EE7B4B2" w14:textId="77777777" w:rsidR="00533F55" w:rsidRPr="007C25F9" w:rsidRDefault="00533F55" w:rsidP="00D41927">
            <w:r w:rsidRPr="007C25F9">
              <w:t>American Indian</w:t>
            </w:r>
          </w:p>
        </w:tc>
        <w:tc>
          <w:tcPr>
            <w:tcW w:w="4675" w:type="dxa"/>
          </w:tcPr>
          <w:p w14:paraId="3A0BC27E" w14:textId="77777777" w:rsidR="00533F55" w:rsidRPr="007C25F9" w:rsidRDefault="00533F55" w:rsidP="00D41927">
            <w:r w:rsidRPr="00616C08">
              <w:rPr>
                <w:noProof/>
              </w:rPr>
              <w:t>1.2</w:t>
            </w:r>
          </w:p>
        </w:tc>
      </w:tr>
      <w:tr w:rsidR="00533F55" w:rsidRPr="007C25F9" w14:paraId="248A49D8" w14:textId="77777777" w:rsidTr="007929F6">
        <w:trPr>
          <w:cantSplit/>
          <w:tblHeader/>
        </w:trPr>
        <w:tc>
          <w:tcPr>
            <w:tcW w:w="4675" w:type="dxa"/>
          </w:tcPr>
          <w:p w14:paraId="29AF078C" w14:textId="77777777" w:rsidR="00533F55" w:rsidRPr="007C25F9" w:rsidRDefault="00533F55" w:rsidP="00D41927">
            <w:r w:rsidRPr="007C25F9">
              <w:t>Asian</w:t>
            </w:r>
          </w:p>
        </w:tc>
        <w:tc>
          <w:tcPr>
            <w:tcW w:w="4675" w:type="dxa"/>
          </w:tcPr>
          <w:p w14:paraId="3AC14BEB" w14:textId="77777777" w:rsidR="00533F55" w:rsidRPr="007C25F9" w:rsidRDefault="00533F55" w:rsidP="00D41927">
            <w:r w:rsidRPr="00616C08">
              <w:rPr>
                <w:noProof/>
              </w:rPr>
              <w:t>0.8</w:t>
            </w:r>
          </w:p>
        </w:tc>
      </w:tr>
      <w:tr w:rsidR="00533F55" w:rsidRPr="007C25F9" w14:paraId="27B65B6C" w14:textId="77777777" w:rsidTr="007929F6">
        <w:trPr>
          <w:cantSplit/>
          <w:tblHeader/>
        </w:trPr>
        <w:tc>
          <w:tcPr>
            <w:tcW w:w="4675" w:type="dxa"/>
          </w:tcPr>
          <w:p w14:paraId="683FA448" w14:textId="77777777" w:rsidR="00533F55" w:rsidRPr="007C25F9" w:rsidRDefault="00533F55" w:rsidP="00D41927">
            <w:r w:rsidRPr="007C25F9">
              <w:t>Filipino</w:t>
            </w:r>
          </w:p>
        </w:tc>
        <w:tc>
          <w:tcPr>
            <w:tcW w:w="4675" w:type="dxa"/>
          </w:tcPr>
          <w:p w14:paraId="6C8E3C90" w14:textId="77777777" w:rsidR="00533F55" w:rsidRPr="007C25F9" w:rsidRDefault="00533F55" w:rsidP="00D41927">
            <w:r w:rsidRPr="00616C08">
              <w:rPr>
                <w:noProof/>
              </w:rPr>
              <w:t>0.8</w:t>
            </w:r>
          </w:p>
        </w:tc>
      </w:tr>
      <w:tr w:rsidR="00533F55" w:rsidRPr="007C25F9" w14:paraId="62F15A47" w14:textId="77777777" w:rsidTr="007929F6">
        <w:trPr>
          <w:cantSplit/>
          <w:tblHeader/>
        </w:trPr>
        <w:tc>
          <w:tcPr>
            <w:tcW w:w="4675" w:type="dxa"/>
          </w:tcPr>
          <w:p w14:paraId="19DE027F" w14:textId="77777777" w:rsidR="00533F55" w:rsidRPr="007C25F9" w:rsidRDefault="00533F55" w:rsidP="00D41927">
            <w:r w:rsidRPr="007C25F9">
              <w:t>Hispanic</w:t>
            </w:r>
          </w:p>
        </w:tc>
        <w:tc>
          <w:tcPr>
            <w:tcW w:w="4675" w:type="dxa"/>
          </w:tcPr>
          <w:p w14:paraId="751287D1" w14:textId="77777777" w:rsidR="00533F55" w:rsidRPr="007C25F9" w:rsidRDefault="00533F55" w:rsidP="00D41927">
            <w:r w:rsidRPr="00616C08">
              <w:rPr>
                <w:noProof/>
              </w:rPr>
              <w:t>93.8</w:t>
            </w:r>
          </w:p>
        </w:tc>
      </w:tr>
      <w:tr w:rsidR="00533F55" w:rsidRPr="007C25F9" w14:paraId="14CB576F" w14:textId="77777777" w:rsidTr="007929F6">
        <w:trPr>
          <w:cantSplit/>
          <w:tblHeader/>
        </w:trPr>
        <w:tc>
          <w:tcPr>
            <w:tcW w:w="4675" w:type="dxa"/>
          </w:tcPr>
          <w:p w14:paraId="602151A6" w14:textId="77777777" w:rsidR="00533F55" w:rsidRPr="007C25F9" w:rsidRDefault="00533F55" w:rsidP="00D41927">
            <w:r w:rsidRPr="007C25F9">
              <w:t>Pacific Islander</w:t>
            </w:r>
          </w:p>
        </w:tc>
        <w:tc>
          <w:tcPr>
            <w:tcW w:w="4675" w:type="dxa"/>
          </w:tcPr>
          <w:p w14:paraId="794630CE" w14:textId="77777777" w:rsidR="00533F55" w:rsidRPr="007C25F9" w:rsidRDefault="00533F55" w:rsidP="00D41927">
            <w:r w:rsidRPr="00616C08">
              <w:rPr>
                <w:noProof/>
              </w:rPr>
              <w:t>0</w:t>
            </w:r>
          </w:p>
        </w:tc>
      </w:tr>
      <w:tr w:rsidR="00533F55" w:rsidRPr="007C25F9" w14:paraId="10CD1766" w14:textId="77777777" w:rsidTr="007929F6">
        <w:trPr>
          <w:cantSplit/>
          <w:tblHeader/>
        </w:trPr>
        <w:tc>
          <w:tcPr>
            <w:tcW w:w="4675" w:type="dxa"/>
          </w:tcPr>
          <w:p w14:paraId="57E5F5E5" w14:textId="77777777" w:rsidR="00533F55" w:rsidRPr="007C25F9" w:rsidRDefault="00533F55" w:rsidP="00D41927">
            <w:r w:rsidRPr="007C25F9">
              <w:t>Two or More Races</w:t>
            </w:r>
          </w:p>
        </w:tc>
        <w:tc>
          <w:tcPr>
            <w:tcW w:w="4675" w:type="dxa"/>
          </w:tcPr>
          <w:p w14:paraId="2C17315A" w14:textId="77777777" w:rsidR="00533F55" w:rsidRPr="007C25F9" w:rsidRDefault="00533F55" w:rsidP="00D41927">
            <w:r w:rsidRPr="00616C08">
              <w:rPr>
                <w:noProof/>
              </w:rPr>
              <w:t>0</w:t>
            </w:r>
          </w:p>
        </w:tc>
      </w:tr>
      <w:tr w:rsidR="00533F55" w:rsidRPr="007C25F9" w14:paraId="0D92346E" w14:textId="77777777" w:rsidTr="007929F6">
        <w:trPr>
          <w:cantSplit/>
          <w:tblHeader/>
        </w:trPr>
        <w:tc>
          <w:tcPr>
            <w:tcW w:w="4675" w:type="dxa"/>
          </w:tcPr>
          <w:p w14:paraId="27076565" w14:textId="77777777" w:rsidR="00533F55" w:rsidRPr="007C25F9" w:rsidRDefault="00533F55" w:rsidP="00D41927">
            <w:r w:rsidRPr="007C25F9">
              <w:t>White</w:t>
            </w:r>
          </w:p>
        </w:tc>
        <w:tc>
          <w:tcPr>
            <w:tcW w:w="4675" w:type="dxa"/>
          </w:tcPr>
          <w:p w14:paraId="61C99627" w14:textId="77777777" w:rsidR="00533F55" w:rsidRPr="007C25F9" w:rsidRDefault="00533F55" w:rsidP="00D41927">
            <w:r w:rsidRPr="00616C08">
              <w:rPr>
                <w:noProof/>
              </w:rPr>
              <w:t>0.4</w:t>
            </w:r>
          </w:p>
        </w:tc>
      </w:tr>
    </w:tbl>
    <w:p w14:paraId="3CF226C5" w14:textId="77777777" w:rsidR="00533F55" w:rsidRPr="007C25F9" w:rsidRDefault="00533F55">
      <w:pPr>
        <w:spacing w:before="0"/>
        <w:rPr>
          <w:rFonts w:eastAsiaTheme="majorEastAsia"/>
          <w:b/>
          <w:bCs/>
          <w:sz w:val="32"/>
          <w:szCs w:val="32"/>
        </w:rPr>
      </w:pPr>
      <w:r w:rsidRPr="007C25F9">
        <w:br w:type="page"/>
      </w:r>
    </w:p>
    <w:p w14:paraId="30C61FFF" w14:textId="77777777" w:rsidR="00533F55" w:rsidRPr="007C25F9" w:rsidRDefault="00533F55" w:rsidP="00A42D0A">
      <w:pPr>
        <w:pStyle w:val="Heading3"/>
      </w:pPr>
      <w:r w:rsidRPr="007C25F9">
        <w:lastRenderedPageBreak/>
        <w:t>Section 2. California School Dashboard Data Overview</w:t>
      </w:r>
    </w:p>
    <w:p w14:paraId="3BC6379A" w14:textId="77777777" w:rsidR="00533F55" w:rsidRPr="007C25F9" w:rsidRDefault="00533F55" w:rsidP="00A42D0A">
      <w:pPr>
        <w:pStyle w:val="Heading4"/>
      </w:pPr>
      <w:r w:rsidRPr="007C25F9">
        <w:t>California School Dashboard</w:t>
      </w:r>
    </w:p>
    <w:p w14:paraId="3E4FF11A" w14:textId="77777777" w:rsidR="00533F55" w:rsidRPr="007C25F9" w:rsidRDefault="00533F55"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1BE14A57" w14:textId="77777777" w:rsidR="00533F55" w:rsidRPr="007C25F9" w:rsidRDefault="00533F55"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533F55" w:rsidRPr="007C25F9" w14:paraId="623F15B3" w14:textId="77777777" w:rsidTr="007929F6">
        <w:trPr>
          <w:cantSplit/>
          <w:tblHeader/>
        </w:trPr>
        <w:tc>
          <w:tcPr>
            <w:tcW w:w="3350" w:type="dxa"/>
            <w:shd w:val="clear" w:color="auto" w:fill="D9D9D9" w:themeFill="background1" w:themeFillShade="D9"/>
          </w:tcPr>
          <w:p w14:paraId="2CEDA18E" w14:textId="77777777" w:rsidR="00533F55" w:rsidRPr="007C25F9" w:rsidRDefault="00533F55" w:rsidP="00D41927">
            <w:pPr>
              <w:rPr>
                <w:b/>
                <w:bCs/>
              </w:rPr>
            </w:pPr>
            <w:r w:rsidRPr="007C25F9">
              <w:rPr>
                <w:b/>
                <w:bCs/>
              </w:rPr>
              <w:t>Prompt</w:t>
            </w:r>
          </w:p>
        </w:tc>
        <w:tc>
          <w:tcPr>
            <w:tcW w:w="3246" w:type="dxa"/>
            <w:shd w:val="clear" w:color="auto" w:fill="D9D9D9" w:themeFill="background1" w:themeFillShade="D9"/>
          </w:tcPr>
          <w:p w14:paraId="335B9609" w14:textId="77777777" w:rsidR="00533F55" w:rsidRPr="007C25F9" w:rsidRDefault="00533F55" w:rsidP="00D41927">
            <w:pPr>
              <w:rPr>
                <w:b/>
                <w:bCs/>
              </w:rPr>
            </w:pPr>
            <w:r w:rsidRPr="007C25F9">
              <w:rPr>
                <w:b/>
                <w:bCs/>
              </w:rPr>
              <w:t>Percentage</w:t>
            </w:r>
          </w:p>
        </w:tc>
        <w:tc>
          <w:tcPr>
            <w:tcW w:w="2754" w:type="dxa"/>
            <w:shd w:val="clear" w:color="auto" w:fill="D9D9D9" w:themeFill="background1" w:themeFillShade="D9"/>
          </w:tcPr>
          <w:p w14:paraId="5B979BC1" w14:textId="77777777" w:rsidR="00533F55" w:rsidRPr="007C25F9" w:rsidRDefault="00533F55" w:rsidP="00D41927">
            <w:pPr>
              <w:rPr>
                <w:b/>
                <w:bCs/>
              </w:rPr>
            </w:pPr>
            <w:r w:rsidRPr="007C25F9">
              <w:rPr>
                <w:b/>
                <w:bCs/>
              </w:rPr>
              <w:t>Color</w:t>
            </w:r>
          </w:p>
        </w:tc>
      </w:tr>
      <w:tr w:rsidR="00533F55" w:rsidRPr="007C25F9" w14:paraId="720AFF97" w14:textId="77777777" w:rsidTr="007929F6">
        <w:trPr>
          <w:cantSplit/>
          <w:tblHeader/>
        </w:trPr>
        <w:tc>
          <w:tcPr>
            <w:tcW w:w="3350" w:type="dxa"/>
          </w:tcPr>
          <w:p w14:paraId="29306505" w14:textId="77777777" w:rsidR="00533F55" w:rsidRPr="007C25F9" w:rsidRDefault="00533F55" w:rsidP="00D41927">
            <w:r w:rsidRPr="007C25F9">
              <w:t>Chronic Absenteeism</w:t>
            </w:r>
          </w:p>
        </w:tc>
        <w:tc>
          <w:tcPr>
            <w:tcW w:w="3246" w:type="dxa"/>
          </w:tcPr>
          <w:p w14:paraId="40A0475C" w14:textId="77777777" w:rsidR="00533F55" w:rsidRPr="007C25F9" w:rsidRDefault="00533F55" w:rsidP="00D41927">
            <w:r w:rsidRPr="00616C08">
              <w:rPr>
                <w:noProof/>
              </w:rPr>
              <w:t>50</w:t>
            </w:r>
          </w:p>
        </w:tc>
        <w:tc>
          <w:tcPr>
            <w:tcW w:w="2754" w:type="dxa"/>
          </w:tcPr>
          <w:p w14:paraId="5FDE6664" w14:textId="77777777" w:rsidR="00533F55" w:rsidRPr="007C25F9" w:rsidRDefault="00533F55" w:rsidP="00D41927">
            <w:r w:rsidRPr="00616C08">
              <w:rPr>
                <w:noProof/>
              </w:rPr>
              <w:t>Red</w:t>
            </w:r>
          </w:p>
        </w:tc>
      </w:tr>
      <w:tr w:rsidR="00533F55" w:rsidRPr="007C25F9" w14:paraId="39D9CBDB" w14:textId="77777777" w:rsidTr="007929F6">
        <w:trPr>
          <w:cantSplit/>
          <w:tblHeader/>
        </w:trPr>
        <w:tc>
          <w:tcPr>
            <w:tcW w:w="3350" w:type="dxa"/>
          </w:tcPr>
          <w:p w14:paraId="2AFC27F6" w14:textId="77777777" w:rsidR="00533F55" w:rsidRPr="007C25F9" w:rsidRDefault="00533F55" w:rsidP="00D41927">
            <w:r w:rsidRPr="007C25F9">
              <w:t>Suspension Rate</w:t>
            </w:r>
          </w:p>
        </w:tc>
        <w:tc>
          <w:tcPr>
            <w:tcW w:w="3246" w:type="dxa"/>
          </w:tcPr>
          <w:p w14:paraId="2695D59F" w14:textId="77777777" w:rsidR="00533F55" w:rsidRPr="007C25F9" w:rsidRDefault="00533F55" w:rsidP="00D41927">
            <w:r w:rsidRPr="00616C08">
              <w:rPr>
                <w:noProof/>
              </w:rPr>
              <w:t>2.7</w:t>
            </w:r>
          </w:p>
        </w:tc>
        <w:tc>
          <w:tcPr>
            <w:tcW w:w="2754" w:type="dxa"/>
          </w:tcPr>
          <w:p w14:paraId="5D30F2A7" w14:textId="77777777" w:rsidR="00533F55" w:rsidRPr="007C25F9" w:rsidRDefault="00533F55" w:rsidP="00D41927">
            <w:r w:rsidRPr="00616C08">
              <w:rPr>
                <w:noProof/>
              </w:rPr>
              <w:t>Orange</w:t>
            </w:r>
          </w:p>
        </w:tc>
      </w:tr>
      <w:tr w:rsidR="00533F55" w:rsidRPr="007C25F9" w14:paraId="342EF56B" w14:textId="77777777" w:rsidTr="007929F6">
        <w:trPr>
          <w:cantSplit/>
          <w:tblHeader/>
        </w:trPr>
        <w:tc>
          <w:tcPr>
            <w:tcW w:w="3350" w:type="dxa"/>
          </w:tcPr>
          <w:p w14:paraId="736E6C91" w14:textId="77777777" w:rsidR="00533F55" w:rsidRPr="007C25F9" w:rsidRDefault="00533F55" w:rsidP="00D41927">
            <w:r w:rsidRPr="007C25F9">
              <w:t>English Learner Progress</w:t>
            </w:r>
          </w:p>
        </w:tc>
        <w:tc>
          <w:tcPr>
            <w:tcW w:w="3246" w:type="dxa"/>
          </w:tcPr>
          <w:p w14:paraId="6E47F8F9" w14:textId="77777777" w:rsidR="00533F55" w:rsidRPr="007C25F9" w:rsidRDefault="00533F55" w:rsidP="00D41927">
            <w:r w:rsidRPr="00616C08">
              <w:rPr>
                <w:noProof/>
              </w:rPr>
              <w:t>67.5</w:t>
            </w:r>
          </w:p>
        </w:tc>
        <w:tc>
          <w:tcPr>
            <w:tcW w:w="2754" w:type="dxa"/>
          </w:tcPr>
          <w:p w14:paraId="5A2763DD" w14:textId="77777777" w:rsidR="00533F55" w:rsidRPr="007C25F9" w:rsidRDefault="00533F55" w:rsidP="00D41927">
            <w:r w:rsidRPr="00616C08">
              <w:rPr>
                <w:noProof/>
              </w:rPr>
              <w:t>Blue</w:t>
            </w:r>
          </w:p>
        </w:tc>
      </w:tr>
      <w:tr w:rsidR="00533F55" w:rsidRPr="007C25F9" w14:paraId="3DA212D2" w14:textId="77777777" w:rsidTr="007929F6">
        <w:trPr>
          <w:cantSplit/>
          <w:tblHeader/>
        </w:trPr>
        <w:tc>
          <w:tcPr>
            <w:tcW w:w="3350" w:type="dxa"/>
          </w:tcPr>
          <w:p w14:paraId="0889E570" w14:textId="77777777" w:rsidR="00533F55" w:rsidRPr="007C25F9" w:rsidRDefault="00533F55" w:rsidP="00D41927">
            <w:r w:rsidRPr="007C25F9">
              <w:t>Graduation Rate</w:t>
            </w:r>
          </w:p>
        </w:tc>
        <w:tc>
          <w:tcPr>
            <w:tcW w:w="3246" w:type="dxa"/>
          </w:tcPr>
          <w:p w14:paraId="2D33ABD1" w14:textId="77777777" w:rsidR="00533F55" w:rsidRPr="007C25F9" w:rsidRDefault="00533F55" w:rsidP="00D41927">
            <w:r w:rsidRPr="00616C08">
              <w:rPr>
                <w:noProof/>
              </w:rPr>
              <w:t>87</w:t>
            </w:r>
          </w:p>
        </w:tc>
        <w:tc>
          <w:tcPr>
            <w:tcW w:w="2754" w:type="dxa"/>
          </w:tcPr>
          <w:p w14:paraId="32533842" w14:textId="77777777" w:rsidR="00533F55" w:rsidRPr="007C25F9" w:rsidRDefault="00533F55" w:rsidP="00D41927">
            <w:r w:rsidRPr="00616C08">
              <w:rPr>
                <w:noProof/>
              </w:rPr>
              <w:t>Orange</w:t>
            </w:r>
          </w:p>
        </w:tc>
      </w:tr>
      <w:tr w:rsidR="00533F55" w:rsidRPr="007C25F9" w14:paraId="59ED8E91" w14:textId="77777777" w:rsidTr="007929F6">
        <w:trPr>
          <w:cantSplit/>
          <w:tblHeader/>
        </w:trPr>
        <w:tc>
          <w:tcPr>
            <w:tcW w:w="3350" w:type="dxa"/>
          </w:tcPr>
          <w:p w14:paraId="0DB8C9C6" w14:textId="77777777" w:rsidR="00533F55" w:rsidRPr="007C25F9" w:rsidRDefault="00533F55" w:rsidP="00D41927">
            <w:r w:rsidRPr="007C25F9">
              <w:t>College/Career</w:t>
            </w:r>
          </w:p>
        </w:tc>
        <w:tc>
          <w:tcPr>
            <w:tcW w:w="3246" w:type="dxa"/>
          </w:tcPr>
          <w:p w14:paraId="05216F59" w14:textId="77777777" w:rsidR="00533F55" w:rsidRPr="007C25F9" w:rsidRDefault="00533F55" w:rsidP="00D41927">
            <w:r w:rsidRPr="00616C08">
              <w:rPr>
                <w:noProof/>
              </w:rPr>
              <w:t>29.5</w:t>
            </w:r>
          </w:p>
        </w:tc>
        <w:tc>
          <w:tcPr>
            <w:tcW w:w="2754" w:type="dxa"/>
          </w:tcPr>
          <w:p w14:paraId="6EB96892" w14:textId="77777777" w:rsidR="00533F55" w:rsidRPr="007C25F9" w:rsidRDefault="00533F55" w:rsidP="00D41927">
            <w:r w:rsidRPr="00616C08">
              <w:rPr>
                <w:noProof/>
              </w:rPr>
              <w:t>Orange</w:t>
            </w:r>
          </w:p>
        </w:tc>
      </w:tr>
    </w:tbl>
    <w:p w14:paraId="09832F50" w14:textId="77777777" w:rsidR="00533F55" w:rsidRPr="007C25F9" w:rsidRDefault="00533F55"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533F55" w:rsidRPr="007C25F9" w14:paraId="024C1238" w14:textId="77777777" w:rsidTr="00927BE3">
        <w:trPr>
          <w:cantSplit/>
          <w:tblHeader/>
        </w:trPr>
        <w:tc>
          <w:tcPr>
            <w:tcW w:w="2655" w:type="dxa"/>
            <w:shd w:val="clear" w:color="auto" w:fill="D9D9D9" w:themeFill="background1" w:themeFillShade="D9"/>
          </w:tcPr>
          <w:p w14:paraId="08BAD35A" w14:textId="77777777" w:rsidR="00533F55" w:rsidRPr="007C25F9" w:rsidRDefault="00533F55" w:rsidP="00D41927">
            <w:pPr>
              <w:rPr>
                <w:b/>
                <w:bCs/>
              </w:rPr>
            </w:pPr>
            <w:r w:rsidRPr="007C25F9">
              <w:rPr>
                <w:b/>
                <w:bCs/>
              </w:rPr>
              <w:t>Prompt</w:t>
            </w:r>
          </w:p>
        </w:tc>
        <w:tc>
          <w:tcPr>
            <w:tcW w:w="2061" w:type="dxa"/>
            <w:shd w:val="clear" w:color="auto" w:fill="D9D9D9" w:themeFill="background1" w:themeFillShade="D9"/>
          </w:tcPr>
          <w:p w14:paraId="024ADB85" w14:textId="77777777" w:rsidR="00533F55" w:rsidRPr="007C25F9" w:rsidRDefault="00533F55" w:rsidP="00D41927">
            <w:pPr>
              <w:rPr>
                <w:b/>
                <w:bCs/>
              </w:rPr>
            </w:pPr>
            <w:r w:rsidRPr="007C25F9">
              <w:rPr>
                <w:b/>
                <w:bCs/>
              </w:rPr>
              <w:t>Color</w:t>
            </w:r>
          </w:p>
        </w:tc>
        <w:tc>
          <w:tcPr>
            <w:tcW w:w="2467" w:type="dxa"/>
            <w:shd w:val="clear" w:color="auto" w:fill="D9D9D9" w:themeFill="background1" w:themeFillShade="D9"/>
          </w:tcPr>
          <w:p w14:paraId="0CD43D29" w14:textId="77777777" w:rsidR="00533F55" w:rsidRPr="007C25F9" w:rsidRDefault="00533F55" w:rsidP="00D41927">
            <w:pPr>
              <w:rPr>
                <w:b/>
                <w:bCs/>
              </w:rPr>
            </w:pPr>
            <w:r w:rsidRPr="007C25F9">
              <w:rPr>
                <w:b/>
                <w:bCs/>
              </w:rPr>
              <w:t>Above or Below Standard</w:t>
            </w:r>
          </w:p>
        </w:tc>
        <w:tc>
          <w:tcPr>
            <w:tcW w:w="2167" w:type="dxa"/>
            <w:shd w:val="clear" w:color="auto" w:fill="D9D9D9" w:themeFill="background1" w:themeFillShade="D9"/>
          </w:tcPr>
          <w:p w14:paraId="453AF815" w14:textId="77777777" w:rsidR="00533F55" w:rsidRPr="007C25F9" w:rsidRDefault="00533F55" w:rsidP="00D41927">
            <w:pPr>
              <w:rPr>
                <w:b/>
                <w:bCs/>
              </w:rPr>
            </w:pPr>
            <w:r w:rsidRPr="007C25F9">
              <w:rPr>
                <w:b/>
                <w:bCs/>
              </w:rPr>
              <w:t>Distance From Standard</w:t>
            </w:r>
          </w:p>
        </w:tc>
      </w:tr>
      <w:tr w:rsidR="00533F55" w:rsidRPr="007C25F9" w14:paraId="718E46E6" w14:textId="77777777" w:rsidTr="00927BE3">
        <w:trPr>
          <w:cantSplit/>
          <w:tblHeader/>
        </w:trPr>
        <w:tc>
          <w:tcPr>
            <w:tcW w:w="2655" w:type="dxa"/>
          </w:tcPr>
          <w:p w14:paraId="3B63954F" w14:textId="77777777" w:rsidR="00533F55" w:rsidRPr="007C25F9" w:rsidRDefault="00533F55" w:rsidP="00D41927">
            <w:r w:rsidRPr="007C25F9">
              <w:t>English Language Arts</w:t>
            </w:r>
          </w:p>
        </w:tc>
        <w:tc>
          <w:tcPr>
            <w:tcW w:w="2061" w:type="dxa"/>
          </w:tcPr>
          <w:p w14:paraId="7663BC8F" w14:textId="77777777" w:rsidR="00533F55" w:rsidRPr="007C25F9" w:rsidRDefault="00533F55" w:rsidP="00D41927">
            <w:r w:rsidRPr="00616C08">
              <w:rPr>
                <w:noProof/>
              </w:rPr>
              <w:t>Yellow</w:t>
            </w:r>
          </w:p>
        </w:tc>
        <w:tc>
          <w:tcPr>
            <w:tcW w:w="2467" w:type="dxa"/>
          </w:tcPr>
          <w:p w14:paraId="6B45A804" w14:textId="77777777" w:rsidR="00533F55" w:rsidRPr="007C25F9" w:rsidRDefault="00533F55" w:rsidP="00D41927">
            <w:r w:rsidRPr="00616C08">
              <w:rPr>
                <w:noProof/>
              </w:rPr>
              <w:t>Below standard</w:t>
            </w:r>
          </w:p>
        </w:tc>
        <w:tc>
          <w:tcPr>
            <w:tcW w:w="2167" w:type="dxa"/>
          </w:tcPr>
          <w:p w14:paraId="6A4B9B36" w14:textId="77777777" w:rsidR="00533F55" w:rsidRPr="007C25F9" w:rsidRDefault="00533F55" w:rsidP="00D41927">
            <w:r w:rsidRPr="00616C08">
              <w:rPr>
                <w:noProof/>
              </w:rPr>
              <w:t>35.6</w:t>
            </w:r>
          </w:p>
        </w:tc>
      </w:tr>
      <w:tr w:rsidR="00533F55" w:rsidRPr="007C25F9" w14:paraId="3A8D5109" w14:textId="77777777" w:rsidTr="00927BE3">
        <w:trPr>
          <w:cantSplit/>
          <w:tblHeader/>
        </w:trPr>
        <w:tc>
          <w:tcPr>
            <w:tcW w:w="2655" w:type="dxa"/>
          </w:tcPr>
          <w:p w14:paraId="7A42CF0D" w14:textId="77777777" w:rsidR="00533F55" w:rsidRPr="007C25F9" w:rsidRDefault="00533F55" w:rsidP="00D41927">
            <w:r w:rsidRPr="007C25F9">
              <w:t>Mathematics</w:t>
            </w:r>
          </w:p>
        </w:tc>
        <w:tc>
          <w:tcPr>
            <w:tcW w:w="2061" w:type="dxa"/>
          </w:tcPr>
          <w:p w14:paraId="700E1C55" w14:textId="77777777" w:rsidR="00533F55" w:rsidRPr="007C25F9" w:rsidRDefault="00533F55" w:rsidP="00D41927">
            <w:r w:rsidRPr="00616C08">
              <w:rPr>
                <w:noProof/>
              </w:rPr>
              <w:t>Orange</w:t>
            </w:r>
          </w:p>
        </w:tc>
        <w:tc>
          <w:tcPr>
            <w:tcW w:w="2467" w:type="dxa"/>
          </w:tcPr>
          <w:p w14:paraId="6861D765" w14:textId="77777777" w:rsidR="00533F55" w:rsidRPr="007C25F9" w:rsidRDefault="00533F55" w:rsidP="00D41927">
            <w:r w:rsidRPr="00616C08">
              <w:rPr>
                <w:noProof/>
              </w:rPr>
              <w:t>Below standard</w:t>
            </w:r>
          </w:p>
        </w:tc>
        <w:tc>
          <w:tcPr>
            <w:tcW w:w="2167" w:type="dxa"/>
          </w:tcPr>
          <w:p w14:paraId="0C913AE6" w14:textId="77777777" w:rsidR="00533F55" w:rsidRPr="007C25F9" w:rsidRDefault="00533F55" w:rsidP="00D41927">
            <w:r w:rsidRPr="00616C08">
              <w:rPr>
                <w:noProof/>
              </w:rPr>
              <w:t>139</w:t>
            </w:r>
          </w:p>
        </w:tc>
      </w:tr>
    </w:tbl>
    <w:p w14:paraId="5A6AAB0C" w14:textId="77777777" w:rsidR="00533F55" w:rsidRPr="007C25F9" w:rsidRDefault="00533F55" w:rsidP="00A42D0A">
      <w:pPr>
        <w:pStyle w:val="Heading4"/>
      </w:pPr>
      <w:r w:rsidRPr="007C25F9">
        <w:t>California Assessment of Student Performance and Progress</w:t>
      </w:r>
    </w:p>
    <w:p w14:paraId="4930D0F6" w14:textId="77777777" w:rsidR="00533F55" w:rsidRPr="007C25F9" w:rsidRDefault="00533F55">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533F55" w:rsidRPr="007C25F9" w14:paraId="51071D94" w14:textId="77777777" w:rsidTr="007929F6">
        <w:trPr>
          <w:cantSplit/>
          <w:tblHeader/>
        </w:trPr>
        <w:tc>
          <w:tcPr>
            <w:tcW w:w="4675" w:type="dxa"/>
            <w:shd w:val="clear" w:color="auto" w:fill="D9D9D9" w:themeFill="background1" w:themeFillShade="D9"/>
          </w:tcPr>
          <w:p w14:paraId="70CD52E4" w14:textId="77777777" w:rsidR="00533F55" w:rsidRPr="007C25F9" w:rsidRDefault="00533F55" w:rsidP="00D41927">
            <w:pPr>
              <w:rPr>
                <w:b/>
                <w:bCs/>
              </w:rPr>
            </w:pPr>
            <w:r w:rsidRPr="007C25F9">
              <w:rPr>
                <w:b/>
                <w:bCs/>
              </w:rPr>
              <w:t>Prompt</w:t>
            </w:r>
          </w:p>
        </w:tc>
        <w:tc>
          <w:tcPr>
            <w:tcW w:w="4675" w:type="dxa"/>
            <w:shd w:val="clear" w:color="auto" w:fill="D9D9D9" w:themeFill="background1" w:themeFillShade="D9"/>
          </w:tcPr>
          <w:p w14:paraId="0FF1F9C1" w14:textId="77777777" w:rsidR="00533F55" w:rsidRPr="007C25F9" w:rsidRDefault="00533F55" w:rsidP="00D41927">
            <w:pPr>
              <w:rPr>
                <w:b/>
                <w:bCs/>
              </w:rPr>
            </w:pPr>
            <w:r w:rsidRPr="007C25F9">
              <w:rPr>
                <w:b/>
                <w:bCs/>
              </w:rPr>
              <w:t>Percentage</w:t>
            </w:r>
          </w:p>
        </w:tc>
      </w:tr>
      <w:tr w:rsidR="00533F55" w:rsidRPr="007C25F9" w14:paraId="0BA132E3" w14:textId="77777777" w:rsidTr="007929F6">
        <w:trPr>
          <w:cantSplit/>
          <w:tblHeader/>
        </w:trPr>
        <w:tc>
          <w:tcPr>
            <w:tcW w:w="4675" w:type="dxa"/>
          </w:tcPr>
          <w:p w14:paraId="1906A703" w14:textId="77777777" w:rsidR="00533F55" w:rsidRPr="007C25F9" w:rsidRDefault="00533F55" w:rsidP="00D41927">
            <w:r w:rsidRPr="007C25F9">
              <w:t>English Language Arts</w:t>
            </w:r>
          </w:p>
        </w:tc>
        <w:tc>
          <w:tcPr>
            <w:tcW w:w="4675" w:type="dxa"/>
          </w:tcPr>
          <w:p w14:paraId="2F41D550" w14:textId="77777777" w:rsidR="00533F55" w:rsidRPr="007C25F9" w:rsidRDefault="00533F55" w:rsidP="00D41927">
            <w:r w:rsidRPr="00616C08">
              <w:rPr>
                <w:noProof/>
              </w:rPr>
              <w:t>34.4</w:t>
            </w:r>
          </w:p>
        </w:tc>
      </w:tr>
      <w:tr w:rsidR="00533F55" w:rsidRPr="007C25F9" w14:paraId="0E6BCD88" w14:textId="77777777" w:rsidTr="007929F6">
        <w:trPr>
          <w:cantSplit/>
          <w:tblHeader/>
        </w:trPr>
        <w:tc>
          <w:tcPr>
            <w:tcW w:w="4675" w:type="dxa"/>
          </w:tcPr>
          <w:p w14:paraId="4229D341" w14:textId="77777777" w:rsidR="00533F55" w:rsidRPr="007C25F9" w:rsidRDefault="00533F55" w:rsidP="00D41927">
            <w:r w:rsidRPr="007C25F9">
              <w:t>Mathematics</w:t>
            </w:r>
          </w:p>
        </w:tc>
        <w:tc>
          <w:tcPr>
            <w:tcW w:w="4675" w:type="dxa"/>
          </w:tcPr>
          <w:p w14:paraId="599A4592" w14:textId="77777777" w:rsidR="00533F55" w:rsidRPr="007C25F9" w:rsidRDefault="00533F55" w:rsidP="00D41927">
            <w:r w:rsidRPr="00616C08">
              <w:rPr>
                <w:noProof/>
              </w:rPr>
              <w:t>7.1</w:t>
            </w:r>
          </w:p>
        </w:tc>
      </w:tr>
    </w:tbl>
    <w:p w14:paraId="58B88590" w14:textId="77777777" w:rsidR="00533F55" w:rsidRPr="007C25F9" w:rsidRDefault="00533F55">
      <w:pPr>
        <w:spacing w:before="0"/>
        <w:rPr>
          <w:rFonts w:eastAsiaTheme="majorEastAsia"/>
          <w:b/>
          <w:bCs/>
          <w:sz w:val="32"/>
          <w:szCs w:val="32"/>
        </w:rPr>
      </w:pPr>
      <w:r w:rsidRPr="007C25F9">
        <w:br w:type="page"/>
      </w:r>
    </w:p>
    <w:p w14:paraId="39E8D721" w14:textId="77777777" w:rsidR="00533F55" w:rsidRPr="007C25F9" w:rsidRDefault="00533F55" w:rsidP="00A42D0A">
      <w:pPr>
        <w:pStyle w:val="Heading3"/>
      </w:pPr>
      <w:r w:rsidRPr="007C25F9">
        <w:lastRenderedPageBreak/>
        <w:t>Section 3. Areas of Greatest Progress and Need</w:t>
      </w:r>
    </w:p>
    <w:p w14:paraId="3491E375" w14:textId="77777777" w:rsidR="00533F55" w:rsidRPr="007C25F9" w:rsidRDefault="00533F55" w:rsidP="00783ABE">
      <w:r w:rsidRPr="007C25F9">
        <w:t>Provide a narrative response to each of the below questions.</w:t>
      </w:r>
    </w:p>
    <w:p w14:paraId="5BCFCA81" w14:textId="77777777" w:rsidR="00533F55" w:rsidRPr="007C25F9" w:rsidRDefault="00533F55" w:rsidP="00093A2F">
      <w:pPr>
        <w:numPr>
          <w:ilvl w:val="0"/>
          <w:numId w:val="13"/>
        </w:numPr>
      </w:pPr>
      <w:r w:rsidRPr="007C25F9">
        <w:t>Based on California School Dashboard (Dashboard) data, identify the charter school’s areas of greatest progress.</w:t>
      </w:r>
    </w:p>
    <w:p w14:paraId="4D98B03F" w14:textId="77777777" w:rsidR="00533F55" w:rsidRPr="007C25F9" w:rsidRDefault="00533F55" w:rsidP="0003147F">
      <w:r w:rsidRPr="00616C08">
        <w:rPr>
          <w:noProof/>
        </w:rPr>
        <w:t>In comparison to the 2022-2023 school year, our school has improved on providing extensive support for our English Language Learners. In the 2022-2023 school year there were 99 students who were classified as English Learners. With those students, we had a slow increase who maintained their ELPAC levels between 1 and 4 at 31.3 percent. However, we also had a small decrease. Last school year they were able to go up one level higher than the previous year (58.1% in 2022, compared to 56.3% in 2023).   In the 2023-2024 school year, our English Learner subgroup increased by 28.5 points in the Hispanic sub group and by 23.6 points in the socioeconomically disadvantaged group. This is also where the number of English Learner student population subgroups also increased to 111 students. The number of English Learner students who reclassified also increased to 33 students, which was also a 29.7 point increase.  Furthermore, the percentage of students classified as English Learners who are progressing in the English Language grew by 67.5% in comparison to 56.3% from the year before. This is a testament to how our Language Arts program and Academia Avance strategized their support for English Learners. Over the past year, our teachers were provided with extensive professional development introducing various SDAIE strategies that they could implement in their instruction. This includes contextualizing lessons, providing students with sentence frames and sentence starters, and reviewing teaching practices to implement collaboration. Our EL coordinator also provided informal and formal instructive feedback to our staff throughout the school year that helped engage our students to develop fluency. Our EL coordinator recognized the strategies above along with providing students with visuals, formative assessments, and student-centered discussions.  In addition, our English Language Arts scores have also improved compared to the 2023 school year. In 2023, there was a 6.5 point decline in students who were deemed to be proficient in the English Language Arts. Within our subgroups (Hispanic and Socioeconomically Disadvantaged), there was also a decline of around 6 points as well. However, in 2024, the student proficiency progress increased by 29.8 points. Our Hispanic and Socioeconomically Disadvantaged subgroups also increased 28.5 and 23.6 points respectively. Our English Language Arts department recognized the value of reviewing not just overall data, but also its sub groups.   Academia Avance stressed the importance, along with the EL strategies in the classroom, to build fluency in all of their classrooms. This includes having sentence stems to be used in all classes, identifying ways to have students work collaboratively, and provide extensive feedback on instructional strategies used in the classroom. All teachers were trained and implemented the use of cloze reading, structured writing support, and the use of academic vocabulary.</w:t>
      </w:r>
    </w:p>
    <w:p w14:paraId="75AE449D" w14:textId="77777777" w:rsidR="00533F55" w:rsidRPr="007C25F9" w:rsidRDefault="00533F55" w:rsidP="00093A2F">
      <w:pPr>
        <w:numPr>
          <w:ilvl w:val="0"/>
          <w:numId w:val="13"/>
        </w:numPr>
      </w:pPr>
      <w:r w:rsidRPr="007C25F9">
        <w:lastRenderedPageBreak/>
        <w:t>What internal assessments (not CAASPP) are being used to demonstrate the charter school’s areas of greatest progress? Are any of these assessments on the approved verified data list? If so, which ones?</w:t>
      </w:r>
    </w:p>
    <w:p w14:paraId="398B322C" w14:textId="77777777" w:rsidR="00533F55" w:rsidRPr="007C25F9" w:rsidRDefault="00533F55" w:rsidP="0003147F">
      <w:r w:rsidRPr="00616C08">
        <w:rPr>
          <w:noProof/>
        </w:rPr>
        <w:t>Our school has been using the Northwest Evaluation Association (NWEA) MAP Test, which is a state approved verifiable data to measure overall progress for our 6th through 12th grade students. We are able to test our students in the following areas: Reading Fluency (6th-12th) Language Arts (6th-12th) Mathematics (6th-12th) These exams help measure progress for each student based on their overall Rasch Unit score (RIT). In each grade level, the RIT score allows for the student to determine their levels of ability as to where they should be based on their current grade level.   The NWEA exam is taken three times per year, usually in August, December, and May. In each instance students review their previous highest score to determine what their target RIT goal is. After each exam is taken, students reflect on progress made, overall progress and expectations in preparation for other summative assessments (CAASPP, etc).   The NWEA is also used to help identify strengths and weaknesses in various subjects, as well as providing professional development opportunities to help address the areas of need. After each NWEA assessment, meetings are held with administration to go over the data as a whole and in various subgroups. Within these conversations, administrators and instructors help identify the greatest areas for improvement from within each grade level, groups, and sub groups. If the areas of need are for a specific individual, we can identify if any additional supports are required, encourage teachers to provide feedback on any academic concerns, and review our resources to determine if any required supports are needed. This includes recommending students to our Student Success Team program to help provide additional monitoring accommodations and determine if placement adjusting is necessary.</w:t>
      </w:r>
    </w:p>
    <w:p w14:paraId="2C1094A2" w14:textId="77777777" w:rsidR="00533F55" w:rsidRPr="007C25F9" w:rsidRDefault="00533F55" w:rsidP="00093A2F">
      <w:pPr>
        <w:numPr>
          <w:ilvl w:val="0"/>
          <w:numId w:val="13"/>
        </w:numPr>
      </w:pPr>
      <w:r w:rsidRPr="007C25F9">
        <w:t>Based on Dashboard data, identify the charter school’s areas of greatest need. Include references to student groups.</w:t>
      </w:r>
    </w:p>
    <w:p w14:paraId="1322CBBE" w14:textId="77777777" w:rsidR="00533F55" w:rsidRPr="007C25F9" w:rsidRDefault="00533F55" w:rsidP="0003147F">
      <w:r w:rsidRPr="00616C08">
        <w:rPr>
          <w:noProof/>
        </w:rPr>
        <w:t xml:space="preserve">Our greatest area of need is our mathematics scores. Over the last two years, our students have struggled to reach 10 percent proficiency since the return from distance learning in the 2021-2022 school year. Prior to distance learning, students were averaging between 12 and 21 percent in math proficiency respectively from 2016 and 2019. The issues have come from learning loss, staff turnover, and inconsistent professional development through our staff turnover. Specifically with our Hispanic and Socioeconomically disadvantaged students, our students are 142 and 146 points below standard respectively. Within these groups, students who are English Learners are much lower at 212 points below standard. In comparison to before distance learning, students have struggled to recover from the effects of distance learning.  The second is our chronic absenteeism. In 2024, 50% of our students were identified as chronically absent. This is an increase of just under 8%. The contributing factors include a system where students were identified as chronically absent through our attendance system, recognizing resources to provide for students and families, and following through with keeping track of our students who are chronically absent. Within our Hispanic and </w:t>
      </w:r>
      <w:r w:rsidRPr="00616C08">
        <w:rPr>
          <w:noProof/>
        </w:rPr>
        <w:lastRenderedPageBreak/>
        <w:t>Socioeconomically disadvantaged community subgroups, there was also an increased chronic absenteeism of 9.5% and 7.4% respectively.</w:t>
      </w:r>
    </w:p>
    <w:p w14:paraId="38EEF70A" w14:textId="77777777" w:rsidR="00533F55" w:rsidRPr="007C25F9" w:rsidRDefault="00533F55" w:rsidP="00093A2F">
      <w:pPr>
        <w:numPr>
          <w:ilvl w:val="0"/>
          <w:numId w:val="13"/>
        </w:numPr>
      </w:pPr>
      <w:r w:rsidRPr="007C25F9">
        <w:t>How is the charter school addressing these areas of need? Include references to student groups.</w:t>
      </w:r>
    </w:p>
    <w:p w14:paraId="42880B41" w14:textId="77777777" w:rsidR="00533F55" w:rsidRPr="007C25F9" w:rsidRDefault="00533F55" w:rsidP="0003147F">
      <w:pPr>
        <w:rPr>
          <w:rFonts w:cs="Arial"/>
        </w:rPr>
      </w:pPr>
      <w:r w:rsidRPr="00616C08">
        <w:rPr>
          <w:noProof/>
        </w:rPr>
        <w:t xml:space="preserve">With the help from our administrative team, our teachers are provided with professional development both from our academic administrative team and from the curriculum program McGraw Hill (math). The administrative team expects our instructors to provide weekly unit plans to help identify the lesson objectives, lesson outline, and differentiation in each subject area. Our academic administrative team conducts frequent informal observations to help identify areas of growth and determine professional development needs.  McGraw Hill will provide our math teachers professional development on effective use of materials for greater gains. The curriculum provides an extensive amount of differentiation that allows for teachers to provide strategies for English Learners, Advanced students, and additional accommodations for other various sub groups. The curriculum also provides an extensive amount of resources to help adapt to either an extensive amount of technology or little technology. WIthin this Professional Development, along with exposing teachers to the features of the curriculum, it also provides pacing plans and scopes and sequence to help identify which essential standards are important for students to recognize.   Along with this training and administrative support, the NWEA exam is used to help determine student progress and alignment to the California Common Core State Standards. This data will help assist teachers and staff in the overall progress of the use of the curriculum, recognize which groups and sub groups are performing well or struggling, and identify supports for each.   Along with our Math curriculum, an interactive program known as ALEKS is being used to help connect students with more math exposure. This interactive adaptive program allows for students to take a diagnostic test and then recognize where their strengths and weaknesses are. Along with this interactive program, students can identify more content they need assistance with, and this self guided program will allow for them to develop more practice and fluency in the fields they are struggling with.   With our students who are chronically absent, it is important to also have a system in which students are not only recognized as chronically absent, but also identify what types of support we can provide to students. The first is assigning an attendance team to help keep frequent track of attendance and hold weekly informational meetings within the staff to identify new or recurring students who are reaching chronically absent levels. From there, any students who would be identified would work with our attendance team and be recognized in our Student Attendance Recovery Team, holding meetings with families and students who are recognized as chronically absent. Parenting and school resources would be provided to them to help stress the importance of attending school on a regular basis.   As an extension, our attendance team will also do home visits with families to help recognize any issues with families or students on arriving at school regularly. This could also include looking into providing additional resources to help assist with students to arrive at school daily, which includes public transportation passes issuing our own transportation through our </w:t>
      </w:r>
      <w:r w:rsidRPr="00616C08">
        <w:rPr>
          <w:noProof/>
        </w:rPr>
        <w:lastRenderedPageBreak/>
        <w:t>own system. To help address learning issues as well for our chronically absent students.  We are also offering additional days of learning, such as Saturday School, to help with our students who have missed school or are falling behind in class to receive additional support in their academic needs.</w:t>
      </w:r>
    </w:p>
    <w:p w14:paraId="7824A788" w14:textId="77777777" w:rsidR="00533F55" w:rsidRPr="007C25F9" w:rsidRDefault="00533F55">
      <w:pPr>
        <w:spacing w:before="0"/>
        <w:rPr>
          <w:rFonts w:eastAsiaTheme="majorEastAsia"/>
          <w:b/>
          <w:bCs/>
          <w:sz w:val="32"/>
          <w:szCs w:val="32"/>
        </w:rPr>
      </w:pPr>
      <w:r w:rsidRPr="007C25F9">
        <w:br w:type="page"/>
      </w:r>
    </w:p>
    <w:p w14:paraId="313C1454" w14:textId="77777777" w:rsidR="00533F55" w:rsidRPr="007C25F9" w:rsidRDefault="00533F55" w:rsidP="00A42D0A">
      <w:pPr>
        <w:pStyle w:val="Heading3"/>
      </w:pPr>
      <w:r w:rsidRPr="007C25F9">
        <w:lastRenderedPageBreak/>
        <w:t>Section 4. Summary of Performance on Measurable Pupil Outcomes</w:t>
      </w:r>
    </w:p>
    <w:p w14:paraId="68E4A12C" w14:textId="77777777" w:rsidR="00533F55" w:rsidRPr="007C25F9" w:rsidRDefault="00533F55" w:rsidP="00783ABE">
      <w:r w:rsidRPr="007C25F9">
        <w:t xml:space="preserve">Provide a narrative response to the </w:t>
      </w:r>
      <w:proofErr w:type="gramStart"/>
      <w:r w:rsidRPr="007C25F9">
        <w:t>below question</w:t>
      </w:r>
      <w:proofErr w:type="gramEnd"/>
      <w:r w:rsidRPr="007C25F9">
        <w:t>.</w:t>
      </w:r>
    </w:p>
    <w:p w14:paraId="2607F9D7" w14:textId="77777777" w:rsidR="00533F55" w:rsidRPr="007C25F9" w:rsidRDefault="00533F55" w:rsidP="00DF32B9">
      <w:pPr>
        <w:numPr>
          <w:ilvl w:val="0"/>
          <w:numId w:val="14"/>
        </w:numPr>
      </w:pPr>
      <w:r w:rsidRPr="007C25F9">
        <w:t>Identify the Measurable Pupil Outcomes in Element 2 of the charter petition. Summarize the performance for each outcome.</w:t>
      </w:r>
    </w:p>
    <w:p w14:paraId="1B087351" w14:textId="77777777" w:rsidR="00533F55" w:rsidRPr="007C25F9" w:rsidRDefault="00533F55" w:rsidP="0003147F">
      <w:pPr>
        <w:rPr>
          <w:rFonts w:cs="Arial"/>
        </w:rPr>
      </w:pPr>
      <w:r w:rsidRPr="00616C08">
        <w:rPr>
          <w:rFonts w:cs="Arial"/>
          <w:noProof/>
        </w:rPr>
        <w:t xml:space="preserve">At Academia Avance Charter School our Measurable Student Outcomes in Element 2 are the CAASPP, State Test, and the NWEA-MAP test.   Academic Achievement: "The school is still below state averages in ELA and Math standardized testing for all student subgroups, however with a significant increase in student growth percentiles across all grade levels."   SBAC 2023-2024: English Language Arts - while the school is 35.6 points below standard, there was a significant increase of 29.8 points. Both Hispanic and Socioeconomically disadvantaged subgroups increased significantly—Hispanic students by 28.5 points, and socioeconomically disadvantaged by 45.4 points. Our ELL population numbers do not allow for data, but the recently reclassified EL students increased by 29.7 points compared to the English-only students who maintained their performance level from the previous year. There was a significant drop in distance from the standard from 65.4 points in 2023 to 35.6 points in 2024.     Math - while the school is 139 points below standard, there was a significant increase of 18.2 points. Both Hispanic and Socioeconomically disadvantaged subgroups increased significantly—Hispanic students by 12.7 points, and socioeconomically disadvantaged by 12.2  points. Our ELL population numbers do not allow for data, but the recently reclassified EL students increased by 9 points compared to the English-only students who increased by 11.5 points from the previous year. 67.5% of our ELL population is making progress in Math, this is an 11.3% increase. 74.2% of long-term English learners are making progress, an increase of 14.2%   College and Career Readiness: 29.5% of our students are prepared under the college and career readiness element of our data. This is a drop of 9.8 %. The Hispanic subgroup declined by 10.8% and the socioeconomically disadvantaged declined by 9.4%.   Local Indicators - Academia Avance met the standard for all the local indicators, scoring 5 in every category except “Implementation of Standards” for Career Technical education where the majority ratings were 4.    Chronic Absenteeism - attendance is a big concern as we have seen an increase every year since 2019. With 50% chronic absenteeism in 2024, an increase of 7.7% for all students, with both the Hispanic subgroup increasing by 9.5% and the socioeconomic subgroup increasing by 7.4%.  Graduation Rate - For the first time since 2019 our graduation rate falls below 90%. The 87% graduation rate for 2024 is a decrease of 8.1%. There was a 4.3% 5-year graduation rate included in the 87% graduation rate.    MTSS - Academia Avance established a Multi-Tiered Student Support system to assist students in all aspects of academic, socio-emotional, and mental health. Two new social workers. Along with 2 interns from a local university support students through counseling, and address chronic absenteeism by meeting with families, home visits, and conversations with students. The MTSS team consists of various members of the school ecosystem and made sure to empower all staff through professional </w:t>
      </w:r>
      <w:r w:rsidRPr="00616C08">
        <w:rPr>
          <w:rFonts w:cs="Arial"/>
          <w:noProof/>
        </w:rPr>
        <w:lastRenderedPageBreak/>
        <w:t>development on how to utilize them in supporting all students.   NWEA - MAP Benchmarks - Our students take an electronic MAP® Growth™ test from NWEA® on a Chromebook at school. MAP Growth scores enable teachers and administrators to check and monitor student performance by measuring achievement and growth. Our school uses the results to tailor classroom lessons, interventions, and remediation and set goals for all students.   We administer the NWEA-MAP test during FALL, Winter, and Spring. Data is discussed during a data day and collaboratively teachers analyze the data, create corrective instruction plans, and have conversations with their HOUSE students, which supports them to set SMART goals for the next benchmark.   This year we have administered the Fall and Winter tests and the results are mixed. Middle school math showed significant growth in Math, with 6th grade increasing by 8 RiT points between Fall and Winter. 7th Grade increased by 4 and 8th by 5 RiT points. Grades 6-8 exceeded their projected growth in Math. In ELA only 7th grade showed a 2 RiT point growth while grades 6 and 8 were stagnant. In language usage in grades 6-8, growth was observed in all three, with only 8th grade exceeding their projected growth.   NWEA-MAP scores in grades 9-11 was also mixed. In Math, grades 9-11 failed to meet projected growth. Grade 11 showed a 1 Rit point growth while grades 9 declined by 2 and grade 10 declined by 1. ELA yielded similar results with grade 11 increasing by 1 Rit point, almost meeting the projected growth of 1.1, and grades 9 and declining by 4 and 1 respectively. In language usage grades 9 - 11 all met their growth target, with grade 9 increasing by 5, grade 10 by 2, and grade 11 by 3.</w:t>
      </w:r>
    </w:p>
    <w:p w14:paraId="2E3CA578" w14:textId="77777777" w:rsidR="00533F55" w:rsidRPr="007C25F9" w:rsidRDefault="00533F55" w:rsidP="00A42D0A">
      <w:pPr>
        <w:pStyle w:val="Heading3"/>
      </w:pPr>
      <w:r w:rsidRPr="007C25F9">
        <w:t>Section 5. Local Control and Accountability Plan Progress</w:t>
      </w:r>
    </w:p>
    <w:p w14:paraId="67A4CB87" w14:textId="77777777" w:rsidR="00533F55" w:rsidRPr="007C25F9" w:rsidRDefault="00533F55" w:rsidP="00783ABE">
      <w:r w:rsidRPr="007C25F9">
        <w:t>Provide a narrative response to each of the below questions.</w:t>
      </w:r>
    </w:p>
    <w:p w14:paraId="3820D934" w14:textId="77777777" w:rsidR="00533F55" w:rsidRPr="007C25F9" w:rsidRDefault="00533F55" w:rsidP="00DF32B9">
      <w:pPr>
        <w:numPr>
          <w:ilvl w:val="0"/>
          <w:numId w:val="15"/>
        </w:numPr>
      </w:pPr>
      <w:r w:rsidRPr="007C25F9">
        <w:t>Provide a summary of progress made in meeting the charter school’s 2023–24 Local Control and Accountability Plan (LCAP) goals.</w:t>
      </w:r>
    </w:p>
    <w:p w14:paraId="5F396D97" w14:textId="77777777" w:rsidR="00533F55" w:rsidRPr="007C25F9" w:rsidRDefault="00533F55" w:rsidP="0003147F">
      <w:r w:rsidRPr="00616C08">
        <w:rPr>
          <w:rFonts w:cs="Arial"/>
          <w:noProof/>
        </w:rPr>
        <w:t xml:space="preserve">Goal #1: Increase consistency in classroom instructional practices for all students inclusive of SWD.  We have had training on our SPED and English Language Learner (ELL) program.  In addition, there has been some PDs/training to unify teaching strategies and classroom procedures across the campus.  We are improving the onboarding process and supporting new teachers upon joining our staff.  Teachers are expected to create weekly lesson plans that the principal references when making classroom walkthroughs.   We are reassessing the use of the House (advisory) period to create consistency, i.e. do grade checks, check for missing assignments, and monitor the student’s Acellus(digital program) progress, implement interventions and support for students, etc. We are creating a teacher/ SPED manual to enhance teacher efficacy in working with students with disabilities. The push-in model being used is effective in supporting students in class, and the resource room is frequently visited by students seeking help. The SPED students showed significant growth in the Winter NWEA-MAP Benchmark, in some instances outperforming their regular education counterparts.  In March we will have professional development for faculty and staff around UDL which will empower teachers with knowledge and skills to better serve ALL students.    Goal </w:t>
      </w:r>
      <w:r w:rsidRPr="00616C08">
        <w:rPr>
          <w:rFonts w:cs="Arial"/>
          <w:noProof/>
        </w:rPr>
        <w:lastRenderedPageBreak/>
        <w:t>#2: Accelerate English Language acquisition for our EL subgroup inclusive of SWD. Teachers were provided with professional development related to SDAIE strategies to enhance their teaching practices to include multilingual learners. Teachers include vocabulary and engage in English Language Development strategies for at least 15 minutes per period. SBAC 2024 shows significant growth for ELL students and reclassified ELL students in ELA and MATH.  Goal #3: Close the achievement gap in reading and mathematics for our low socioeconomic group and all students inclusive of SWD. MATH - Both Hispanic and Socioeconomically Disadvantaged subgroups increased significantly—Hispanic students by 12.7 points, and Socioeconomically Disadvantaged by 12.2  points. Our ELL student numbers do not allow for data, but the recently reclassified EL students increased by 9 points compared to the English-only students who increased by 11.5 points from the previous year. 67.5% of our ELL students are making progress in Math, this is an 11.3% increase. 74.2% of long-term English learners are making progress, an increase of 14.2%. ELA - Both Hispanic and Socioeconomically Disadvantaged subgroups increased significantly—Hispanic students by 28.5 points, and Socioeconomically Disadvantaged by 45.4 points. Our ELL student numbers do not allow for data, but the recently reclassified ELL students increased by 29.7 points compared to the English-only students who maintained performance levels from the previous year. There was a significant drop in distance from the standard from 65.4 points in 2023 to 35.6 points in 2024. There is intersectionality between Hispanic and Socioeconomically Disadvantaged students; the push-in, tutoring and Saturday school will continue to support these subgroups.  In addition, professional development will continue to focus on best practices for increased student achievement.  Goal #4: Increase graduation, college persistence, and career readiness and expand the Career Technical Education program for all students inclusive of SWD. For the graduation rate, our rate dropped to 87% for the 2024 class. That said, the biggest issue here is in regards to how the graduation rate is calculated, as it goes off of students who originated in the 9th-grade class at the school rather than the 12th-graders that the school has. Of our 44 12th graders last year, 43 graduated, which would have had us at 97%, but because we have had attrition from the original 9th grade group, this number dropped. CTE has become a standard class at the school. The junior class is enrolled in CTE business at a 95% rate, while the seniors are at a lower rate as others work to complete their a-g required courses. We are also building a more sustainable path toward CTE classes by expanding the Escalera program to the 7th and 9th-grade cohorts, giving them more preparation in exploring careers and post-secondary options to lead into CTE. Increasing A-G preparedness will also lead to more CTE participants in the future.  For the AP scores, 4 of the 17 students who took the AP English exam passed the course, which would be a 23% pass rate. That only accounts for 39% of eligible seniors taking the test.  For SBAC, the school saw increases in both English and Math scores, with a 5.2% increase in the amount of students meeting or exceeding the state standard in English, and a 6.26% increase in Math. Unfortunately, the total number of students meeting or exceeding the state standard still sits well below the LCAP goals set. This may be a particular set of numbers where we look to readjust our goals based on what we are seeing. Still, the 34.</w:t>
      </w:r>
    </w:p>
    <w:p w14:paraId="392E218F" w14:textId="77777777" w:rsidR="00533F55" w:rsidRPr="007C25F9" w:rsidRDefault="00533F55" w:rsidP="00DF32B9">
      <w:pPr>
        <w:numPr>
          <w:ilvl w:val="0"/>
          <w:numId w:val="15"/>
        </w:numPr>
      </w:pPr>
      <w:r w:rsidRPr="007C25F9">
        <w:lastRenderedPageBreak/>
        <w:t>Provide a summary of the charter school’s 2024–25 LCAP mid-year update that describes what the charter school is doing to increase community input.</w:t>
      </w:r>
    </w:p>
    <w:p w14:paraId="39CA2D69" w14:textId="77777777" w:rsidR="00533F55" w:rsidRPr="007C25F9" w:rsidRDefault="00533F55" w:rsidP="0003147F">
      <w:pPr>
        <w:rPr>
          <w:rFonts w:cs="Arial"/>
        </w:rPr>
      </w:pPr>
      <w:r w:rsidRPr="00616C08">
        <w:rPr>
          <w:rFonts w:cs="Arial"/>
          <w:noProof/>
        </w:rPr>
        <w:t>This year the school is focused on increasing the school community stakeholders input as we review the 24-25 LCAP and plan for the 25-26 LCAP, the school has embarked on setting up focus groups with students, parents, community members, and staff to report progress and  get input on the needs of the school.  In addition, the following are other means of stakeholder involvement:  Coffee with the Principal Parent Advisory Council School Site Council Parent Conferences English Learner Advisory Council Parent Wellness Group Staff Meetings</w:t>
      </w:r>
    </w:p>
    <w:p w14:paraId="1C3CF368" w14:textId="77777777" w:rsidR="00533F55" w:rsidRPr="007C25F9" w:rsidRDefault="00533F55">
      <w:pPr>
        <w:spacing w:before="0"/>
        <w:rPr>
          <w:rFonts w:eastAsiaTheme="majorEastAsia"/>
          <w:b/>
          <w:bCs/>
          <w:sz w:val="32"/>
          <w:szCs w:val="32"/>
        </w:rPr>
      </w:pPr>
      <w:r w:rsidRPr="007C25F9">
        <w:br w:type="page"/>
      </w:r>
    </w:p>
    <w:p w14:paraId="6952A396" w14:textId="77777777" w:rsidR="00533F55" w:rsidRPr="007C25F9" w:rsidRDefault="00533F55" w:rsidP="00A42D0A">
      <w:pPr>
        <w:pStyle w:val="Heading3"/>
      </w:pPr>
      <w:r w:rsidRPr="007C25F9">
        <w:lastRenderedPageBreak/>
        <w:t>Section 6. Differentiated Assistance</w:t>
      </w:r>
    </w:p>
    <w:p w14:paraId="225AA449" w14:textId="77777777" w:rsidR="00533F55" w:rsidRPr="007C25F9" w:rsidRDefault="00533F55" w:rsidP="004926FC">
      <w:pPr>
        <w:numPr>
          <w:ilvl w:val="0"/>
          <w:numId w:val="16"/>
        </w:numPr>
      </w:pPr>
      <w:r w:rsidRPr="007C25F9">
        <w:t>Does the charter school qualify for Differentiated Assistance?</w:t>
      </w:r>
    </w:p>
    <w:p w14:paraId="0A5D427D" w14:textId="77777777" w:rsidR="00533F55" w:rsidRPr="007C25F9" w:rsidRDefault="00533F55" w:rsidP="00582FF4">
      <w:r w:rsidRPr="00616C08">
        <w:rPr>
          <w:noProof/>
        </w:rPr>
        <w:t>No</w:t>
      </w:r>
    </w:p>
    <w:p w14:paraId="36CC7134" w14:textId="77777777" w:rsidR="00533F55" w:rsidRPr="007C25F9" w:rsidRDefault="00533F55" w:rsidP="00783ABE">
      <w:r w:rsidRPr="007C25F9">
        <w:t>If yes, provide a narrative response to each of the below questions.</w:t>
      </w:r>
    </w:p>
    <w:p w14:paraId="5C1FAFC8" w14:textId="77777777" w:rsidR="00533F55" w:rsidRPr="007C25F9" w:rsidRDefault="00533F55" w:rsidP="004926FC">
      <w:pPr>
        <w:numPr>
          <w:ilvl w:val="0"/>
          <w:numId w:val="16"/>
        </w:numPr>
      </w:pPr>
      <w:r w:rsidRPr="007C25F9">
        <w:t>Under which student groups and state priorities did the charter school meet the eligibility criteria for Differentiated Assistance (DA) in both the prior and current year?</w:t>
      </w:r>
    </w:p>
    <w:p w14:paraId="46A767F8" w14:textId="77777777" w:rsidR="00533F55" w:rsidRPr="007C25F9" w:rsidRDefault="00533F55" w:rsidP="00D46026">
      <w:r w:rsidRPr="00616C08">
        <w:rPr>
          <w:noProof/>
        </w:rPr>
        <w:t>[No Response]</w:t>
      </w:r>
    </w:p>
    <w:p w14:paraId="1F4C668B" w14:textId="77777777" w:rsidR="00533F55" w:rsidRPr="007C25F9" w:rsidRDefault="00533F55" w:rsidP="004926FC">
      <w:pPr>
        <w:numPr>
          <w:ilvl w:val="0"/>
          <w:numId w:val="16"/>
        </w:numPr>
      </w:pPr>
      <w:r w:rsidRPr="007C25F9">
        <w:t>Identify the support provider the charter school will be working with for technical assistance with DA.</w:t>
      </w:r>
    </w:p>
    <w:p w14:paraId="5106A6FB" w14:textId="77777777" w:rsidR="00533F55" w:rsidRPr="007C25F9" w:rsidRDefault="00533F55" w:rsidP="00D46026">
      <w:r w:rsidRPr="00616C08">
        <w:rPr>
          <w:noProof/>
        </w:rPr>
        <w:t>[No Response]</w:t>
      </w:r>
    </w:p>
    <w:p w14:paraId="0740C5C7" w14:textId="77777777" w:rsidR="00533F55" w:rsidRPr="007C25F9" w:rsidRDefault="00533F55"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5AF0078F" w14:textId="77777777" w:rsidR="00533F55" w:rsidRPr="007C25F9" w:rsidRDefault="00533F55" w:rsidP="00D46026">
      <w:r w:rsidRPr="00616C08">
        <w:rPr>
          <w:noProof/>
        </w:rPr>
        <w:t>[No Response]</w:t>
      </w:r>
    </w:p>
    <w:p w14:paraId="455ECF7E" w14:textId="77777777" w:rsidR="00533F55" w:rsidRPr="007C25F9" w:rsidRDefault="00533F55">
      <w:pPr>
        <w:spacing w:before="0"/>
        <w:rPr>
          <w:rFonts w:eastAsiaTheme="majorEastAsia"/>
          <w:b/>
          <w:bCs/>
          <w:sz w:val="32"/>
          <w:szCs w:val="32"/>
        </w:rPr>
      </w:pPr>
      <w:r w:rsidRPr="007C25F9">
        <w:br w:type="page"/>
      </w:r>
    </w:p>
    <w:p w14:paraId="614AE6BE" w14:textId="77777777" w:rsidR="00533F55" w:rsidRPr="007C25F9" w:rsidRDefault="00533F55" w:rsidP="00A42D0A">
      <w:pPr>
        <w:pStyle w:val="Heading3"/>
      </w:pPr>
      <w:r w:rsidRPr="007C25F9">
        <w:lastRenderedPageBreak/>
        <w:t>Section 7. Acknowledgment, Certification, and Submission</w:t>
      </w:r>
    </w:p>
    <w:p w14:paraId="1182FC4A" w14:textId="77777777" w:rsidR="00533F55" w:rsidRPr="007C25F9" w:rsidRDefault="00533F55" w:rsidP="00B9677C">
      <w:r w:rsidRPr="007C25F9">
        <w:t xml:space="preserve">Initial each of the below statements to confirm that you have read and understand </w:t>
      </w:r>
      <w:proofErr w:type="gramStart"/>
      <w:r w:rsidRPr="007C25F9">
        <w:t>following</w:t>
      </w:r>
      <w:proofErr w:type="gramEnd"/>
      <w:r w:rsidRPr="007C25F9">
        <w:t>:</w:t>
      </w:r>
    </w:p>
    <w:p w14:paraId="6915609F" w14:textId="77777777" w:rsidR="00533F55" w:rsidRPr="007C25F9" w:rsidRDefault="00533F55" w:rsidP="00A42D0A">
      <w:pPr>
        <w:pStyle w:val="Heading4"/>
      </w:pPr>
      <w:r w:rsidRPr="007C25F9">
        <w:t>Acknowledgment</w:t>
      </w:r>
    </w:p>
    <w:p w14:paraId="7428A760" w14:textId="77777777" w:rsidR="00533F55" w:rsidRPr="007C25F9" w:rsidRDefault="00533F55"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56A9F221" w14:textId="77777777" w:rsidR="00533F55" w:rsidRPr="007C25F9" w:rsidRDefault="00533F55" w:rsidP="00783ABE">
      <w:r w:rsidRPr="00616C08">
        <w:rPr>
          <w:noProof/>
        </w:rPr>
        <w:t>VbA</w:t>
      </w:r>
    </w:p>
    <w:p w14:paraId="50BAB753" w14:textId="77777777" w:rsidR="00533F55" w:rsidRPr="007C25F9" w:rsidRDefault="00533F55" w:rsidP="00A42D0A">
      <w:pPr>
        <w:pStyle w:val="Heading4"/>
      </w:pPr>
      <w:r w:rsidRPr="007C25F9">
        <w:t>Certification</w:t>
      </w:r>
    </w:p>
    <w:p w14:paraId="2617D51A" w14:textId="77777777" w:rsidR="00533F55" w:rsidRPr="007C25F9" w:rsidRDefault="00533F55"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7B571A23" w14:textId="77777777" w:rsidR="00533F55" w:rsidRPr="007C25F9" w:rsidRDefault="00533F55" w:rsidP="00783ABE">
      <w:r w:rsidRPr="00616C08">
        <w:rPr>
          <w:noProof/>
        </w:rPr>
        <w:t>VbA</w:t>
      </w:r>
    </w:p>
    <w:p w14:paraId="5792ACCC" w14:textId="77777777" w:rsidR="00533F55" w:rsidRPr="007C25F9" w:rsidRDefault="00533F55"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533F55" w:rsidRPr="007C25F9" w14:paraId="468E0D0A" w14:textId="77777777" w:rsidTr="007929F6">
        <w:trPr>
          <w:cantSplit/>
          <w:tblHeader/>
        </w:trPr>
        <w:tc>
          <w:tcPr>
            <w:tcW w:w="4675" w:type="dxa"/>
            <w:shd w:val="clear" w:color="auto" w:fill="D9D9D9" w:themeFill="background1" w:themeFillShade="D9"/>
          </w:tcPr>
          <w:p w14:paraId="30FBE028" w14:textId="77777777" w:rsidR="00533F55" w:rsidRPr="007C25F9" w:rsidRDefault="00533F55" w:rsidP="00D41927">
            <w:pPr>
              <w:rPr>
                <w:b/>
                <w:bCs/>
              </w:rPr>
            </w:pPr>
            <w:r w:rsidRPr="007C25F9">
              <w:rPr>
                <w:b/>
                <w:bCs/>
              </w:rPr>
              <w:t>Prompt</w:t>
            </w:r>
          </w:p>
        </w:tc>
        <w:tc>
          <w:tcPr>
            <w:tcW w:w="4675" w:type="dxa"/>
            <w:shd w:val="clear" w:color="auto" w:fill="D9D9D9" w:themeFill="background1" w:themeFillShade="D9"/>
          </w:tcPr>
          <w:p w14:paraId="49D33466" w14:textId="77777777" w:rsidR="00533F55" w:rsidRPr="007C25F9" w:rsidRDefault="00533F55" w:rsidP="00D41927">
            <w:pPr>
              <w:rPr>
                <w:b/>
                <w:bCs/>
              </w:rPr>
            </w:pPr>
            <w:r w:rsidRPr="007C25F9">
              <w:rPr>
                <w:b/>
                <w:bCs/>
              </w:rPr>
              <w:t>Response</w:t>
            </w:r>
          </w:p>
        </w:tc>
      </w:tr>
      <w:tr w:rsidR="00533F55" w:rsidRPr="007C25F9" w14:paraId="2586F6B4" w14:textId="77777777" w:rsidTr="007929F6">
        <w:trPr>
          <w:cantSplit/>
          <w:tblHeader/>
        </w:trPr>
        <w:tc>
          <w:tcPr>
            <w:tcW w:w="4675" w:type="dxa"/>
          </w:tcPr>
          <w:p w14:paraId="52970642" w14:textId="77777777" w:rsidR="00533F55" w:rsidRPr="007C25F9" w:rsidRDefault="00533F55" w:rsidP="00D41927">
            <w:r w:rsidRPr="007C25F9">
              <w:t>Full Legal Name</w:t>
            </w:r>
          </w:p>
        </w:tc>
        <w:tc>
          <w:tcPr>
            <w:tcW w:w="4675" w:type="dxa"/>
          </w:tcPr>
          <w:p w14:paraId="06D7F2B6" w14:textId="77777777" w:rsidR="00533F55" w:rsidRPr="007C25F9" w:rsidRDefault="00533F55" w:rsidP="00D41927">
            <w:r w:rsidRPr="00616C08">
              <w:rPr>
                <w:noProof/>
              </w:rPr>
              <w:t>Victor Aguirre</w:t>
            </w:r>
          </w:p>
        </w:tc>
      </w:tr>
      <w:tr w:rsidR="00533F55" w:rsidRPr="007C25F9" w14:paraId="72EA5146" w14:textId="77777777" w:rsidTr="007929F6">
        <w:trPr>
          <w:cantSplit/>
          <w:tblHeader/>
        </w:trPr>
        <w:tc>
          <w:tcPr>
            <w:tcW w:w="4675" w:type="dxa"/>
          </w:tcPr>
          <w:p w14:paraId="45B30EEA" w14:textId="77777777" w:rsidR="00533F55" w:rsidRPr="007C25F9" w:rsidRDefault="00533F55" w:rsidP="00D41927">
            <w:r w:rsidRPr="007C25F9">
              <w:t>Job Title</w:t>
            </w:r>
          </w:p>
        </w:tc>
        <w:tc>
          <w:tcPr>
            <w:tcW w:w="4675" w:type="dxa"/>
          </w:tcPr>
          <w:p w14:paraId="014FF157" w14:textId="77777777" w:rsidR="00533F55" w:rsidRPr="007C25F9" w:rsidRDefault="00533F55" w:rsidP="00D41927">
            <w:r w:rsidRPr="00616C08">
              <w:rPr>
                <w:noProof/>
              </w:rPr>
              <w:t>Executive Director</w:t>
            </w:r>
          </w:p>
        </w:tc>
      </w:tr>
      <w:tr w:rsidR="00533F55" w:rsidRPr="007C25F9" w14:paraId="6848D58F" w14:textId="77777777" w:rsidTr="007929F6">
        <w:trPr>
          <w:cantSplit/>
          <w:tblHeader/>
        </w:trPr>
        <w:tc>
          <w:tcPr>
            <w:tcW w:w="4675" w:type="dxa"/>
          </w:tcPr>
          <w:p w14:paraId="223CCCE4" w14:textId="77777777" w:rsidR="00533F55" w:rsidRPr="007C25F9" w:rsidRDefault="00533F55" w:rsidP="00D41927">
            <w:r w:rsidRPr="007C25F9">
              <w:t>Email Address</w:t>
            </w:r>
          </w:p>
        </w:tc>
        <w:tc>
          <w:tcPr>
            <w:tcW w:w="4675" w:type="dxa"/>
          </w:tcPr>
          <w:p w14:paraId="118CF968" w14:textId="77777777" w:rsidR="00533F55" w:rsidRPr="007C25F9" w:rsidRDefault="00533F55" w:rsidP="00D41927">
            <w:r w:rsidRPr="00616C08">
              <w:rPr>
                <w:noProof/>
              </w:rPr>
              <w:t>victor.aguirre@academiaavance.com</w:t>
            </w:r>
          </w:p>
        </w:tc>
      </w:tr>
      <w:tr w:rsidR="00533F55" w14:paraId="1E57F1F4" w14:textId="77777777" w:rsidTr="007929F6">
        <w:trPr>
          <w:cantSplit/>
          <w:tblHeader/>
        </w:trPr>
        <w:tc>
          <w:tcPr>
            <w:tcW w:w="4675" w:type="dxa"/>
          </w:tcPr>
          <w:p w14:paraId="4D35B36D" w14:textId="77777777" w:rsidR="00533F55" w:rsidRPr="007C25F9" w:rsidRDefault="00533F55" w:rsidP="00D41927">
            <w:r w:rsidRPr="007C25F9">
              <w:t>Phone Number</w:t>
            </w:r>
          </w:p>
        </w:tc>
        <w:tc>
          <w:tcPr>
            <w:tcW w:w="4675" w:type="dxa"/>
          </w:tcPr>
          <w:p w14:paraId="20314CB1" w14:textId="77777777" w:rsidR="00533F55" w:rsidRDefault="00533F55" w:rsidP="00D41927">
            <w:r w:rsidRPr="00616C08">
              <w:rPr>
                <w:noProof/>
              </w:rPr>
              <w:t>909-536-6246</w:t>
            </w:r>
          </w:p>
        </w:tc>
      </w:tr>
    </w:tbl>
    <w:p w14:paraId="5B83D802" w14:textId="77777777" w:rsidR="00533F55" w:rsidRPr="00E810BB" w:rsidRDefault="00533F55" w:rsidP="00E33535"/>
    <w:sectPr w:rsidR="00533F55" w:rsidRPr="00E810BB" w:rsidSect="00533F55">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F2D6" w14:textId="77777777" w:rsidR="00533F55" w:rsidRDefault="00533F55" w:rsidP="002174BD">
      <w:pPr>
        <w:spacing w:after="0"/>
      </w:pPr>
      <w:r>
        <w:separator/>
      </w:r>
    </w:p>
  </w:endnote>
  <w:endnote w:type="continuationSeparator" w:id="0">
    <w:p w14:paraId="27D54591" w14:textId="77777777" w:rsidR="00533F55" w:rsidRDefault="00533F55"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39E8" w14:textId="77777777" w:rsidR="00533F55" w:rsidRDefault="00533F55" w:rsidP="002174BD">
      <w:pPr>
        <w:spacing w:after="0"/>
      </w:pPr>
      <w:r>
        <w:separator/>
      </w:r>
    </w:p>
  </w:footnote>
  <w:footnote w:type="continuationSeparator" w:id="0">
    <w:p w14:paraId="6AF8B2A0" w14:textId="77777777" w:rsidR="00533F55" w:rsidRDefault="00533F55"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372E" w14:textId="77777777" w:rsidR="007755D4" w:rsidRPr="007C25F9" w:rsidRDefault="007755D4" w:rsidP="00FB6508">
    <w:pPr>
      <w:pStyle w:val="Header"/>
      <w:jc w:val="right"/>
    </w:pPr>
    <w:r>
      <w:t>memo-</w:t>
    </w:r>
    <w:r w:rsidRPr="007C25F9">
      <w:t>lacb-csd-</w:t>
    </w:r>
    <w:r>
      <w:t>apr</w:t>
    </w:r>
    <w:r w:rsidRPr="007C25F9">
      <w:t>25item</w:t>
    </w:r>
    <w:r>
      <w:t>02</w:t>
    </w:r>
  </w:p>
  <w:p w14:paraId="6F8A812C" w14:textId="1741D3A1" w:rsidR="00D852E7" w:rsidRDefault="00D852E7" w:rsidP="00FB6508">
    <w:pPr>
      <w:pStyle w:val="Header"/>
      <w:jc w:val="right"/>
    </w:pPr>
    <w:r w:rsidRPr="0071351F">
      <w:t xml:space="preserve">Attachment </w:t>
    </w:r>
    <w:r w:rsidR="0071351F" w:rsidRPr="0071351F">
      <w:t>3</w:t>
    </w:r>
    <w:r w:rsidRPr="0071351F">
      <w:t xml:space="preserve"> - </w:t>
    </w:r>
    <w:r w:rsidR="00A45C62" w:rsidRPr="0071351F">
      <w:rPr>
        <w:noProof/>
      </w:rPr>
      <w:t>Academia Avance Charter</w:t>
    </w:r>
    <w:r w:rsidR="009C5880" w:rsidRPr="0071351F">
      <w:rPr>
        <w:noProof/>
      </w:rPr>
      <w:t xml:space="preserve"> </w:t>
    </w:r>
    <w:r w:rsidRPr="0071351F">
      <w:t>(Charter #</w:t>
    </w:r>
    <w:r w:rsidR="00A45C62" w:rsidRPr="0071351F">
      <w:rPr>
        <w:noProof/>
      </w:rPr>
      <w:t>0738</w:t>
    </w:r>
    <w:r w:rsidRPr="0071351F">
      <w:t>)</w:t>
    </w:r>
  </w:p>
  <w:p w14:paraId="2F8A5C9D" w14:textId="77777777" w:rsidR="00AC0320" w:rsidRPr="00D852E7" w:rsidRDefault="00D852E7" w:rsidP="00FB6508">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A6AF3"/>
    <w:rsid w:val="002B6DCA"/>
    <w:rsid w:val="003002B4"/>
    <w:rsid w:val="00330138"/>
    <w:rsid w:val="00334354"/>
    <w:rsid w:val="003418E1"/>
    <w:rsid w:val="003425F0"/>
    <w:rsid w:val="00342FE5"/>
    <w:rsid w:val="003878C5"/>
    <w:rsid w:val="003B125B"/>
    <w:rsid w:val="0040704F"/>
    <w:rsid w:val="004235EF"/>
    <w:rsid w:val="0045774B"/>
    <w:rsid w:val="0049151F"/>
    <w:rsid w:val="004926FC"/>
    <w:rsid w:val="004D7A03"/>
    <w:rsid w:val="004E145F"/>
    <w:rsid w:val="004F6124"/>
    <w:rsid w:val="00510405"/>
    <w:rsid w:val="005302B7"/>
    <w:rsid w:val="005315CB"/>
    <w:rsid w:val="00533F55"/>
    <w:rsid w:val="005428AF"/>
    <w:rsid w:val="00570E5D"/>
    <w:rsid w:val="00577450"/>
    <w:rsid w:val="00580996"/>
    <w:rsid w:val="00582F1F"/>
    <w:rsid w:val="00582FF4"/>
    <w:rsid w:val="005A4D11"/>
    <w:rsid w:val="005A596B"/>
    <w:rsid w:val="005E1711"/>
    <w:rsid w:val="005E21DD"/>
    <w:rsid w:val="005F171A"/>
    <w:rsid w:val="005F6FE2"/>
    <w:rsid w:val="00617D8F"/>
    <w:rsid w:val="006758A6"/>
    <w:rsid w:val="006A5890"/>
    <w:rsid w:val="006C3EF7"/>
    <w:rsid w:val="00700651"/>
    <w:rsid w:val="0071351F"/>
    <w:rsid w:val="007252DE"/>
    <w:rsid w:val="00757322"/>
    <w:rsid w:val="00765AEF"/>
    <w:rsid w:val="007755D4"/>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579D8"/>
    <w:rsid w:val="00A971A6"/>
    <w:rsid w:val="00AB2A51"/>
    <w:rsid w:val="00AC0320"/>
    <w:rsid w:val="00AC2B91"/>
    <w:rsid w:val="00AE4773"/>
    <w:rsid w:val="00AF5D30"/>
    <w:rsid w:val="00B63405"/>
    <w:rsid w:val="00B9677C"/>
    <w:rsid w:val="00B97A3C"/>
    <w:rsid w:val="00BC6BA7"/>
    <w:rsid w:val="00BE1ECA"/>
    <w:rsid w:val="00BF0851"/>
    <w:rsid w:val="00C235D2"/>
    <w:rsid w:val="00C2622E"/>
    <w:rsid w:val="00C31395"/>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76516"/>
    <w:rsid w:val="00E810BB"/>
    <w:rsid w:val="00EB4763"/>
    <w:rsid w:val="00EF054D"/>
    <w:rsid w:val="00EF0E1C"/>
    <w:rsid w:val="00F303BC"/>
    <w:rsid w:val="00F35436"/>
    <w:rsid w:val="00F36F1F"/>
    <w:rsid w:val="00FA0A46"/>
    <w:rsid w:val="00FB6508"/>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CAA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4109</Words>
  <Characters>23423</Characters>
  <DocSecurity>0</DocSecurity>
  <Lines>195</Lines>
  <Paragraphs>54</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3 - Information Memorandum (CA State Board of Education)</dc:title>
  <dc:subject>Academia Avance Charter Academic Memorandum Response.</dc:subject>
  <dc:creator/>
  <cp:keywords/>
  <dc:description/>
  <cp:lastModifiedBy/>
  <dcterms:created xsi:type="dcterms:W3CDTF">2025-02-25T16:05:00Z</dcterms:created>
  <dcterms:modified xsi:type="dcterms:W3CDTF">2025-04-18T22:19:00Z</dcterms:modified>
  <cp:category/>
</cp:coreProperties>
</file>