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9ED7" w14:textId="77777777" w:rsidR="00057A96" w:rsidRPr="00D26A93" w:rsidRDefault="00057A96" w:rsidP="00057A96">
      <w:pPr>
        <w:rPr>
          <w:rFonts w:cs="Arial"/>
        </w:rPr>
      </w:pPr>
      <w:r w:rsidRPr="00D26A93">
        <w:rPr>
          <w:rFonts w:cs="Arial"/>
        </w:rPr>
        <w:t>California Department of Education</w:t>
      </w:r>
    </w:p>
    <w:p w14:paraId="6229868E" w14:textId="77777777" w:rsidR="00057A96" w:rsidRPr="00D26A93" w:rsidRDefault="00057A96" w:rsidP="00057A96">
      <w:pPr>
        <w:rPr>
          <w:rFonts w:cs="Arial"/>
        </w:rPr>
      </w:pPr>
      <w:r w:rsidRPr="00D26A93">
        <w:rPr>
          <w:rFonts w:cs="Arial"/>
        </w:rPr>
        <w:t>Executive Office</w:t>
      </w:r>
    </w:p>
    <w:p w14:paraId="6E1BD784" w14:textId="77777777" w:rsidR="00982A10" w:rsidRPr="00D26A93" w:rsidRDefault="00057A96" w:rsidP="00982A10">
      <w:pPr>
        <w:rPr>
          <w:rFonts w:cs="Arial"/>
        </w:rPr>
      </w:pPr>
      <w:r w:rsidRPr="00D26A93">
        <w:rPr>
          <w:rFonts w:cs="Arial"/>
        </w:rPr>
        <w:t>SBE-00</w:t>
      </w:r>
      <w:r w:rsidR="00BC376B" w:rsidRPr="00D26A93">
        <w:rPr>
          <w:rFonts w:cs="Arial"/>
        </w:rPr>
        <w:t>2</w:t>
      </w:r>
      <w:r w:rsidRPr="00D26A93">
        <w:rPr>
          <w:rFonts w:cs="Arial"/>
        </w:rPr>
        <w:t xml:space="preserve"> (REV. 1</w:t>
      </w:r>
      <w:r w:rsidR="000C139F" w:rsidRPr="00D26A93">
        <w:rPr>
          <w:rFonts w:cs="Arial"/>
        </w:rPr>
        <w:t>1</w:t>
      </w:r>
      <w:r w:rsidRPr="00D26A93">
        <w:rPr>
          <w:rFonts w:cs="Arial"/>
        </w:rPr>
        <w:t>/2017)</w:t>
      </w:r>
    </w:p>
    <w:p w14:paraId="3D27CC4E" w14:textId="4F3C83E6" w:rsidR="00982A10" w:rsidRPr="00D26A93" w:rsidRDefault="00982A10" w:rsidP="00982A10">
      <w:pPr>
        <w:rPr>
          <w:rFonts w:cs="Arial"/>
        </w:rPr>
      </w:pPr>
      <w:r w:rsidRPr="00D26A93">
        <w:rPr>
          <w:rFonts w:cs="Arial"/>
        </w:rPr>
        <w:br w:type="column"/>
      </w:r>
      <w:r w:rsidR="00C14098" w:rsidRPr="00D26A93">
        <w:rPr>
          <w:rFonts w:cs="Arial"/>
        </w:rPr>
        <w:t>memo-im</w:t>
      </w:r>
      <w:r w:rsidR="00EF16D4" w:rsidRPr="00D26A93">
        <w:rPr>
          <w:rFonts w:cs="Arial"/>
        </w:rPr>
        <w:t>a</w:t>
      </w:r>
      <w:r w:rsidR="00C14098" w:rsidRPr="00D26A93">
        <w:rPr>
          <w:rFonts w:cs="Arial"/>
        </w:rPr>
        <w:t>b-</w:t>
      </w:r>
      <w:r w:rsidR="003F50BC" w:rsidRPr="00D26A93">
        <w:rPr>
          <w:rFonts w:cs="Arial"/>
        </w:rPr>
        <w:t>plsd</w:t>
      </w:r>
      <w:r w:rsidR="00C14098" w:rsidRPr="00D26A93">
        <w:rPr>
          <w:rFonts w:cs="Arial"/>
        </w:rPr>
        <w:t>-</w:t>
      </w:r>
      <w:r w:rsidR="00FC746A" w:rsidRPr="00D26A93">
        <w:rPr>
          <w:rFonts w:cs="Arial"/>
        </w:rPr>
        <w:t>aug</w:t>
      </w:r>
      <w:r w:rsidR="00B17237" w:rsidRPr="00D26A93">
        <w:rPr>
          <w:rFonts w:cs="Arial"/>
        </w:rPr>
        <w:t>2</w:t>
      </w:r>
      <w:r w:rsidR="003F50BC" w:rsidRPr="00D26A93">
        <w:rPr>
          <w:rFonts w:cs="Arial"/>
        </w:rPr>
        <w:t>4</w:t>
      </w:r>
      <w:r w:rsidR="00C14098" w:rsidRPr="00D26A93">
        <w:rPr>
          <w:rFonts w:cs="Arial"/>
        </w:rPr>
        <w:t>item</w:t>
      </w:r>
      <w:r w:rsidR="009167A9">
        <w:rPr>
          <w:rFonts w:cs="Arial"/>
        </w:rPr>
        <w:t>01</w:t>
      </w:r>
    </w:p>
    <w:p w14:paraId="3AD58ECC" w14:textId="77777777" w:rsidR="00982A10" w:rsidRPr="00D26A93" w:rsidRDefault="00982A10" w:rsidP="0033616F">
      <w:pPr>
        <w:pStyle w:val="Heading1"/>
        <w:spacing w:line="360" w:lineRule="auto"/>
        <w:rPr>
          <w:rFonts w:cs="Arial"/>
          <w:b w:val="0"/>
          <w:szCs w:val="52"/>
        </w:rPr>
        <w:sectPr w:rsidR="00982A10" w:rsidRPr="00D26A93" w:rsidSect="007544C7">
          <w:headerReference w:type="default" r:id="rId10"/>
          <w:type w:val="continuous"/>
          <w:pgSz w:w="12240" w:h="15840"/>
          <w:pgMar w:top="720" w:right="1440" w:bottom="1440" w:left="1440" w:header="720" w:footer="720" w:gutter="0"/>
          <w:cols w:num="2" w:space="144" w:equalWidth="0">
            <w:col w:w="5760" w:space="144"/>
            <w:col w:w="3456"/>
          </w:cols>
          <w:titlePg/>
          <w:docGrid w:linePitch="326"/>
        </w:sectPr>
      </w:pPr>
    </w:p>
    <w:p w14:paraId="31299703" w14:textId="77777777" w:rsidR="003F50BC" w:rsidRPr="00D26A93" w:rsidRDefault="003F50BC" w:rsidP="007544C7">
      <w:pPr>
        <w:pStyle w:val="Heading1"/>
      </w:pPr>
      <w:r w:rsidRPr="00D26A93">
        <w:t>MEMORANDUM</w:t>
      </w:r>
    </w:p>
    <w:p w14:paraId="239324A2" w14:textId="0CF64429" w:rsidR="003F50BC" w:rsidRPr="00D26A93" w:rsidRDefault="003F50BC" w:rsidP="003F50BC">
      <w:pPr>
        <w:pStyle w:val="MessageHeader"/>
        <w:rPr>
          <w:rFonts w:cs="Arial"/>
        </w:rPr>
      </w:pPr>
      <w:r w:rsidRPr="00D26A93">
        <w:rPr>
          <w:rFonts w:cs="Arial"/>
          <w:b/>
        </w:rPr>
        <w:t>DATE:</w:t>
      </w:r>
      <w:r w:rsidRPr="00D26A93">
        <w:rPr>
          <w:rFonts w:cs="Arial"/>
        </w:rPr>
        <w:tab/>
        <w:t xml:space="preserve">August </w:t>
      </w:r>
      <w:r w:rsidR="004A2722">
        <w:rPr>
          <w:rFonts w:cs="Arial"/>
        </w:rPr>
        <w:t>16</w:t>
      </w:r>
      <w:r w:rsidRPr="00D26A93">
        <w:rPr>
          <w:rFonts w:cs="Arial"/>
        </w:rPr>
        <w:t>, 2024</w:t>
      </w:r>
    </w:p>
    <w:p w14:paraId="5EF12CD2" w14:textId="438A55A8" w:rsidR="003F50BC" w:rsidRPr="00D26A93" w:rsidRDefault="003F50BC" w:rsidP="003F50BC">
      <w:pPr>
        <w:pStyle w:val="MessageHeader"/>
        <w:rPr>
          <w:rFonts w:cs="Arial"/>
        </w:rPr>
      </w:pPr>
      <w:r w:rsidRPr="00D26A93">
        <w:rPr>
          <w:rFonts w:cs="Arial"/>
          <w:b/>
        </w:rPr>
        <w:t>TO:</w:t>
      </w:r>
      <w:r w:rsidRPr="00D26A93">
        <w:rPr>
          <w:rFonts w:cs="Arial"/>
          <w:b/>
        </w:rPr>
        <w:tab/>
      </w:r>
      <w:r w:rsidRPr="00D26A93">
        <w:rPr>
          <w:rFonts w:cs="Arial"/>
        </w:rPr>
        <w:t xml:space="preserve">MEMBERS, </w:t>
      </w:r>
      <w:r w:rsidR="00FF21B3">
        <w:rPr>
          <w:rFonts w:cs="Arial"/>
        </w:rPr>
        <w:t xml:space="preserve">California </w:t>
      </w:r>
      <w:r w:rsidRPr="00D26A93">
        <w:rPr>
          <w:rFonts w:cs="Arial"/>
        </w:rPr>
        <w:t>State Board of Education</w:t>
      </w:r>
      <w:r w:rsidRPr="00D26A93">
        <w:rPr>
          <w:rFonts w:cs="Arial"/>
        </w:rPr>
        <w:tab/>
      </w:r>
    </w:p>
    <w:p w14:paraId="6551698D" w14:textId="77777777" w:rsidR="003F50BC" w:rsidRPr="00D26A93" w:rsidRDefault="003F50BC" w:rsidP="003F50BC">
      <w:pPr>
        <w:pStyle w:val="MessageHeader"/>
        <w:rPr>
          <w:rFonts w:cs="Arial"/>
        </w:rPr>
      </w:pPr>
      <w:r w:rsidRPr="00D26A93">
        <w:rPr>
          <w:rFonts w:cs="Arial"/>
          <w:b/>
        </w:rPr>
        <w:t>FROM:</w:t>
      </w:r>
      <w:r w:rsidRPr="00D26A93">
        <w:rPr>
          <w:rFonts w:cs="Arial"/>
        </w:rPr>
        <w:tab/>
        <w:t>TONY THURMOND, State Superintendent of Public Instruction</w:t>
      </w:r>
    </w:p>
    <w:p w14:paraId="7F4B2A53" w14:textId="77777777" w:rsidR="003F50BC" w:rsidRPr="00D26A93" w:rsidRDefault="003F50BC" w:rsidP="003F50BC">
      <w:pPr>
        <w:pStyle w:val="MessageHeader"/>
        <w:rPr>
          <w:rFonts w:cs="Arial"/>
          <w:b/>
          <w:bCs/>
          <w:color w:val="000000" w:themeColor="text1"/>
        </w:rPr>
      </w:pPr>
      <w:r w:rsidRPr="00D26A93">
        <w:rPr>
          <w:rFonts w:cs="Arial"/>
          <w:b/>
        </w:rPr>
        <w:t>SUBJECT:</w:t>
      </w:r>
      <w:r w:rsidRPr="00D26A93">
        <w:rPr>
          <w:rFonts w:cs="Arial"/>
          <w:b/>
        </w:rPr>
        <w:tab/>
      </w:r>
      <w:r w:rsidRPr="00D26A93">
        <w:rPr>
          <w:rFonts w:cs="Arial"/>
        </w:rPr>
        <w:t>2021–22 Educator Equity Data</w:t>
      </w:r>
      <w:r w:rsidRPr="00D26A93">
        <w:rPr>
          <w:rFonts w:cs="Arial"/>
          <w:b/>
          <w:bCs/>
          <w:color w:val="000000" w:themeColor="text1"/>
        </w:rPr>
        <w:t xml:space="preserve"> </w:t>
      </w:r>
    </w:p>
    <w:p w14:paraId="01A3A5C5" w14:textId="77777777" w:rsidR="003F50BC" w:rsidRPr="00D26A93" w:rsidRDefault="003F50BC" w:rsidP="003F50BC">
      <w:pPr>
        <w:pStyle w:val="Heading2"/>
        <w:rPr>
          <w:rFonts w:cs="Arial"/>
          <w:szCs w:val="36"/>
        </w:rPr>
      </w:pPr>
      <w:r w:rsidRPr="00D26A93">
        <w:rPr>
          <w:rFonts w:cs="Arial"/>
          <w:szCs w:val="36"/>
        </w:rPr>
        <w:t>Summary of Key Issues</w:t>
      </w:r>
    </w:p>
    <w:p w14:paraId="7E1B3487" w14:textId="3996F627" w:rsidR="003F50BC" w:rsidRPr="00D26A93" w:rsidRDefault="003F50BC" w:rsidP="46A2BB53">
      <w:pPr>
        <w:spacing w:after="240"/>
        <w:rPr>
          <w:rFonts w:eastAsia="Calibri" w:cs="Arial"/>
        </w:rPr>
      </w:pPr>
      <w:r w:rsidRPr="00D26A93">
        <w:rPr>
          <w:rFonts w:eastAsia="Calibri" w:cs="Arial"/>
        </w:rPr>
        <w:t>California has long been committed to providing a high-quality education to all students regardless of socioeconomic status or background. Educational equity has been a</w:t>
      </w:r>
      <w:r w:rsidR="00355B4D">
        <w:rPr>
          <w:rFonts w:eastAsia="Calibri" w:cs="Arial"/>
        </w:rPr>
        <w:t>n</w:t>
      </w:r>
      <w:r w:rsidRPr="00D26A93">
        <w:rPr>
          <w:rFonts w:eastAsia="Calibri" w:cs="Arial"/>
        </w:rPr>
        <w:t xml:space="preserve"> </w:t>
      </w:r>
      <w:r w:rsidR="00355B4D">
        <w:rPr>
          <w:rFonts w:eastAsia="Calibri" w:cs="Arial"/>
        </w:rPr>
        <w:t>articulated</w:t>
      </w:r>
      <w:r w:rsidR="00355B4D" w:rsidRPr="00D26A93">
        <w:rPr>
          <w:rFonts w:eastAsia="Calibri" w:cs="Arial"/>
        </w:rPr>
        <w:t xml:space="preserve"> </w:t>
      </w:r>
      <w:r w:rsidRPr="00D26A93">
        <w:rPr>
          <w:rFonts w:eastAsia="Calibri" w:cs="Arial"/>
        </w:rPr>
        <w:t xml:space="preserve">priority for many years. Under the </w:t>
      </w:r>
      <w:bookmarkStart w:id="0" w:name="_Hlk169090883"/>
      <w:r w:rsidRPr="00D26A93">
        <w:rPr>
          <w:rFonts w:eastAsia="Calibri" w:cs="Arial"/>
        </w:rPr>
        <w:t>Every Student Succeeds Act</w:t>
      </w:r>
      <w:bookmarkEnd w:id="0"/>
      <w:r w:rsidRPr="00D26A93">
        <w:rPr>
          <w:rFonts w:eastAsia="Calibri" w:cs="Arial"/>
        </w:rPr>
        <w:t xml:space="preserve"> (ESSA), the California Department of Education (CDE) is expanding its previous work to recruit, prepare, and maintain a highly skilled educator workforce for the benefit of all students, especially students from historically underserved communities. </w:t>
      </w:r>
    </w:p>
    <w:p w14:paraId="74BB2790" w14:textId="67B6AEE8" w:rsidR="003F50BC" w:rsidRPr="00D26A93" w:rsidRDefault="003F50BC" w:rsidP="00B25530">
      <w:pPr>
        <w:spacing w:after="480"/>
        <w:rPr>
          <w:rFonts w:eastAsia="Calibri" w:cs="Arial"/>
          <w:lang w:val="en"/>
        </w:rPr>
      </w:pPr>
      <w:r w:rsidRPr="00D26A93">
        <w:rPr>
          <w:rFonts w:eastAsia="Calibri" w:cs="Arial"/>
          <w:lang w:val="en"/>
        </w:rPr>
        <w:t>This memo includes data illustrating the various credential statuses recognized by state law, statewide teacher misassignments, and data describing the distribution of inexperienced,</w:t>
      </w:r>
      <w:r w:rsidR="00252EAF">
        <w:rPr>
          <w:rFonts w:eastAsia="Calibri" w:cs="Arial"/>
          <w:lang w:val="en"/>
        </w:rPr>
        <w:t xml:space="preserve"> </w:t>
      </w:r>
      <w:r w:rsidRPr="00D26A93">
        <w:rPr>
          <w:rFonts w:eastAsia="Calibri" w:cs="Arial"/>
          <w:lang w:val="en"/>
        </w:rPr>
        <w:t xml:space="preserve">ineffective, and out-of-field teachers serving students of color (also referred to as minority students throughout this item) and </w:t>
      </w:r>
      <w:r w:rsidR="00BE59C4">
        <w:rPr>
          <w:rFonts w:eastAsia="Calibri" w:cs="Arial"/>
          <w:lang w:val="en"/>
        </w:rPr>
        <w:t>s</w:t>
      </w:r>
      <w:r w:rsidRPr="00D26A93">
        <w:rPr>
          <w:rFonts w:eastAsia="Calibri" w:cs="Arial"/>
          <w:lang w:val="en"/>
        </w:rPr>
        <w:t xml:space="preserve">ocioeconomically </w:t>
      </w:r>
      <w:r w:rsidR="00BE59C4">
        <w:rPr>
          <w:rFonts w:eastAsia="Calibri" w:cs="Arial"/>
          <w:lang w:val="en"/>
        </w:rPr>
        <w:t>d</w:t>
      </w:r>
      <w:r w:rsidRPr="00D26A93">
        <w:rPr>
          <w:rFonts w:eastAsia="Calibri" w:cs="Arial"/>
          <w:lang w:val="en"/>
        </w:rPr>
        <w:t>isadvantaged (SED) students (also referred to as low</w:t>
      </w:r>
      <w:r w:rsidR="009D0BDE">
        <w:rPr>
          <w:rFonts w:eastAsia="Calibri" w:cs="Arial"/>
          <w:lang w:val="en"/>
        </w:rPr>
        <w:t>-</w:t>
      </w:r>
      <w:r w:rsidRPr="00D26A93">
        <w:rPr>
          <w:rFonts w:eastAsia="Calibri" w:cs="Arial"/>
          <w:lang w:val="en"/>
        </w:rPr>
        <w:t>income students throughout this item).</w:t>
      </w:r>
    </w:p>
    <w:p w14:paraId="4AE9A2BE" w14:textId="77777777" w:rsidR="003F50BC" w:rsidRPr="00D26A93" w:rsidRDefault="003F50BC" w:rsidP="00B25530">
      <w:pPr>
        <w:pStyle w:val="Heading3"/>
        <w:spacing w:before="0"/>
        <w:rPr>
          <w:rFonts w:cs="Arial"/>
          <w:bCs/>
          <w:szCs w:val="32"/>
        </w:rPr>
      </w:pPr>
      <w:r w:rsidRPr="00D26A93">
        <w:rPr>
          <w:rFonts w:cs="Arial"/>
          <w:bCs/>
          <w:szCs w:val="32"/>
        </w:rPr>
        <w:t>Assignment Monitoring in California</w:t>
      </w:r>
    </w:p>
    <w:p w14:paraId="00152E5E" w14:textId="0870C9CA" w:rsidR="003F50BC" w:rsidRPr="00D26A93" w:rsidRDefault="003F50BC" w:rsidP="003F50BC">
      <w:pPr>
        <w:spacing w:after="240"/>
        <w:rPr>
          <w:rFonts w:cs="Arial"/>
        </w:rPr>
      </w:pPr>
      <w:r w:rsidRPr="00D26A93">
        <w:rPr>
          <w:rFonts w:cs="Arial"/>
        </w:rPr>
        <w:t xml:space="preserve">Historically, teacher assignment monitoring was accomplished through a labor intensive, paper-based process in which </w:t>
      </w:r>
      <w:r w:rsidR="00667D3D">
        <w:rPr>
          <w:rFonts w:cs="Arial"/>
        </w:rPr>
        <w:t>c</w:t>
      </w:r>
      <w:r w:rsidRPr="00D26A93">
        <w:rPr>
          <w:rFonts w:cs="Arial"/>
        </w:rPr>
        <w:t xml:space="preserve">ounty </w:t>
      </w:r>
      <w:r w:rsidR="00667D3D">
        <w:rPr>
          <w:rFonts w:cs="Arial"/>
        </w:rPr>
        <w:t>o</w:t>
      </w:r>
      <w:r w:rsidRPr="00D26A93">
        <w:rPr>
          <w:rFonts w:cs="Arial"/>
        </w:rPr>
        <w:t xml:space="preserve">ffice of </w:t>
      </w:r>
      <w:r w:rsidR="00667D3D">
        <w:rPr>
          <w:rFonts w:cs="Arial"/>
        </w:rPr>
        <w:t>e</w:t>
      </w:r>
      <w:r w:rsidRPr="00D26A93">
        <w:rPr>
          <w:rFonts w:cs="Arial"/>
        </w:rPr>
        <w:t>ducation (COE) credential analysts manually compared master schedules, course descriptions, and educator credential information. Due to the immense workload,</w:t>
      </w:r>
      <w:r w:rsidR="00667D3D">
        <w:rPr>
          <w:rFonts w:cs="Arial"/>
        </w:rPr>
        <w:t xml:space="preserve"> the</w:t>
      </w:r>
      <w:r w:rsidRPr="00D26A93">
        <w:rPr>
          <w:rFonts w:cs="Arial"/>
        </w:rPr>
        <w:t xml:space="preserve"> statute required that only one-quarter of certificated staff employed within California be reviewed annually. However, decile </w:t>
      </w:r>
      <w:r w:rsidR="00713E7E">
        <w:rPr>
          <w:rFonts w:cs="Arial"/>
        </w:rPr>
        <w:t>one to three</w:t>
      </w:r>
      <w:r w:rsidRPr="00D26A93">
        <w:rPr>
          <w:rFonts w:cs="Arial"/>
        </w:rPr>
        <w:t xml:space="preserve"> schools under the former Academic Performance Index system were monitored annually. Therefore, the </w:t>
      </w:r>
      <w:r w:rsidR="00355B4D">
        <w:rPr>
          <w:rFonts w:cs="Arial"/>
        </w:rPr>
        <w:t xml:space="preserve">complete </w:t>
      </w:r>
      <w:r w:rsidRPr="00D26A93">
        <w:rPr>
          <w:rFonts w:cs="Arial"/>
        </w:rPr>
        <w:t xml:space="preserve">results of statewide monitoring were not available until the culmination of a four-year cycle. This timeline prevented the California Commission on Teacher Credentialing (CTC) and </w:t>
      </w:r>
      <w:r w:rsidR="004569BA">
        <w:rPr>
          <w:rFonts w:cs="Arial"/>
        </w:rPr>
        <w:t xml:space="preserve">the </w:t>
      </w:r>
      <w:r w:rsidRPr="00D26A93">
        <w:rPr>
          <w:rFonts w:cs="Arial"/>
        </w:rPr>
        <w:t>CDE from being able to provide the misassignment data necessary to fulfill federal reporting requirements under</w:t>
      </w:r>
      <w:r w:rsidR="00A5208B">
        <w:rPr>
          <w:rFonts w:cs="Arial"/>
        </w:rPr>
        <w:t xml:space="preserve"> the</w:t>
      </w:r>
      <w:r w:rsidRPr="00D26A93">
        <w:rPr>
          <w:rFonts w:cs="Arial"/>
        </w:rPr>
        <w:t xml:space="preserve"> ESSA. </w:t>
      </w:r>
    </w:p>
    <w:p w14:paraId="47A0695F" w14:textId="5B92F37C" w:rsidR="003F50BC" w:rsidRPr="00D26A93" w:rsidRDefault="003F50BC" w:rsidP="003F50BC">
      <w:pPr>
        <w:spacing w:after="240"/>
        <w:rPr>
          <w:rFonts w:cs="Arial"/>
          <w:color w:val="000000"/>
        </w:rPr>
      </w:pPr>
      <w:r w:rsidRPr="00D26A93">
        <w:rPr>
          <w:rFonts w:cs="Arial"/>
          <w:color w:val="000000"/>
        </w:rPr>
        <w:lastRenderedPageBreak/>
        <w:t>In 2019, Assembly Bill (AB) 1219 (Chapter 782, Statutes of 2020)</w:t>
      </w:r>
      <w:r w:rsidR="00355B4D">
        <w:rPr>
          <w:rFonts w:cs="Arial"/>
          <w:color w:val="000000"/>
        </w:rPr>
        <w:t xml:space="preserve"> was enacted</w:t>
      </w:r>
      <w:r w:rsidRPr="00D26A93">
        <w:rPr>
          <w:rFonts w:cs="Arial"/>
          <w:color w:val="000000"/>
        </w:rPr>
        <w:t>, which require</w:t>
      </w:r>
      <w:r w:rsidR="00355B4D">
        <w:rPr>
          <w:rFonts w:cs="Arial"/>
          <w:color w:val="000000"/>
        </w:rPr>
        <w:t>d</w:t>
      </w:r>
      <w:r w:rsidRPr="00D26A93">
        <w:rPr>
          <w:rFonts w:cs="Arial"/>
          <w:color w:val="000000"/>
        </w:rPr>
        <w:t xml:space="preserve"> the CTC to develop an electronic teacher assignment monitoring system known as the California State Assignment Accountability System (</w:t>
      </w:r>
      <w:proofErr w:type="spellStart"/>
      <w:r w:rsidRPr="00D26A93">
        <w:rPr>
          <w:rFonts w:cs="Arial"/>
          <w:color w:val="000000"/>
        </w:rPr>
        <w:t>CalSAAS</w:t>
      </w:r>
      <w:proofErr w:type="spellEnd"/>
      <w:r w:rsidRPr="00D26A93">
        <w:rPr>
          <w:rFonts w:cs="Arial"/>
          <w:color w:val="000000"/>
        </w:rPr>
        <w:t xml:space="preserve">) for the purpose of annually monitoring teacher assignments. </w:t>
      </w:r>
    </w:p>
    <w:p w14:paraId="74EA6568" w14:textId="338FA392" w:rsidR="00DA1B7E" w:rsidRDefault="005431FC" w:rsidP="003F50BC">
      <w:pPr>
        <w:spacing w:after="240"/>
        <w:rPr>
          <w:rFonts w:cs="Arial"/>
          <w:color w:val="000000"/>
        </w:rPr>
      </w:pPr>
      <w:r w:rsidRPr="00DA1B7E">
        <w:rPr>
          <w:rFonts w:cs="Arial"/>
          <w:i/>
          <w:iCs/>
          <w:color w:val="000000"/>
        </w:rPr>
        <w:t>EC</w:t>
      </w:r>
      <w:r>
        <w:rPr>
          <w:rFonts w:cs="Arial"/>
          <w:color w:val="000000"/>
        </w:rPr>
        <w:t xml:space="preserve"> </w:t>
      </w:r>
      <w:r w:rsidR="003F50BC" w:rsidRPr="00D26A93">
        <w:rPr>
          <w:rFonts w:cs="Arial"/>
          <w:color w:val="000000"/>
        </w:rPr>
        <w:t xml:space="preserve">Section 44258.9 also requires the CTC and the CDE to enter into a data-sharing agreement to facilitate the annual monitoring of teacher assignments. As part of this data-sharing agreement, the CDE is required to provide the CTC with certificated staff assignment data that are submitted to the CDE by local educational agencies (LEAs) through the annual California Longitudinal Pupil Achievement Data System (CALPADS) Fall 2 data submission. The CALPADS Fall 2 staff assignment and course data are necessary for the CTC to conduct the annual assignment monitoring process in </w:t>
      </w:r>
      <w:proofErr w:type="spellStart"/>
      <w:r w:rsidR="003F50BC" w:rsidRPr="00D26A93">
        <w:rPr>
          <w:rFonts w:cs="Arial"/>
          <w:color w:val="000000"/>
        </w:rPr>
        <w:t>CalSAAS</w:t>
      </w:r>
      <w:proofErr w:type="spellEnd"/>
      <w:r w:rsidR="003F50BC" w:rsidRPr="00D26A93">
        <w:rPr>
          <w:rFonts w:cs="Arial"/>
          <w:color w:val="000000"/>
        </w:rPr>
        <w:t xml:space="preserve">. In return, the CTC is required to provide the CDE with annual teacher credential and assignment monitoring outcome data consistent with the California Consolidated State Plan approved by the State Board of Education (SBE) to comply with the federal ESSA. In 2019, the SBE also approved updated definitions for ineffective and out-of-field teachers for reporting purposes, which can be found on the </w:t>
      </w:r>
      <w:r w:rsidR="003F50BC" w:rsidRPr="00DA1B7E">
        <w:rPr>
          <w:rFonts w:cs="Arial"/>
          <w:color w:val="000000"/>
        </w:rPr>
        <w:t>CDE Updated Teacher Equity Definitions</w:t>
      </w:r>
      <w:r w:rsidR="003F50BC" w:rsidRPr="00D26A93">
        <w:rPr>
          <w:rFonts w:cs="Arial"/>
          <w:color w:val="000000"/>
        </w:rPr>
        <w:t xml:space="preserve"> web</w:t>
      </w:r>
      <w:r w:rsidR="00E76873">
        <w:rPr>
          <w:rFonts w:cs="Arial"/>
          <w:color w:val="000000"/>
        </w:rPr>
        <w:t xml:space="preserve"> </w:t>
      </w:r>
      <w:r w:rsidR="003F50BC" w:rsidRPr="00D26A93">
        <w:rPr>
          <w:rFonts w:cs="Arial"/>
          <w:color w:val="000000"/>
        </w:rPr>
        <w:t>page</w:t>
      </w:r>
      <w:r w:rsidR="00063289">
        <w:rPr>
          <w:rFonts w:cs="Arial"/>
          <w:color w:val="000000"/>
        </w:rPr>
        <w:t xml:space="preserve"> </w:t>
      </w:r>
      <w:r w:rsidR="00DA1B7E">
        <w:rPr>
          <w:rFonts w:cs="Arial"/>
          <w:color w:val="000000"/>
        </w:rPr>
        <w:t xml:space="preserve">at </w:t>
      </w:r>
      <w:hyperlink r:id="rId11" w:tooltip="Updated Teacher Equity Definitions web page " w:history="1">
        <w:r w:rsidR="00432756" w:rsidRPr="001E2FC4">
          <w:rPr>
            <w:rStyle w:val="Hyperlink"/>
            <w:rFonts w:cs="Arial"/>
          </w:rPr>
          <w:t>https://www.cde.ca.gov/ci/pl/teacherequitydefinitions.asp</w:t>
        </w:r>
      </w:hyperlink>
      <w:r w:rsidR="003F50BC" w:rsidRPr="00D26A93">
        <w:rPr>
          <w:rFonts w:cs="Arial"/>
          <w:color w:val="000000"/>
        </w:rPr>
        <w:t>.</w:t>
      </w:r>
      <w:r w:rsidR="00432756">
        <w:rPr>
          <w:rFonts w:cs="Arial"/>
          <w:color w:val="000000"/>
        </w:rPr>
        <w:t xml:space="preserve"> </w:t>
      </w:r>
    </w:p>
    <w:p w14:paraId="79C1159B" w14:textId="52DBB338" w:rsidR="003F50BC" w:rsidRPr="00D26A93" w:rsidRDefault="003F50BC" w:rsidP="00B67475">
      <w:pPr>
        <w:spacing w:after="240"/>
        <w:rPr>
          <w:rFonts w:cs="Arial"/>
          <w:color w:val="000000"/>
        </w:rPr>
      </w:pPr>
      <w:r w:rsidRPr="677ADCF8">
        <w:rPr>
          <w:rFonts w:cs="Arial"/>
          <w:color w:val="000000" w:themeColor="text1"/>
        </w:rPr>
        <w:t>In preparation for the new assignment monitoring process, in 2019, the CDE implemented a complete overhaul of the California state course codes submitted by LEAs along with the staff and course data collected in the CALPADS Fall 2 data submission. The course code update was done specifically to provide the CTC with more detailed information about teacher course assignments to streamline the monitoring process. Additionally, the CDE and the CTC conducted over 31 in-person professional development opportunities, training over</w:t>
      </w:r>
      <w:r w:rsidRPr="677ADCF8">
        <w:rPr>
          <w:rFonts w:cs="Arial"/>
          <w:lang w:val="en"/>
        </w:rPr>
        <w:t xml:space="preserve"> 3,300 individuals and over 1,900 participants via webinar</w:t>
      </w:r>
      <w:r w:rsidRPr="677ADCF8">
        <w:rPr>
          <w:rFonts w:cs="Arial"/>
          <w:color w:val="000000" w:themeColor="text1"/>
        </w:rPr>
        <w:t xml:space="preserve">. The sessions assisted LEAs to understand the impact of the new course code submission process with respect to the assignment monitoring process through </w:t>
      </w:r>
      <w:proofErr w:type="spellStart"/>
      <w:r w:rsidRPr="677ADCF8">
        <w:rPr>
          <w:rFonts w:cs="Arial"/>
          <w:color w:val="000000" w:themeColor="text1"/>
        </w:rPr>
        <w:t>CalSAAS</w:t>
      </w:r>
      <w:proofErr w:type="spellEnd"/>
      <w:r w:rsidRPr="677ADCF8">
        <w:rPr>
          <w:rFonts w:cs="Arial"/>
          <w:color w:val="000000" w:themeColor="text1"/>
        </w:rPr>
        <w:t xml:space="preserve">. LEAs were encouraged to bring their CALPADS </w:t>
      </w:r>
      <w:r w:rsidR="00C944EE" w:rsidRPr="677ADCF8">
        <w:rPr>
          <w:rFonts w:cs="Arial"/>
          <w:color w:val="000000" w:themeColor="text1"/>
        </w:rPr>
        <w:t>c</w:t>
      </w:r>
      <w:r w:rsidRPr="677ADCF8">
        <w:rPr>
          <w:rFonts w:cs="Arial"/>
          <w:color w:val="000000" w:themeColor="text1"/>
        </w:rPr>
        <w:t xml:space="preserve">oordinators, </w:t>
      </w:r>
      <w:r w:rsidR="7B7595D2" w:rsidRPr="677ADCF8">
        <w:rPr>
          <w:rFonts w:cs="Arial"/>
          <w:color w:val="000000" w:themeColor="text1"/>
        </w:rPr>
        <w:t>c</w:t>
      </w:r>
      <w:r w:rsidRPr="677ADCF8">
        <w:rPr>
          <w:rFonts w:cs="Arial"/>
          <w:color w:val="000000" w:themeColor="text1"/>
        </w:rPr>
        <w:t xml:space="preserve">urriculum and </w:t>
      </w:r>
      <w:r w:rsidR="0593E802" w:rsidRPr="677ADCF8">
        <w:rPr>
          <w:rFonts w:cs="Arial"/>
          <w:color w:val="000000" w:themeColor="text1"/>
        </w:rPr>
        <w:t>i</w:t>
      </w:r>
      <w:r w:rsidRPr="677ADCF8">
        <w:rPr>
          <w:rFonts w:cs="Arial"/>
          <w:color w:val="000000" w:themeColor="text1"/>
        </w:rPr>
        <w:t xml:space="preserve">nstruction staff, and </w:t>
      </w:r>
      <w:r w:rsidR="20222974" w:rsidRPr="677ADCF8">
        <w:rPr>
          <w:rFonts w:cs="Arial"/>
          <w:color w:val="000000" w:themeColor="text1"/>
        </w:rPr>
        <w:t>h</w:t>
      </w:r>
      <w:r w:rsidRPr="677ADCF8">
        <w:rPr>
          <w:rFonts w:cs="Arial"/>
          <w:color w:val="000000" w:themeColor="text1"/>
        </w:rPr>
        <w:t xml:space="preserve">uman </w:t>
      </w:r>
      <w:r w:rsidR="58A1574E" w:rsidRPr="677ADCF8">
        <w:rPr>
          <w:rFonts w:cs="Arial"/>
          <w:color w:val="000000" w:themeColor="text1"/>
        </w:rPr>
        <w:t>r</w:t>
      </w:r>
      <w:r w:rsidRPr="677ADCF8">
        <w:rPr>
          <w:rFonts w:cs="Arial"/>
          <w:color w:val="000000" w:themeColor="text1"/>
        </w:rPr>
        <w:t>esource</w:t>
      </w:r>
      <w:r w:rsidR="00064082" w:rsidRPr="677ADCF8">
        <w:rPr>
          <w:rFonts w:cs="Arial"/>
          <w:color w:val="000000" w:themeColor="text1"/>
        </w:rPr>
        <w:t>s</w:t>
      </w:r>
      <w:r w:rsidRPr="677ADCF8">
        <w:rPr>
          <w:rFonts w:cs="Arial"/>
          <w:color w:val="000000" w:themeColor="text1"/>
        </w:rPr>
        <w:t xml:space="preserve"> staff to these training sessions to ensure accuracy in reporting these data in CALPADS for the </w:t>
      </w:r>
      <w:r>
        <w:br/>
      </w:r>
      <w:r w:rsidRPr="677ADCF8">
        <w:rPr>
          <w:rFonts w:cs="Arial"/>
          <w:color w:val="000000" w:themeColor="text1"/>
        </w:rPr>
        <w:t xml:space="preserve">2019–20 school year. These training sessions were followed up with additional technical support to LEAs for the 2019–20 school year when the initial assignment monitoring process was piloted through </w:t>
      </w:r>
      <w:proofErr w:type="spellStart"/>
      <w:r w:rsidRPr="677ADCF8">
        <w:rPr>
          <w:rFonts w:cs="Arial"/>
          <w:color w:val="000000" w:themeColor="text1"/>
        </w:rPr>
        <w:t>CalSAAS</w:t>
      </w:r>
      <w:proofErr w:type="spellEnd"/>
      <w:r w:rsidRPr="677ADCF8">
        <w:rPr>
          <w:rFonts w:cs="Arial"/>
          <w:color w:val="000000" w:themeColor="text1"/>
        </w:rPr>
        <w:t>. By statute, the 2019–20 assignment monitoring process was for informational purposes only and was not to be used for reporting. </w:t>
      </w:r>
    </w:p>
    <w:p w14:paraId="7F66D61D" w14:textId="50AC757F" w:rsidR="003F50BC" w:rsidRPr="00D26A93" w:rsidRDefault="003F50BC" w:rsidP="00B25530">
      <w:pPr>
        <w:spacing w:after="480"/>
        <w:rPr>
          <w:rFonts w:cs="Arial"/>
          <w:color w:val="000000"/>
        </w:rPr>
      </w:pPr>
      <w:r w:rsidRPr="00D26A93">
        <w:rPr>
          <w:rFonts w:cs="Arial"/>
          <w:color w:val="000000"/>
        </w:rPr>
        <w:t xml:space="preserve">The execution of the data-sharing agreement between the CDE and the CTC and the development of </w:t>
      </w:r>
      <w:proofErr w:type="spellStart"/>
      <w:r w:rsidRPr="00D26A93">
        <w:rPr>
          <w:rFonts w:cs="Arial"/>
          <w:color w:val="000000"/>
        </w:rPr>
        <w:t>CalSAAS</w:t>
      </w:r>
      <w:proofErr w:type="spellEnd"/>
      <w:r w:rsidRPr="00D26A93">
        <w:rPr>
          <w:rFonts w:cs="Arial"/>
          <w:color w:val="000000"/>
        </w:rPr>
        <w:t xml:space="preserve"> allows California, for the first time, to meet the federal reporting requirements established by </w:t>
      </w:r>
      <w:r w:rsidR="00B818C1">
        <w:rPr>
          <w:rFonts w:cs="Arial"/>
          <w:color w:val="000000"/>
        </w:rPr>
        <w:t xml:space="preserve">the </w:t>
      </w:r>
      <w:r w:rsidRPr="00D26A93">
        <w:rPr>
          <w:rFonts w:cs="Arial"/>
          <w:color w:val="000000"/>
        </w:rPr>
        <w:t xml:space="preserve">ESSA. The CDE assignment data and the CTC assignment monitoring outcome data provide the basis for the </w:t>
      </w:r>
      <w:proofErr w:type="spellStart"/>
      <w:r w:rsidRPr="00D26A93">
        <w:rPr>
          <w:rFonts w:cs="Arial"/>
          <w:color w:val="000000"/>
        </w:rPr>
        <w:t>DataQuest</w:t>
      </w:r>
      <w:proofErr w:type="spellEnd"/>
      <w:r w:rsidRPr="00D26A93">
        <w:rPr>
          <w:rFonts w:cs="Arial"/>
          <w:color w:val="000000"/>
        </w:rPr>
        <w:t xml:space="preserve"> Teaching Assignment Monitoring Outcome (AMO) by Full-Time Equivalency (FTE) report to meet the requirements established under California’s ESSA Consolidated State Plan. </w:t>
      </w:r>
    </w:p>
    <w:p w14:paraId="27310BA6" w14:textId="77777777" w:rsidR="003F50BC" w:rsidRPr="00D26A93" w:rsidRDefault="003F50BC" w:rsidP="00B25530">
      <w:pPr>
        <w:pStyle w:val="Heading3"/>
        <w:spacing w:before="0"/>
        <w:rPr>
          <w:rFonts w:eastAsia="Times New Roman" w:cs="Arial"/>
          <w:bCs/>
          <w:szCs w:val="32"/>
        </w:rPr>
      </w:pPr>
      <w:r w:rsidRPr="00D26A93">
        <w:rPr>
          <w:rFonts w:eastAsia="Times New Roman" w:cs="Arial"/>
          <w:bCs/>
          <w:szCs w:val="32"/>
        </w:rPr>
        <w:lastRenderedPageBreak/>
        <w:t>Local Control and Accountability Plan Federal Addendum</w:t>
      </w:r>
    </w:p>
    <w:p w14:paraId="1F98B58D" w14:textId="77777777" w:rsidR="003F50BC" w:rsidRPr="00D26A93" w:rsidRDefault="003F50BC" w:rsidP="00915031">
      <w:pPr>
        <w:spacing w:before="240" w:after="240"/>
        <w:rPr>
          <w:rFonts w:cs="Arial"/>
          <w:shd w:val="clear" w:color="auto" w:fill="FFFFFF"/>
        </w:rPr>
      </w:pPr>
      <w:r w:rsidRPr="00D26A93">
        <w:rPr>
          <w:rFonts w:cs="Arial"/>
          <w:shd w:val="clear" w:color="auto" w:fill="FFFFFF"/>
        </w:rPr>
        <w:t xml:space="preserve">In 2019–20, LEAs applying for ESSA funds had to complete the Local Control and Accountability Plan (LCAP) Federal Addendum as part of meeting the requirements for the ESSA LEA Plan. The LCAP Federal Addendum was meant to supplement the LCAP to ensure that eligible LEAs have the opportunity to meet the LEA Plan provisions of the ESSA. </w:t>
      </w:r>
    </w:p>
    <w:p w14:paraId="40799852" w14:textId="18479C48" w:rsidR="003F50BC" w:rsidRPr="00D26A93" w:rsidRDefault="003F50BC" w:rsidP="00915031">
      <w:pPr>
        <w:pStyle w:val="NormalWeb"/>
        <w:spacing w:before="240" w:beforeAutospacing="0" w:after="240" w:afterAutospacing="0"/>
        <w:rPr>
          <w:rFonts w:ascii="Arial" w:hAnsi="Arial" w:cs="Arial"/>
          <w:color w:val="000000"/>
        </w:rPr>
      </w:pPr>
      <w:r w:rsidRPr="00D26A93">
        <w:rPr>
          <w:rFonts w:ascii="Arial" w:hAnsi="Arial" w:cs="Arial"/>
          <w:color w:val="000000"/>
          <w:shd w:val="clear" w:color="auto" w:fill="FFFFFF"/>
        </w:rPr>
        <w:t xml:space="preserve">ESSA Section 1112(b)(2) requires LEAs to identify and address any disparities that result in low-income and minority students being taught at higher rates than other students by ineffective, inexperienced, or out-of-field teachers. </w:t>
      </w:r>
      <w:r w:rsidRPr="00D26A93">
        <w:rPr>
          <w:rFonts w:ascii="Arial" w:hAnsi="Arial" w:cs="Arial"/>
          <w:color w:val="000000"/>
        </w:rPr>
        <w:t>To meet this requirement, LEAs provided a description of the following in their LCAP</w:t>
      </w:r>
      <w:r w:rsidR="00B762B0">
        <w:rPr>
          <w:rFonts w:ascii="Arial" w:hAnsi="Arial" w:cs="Arial"/>
          <w:color w:val="000000"/>
        </w:rPr>
        <w:t xml:space="preserve"> Federal</w:t>
      </w:r>
      <w:r w:rsidRPr="00D26A93">
        <w:rPr>
          <w:rFonts w:ascii="Arial" w:hAnsi="Arial" w:cs="Arial"/>
          <w:color w:val="000000"/>
        </w:rPr>
        <w:t xml:space="preserve"> Addendum:</w:t>
      </w:r>
    </w:p>
    <w:p w14:paraId="13D5612D" w14:textId="77777777" w:rsidR="003F50BC" w:rsidRPr="00D26A93" w:rsidRDefault="003F50BC" w:rsidP="00915031">
      <w:pPr>
        <w:numPr>
          <w:ilvl w:val="0"/>
          <w:numId w:val="4"/>
        </w:numPr>
        <w:spacing w:before="240" w:after="240"/>
        <w:rPr>
          <w:rFonts w:cs="Arial"/>
          <w:color w:val="000000"/>
        </w:rPr>
      </w:pPr>
      <w:r w:rsidRPr="00D26A93">
        <w:rPr>
          <w:rFonts w:cs="Arial"/>
          <w:color w:val="000000"/>
        </w:rPr>
        <w:t>The LEA's process for identifying disparities that result in low-income and minority students being taught at higher rates than other students by ineffective, inexperienced, or out-of-field teachers; and</w:t>
      </w:r>
    </w:p>
    <w:p w14:paraId="7BFDB796" w14:textId="77777777" w:rsidR="003F50BC" w:rsidRPr="00D26A93" w:rsidRDefault="003F50BC" w:rsidP="00915031">
      <w:pPr>
        <w:numPr>
          <w:ilvl w:val="0"/>
          <w:numId w:val="5"/>
        </w:numPr>
        <w:spacing w:before="240" w:after="240"/>
        <w:rPr>
          <w:rFonts w:cs="Arial"/>
          <w:color w:val="000000"/>
        </w:rPr>
      </w:pPr>
      <w:r w:rsidRPr="00D26A93">
        <w:rPr>
          <w:rFonts w:cs="Arial"/>
          <w:color w:val="000000"/>
        </w:rPr>
        <w:t>How the LEA will address any disparities found during the identification process.</w:t>
      </w:r>
    </w:p>
    <w:p w14:paraId="4F78F731" w14:textId="2A7D6BDD" w:rsidR="003F50BC" w:rsidRPr="00D26A93" w:rsidRDefault="003F50BC" w:rsidP="00B25530">
      <w:pPr>
        <w:spacing w:before="240" w:after="480"/>
        <w:rPr>
          <w:rFonts w:cs="Arial"/>
          <w:shd w:val="clear" w:color="auto" w:fill="FFFFFF"/>
        </w:rPr>
      </w:pPr>
      <w:r w:rsidRPr="00D26A93">
        <w:rPr>
          <w:rFonts w:cs="Arial"/>
          <w:shd w:val="clear" w:color="auto" w:fill="FFFFFF"/>
        </w:rPr>
        <w:t>At the time the LCAP Federal Addendum was released,</w:t>
      </w:r>
      <w:r w:rsidR="00BB7D5A">
        <w:rPr>
          <w:rFonts w:cs="Arial"/>
          <w:shd w:val="clear" w:color="auto" w:fill="FFFFFF"/>
        </w:rPr>
        <w:t xml:space="preserve"> the</w:t>
      </w:r>
      <w:r w:rsidRPr="00D26A93">
        <w:rPr>
          <w:rFonts w:cs="Arial"/>
          <w:shd w:val="clear" w:color="auto" w:fill="FFFFFF"/>
        </w:rPr>
        <w:t xml:space="preserve"> Teaching AMO data w</w:t>
      </w:r>
      <w:r w:rsidR="00BB7D5A">
        <w:rPr>
          <w:rFonts w:cs="Arial"/>
          <w:shd w:val="clear" w:color="auto" w:fill="FFFFFF"/>
        </w:rPr>
        <w:t>as</w:t>
      </w:r>
      <w:r w:rsidRPr="00D26A93">
        <w:rPr>
          <w:rFonts w:cs="Arial"/>
          <w:shd w:val="clear" w:color="auto" w:fill="FFFFFF"/>
        </w:rPr>
        <w:t xml:space="preserve"> not yet available. LEAs were given several tools to self-identify any disparities that existed in their organization. CDE staff reviewed the LCAP Federal Addendum and provided feedback and technical assistance to LEAs.</w:t>
      </w:r>
    </w:p>
    <w:p w14:paraId="6EAFFCD2" w14:textId="77777777" w:rsidR="003F50BC" w:rsidRPr="00D26A93" w:rsidRDefault="003F50BC" w:rsidP="00B25530">
      <w:pPr>
        <w:pStyle w:val="Heading3"/>
        <w:spacing w:before="0"/>
        <w:rPr>
          <w:rFonts w:eastAsia="Times New Roman" w:cs="Arial"/>
          <w:bCs/>
        </w:rPr>
      </w:pPr>
      <w:r w:rsidRPr="00D26A93">
        <w:rPr>
          <w:rFonts w:eastAsia="Times New Roman" w:cs="Arial"/>
          <w:bCs/>
        </w:rPr>
        <w:t>Data Sources and Timelines</w:t>
      </w:r>
    </w:p>
    <w:p w14:paraId="70830550" w14:textId="77777777" w:rsidR="003F50BC" w:rsidRPr="00D26A93" w:rsidRDefault="003F50BC" w:rsidP="003F50BC">
      <w:pPr>
        <w:spacing w:after="240"/>
        <w:rPr>
          <w:rFonts w:cs="Arial"/>
          <w:color w:val="000000"/>
        </w:rPr>
      </w:pPr>
      <w:r w:rsidRPr="00D26A93">
        <w:rPr>
          <w:rFonts w:cs="Arial"/>
          <w:color w:val="000000"/>
        </w:rPr>
        <w:t xml:space="preserve">The </w:t>
      </w:r>
      <w:proofErr w:type="spellStart"/>
      <w:r w:rsidRPr="00D26A93">
        <w:rPr>
          <w:rFonts w:cs="Arial"/>
          <w:color w:val="000000"/>
        </w:rPr>
        <w:t>DataQuest</w:t>
      </w:r>
      <w:proofErr w:type="spellEnd"/>
      <w:r w:rsidRPr="00D26A93">
        <w:rPr>
          <w:rFonts w:cs="Arial"/>
          <w:color w:val="000000"/>
        </w:rPr>
        <w:t xml:space="preserve"> Teaching AMO report and supporting downloadable data file use assignment data submitted to the CDE by LEAs through the annual CALPADS Fall 2 data submission. These data, which are submitted, reviewed, and certified by LEAs in CALPADS between October and March/April, include staff demographics and experience, staff assignments and FTE, course offerings, and student course enrollment data that are effective as of Census Day, which is the first Wednesday in October.</w:t>
      </w:r>
    </w:p>
    <w:p w14:paraId="6D6FC62C" w14:textId="3B78F69A" w:rsidR="003F50BC" w:rsidRPr="00D26A93" w:rsidRDefault="003F50BC" w:rsidP="003F50BC">
      <w:pPr>
        <w:spacing w:after="240"/>
        <w:rPr>
          <w:rFonts w:cs="Arial"/>
          <w:color w:val="000000"/>
        </w:rPr>
      </w:pPr>
      <w:r w:rsidRPr="00D26A93">
        <w:rPr>
          <w:rFonts w:cs="Arial"/>
          <w:color w:val="000000"/>
        </w:rPr>
        <w:t xml:space="preserve">When the Fall 2 submission closes, the CDE extracts the necessary assignment data and transmits them to the CTC for their annual assignment monitoring process. The CTC loads the CALPADS assignment data into </w:t>
      </w:r>
      <w:proofErr w:type="spellStart"/>
      <w:r w:rsidRPr="00D26A93">
        <w:rPr>
          <w:rFonts w:cs="Arial"/>
          <w:color w:val="000000"/>
        </w:rPr>
        <w:t>CalSAAS</w:t>
      </w:r>
      <w:proofErr w:type="spellEnd"/>
      <w:r w:rsidRPr="00D26A93">
        <w:rPr>
          <w:rFonts w:cs="Arial"/>
          <w:color w:val="000000"/>
        </w:rPr>
        <w:t xml:space="preserve"> and compares these data against the CTC’s credential authorization data for each assignment based on the Statewide Educator Identification associated with the assignment. LEAs, COEs, and Monitoring Authorities are then given a 90-day period to review exceptions and determinations and make corrections where applicable. The CTC’s assignment monitoring process typically occurs between August and November.</w:t>
      </w:r>
    </w:p>
    <w:p w14:paraId="7412666A" w14:textId="2F93C64C" w:rsidR="003F50BC" w:rsidRPr="00D26A93" w:rsidRDefault="003F50BC" w:rsidP="00B25530">
      <w:pPr>
        <w:spacing w:after="480"/>
        <w:rPr>
          <w:rFonts w:cs="Arial"/>
          <w:color w:val="000000"/>
        </w:rPr>
      </w:pPr>
      <w:r w:rsidRPr="00D26A93">
        <w:rPr>
          <w:rFonts w:cs="Arial"/>
          <w:color w:val="000000"/>
        </w:rPr>
        <w:lastRenderedPageBreak/>
        <w:t xml:space="preserve">After the </w:t>
      </w:r>
      <w:proofErr w:type="spellStart"/>
      <w:r w:rsidRPr="00D26A93">
        <w:rPr>
          <w:rFonts w:cs="Arial"/>
          <w:color w:val="000000"/>
        </w:rPr>
        <w:t>CalSAAS</w:t>
      </w:r>
      <w:proofErr w:type="spellEnd"/>
      <w:r w:rsidRPr="00D26A93">
        <w:rPr>
          <w:rFonts w:cs="Arial"/>
          <w:color w:val="000000"/>
        </w:rPr>
        <w:t xml:space="preserve"> assignment monitoring process closes, the CTC processes the assignment data to generate the applicable AMOs for each assignment and transmits the data to the CDE for analysis and reporting purposes. The data provided to the CDE map to the statuses outlined in the California</w:t>
      </w:r>
      <w:r w:rsidR="00566EA0">
        <w:rPr>
          <w:rFonts w:cs="Arial"/>
          <w:color w:val="000000"/>
        </w:rPr>
        <w:t>’s</w:t>
      </w:r>
      <w:r w:rsidRPr="00D26A93">
        <w:rPr>
          <w:rFonts w:cs="Arial"/>
          <w:color w:val="000000"/>
        </w:rPr>
        <w:t xml:space="preserve"> ESSA Consolidated State Plan approved by the SBE. Some AMOs do not align with these definitions (e.g., </w:t>
      </w:r>
      <w:r w:rsidR="00DB48EE">
        <w:rPr>
          <w:rFonts w:cs="Arial"/>
          <w:color w:val="000000"/>
        </w:rPr>
        <w:t>i</w:t>
      </w:r>
      <w:r w:rsidRPr="00D26A93">
        <w:rPr>
          <w:rFonts w:cs="Arial"/>
          <w:color w:val="000000"/>
        </w:rPr>
        <w:t xml:space="preserve">ncomplete, </w:t>
      </w:r>
      <w:r w:rsidR="00DB48EE">
        <w:rPr>
          <w:rFonts w:cs="Arial"/>
          <w:color w:val="000000"/>
        </w:rPr>
        <w:t>u</w:t>
      </w:r>
      <w:r w:rsidRPr="00D26A93">
        <w:rPr>
          <w:rFonts w:cs="Arial"/>
          <w:color w:val="000000"/>
        </w:rPr>
        <w:t xml:space="preserve">nknown, and not applicable [N/A]) but they are included in the report to provide a holistic understanding of the AMOs for the totality of teaching assignments reported by LEAs in CALPADS and so that the assignment FTE data will add to 100 percent in the </w:t>
      </w:r>
      <w:proofErr w:type="spellStart"/>
      <w:r w:rsidRPr="00D26A93">
        <w:rPr>
          <w:rFonts w:cs="Arial"/>
          <w:color w:val="000000"/>
        </w:rPr>
        <w:t>DataQuest</w:t>
      </w:r>
      <w:proofErr w:type="spellEnd"/>
      <w:r w:rsidRPr="00D26A93">
        <w:rPr>
          <w:rFonts w:cs="Arial"/>
          <w:color w:val="000000"/>
        </w:rPr>
        <w:t xml:space="preserve"> Teaching AMO report. </w:t>
      </w:r>
    </w:p>
    <w:p w14:paraId="00EFE806" w14:textId="26CB51B5" w:rsidR="003F50BC" w:rsidRPr="00D26A93" w:rsidRDefault="003F50BC" w:rsidP="00B25530">
      <w:pPr>
        <w:pStyle w:val="Heading3"/>
        <w:spacing w:before="0"/>
        <w:rPr>
          <w:rFonts w:eastAsia="Times New Roman" w:cs="Arial"/>
          <w:color w:val="000000"/>
        </w:rPr>
      </w:pPr>
      <w:r w:rsidRPr="00D26A93">
        <w:rPr>
          <w:rFonts w:eastAsia="Times New Roman" w:cs="Arial"/>
          <w:bCs/>
        </w:rPr>
        <w:t>Teaching A</w:t>
      </w:r>
      <w:r w:rsidR="00E76873">
        <w:rPr>
          <w:rFonts w:eastAsia="Times New Roman" w:cs="Arial"/>
          <w:bCs/>
        </w:rPr>
        <w:t xml:space="preserve">ssignment Monitoring </w:t>
      </w:r>
      <w:r w:rsidRPr="00D26A93">
        <w:rPr>
          <w:rFonts w:eastAsia="Times New Roman" w:cs="Arial"/>
          <w:bCs/>
        </w:rPr>
        <w:t>O</w:t>
      </w:r>
      <w:r w:rsidR="00E76873">
        <w:rPr>
          <w:rFonts w:eastAsia="Times New Roman" w:cs="Arial"/>
          <w:bCs/>
        </w:rPr>
        <w:t>utcome</w:t>
      </w:r>
      <w:r w:rsidRPr="00D26A93">
        <w:rPr>
          <w:rFonts w:eastAsia="Times New Roman" w:cs="Arial"/>
          <w:bCs/>
        </w:rPr>
        <w:t xml:space="preserve"> Definitions</w:t>
      </w:r>
    </w:p>
    <w:p w14:paraId="0EA4D6DE" w14:textId="77777777" w:rsidR="003F50BC" w:rsidRPr="00D26A93" w:rsidRDefault="003F50BC" w:rsidP="003F50BC">
      <w:pPr>
        <w:spacing w:after="240"/>
        <w:rPr>
          <w:rFonts w:cs="Arial"/>
          <w:color w:val="000000"/>
        </w:rPr>
      </w:pPr>
      <w:r w:rsidRPr="00D26A93">
        <w:rPr>
          <w:rFonts w:cs="Arial"/>
          <w:color w:val="000000"/>
        </w:rPr>
        <w:t xml:space="preserve">To understand the data presented in the </w:t>
      </w:r>
      <w:proofErr w:type="spellStart"/>
      <w:r w:rsidRPr="00D26A93">
        <w:rPr>
          <w:rFonts w:cs="Arial"/>
          <w:color w:val="000000"/>
        </w:rPr>
        <w:t>DataQuest</w:t>
      </w:r>
      <w:proofErr w:type="spellEnd"/>
      <w:r w:rsidRPr="00D26A93">
        <w:rPr>
          <w:rFonts w:cs="Arial"/>
          <w:color w:val="000000"/>
        </w:rPr>
        <w:t xml:space="preserve"> Teaching AMO report, it is important to first define the following important terms:</w:t>
      </w:r>
    </w:p>
    <w:p w14:paraId="64D3CE53" w14:textId="77777777" w:rsidR="003F50BC" w:rsidRPr="00D26A93" w:rsidRDefault="003F50BC" w:rsidP="003F50BC">
      <w:pPr>
        <w:pStyle w:val="ListParagraph"/>
        <w:numPr>
          <w:ilvl w:val="0"/>
          <w:numId w:val="3"/>
        </w:numPr>
        <w:contextualSpacing w:val="0"/>
        <w:rPr>
          <w:rFonts w:ascii="Arial" w:hAnsi="Arial" w:cs="Arial"/>
          <w:color w:val="000000"/>
        </w:rPr>
      </w:pPr>
      <w:r w:rsidRPr="00D26A93">
        <w:rPr>
          <w:rFonts w:ascii="Arial" w:hAnsi="Arial" w:cs="Arial"/>
          <w:color w:val="000000"/>
        </w:rPr>
        <w:t xml:space="preserve">A “teaching assignment” is defined as a classroom-based assignment wherein a unique section of course content is being taught by one or more teachers to a specific group of students. LEAs submit course section and student course section data to CALPADS, which the CDE provides to the CTC for assignment monitoring purposes. </w:t>
      </w:r>
    </w:p>
    <w:p w14:paraId="2C9F3D07" w14:textId="25F80B4F" w:rsidR="003F50BC" w:rsidRPr="00D26A93" w:rsidRDefault="003F50BC" w:rsidP="003F50BC">
      <w:pPr>
        <w:pStyle w:val="ListParagraph"/>
        <w:numPr>
          <w:ilvl w:val="0"/>
          <w:numId w:val="3"/>
        </w:numPr>
        <w:contextualSpacing w:val="0"/>
        <w:rPr>
          <w:rFonts w:ascii="Arial" w:hAnsi="Arial" w:cs="Arial"/>
          <w:color w:val="000000"/>
        </w:rPr>
      </w:pPr>
      <w:r w:rsidRPr="00D26A93">
        <w:rPr>
          <w:rFonts w:ascii="Arial" w:hAnsi="Arial" w:cs="Arial"/>
          <w:color w:val="000000"/>
        </w:rPr>
        <w:t xml:space="preserve">An AMO is the result(s) or finding(s) from the assignment monitoring processes conducted by the CTC. Each teaching assignment is evaluated along one or more attributes or dimensions for the teaching assignment in </w:t>
      </w:r>
      <w:proofErr w:type="spellStart"/>
      <w:r w:rsidRPr="00D26A93">
        <w:rPr>
          <w:rFonts w:ascii="Arial" w:hAnsi="Arial" w:cs="Arial"/>
          <w:color w:val="000000"/>
        </w:rPr>
        <w:t>CalSAAS</w:t>
      </w:r>
      <w:proofErr w:type="spellEnd"/>
      <w:r w:rsidRPr="00D26A93">
        <w:rPr>
          <w:rFonts w:ascii="Arial" w:hAnsi="Arial" w:cs="Arial"/>
          <w:color w:val="000000"/>
        </w:rPr>
        <w:t xml:space="preserve"> to determine if or how the teacher is authorized to teach the assigned course and the students enrolled in the course. For </w:t>
      </w:r>
      <w:proofErr w:type="spellStart"/>
      <w:r w:rsidRPr="00D26A93">
        <w:rPr>
          <w:rFonts w:ascii="Arial" w:hAnsi="Arial" w:cs="Arial"/>
          <w:color w:val="000000"/>
        </w:rPr>
        <w:t>DataQuest</w:t>
      </w:r>
      <w:proofErr w:type="spellEnd"/>
      <w:r w:rsidRPr="00D26A93">
        <w:rPr>
          <w:rFonts w:ascii="Arial" w:hAnsi="Arial" w:cs="Arial"/>
          <w:color w:val="000000"/>
        </w:rPr>
        <w:t xml:space="preserve"> reporting purposes, the FTE data for each teaching assignment is aggregated and displayed for the following AMO</w:t>
      </w:r>
      <w:r w:rsidR="00805537">
        <w:rPr>
          <w:rFonts w:ascii="Arial" w:hAnsi="Arial" w:cs="Arial"/>
          <w:color w:val="000000"/>
        </w:rPr>
        <w:t xml:space="preserve"> categories</w:t>
      </w:r>
      <w:r w:rsidRPr="00D26A93">
        <w:rPr>
          <w:rFonts w:ascii="Arial" w:hAnsi="Arial" w:cs="Arial"/>
          <w:color w:val="000000"/>
        </w:rPr>
        <w:t xml:space="preserve">: </w:t>
      </w:r>
      <w:r w:rsidR="00B950BA">
        <w:rPr>
          <w:rFonts w:ascii="Arial" w:hAnsi="Arial" w:cs="Arial"/>
          <w:color w:val="000000"/>
        </w:rPr>
        <w:t>c</w:t>
      </w:r>
      <w:r w:rsidRPr="00D26A93">
        <w:rPr>
          <w:rFonts w:ascii="Arial" w:hAnsi="Arial" w:cs="Arial"/>
          <w:color w:val="000000"/>
        </w:rPr>
        <w:t xml:space="preserve">lear, </w:t>
      </w:r>
      <w:r w:rsidR="00B950BA">
        <w:rPr>
          <w:rFonts w:ascii="Arial" w:hAnsi="Arial" w:cs="Arial"/>
          <w:color w:val="000000"/>
        </w:rPr>
        <w:t>o</w:t>
      </w:r>
      <w:r w:rsidRPr="00D26A93">
        <w:rPr>
          <w:rFonts w:ascii="Arial" w:hAnsi="Arial" w:cs="Arial"/>
          <w:color w:val="000000"/>
        </w:rPr>
        <w:t>ut-of</w:t>
      </w:r>
      <w:r w:rsidR="00B950BA">
        <w:rPr>
          <w:rFonts w:ascii="Arial" w:hAnsi="Arial" w:cs="Arial"/>
          <w:color w:val="000000"/>
        </w:rPr>
        <w:t>-f</w:t>
      </w:r>
      <w:r w:rsidRPr="00D26A93">
        <w:rPr>
          <w:rFonts w:ascii="Arial" w:hAnsi="Arial" w:cs="Arial"/>
          <w:color w:val="000000"/>
        </w:rPr>
        <w:t xml:space="preserve">ield, </w:t>
      </w:r>
      <w:r w:rsidR="00B950BA">
        <w:rPr>
          <w:rFonts w:ascii="Arial" w:hAnsi="Arial" w:cs="Arial"/>
          <w:color w:val="000000"/>
        </w:rPr>
        <w:t>i</w:t>
      </w:r>
      <w:r w:rsidRPr="00D26A93">
        <w:rPr>
          <w:rFonts w:ascii="Arial" w:hAnsi="Arial" w:cs="Arial"/>
          <w:color w:val="000000"/>
        </w:rPr>
        <w:t xml:space="preserve">neffective, </w:t>
      </w:r>
      <w:r w:rsidR="00B950BA">
        <w:rPr>
          <w:rFonts w:ascii="Arial" w:hAnsi="Arial" w:cs="Arial"/>
          <w:color w:val="000000"/>
        </w:rPr>
        <w:t>i</w:t>
      </w:r>
      <w:r w:rsidRPr="00D26A93">
        <w:rPr>
          <w:rFonts w:ascii="Arial" w:hAnsi="Arial" w:cs="Arial"/>
          <w:color w:val="000000"/>
        </w:rPr>
        <w:t xml:space="preserve">ntern, </w:t>
      </w:r>
      <w:r w:rsidR="00B950BA">
        <w:rPr>
          <w:rFonts w:ascii="Arial" w:hAnsi="Arial" w:cs="Arial"/>
          <w:color w:val="000000"/>
        </w:rPr>
        <w:t>i</w:t>
      </w:r>
      <w:r w:rsidRPr="00D26A93">
        <w:rPr>
          <w:rFonts w:ascii="Arial" w:hAnsi="Arial" w:cs="Arial"/>
          <w:color w:val="000000"/>
        </w:rPr>
        <w:t xml:space="preserve">ncomplete, </w:t>
      </w:r>
      <w:r w:rsidR="00B950BA">
        <w:rPr>
          <w:rFonts w:ascii="Arial" w:hAnsi="Arial" w:cs="Arial"/>
          <w:color w:val="000000"/>
        </w:rPr>
        <w:t>u</w:t>
      </w:r>
      <w:r w:rsidRPr="00D26A93">
        <w:rPr>
          <w:rFonts w:ascii="Arial" w:hAnsi="Arial" w:cs="Arial"/>
          <w:color w:val="000000"/>
        </w:rPr>
        <w:t xml:space="preserve">nknown, and </w:t>
      </w:r>
      <w:r w:rsidR="00052A32">
        <w:rPr>
          <w:rFonts w:ascii="Arial" w:hAnsi="Arial" w:cs="Arial"/>
          <w:color w:val="000000"/>
        </w:rPr>
        <w:t>N</w:t>
      </w:r>
      <w:r w:rsidR="00B950BA">
        <w:rPr>
          <w:rFonts w:ascii="Arial" w:hAnsi="Arial" w:cs="Arial"/>
          <w:color w:val="000000"/>
        </w:rPr>
        <w:t>/</w:t>
      </w:r>
      <w:r w:rsidR="00052A32">
        <w:rPr>
          <w:rFonts w:ascii="Arial" w:hAnsi="Arial" w:cs="Arial"/>
          <w:color w:val="000000"/>
        </w:rPr>
        <w:t>A</w:t>
      </w:r>
      <w:r w:rsidRPr="00D26A93">
        <w:rPr>
          <w:rFonts w:ascii="Arial" w:hAnsi="Arial" w:cs="Arial"/>
          <w:color w:val="000000"/>
        </w:rPr>
        <w:t xml:space="preserve">. More information about these AMO categories </w:t>
      </w:r>
      <w:r w:rsidR="00C945B6">
        <w:rPr>
          <w:rFonts w:ascii="Arial" w:hAnsi="Arial" w:cs="Arial"/>
          <w:color w:val="000000"/>
        </w:rPr>
        <w:t>is</w:t>
      </w:r>
      <w:r w:rsidRPr="00D26A93">
        <w:rPr>
          <w:rFonts w:ascii="Arial" w:hAnsi="Arial" w:cs="Arial"/>
          <w:color w:val="000000"/>
        </w:rPr>
        <w:t xml:space="preserve"> covered in separate sections below.</w:t>
      </w:r>
    </w:p>
    <w:p w14:paraId="73F502DE" w14:textId="3E4A2AAE" w:rsidR="003F50BC" w:rsidRPr="00D26A93" w:rsidRDefault="003F50BC" w:rsidP="003F50BC">
      <w:pPr>
        <w:pStyle w:val="ListParagraph"/>
        <w:numPr>
          <w:ilvl w:val="0"/>
          <w:numId w:val="3"/>
        </w:numPr>
        <w:contextualSpacing w:val="0"/>
        <w:rPr>
          <w:rFonts w:ascii="Arial" w:hAnsi="Arial" w:cs="Arial"/>
          <w:color w:val="000000"/>
        </w:rPr>
      </w:pPr>
      <w:r w:rsidRPr="00D26A93">
        <w:rPr>
          <w:rFonts w:ascii="Arial" w:hAnsi="Arial" w:cs="Arial"/>
          <w:color w:val="000000"/>
        </w:rPr>
        <w:t xml:space="preserve">The FTE of a position is defined as the percentage of time spent working in a job classification in relation to a full-time position (100 percent or 1.0 FTE). </w:t>
      </w:r>
    </w:p>
    <w:p w14:paraId="197BE9E0" w14:textId="7F35DDFE" w:rsidR="003F50BC" w:rsidRPr="00D26A93" w:rsidRDefault="003F50BC" w:rsidP="003F50BC">
      <w:pPr>
        <w:spacing w:after="240"/>
        <w:rPr>
          <w:rFonts w:cs="Arial"/>
          <w:color w:val="000000"/>
        </w:rPr>
      </w:pPr>
      <w:r w:rsidRPr="00D26A93">
        <w:rPr>
          <w:rFonts w:cs="Arial"/>
          <w:color w:val="000000"/>
        </w:rPr>
        <w:t xml:space="preserve">The </w:t>
      </w:r>
      <w:proofErr w:type="spellStart"/>
      <w:r w:rsidRPr="00D26A93">
        <w:rPr>
          <w:rFonts w:cs="Arial"/>
          <w:color w:val="000000"/>
        </w:rPr>
        <w:t>DataQuest</w:t>
      </w:r>
      <w:proofErr w:type="spellEnd"/>
      <w:r w:rsidRPr="00D26A93">
        <w:rPr>
          <w:rFonts w:cs="Arial"/>
          <w:color w:val="000000"/>
        </w:rPr>
        <w:t xml:space="preserve"> Teaching AMO report shows how much teaching FTE is associated with classroom-based teaching assignments by subject area and their corresponding AMOs. This means that teachers may</w:t>
      </w:r>
      <w:r w:rsidR="00582472">
        <w:rPr>
          <w:rFonts w:cs="Arial"/>
          <w:color w:val="000000"/>
        </w:rPr>
        <w:t xml:space="preserve"> be</w:t>
      </w:r>
      <w:r w:rsidRPr="00D26A93">
        <w:rPr>
          <w:rFonts w:cs="Arial"/>
          <w:color w:val="000000"/>
        </w:rPr>
        <w:t xml:space="preserve"> clear, out-of-field, or ineffective for all or part of their </w:t>
      </w:r>
      <w:r w:rsidRPr="00D26A93">
        <w:rPr>
          <w:rFonts w:cs="Arial"/>
          <w:color w:val="000000"/>
        </w:rPr>
        <w:br/>
        <w:t>full-time teaching assignment. For example, in the chart below the teacher who is credentialed in math is clear in their first three assignments (0.6 of their total assignment) but is considered out-of-field for the two periods (0.4 of their total assignment) they are assigned to teach history.</w:t>
      </w:r>
    </w:p>
    <w:p w14:paraId="41C7E727" w14:textId="714CC609" w:rsidR="003F50BC" w:rsidRPr="00D26A93" w:rsidRDefault="003F50BC" w:rsidP="003F50BC">
      <w:pPr>
        <w:pStyle w:val="Heading4"/>
        <w:rPr>
          <w:rFonts w:eastAsia="Times New Roman" w:cs="Arial"/>
          <w:bCs/>
        </w:rPr>
      </w:pPr>
      <w:r w:rsidRPr="00D26A93">
        <w:rPr>
          <w:rFonts w:eastAsia="Times New Roman" w:cs="Arial"/>
          <w:bCs/>
        </w:rPr>
        <w:lastRenderedPageBreak/>
        <w:t xml:space="preserve">Table 1: Teaching </w:t>
      </w:r>
      <w:r w:rsidR="001E1A51">
        <w:rPr>
          <w:rFonts w:eastAsia="Times New Roman" w:cs="Arial"/>
          <w:bCs/>
        </w:rPr>
        <w:t xml:space="preserve">Assignment </w:t>
      </w:r>
      <w:r w:rsidRPr="00D26A93">
        <w:rPr>
          <w:rFonts w:eastAsia="Times New Roman" w:cs="Arial"/>
          <w:bCs/>
        </w:rPr>
        <w:t>M</w:t>
      </w:r>
      <w:r w:rsidR="001E1A51">
        <w:rPr>
          <w:rFonts w:eastAsia="Times New Roman" w:cs="Arial"/>
          <w:bCs/>
        </w:rPr>
        <w:t xml:space="preserve">onitoring </w:t>
      </w:r>
      <w:r w:rsidRPr="00D26A93">
        <w:rPr>
          <w:rFonts w:eastAsia="Times New Roman" w:cs="Arial"/>
          <w:bCs/>
        </w:rPr>
        <w:t>O</w:t>
      </w:r>
      <w:r w:rsidR="001E1A51">
        <w:rPr>
          <w:rFonts w:eastAsia="Times New Roman" w:cs="Arial"/>
          <w:bCs/>
        </w:rPr>
        <w:t>utcome</w:t>
      </w:r>
      <w:r w:rsidRPr="00D26A93">
        <w:rPr>
          <w:rFonts w:eastAsia="Times New Roman" w:cs="Arial"/>
          <w:bCs/>
        </w:rPr>
        <w:t xml:space="preserve"> F</w:t>
      </w:r>
      <w:r w:rsidR="001E1A51">
        <w:rPr>
          <w:rFonts w:eastAsia="Times New Roman" w:cs="Arial"/>
          <w:bCs/>
        </w:rPr>
        <w:t>ull-</w:t>
      </w:r>
      <w:r w:rsidRPr="00D26A93">
        <w:rPr>
          <w:rFonts w:eastAsia="Times New Roman" w:cs="Arial"/>
          <w:bCs/>
        </w:rPr>
        <w:t>T</w:t>
      </w:r>
      <w:r w:rsidR="001E1A51">
        <w:rPr>
          <w:rFonts w:eastAsia="Times New Roman" w:cs="Arial"/>
          <w:bCs/>
        </w:rPr>
        <w:t>ime Equivalency</w:t>
      </w:r>
      <w:r w:rsidRPr="00D26A93">
        <w:rPr>
          <w:rFonts w:eastAsia="Times New Roman" w:cs="Arial"/>
          <w:bCs/>
        </w:rPr>
        <w:t xml:space="preserve"> Example</w:t>
      </w:r>
    </w:p>
    <w:tbl>
      <w:tblPr>
        <w:tblStyle w:val="TableGrid"/>
        <w:tblW w:w="0" w:type="auto"/>
        <w:jc w:val="center"/>
        <w:tblLook w:val="04A0" w:firstRow="1" w:lastRow="0" w:firstColumn="1" w:lastColumn="0" w:noHBand="0" w:noVBand="1"/>
        <w:tblCaption w:val="Table 1: Teaching Assignment Monitoring Outcome Full-Time Equivalency Example"/>
        <w:tblDescription w:val="This table is an example of Teaching Assignment Monitoring Outcome FTE for Periods 1 through 5 showing the Subject, FTE Value, and AMO. "/>
      </w:tblPr>
      <w:tblGrid>
        <w:gridCol w:w="2404"/>
        <w:gridCol w:w="2317"/>
        <w:gridCol w:w="2315"/>
        <w:gridCol w:w="2314"/>
      </w:tblGrid>
      <w:tr w:rsidR="003F50BC" w:rsidRPr="00D26A93" w14:paraId="30F62332" w14:textId="77777777" w:rsidTr="001F3281">
        <w:trPr>
          <w:cantSplit/>
          <w:tblHeader/>
          <w:jc w:val="center"/>
        </w:trPr>
        <w:tc>
          <w:tcPr>
            <w:tcW w:w="2337" w:type="dxa"/>
            <w:shd w:val="pct15" w:color="auto" w:fill="auto"/>
          </w:tcPr>
          <w:p w14:paraId="2CFBA686" w14:textId="77777777" w:rsidR="003F50BC" w:rsidRPr="00D26A93" w:rsidRDefault="003F50BC" w:rsidP="00D02AD1">
            <w:pPr>
              <w:spacing w:before="120" w:after="120"/>
              <w:jc w:val="center"/>
              <w:rPr>
                <w:rFonts w:cs="Arial"/>
                <w:b/>
                <w:bCs/>
                <w:color w:val="000000"/>
              </w:rPr>
            </w:pPr>
            <w:r w:rsidRPr="00D26A93">
              <w:rPr>
                <w:rFonts w:cs="Arial"/>
                <w:b/>
                <w:bCs/>
                <w:color w:val="000000"/>
              </w:rPr>
              <w:t>Period/Assignment</w:t>
            </w:r>
          </w:p>
        </w:tc>
        <w:tc>
          <w:tcPr>
            <w:tcW w:w="2337" w:type="dxa"/>
            <w:shd w:val="pct15" w:color="auto" w:fill="auto"/>
          </w:tcPr>
          <w:p w14:paraId="4D3036F9" w14:textId="77777777" w:rsidR="003F50BC" w:rsidRPr="00D26A93" w:rsidRDefault="003F50BC" w:rsidP="00D02AD1">
            <w:pPr>
              <w:spacing w:before="120" w:after="120"/>
              <w:jc w:val="center"/>
              <w:rPr>
                <w:rFonts w:cs="Arial"/>
                <w:b/>
                <w:bCs/>
                <w:color w:val="000000"/>
              </w:rPr>
            </w:pPr>
            <w:r w:rsidRPr="00D26A93">
              <w:rPr>
                <w:rFonts w:cs="Arial"/>
                <w:b/>
                <w:bCs/>
                <w:color w:val="000000"/>
              </w:rPr>
              <w:t>Subject</w:t>
            </w:r>
          </w:p>
        </w:tc>
        <w:tc>
          <w:tcPr>
            <w:tcW w:w="2338" w:type="dxa"/>
            <w:shd w:val="pct15" w:color="auto" w:fill="auto"/>
          </w:tcPr>
          <w:p w14:paraId="4DB9D58F" w14:textId="77777777" w:rsidR="003F50BC" w:rsidRPr="00D26A93" w:rsidRDefault="003F50BC" w:rsidP="00D02AD1">
            <w:pPr>
              <w:spacing w:before="120" w:after="120"/>
              <w:jc w:val="center"/>
              <w:rPr>
                <w:rFonts w:cs="Arial"/>
                <w:b/>
                <w:bCs/>
                <w:color w:val="000000"/>
              </w:rPr>
            </w:pPr>
            <w:r w:rsidRPr="00D26A93">
              <w:rPr>
                <w:rFonts w:cs="Arial"/>
                <w:b/>
                <w:bCs/>
                <w:color w:val="000000"/>
              </w:rPr>
              <w:t>FTE Value</w:t>
            </w:r>
          </w:p>
        </w:tc>
        <w:tc>
          <w:tcPr>
            <w:tcW w:w="2338" w:type="dxa"/>
            <w:shd w:val="pct15" w:color="auto" w:fill="auto"/>
          </w:tcPr>
          <w:p w14:paraId="6D42A663" w14:textId="77777777" w:rsidR="003F50BC" w:rsidRPr="00D26A93" w:rsidRDefault="003F50BC" w:rsidP="00D02AD1">
            <w:pPr>
              <w:spacing w:before="120" w:after="120"/>
              <w:jc w:val="center"/>
              <w:rPr>
                <w:rFonts w:cs="Arial"/>
                <w:b/>
                <w:bCs/>
                <w:color w:val="000000"/>
              </w:rPr>
            </w:pPr>
            <w:r w:rsidRPr="00D26A93">
              <w:rPr>
                <w:rFonts w:cs="Arial"/>
                <w:b/>
                <w:bCs/>
                <w:color w:val="000000"/>
              </w:rPr>
              <w:t>AMO</w:t>
            </w:r>
          </w:p>
        </w:tc>
      </w:tr>
      <w:tr w:rsidR="003F50BC" w:rsidRPr="00D26A93" w14:paraId="30A2218D" w14:textId="77777777" w:rsidTr="001F3281">
        <w:trPr>
          <w:cantSplit/>
          <w:jc w:val="center"/>
        </w:trPr>
        <w:tc>
          <w:tcPr>
            <w:tcW w:w="2337" w:type="dxa"/>
          </w:tcPr>
          <w:p w14:paraId="6DB0F91F" w14:textId="77777777" w:rsidR="003F50BC" w:rsidRPr="00D26A93" w:rsidRDefault="003F50BC" w:rsidP="00D02AD1">
            <w:pPr>
              <w:spacing w:before="120" w:after="120"/>
              <w:jc w:val="center"/>
              <w:rPr>
                <w:rFonts w:cs="Arial"/>
                <w:color w:val="000000"/>
              </w:rPr>
            </w:pPr>
            <w:r w:rsidRPr="00D26A93">
              <w:rPr>
                <w:rFonts w:cs="Arial"/>
                <w:color w:val="000000"/>
              </w:rPr>
              <w:t>1</w:t>
            </w:r>
          </w:p>
        </w:tc>
        <w:tc>
          <w:tcPr>
            <w:tcW w:w="2337" w:type="dxa"/>
          </w:tcPr>
          <w:p w14:paraId="395210CD" w14:textId="77777777" w:rsidR="003F50BC" w:rsidRPr="00D26A93" w:rsidRDefault="003F50BC" w:rsidP="00D02AD1">
            <w:pPr>
              <w:spacing w:before="120" w:after="120"/>
              <w:jc w:val="center"/>
              <w:rPr>
                <w:rFonts w:cs="Arial"/>
                <w:color w:val="000000"/>
              </w:rPr>
            </w:pPr>
            <w:r w:rsidRPr="00D26A93">
              <w:rPr>
                <w:rFonts w:cs="Arial"/>
                <w:color w:val="000000"/>
              </w:rPr>
              <w:t>Math</w:t>
            </w:r>
          </w:p>
        </w:tc>
        <w:tc>
          <w:tcPr>
            <w:tcW w:w="2338" w:type="dxa"/>
          </w:tcPr>
          <w:p w14:paraId="1C5B49BD" w14:textId="77777777" w:rsidR="003F50BC" w:rsidRPr="00D26A93" w:rsidRDefault="003F50BC" w:rsidP="00D02AD1">
            <w:pPr>
              <w:spacing w:before="120" w:after="120"/>
              <w:jc w:val="center"/>
              <w:rPr>
                <w:rFonts w:cs="Arial"/>
                <w:color w:val="000000"/>
              </w:rPr>
            </w:pPr>
            <w:r w:rsidRPr="00D26A93">
              <w:rPr>
                <w:rFonts w:cs="Arial"/>
                <w:color w:val="000000"/>
              </w:rPr>
              <w:t>0.2</w:t>
            </w:r>
          </w:p>
        </w:tc>
        <w:tc>
          <w:tcPr>
            <w:tcW w:w="2338" w:type="dxa"/>
          </w:tcPr>
          <w:p w14:paraId="75289326" w14:textId="3FCFD517" w:rsidR="003F50BC" w:rsidRPr="00D26A93" w:rsidRDefault="003F50BC" w:rsidP="00D02AD1">
            <w:pPr>
              <w:spacing w:before="120" w:after="120"/>
              <w:jc w:val="center"/>
              <w:rPr>
                <w:rFonts w:cs="Arial"/>
                <w:color w:val="000000"/>
              </w:rPr>
            </w:pPr>
            <w:r w:rsidRPr="00D26A93">
              <w:rPr>
                <w:rFonts w:cs="Arial"/>
                <w:color w:val="000000"/>
              </w:rPr>
              <w:t>Clear</w:t>
            </w:r>
          </w:p>
        </w:tc>
      </w:tr>
      <w:tr w:rsidR="003F50BC" w:rsidRPr="00D26A93" w14:paraId="3354166E" w14:textId="77777777" w:rsidTr="001F3281">
        <w:trPr>
          <w:cantSplit/>
          <w:jc w:val="center"/>
        </w:trPr>
        <w:tc>
          <w:tcPr>
            <w:tcW w:w="2337" w:type="dxa"/>
          </w:tcPr>
          <w:p w14:paraId="56EDE4BB" w14:textId="77777777" w:rsidR="003F50BC" w:rsidRPr="00D26A93" w:rsidRDefault="003F50BC" w:rsidP="00D02AD1">
            <w:pPr>
              <w:spacing w:before="120" w:after="120"/>
              <w:jc w:val="center"/>
              <w:rPr>
                <w:rFonts w:cs="Arial"/>
                <w:color w:val="000000"/>
              </w:rPr>
            </w:pPr>
            <w:r w:rsidRPr="00D26A93">
              <w:rPr>
                <w:rFonts w:cs="Arial"/>
                <w:color w:val="000000"/>
              </w:rPr>
              <w:t>2</w:t>
            </w:r>
          </w:p>
        </w:tc>
        <w:tc>
          <w:tcPr>
            <w:tcW w:w="2337" w:type="dxa"/>
          </w:tcPr>
          <w:p w14:paraId="7F6CB0D9" w14:textId="77777777" w:rsidR="003F50BC" w:rsidRPr="00D26A93" w:rsidRDefault="003F50BC" w:rsidP="00D02AD1">
            <w:pPr>
              <w:spacing w:before="120" w:after="120"/>
              <w:jc w:val="center"/>
              <w:rPr>
                <w:rFonts w:cs="Arial"/>
                <w:color w:val="000000"/>
              </w:rPr>
            </w:pPr>
            <w:r w:rsidRPr="00D26A93">
              <w:rPr>
                <w:rFonts w:cs="Arial"/>
                <w:color w:val="000000"/>
              </w:rPr>
              <w:t>Math</w:t>
            </w:r>
          </w:p>
        </w:tc>
        <w:tc>
          <w:tcPr>
            <w:tcW w:w="2338" w:type="dxa"/>
          </w:tcPr>
          <w:p w14:paraId="07C969A6" w14:textId="77777777" w:rsidR="003F50BC" w:rsidRPr="00D26A93" w:rsidRDefault="003F50BC" w:rsidP="00D02AD1">
            <w:pPr>
              <w:spacing w:before="120" w:after="120"/>
              <w:jc w:val="center"/>
              <w:rPr>
                <w:rFonts w:cs="Arial"/>
                <w:color w:val="000000"/>
              </w:rPr>
            </w:pPr>
            <w:r w:rsidRPr="00D26A93">
              <w:rPr>
                <w:rFonts w:cs="Arial"/>
                <w:color w:val="000000"/>
              </w:rPr>
              <w:t>0.2</w:t>
            </w:r>
          </w:p>
        </w:tc>
        <w:tc>
          <w:tcPr>
            <w:tcW w:w="2338" w:type="dxa"/>
          </w:tcPr>
          <w:p w14:paraId="54E6BFAC" w14:textId="68DD84E0" w:rsidR="003F50BC" w:rsidRPr="00D26A93" w:rsidRDefault="003F50BC" w:rsidP="00D02AD1">
            <w:pPr>
              <w:spacing w:before="120" w:after="120"/>
              <w:jc w:val="center"/>
              <w:rPr>
                <w:rFonts w:cs="Arial"/>
                <w:color w:val="000000"/>
              </w:rPr>
            </w:pPr>
            <w:r w:rsidRPr="00D26A93">
              <w:rPr>
                <w:rFonts w:cs="Arial"/>
                <w:color w:val="000000"/>
              </w:rPr>
              <w:t>Clear</w:t>
            </w:r>
          </w:p>
        </w:tc>
      </w:tr>
      <w:tr w:rsidR="003F50BC" w:rsidRPr="00D26A93" w14:paraId="07DAA1FE" w14:textId="77777777" w:rsidTr="001F3281">
        <w:trPr>
          <w:cantSplit/>
          <w:jc w:val="center"/>
        </w:trPr>
        <w:tc>
          <w:tcPr>
            <w:tcW w:w="2337" w:type="dxa"/>
          </w:tcPr>
          <w:p w14:paraId="3BED57D9" w14:textId="77777777" w:rsidR="003F50BC" w:rsidRPr="00D26A93" w:rsidRDefault="003F50BC" w:rsidP="00D02AD1">
            <w:pPr>
              <w:spacing w:before="120" w:after="120"/>
              <w:jc w:val="center"/>
              <w:rPr>
                <w:rFonts w:cs="Arial"/>
                <w:color w:val="000000"/>
              </w:rPr>
            </w:pPr>
            <w:r w:rsidRPr="00D26A93">
              <w:rPr>
                <w:rFonts w:cs="Arial"/>
                <w:color w:val="000000"/>
              </w:rPr>
              <w:t>3</w:t>
            </w:r>
          </w:p>
        </w:tc>
        <w:tc>
          <w:tcPr>
            <w:tcW w:w="2337" w:type="dxa"/>
          </w:tcPr>
          <w:p w14:paraId="1B4FEA2A" w14:textId="77777777" w:rsidR="003F50BC" w:rsidRPr="00D26A93" w:rsidRDefault="003F50BC" w:rsidP="00D02AD1">
            <w:pPr>
              <w:spacing w:before="120" w:after="120"/>
              <w:jc w:val="center"/>
              <w:rPr>
                <w:rFonts w:cs="Arial"/>
                <w:color w:val="000000"/>
              </w:rPr>
            </w:pPr>
            <w:r w:rsidRPr="00D26A93">
              <w:rPr>
                <w:rFonts w:cs="Arial"/>
                <w:color w:val="000000"/>
              </w:rPr>
              <w:t>Math</w:t>
            </w:r>
          </w:p>
        </w:tc>
        <w:tc>
          <w:tcPr>
            <w:tcW w:w="2338" w:type="dxa"/>
          </w:tcPr>
          <w:p w14:paraId="63D707ED" w14:textId="77777777" w:rsidR="003F50BC" w:rsidRPr="00D26A93" w:rsidRDefault="003F50BC" w:rsidP="00D02AD1">
            <w:pPr>
              <w:spacing w:before="120" w:after="120"/>
              <w:jc w:val="center"/>
              <w:rPr>
                <w:rFonts w:cs="Arial"/>
                <w:color w:val="000000"/>
              </w:rPr>
            </w:pPr>
            <w:r w:rsidRPr="00D26A93">
              <w:rPr>
                <w:rFonts w:cs="Arial"/>
                <w:color w:val="000000"/>
              </w:rPr>
              <w:t>0.2</w:t>
            </w:r>
          </w:p>
        </w:tc>
        <w:tc>
          <w:tcPr>
            <w:tcW w:w="2338" w:type="dxa"/>
          </w:tcPr>
          <w:p w14:paraId="4B57F18E" w14:textId="2B9C8FC8" w:rsidR="003F50BC" w:rsidRPr="00D26A93" w:rsidRDefault="003F50BC" w:rsidP="00D02AD1">
            <w:pPr>
              <w:spacing w:before="120" w:after="120"/>
              <w:jc w:val="center"/>
              <w:rPr>
                <w:rFonts w:cs="Arial"/>
                <w:color w:val="000000"/>
              </w:rPr>
            </w:pPr>
            <w:r w:rsidRPr="00D26A93">
              <w:rPr>
                <w:rFonts w:cs="Arial"/>
                <w:color w:val="000000"/>
              </w:rPr>
              <w:t>Clear</w:t>
            </w:r>
          </w:p>
        </w:tc>
      </w:tr>
      <w:tr w:rsidR="003F50BC" w:rsidRPr="00D26A93" w14:paraId="03AE1973" w14:textId="77777777" w:rsidTr="001F3281">
        <w:trPr>
          <w:cantSplit/>
          <w:jc w:val="center"/>
        </w:trPr>
        <w:tc>
          <w:tcPr>
            <w:tcW w:w="2337" w:type="dxa"/>
          </w:tcPr>
          <w:p w14:paraId="698532BC" w14:textId="77777777" w:rsidR="003F50BC" w:rsidRPr="00D26A93" w:rsidRDefault="003F50BC" w:rsidP="00D02AD1">
            <w:pPr>
              <w:spacing w:before="120" w:after="120"/>
              <w:jc w:val="center"/>
              <w:rPr>
                <w:rFonts w:cs="Arial"/>
                <w:color w:val="000000"/>
              </w:rPr>
            </w:pPr>
            <w:r w:rsidRPr="00D26A93">
              <w:rPr>
                <w:rFonts w:cs="Arial"/>
                <w:color w:val="000000"/>
              </w:rPr>
              <w:t>4</w:t>
            </w:r>
          </w:p>
        </w:tc>
        <w:tc>
          <w:tcPr>
            <w:tcW w:w="2337" w:type="dxa"/>
          </w:tcPr>
          <w:p w14:paraId="35F84F9B" w14:textId="77777777" w:rsidR="003F50BC" w:rsidRPr="00D26A93" w:rsidRDefault="003F50BC" w:rsidP="00D02AD1">
            <w:pPr>
              <w:spacing w:before="120" w:after="120"/>
              <w:jc w:val="center"/>
              <w:rPr>
                <w:rFonts w:cs="Arial"/>
                <w:color w:val="000000"/>
              </w:rPr>
            </w:pPr>
            <w:r w:rsidRPr="00D26A93">
              <w:rPr>
                <w:rFonts w:cs="Arial"/>
                <w:color w:val="000000"/>
              </w:rPr>
              <w:t>History</w:t>
            </w:r>
          </w:p>
        </w:tc>
        <w:tc>
          <w:tcPr>
            <w:tcW w:w="2338" w:type="dxa"/>
          </w:tcPr>
          <w:p w14:paraId="1212CA13" w14:textId="77777777" w:rsidR="003F50BC" w:rsidRPr="00D26A93" w:rsidRDefault="003F50BC" w:rsidP="00D02AD1">
            <w:pPr>
              <w:spacing w:before="120" w:after="120"/>
              <w:jc w:val="center"/>
              <w:rPr>
                <w:rFonts w:cs="Arial"/>
                <w:color w:val="000000"/>
              </w:rPr>
            </w:pPr>
            <w:r w:rsidRPr="00D26A93">
              <w:rPr>
                <w:rFonts w:cs="Arial"/>
                <w:color w:val="000000"/>
              </w:rPr>
              <w:t>0.2</w:t>
            </w:r>
          </w:p>
        </w:tc>
        <w:tc>
          <w:tcPr>
            <w:tcW w:w="2338" w:type="dxa"/>
          </w:tcPr>
          <w:p w14:paraId="75DEE96E" w14:textId="48EE122A" w:rsidR="003F50BC" w:rsidRPr="00D26A93" w:rsidRDefault="003F50BC" w:rsidP="00D02AD1">
            <w:pPr>
              <w:spacing w:before="120" w:after="120"/>
              <w:jc w:val="center"/>
              <w:rPr>
                <w:rFonts w:cs="Arial"/>
                <w:color w:val="000000"/>
              </w:rPr>
            </w:pPr>
            <w:r w:rsidRPr="00D26A93">
              <w:rPr>
                <w:rFonts w:cs="Arial"/>
                <w:color w:val="000000"/>
              </w:rPr>
              <w:t>Out-of-Field</w:t>
            </w:r>
          </w:p>
        </w:tc>
      </w:tr>
      <w:tr w:rsidR="003F50BC" w:rsidRPr="00D26A93" w14:paraId="39557578" w14:textId="77777777" w:rsidTr="001F3281">
        <w:trPr>
          <w:cantSplit/>
          <w:jc w:val="center"/>
        </w:trPr>
        <w:tc>
          <w:tcPr>
            <w:tcW w:w="2337" w:type="dxa"/>
          </w:tcPr>
          <w:p w14:paraId="49130740" w14:textId="77777777" w:rsidR="003F50BC" w:rsidRPr="00D26A93" w:rsidRDefault="003F50BC" w:rsidP="00D02AD1">
            <w:pPr>
              <w:spacing w:before="120" w:after="120"/>
              <w:jc w:val="center"/>
              <w:rPr>
                <w:rFonts w:cs="Arial"/>
                <w:color w:val="000000"/>
              </w:rPr>
            </w:pPr>
            <w:r w:rsidRPr="00D26A93">
              <w:rPr>
                <w:rFonts w:cs="Arial"/>
                <w:color w:val="000000"/>
              </w:rPr>
              <w:t>5</w:t>
            </w:r>
          </w:p>
        </w:tc>
        <w:tc>
          <w:tcPr>
            <w:tcW w:w="2337" w:type="dxa"/>
          </w:tcPr>
          <w:p w14:paraId="7A09FE1C" w14:textId="77777777" w:rsidR="003F50BC" w:rsidRPr="00D26A93" w:rsidRDefault="003F50BC" w:rsidP="00D02AD1">
            <w:pPr>
              <w:spacing w:before="120" w:after="120"/>
              <w:jc w:val="center"/>
              <w:rPr>
                <w:rFonts w:cs="Arial"/>
                <w:color w:val="000000"/>
              </w:rPr>
            </w:pPr>
            <w:r w:rsidRPr="00D26A93">
              <w:rPr>
                <w:rFonts w:cs="Arial"/>
                <w:color w:val="000000"/>
              </w:rPr>
              <w:t>History</w:t>
            </w:r>
          </w:p>
        </w:tc>
        <w:tc>
          <w:tcPr>
            <w:tcW w:w="2338" w:type="dxa"/>
          </w:tcPr>
          <w:p w14:paraId="6C666C88" w14:textId="77777777" w:rsidR="003F50BC" w:rsidRPr="00D26A93" w:rsidRDefault="003F50BC" w:rsidP="00D02AD1">
            <w:pPr>
              <w:spacing w:before="120" w:after="120"/>
              <w:jc w:val="center"/>
              <w:rPr>
                <w:rFonts w:cs="Arial"/>
                <w:color w:val="000000"/>
              </w:rPr>
            </w:pPr>
            <w:r w:rsidRPr="00D26A93">
              <w:rPr>
                <w:rFonts w:cs="Arial"/>
                <w:color w:val="000000"/>
              </w:rPr>
              <w:t>0.2</w:t>
            </w:r>
          </w:p>
        </w:tc>
        <w:tc>
          <w:tcPr>
            <w:tcW w:w="2338" w:type="dxa"/>
          </w:tcPr>
          <w:p w14:paraId="305EA10E" w14:textId="19D6CCE0" w:rsidR="003F50BC" w:rsidRPr="00D26A93" w:rsidRDefault="003F50BC" w:rsidP="00D02AD1">
            <w:pPr>
              <w:spacing w:before="120" w:after="120"/>
              <w:jc w:val="center"/>
              <w:rPr>
                <w:rFonts w:cs="Arial"/>
                <w:color w:val="000000"/>
              </w:rPr>
            </w:pPr>
            <w:r w:rsidRPr="00D26A93">
              <w:rPr>
                <w:rFonts w:cs="Arial"/>
                <w:color w:val="000000"/>
              </w:rPr>
              <w:t>Out-of-Field</w:t>
            </w:r>
          </w:p>
        </w:tc>
      </w:tr>
    </w:tbl>
    <w:p w14:paraId="1E885F34" w14:textId="77777777" w:rsidR="003F50BC" w:rsidRPr="00D26A93" w:rsidRDefault="003F50BC" w:rsidP="00B25530">
      <w:pPr>
        <w:spacing w:before="240" w:after="480"/>
        <w:rPr>
          <w:rFonts w:cs="Arial"/>
          <w:color w:val="000000"/>
        </w:rPr>
      </w:pPr>
      <w:r w:rsidRPr="00D26A93">
        <w:rPr>
          <w:rFonts w:cs="Arial"/>
          <w:color w:val="000000"/>
        </w:rPr>
        <w:t>The CDE evaluates the detailed data provided by the CTC to produce a single AMO for each assignment based on a set of business rules. Table 2 defines each of the possible AMOs that could be assigned to each teaching assignment.</w:t>
      </w:r>
    </w:p>
    <w:p w14:paraId="70B902DD" w14:textId="76A61D7C" w:rsidR="003F50BC" w:rsidRPr="00D26A93" w:rsidRDefault="003F50BC" w:rsidP="00B25530">
      <w:pPr>
        <w:pStyle w:val="Heading4"/>
        <w:spacing w:before="0"/>
      </w:pPr>
      <w:r w:rsidRPr="00D26A93">
        <w:t xml:space="preserve">Table 2: California Definitions for Purposes of Collecting Equity Data under the </w:t>
      </w:r>
      <w:r w:rsidR="001E1A51" w:rsidRPr="001E1A51">
        <w:t>Every Student Succeeds Act</w:t>
      </w:r>
    </w:p>
    <w:tbl>
      <w:tblPr>
        <w:tblStyle w:val="TableGrid"/>
        <w:tblW w:w="0" w:type="auto"/>
        <w:jc w:val="center"/>
        <w:tblLook w:val="04A0" w:firstRow="1" w:lastRow="0" w:firstColumn="1" w:lastColumn="0" w:noHBand="0" w:noVBand="1"/>
        <w:tblCaption w:val="Table 2: California Definitions for Purposes of Collecting Equity Data "/>
        <w:tblDescription w:val="This chart contains terms and definitions under California's ESSA plan:  ineffective teacher, out-of-field teacher, inexperienced teacher, minority student and low-income student."/>
      </w:tblPr>
      <w:tblGrid>
        <w:gridCol w:w="2155"/>
        <w:gridCol w:w="7195"/>
      </w:tblGrid>
      <w:tr w:rsidR="003F50BC" w:rsidRPr="00D26A93" w14:paraId="5D51B63B" w14:textId="77777777" w:rsidTr="46A2BB53">
        <w:trPr>
          <w:cantSplit/>
          <w:tblHeader/>
          <w:jc w:val="center"/>
        </w:trPr>
        <w:tc>
          <w:tcPr>
            <w:tcW w:w="2155" w:type="dxa"/>
            <w:shd w:val="clear" w:color="auto" w:fill="D9D9D9" w:themeFill="background1" w:themeFillShade="D9"/>
          </w:tcPr>
          <w:p w14:paraId="04AFC23D" w14:textId="77777777" w:rsidR="003F50BC" w:rsidRPr="00D26A93" w:rsidRDefault="003F50BC" w:rsidP="00A30B08">
            <w:pPr>
              <w:spacing w:before="120" w:after="120"/>
              <w:jc w:val="center"/>
              <w:rPr>
                <w:rFonts w:cs="Arial"/>
                <w:b/>
                <w:lang w:val="en"/>
              </w:rPr>
            </w:pPr>
            <w:r w:rsidRPr="00D26A93">
              <w:rPr>
                <w:rFonts w:cs="Arial"/>
                <w:b/>
                <w:lang w:val="en"/>
              </w:rPr>
              <w:t>Term</w:t>
            </w:r>
          </w:p>
        </w:tc>
        <w:tc>
          <w:tcPr>
            <w:tcW w:w="7195" w:type="dxa"/>
            <w:shd w:val="clear" w:color="auto" w:fill="D9D9D9" w:themeFill="background1" w:themeFillShade="D9"/>
          </w:tcPr>
          <w:p w14:paraId="65BB4BA4" w14:textId="77777777" w:rsidR="003F50BC" w:rsidRPr="00D26A93" w:rsidRDefault="003F50BC" w:rsidP="00A30B08">
            <w:pPr>
              <w:spacing w:before="120" w:after="120"/>
              <w:jc w:val="center"/>
              <w:rPr>
                <w:rFonts w:cs="Arial"/>
                <w:b/>
                <w:lang w:val="en"/>
              </w:rPr>
            </w:pPr>
            <w:r w:rsidRPr="00D26A93">
              <w:rPr>
                <w:rFonts w:cs="Arial"/>
                <w:b/>
                <w:lang w:val="en"/>
              </w:rPr>
              <w:t>Definition</w:t>
            </w:r>
          </w:p>
        </w:tc>
      </w:tr>
      <w:tr w:rsidR="003F50BC" w:rsidRPr="00D26A93" w14:paraId="47B73C41" w14:textId="77777777" w:rsidTr="46A2BB53">
        <w:trPr>
          <w:cantSplit/>
          <w:jc w:val="center"/>
        </w:trPr>
        <w:tc>
          <w:tcPr>
            <w:tcW w:w="2155" w:type="dxa"/>
          </w:tcPr>
          <w:p w14:paraId="22C8E59A" w14:textId="77777777" w:rsidR="003F50BC" w:rsidRPr="00D26A93" w:rsidRDefault="003F50BC" w:rsidP="00A30B08">
            <w:pPr>
              <w:spacing w:before="120" w:after="120"/>
              <w:rPr>
                <w:rFonts w:cs="Arial"/>
                <w:b/>
                <w:lang w:val="en"/>
              </w:rPr>
            </w:pPr>
            <w:r w:rsidRPr="00D26A93">
              <w:rPr>
                <w:rFonts w:cs="Arial"/>
                <w:b/>
                <w:lang w:val="en"/>
              </w:rPr>
              <w:t>Clear</w:t>
            </w:r>
          </w:p>
        </w:tc>
        <w:tc>
          <w:tcPr>
            <w:tcW w:w="7195" w:type="dxa"/>
          </w:tcPr>
          <w:p w14:paraId="101D1B91" w14:textId="2B4078E3" w:rsidR="003F50BC" w:rsidRPr="00D26A93" w:rsidRDefault="003F50BC" w:rsidP="00A30B08">
            <w:pPr>
              <w:spacing w:before="120" w:after="120"/>
              <w:rPr>
                <w:rFonts w:cs="Arial"/>
                <w:color w:val="000000"/>
              </w:rPr>
            </w:pPr>
            <w:r w:rsidRPr="00D26A93">
              <w:rPr>
                <w:rFonts w:cs="Arial"/>
                <w:color w:val="000000"/>
              </w:rPr>
              <w:t xml:space="preserve">An assignment monitoring outcome of clear indicates that all relevant attributes or dimensions of the assignment were authorized by a clear or preliminary credential or authorized by a local assignment option (LAO) pursuant to Section 80005(b) of the California </w:t>
            </w:r>
            <w:r w:rsidRPr="00D26A93">
              <w:rPr>
                <w:rFonts w:cs="Arial"/>
                <w:i/>
                <w:iCs/>
                <w:color w:val="000000"/>
              </w:rPr>
              <w:t>Code of Regulations</w:t>
            </w:r>
            <w:r w:rsidRPr="00D26A93">
              <w:rPr>
                <w:rFonts w:cs="Arial"/>
                <w:color w:val="000000"/>
              </w:rPr>
              <w:t xml:space="preserve"> </w:t>
            </w:r>
            <w:r w:rsidR="007F5911">
              <w:rPr>
                <w:rFonts w:cs="Arial"/>
                <w:color w:val="000000"/>
              </w:rPr>
              <w:t>(</w:t>
            </w:r>
            <w:r w:rsidRPr="004A2722">
              <w:rPr>
                <w:rFonts w:cs="Arial"/>
                <w:color w:val="000000"/>
              </w:rPr>
              <w:t>T5 §80005</w:t>
            </w:r>
            <w:r w:rsidR="007F5911" w:rsidRPr="004A2722">
              <w:rPr>
                <w:rFonts w:cs="Arial"/>
                <w:color w:val="000000"/>
              </w:rPr>
              <w:t>[</w:t>
            </w:r>
            <w:r w:rsidRPr="004A2722">
              <w:rPr>
                <w:rFonts w:cs="Arial"/>
                <w:color w:val="000000"/>
              </w:rPr>
              <w:t>b</w:t>
            </w:r>
            <w:r w:rsidR="007F5911" w:rsidRPr="004A2722">
              <w:rPr>
                <w:rFonts w:cs="Arial"/>
                <w:color w:val="000000"/>
              </w:rPr>
              <w:t>])</w:t>
            </w:r>
            <w:r w:rsidRPr="00D26A93">
              <w:rPr>
                <w:rFonts w:cs="Arial"/>
                <w:color w:val="000000"/>
              </w:rPr>
              <w:t xml:space="preserve"> for specific state course codes where a credential or permit does not exist to authorize the indicated teaching assignment (e.g., student government or study hall).</w:t>
            </w:r>
          </w:p>
        </w:tc>
      </w:tr>
      <w:tr w:rsidR="003F50BC" w:rsidRPr="00D26A93" w14:paraId="03E4694B" w14:textId="77777777" w:rsidTr="46A2BB53">
        <w:trPr>
          <w:cantSplit/>
          <w:jc w:val="center"/>
        </w:trPr>
        <w:tc>
          <w:tcPr>
            <w:tcW w:w="2155" w:type="dxa"/>
          </w:tcPr>
          <w:p w14:paraId="5B8F5464" w14:textId="77777777" w:rsidR="003F50BC" w:rsidRPr="00D26A93" w:rsidRDefault="003F50BC" w:rsidP="00A30B08">
            <w:pPr>
              <w:spacing w:before="120" w:after="120"/>
              <w:rPr>
                <w:rFonts w:cs="Arial"/>
                <w:b/>
                <w:lang w:val="en"/>
              </w:rPr>
            </w:pPr>
            <w:r w:rsidRPr="00D26A93">
              <w:rPr>
                <w:rFonts w:cs="Arial"/>
                <w:b/>
                <w:lang w:val="en"/>
              </w:rPr>
              <w:lastRenderedPageBreak/>
              <w:t>Ineffective Teacher</w:t>
            </w:r>
          </w:p>
        </w:tc>
        <w:tc>
          <w:tcPr>
            <w:tcW w:w="7195" w:type="dxa"/>
          </w:tcPr>
          <w:p w14:paraId="24A564CF" w14:textId="734BE159" w:rsidR="003F50BC" w:rsidRPr="00D26A93" w:rsidRDefault="003F50BC" w:rsidP="00A30B08">
            <w:pPr>
              <w:spacing w:before="120" w:after="120"/>
              <w:rPr>
                <w:rFonts w:cs="Arial"/>
                <w:color w:val="000000"/>
              </w:rPr>
            </w:pPr>
            <w:r w:rsidRPr="00D26A93">
              <w:rPr>
                <w:rFonts w:cs="Arial"/>
                <w:color w:val="000000"/>
              </w:rPr>
              <w:t>An assignment monitoring outcome of ineffective indicates that one or more relevant attributes of the assignment had no legal authorization from a permit, credential or waiver, or one or more relevant attributes of the assignment were authorized by the following limited permits:</w:t>
            </w:r>
          </w:p>
          <w:p w14:paraId="781922ED" w14:textId="603D7F9D" w:rsidR="003F50BC" w:rsidRPr="00D26A93" w:rsidRDefault="003F50BC" w:rsidP="00A30B08">
            <w:pPr>
              <w:numPr>
                <w:ilvl w:val="0"/>
                <w:numId w:val="1"/>
              </w:numPr>
              <w:spacing w:before="120" w:after="120"/>
              <w:rPr>
                <w:rFonts w:cs="Arial"/>
                <w:color w:val="000000"/>
              </w:rPr>
            </w:pPr>
            <w:r w:rsidRPr="00D26A93">
              <w:rPr>
                <w:rFonts w:cs="Arial"/>
                <w:color w:val="000000"/>
              </w:rPr>
              <w:t>Provisional Internship Permits</w:t>
            </w:r>
          </w:p>
          <w:p w14:paraId="775DD41B" w14:textId="77777777" w:rsidR="003F50BC" w:rsidRPr="00D26A93" w:rsidRDefault="003F50BC" w:rsidP="00A30B08">
            <w:pPr>
              <w:numPr>
                <w:ilvl w:val="0"/>
                <w:numId w:val="1"/>
              </w:numPr>
              <w:spacing w:before="120" w:after="120"/>
              <w:rPr>
                <w:rFonts w:cs="Arial"/>
                <w:color w:val="000000"/>
              </w:rPr>
            </w:pPr>
            <w:r w:rsidRPr="00D26A93">
              <w:rPr>
                <w:rFonts w:cs="Arial"/>
                <w:color w:val="000000"/>
              </w:rPr>
              <w:t>Short-Term Staff Permits</w:t>
            </w:r>
          </w:p>
          <w:p w14:paraId="659F134E" w14:textId="77777777" w:rsidR="003F50BC" w:rsidRPr="00D26A93" w:rsidRDefault="003F50BC" w:rsidP="00A30B08">
            <w:pPr>
              <w:numPr>
                <w:ilvl w:val="0"/>
                <w:numId w:val="1"/>
              </w:numPr>
              <w:spacing w:before="120" w:after="120"/>
              <w:rPr>
                <w:rFonts w:cs="Arial"/>
                <w:color w:val="000000"/>
              </w:rPr>
            </w:pPr>
            <w:r w:rsidRPr="00D26A93">
              <w:rPr>
                <w:rFonts w:cs="Arial"/>
                <w:color w:val="000000"/>
              </w:rPr>
              <w:t>Variable Term Waivers</w:t>
            </w:r>
          </w:p>
          <w:p w14:paraId="22B48F26" w14:textId="6D78F9DD" w:rsidR="003F50BC" w:rsidRPr="00D26A93" w:rsidRDefault="003F50BC" w:rsidP="00A30B08">
            <w:pPr>
              <w:numPr>
                <w:ilvl w:val="0"/>
                <w:numId w:val="1"/>
              </w:numPr>
              <w:spacing w:before="120" w:after="120"/>
              <w:rPr>
                <w:rFonts w:cs="Arial"/>
                <w:color w:val="000000"/>
              </w:rPr>
            </w:pPr>
            <w:r w:rsidRPr="00D26A93">
              <w:rPr>
                <w:rFonts w:cs="Arial"/>
                <w:color w:val="000000"/>
              </w:rPr>
              <w:t xml:space="preserve">Substitute </w:t>
            </w:r>
            <w:r w:rsidR="00A93C97">
              <w:rPr>
                <w:rFonts w:cs="Arial"/>
                <w:color w:val="000000"/>
              </w:rPr>
              <w:t>P</w:t>
            </w:r>
            <w:r w:rsidRPr="00D26A93">
              <w:rPr>
                <w:rFonts w:cs="Arial"/>
                <w:color w:val="000000"/>
              </w:rPr>
              <w:t>ermits or Teaching Permits for Statutory Leave holders serving as the teacher of record</w:t>
            </w:r>
          </w:p>
        </w:tc>
      </w:tr>
      <w:tr w:rsidR="003F50BC" w:rsidRPr="00D26A93" w14:paraId="0152CFF5" w14:textId="77777777" w:rsidTr="46A2BB53">
        <w:trPr>
          <w:cantSplit/>
          <w:jc w:val="center"/>
        </w:trPr>
        <w:tc>
          <w:tcPr>
            <w:tcW w:w="2155" w:type="dxa"/>
          </w:tcPr>
          <w:p w14:paraId="6CA81678" w14:textId="77777777" w:rsidR="003F50BC" w:rsidRPr="00D26A93" w:rsidRDefault="003F50BC" w:rsidP="00A30B08">
            <w:pPr>
              <w:tabs>
                <w:tab w:val="left" w:pos="1355"/>
              </w:tabs>
              <w:spacing w:before="120" w:after="120"/>
              <w:rPr>
                <w:rFonts w:cs="Arial"/>
                <w:b/>
                <w:lang w:val="en"/>
              </w:rPr>
            </w:pPr>
            <w:r w:rsidRPr="00D26A93">
              <w:rPr>
                <w:rFonts w:cs="Arial"/>
                <w:b/>
                <w:lang w:val="en"/>
              </w:rPr>
              <w:t>Out-of-Field Teacher</w:t>
            </w:r>
          </w:p>
        </w:tc>
        <w:tc>
          <w:tcPr>
            <w:tcW w:w="7195" w:type="dxa"/>
          </w:tcPr>
          <w:p w14:paraId="0772EA97" w14:textId="513E03DE" w:rsidR="003F50BC" w:rsidRPr="00D26A93" w:rsidRDefault="003F50BC" w:rsidP="00A30B08">
            <w:pPr>
              <w:spacing w:before="120" w:after="120"/>
              <w:rPr>
                <w:rFonts w:cs="Arial"/>
                <w:color w:val="000000"/>
              </w:rPr>
            </w:pPr>
            <w:r w:rsidRPr="00D26A93">
              <w:rPr>
                <w:rFonts w:cs="Arial"/>
                <w:color w:val="000000"/>
              </w:rPr>
              <w:t xml:space="preserve">An out-of-field teacher is defined as someone who has a credential but has not yet demonstrated subject matter competence in the subject area(s) or for the student population associated with the assignment. </w:t>
            </w:r>
          </w:p>
          <w:p w14:paraId="5E9E5308" w14:textId="5B4B7A10" w:rsidR="003F50BC" w:rsidRPr="00D26A93" w:rsidRDefault="003F50BC" w:rsidP="00A30B08">
            <w:pPr>
              <w:spacing w:before="120" w:after="120"/>
              <w:rPr>
                <w:rFonts w:cs="Arial"/>
                <w:color w:val="000000"/>
              </w:rPr>
            </w:pPr>
            <w:r w:rsidRPr="00D26A93">
              <w:rPr>
                <w:rFonts w:cs="Arial"/>
                <w:color w:val="000000"/>
              </w:rPr>
              <w:t>An assignment monitoring outcome of out-of-field indicates that one or more relevant attributes of the assignment were authorized by the following limited permits:</w:t>
            </w:r>
          </w:p>
          <w:p w14:paraId="7AE4523D" w14:textId="52A358B1" w:rsidR="003F50BC" w:rsidRPr="00D26A93" w:rsidRDefault="003F50BC" w:rsidP="00A30B08">
            <w:pPr>
              <w:numPr>
                <w:ilvl w:val="0"/>
                <w:numId w:val="2"/>
              </w:numPr>
              <w:spacing w:before="120" w:after="120"/>
              <w:rPr>
                <w:rFonts w:cs="Arial"/>
                <w:color w:val="000000"/>
              </w:rPr>
            </w:pPr>
            <w:r w:rsidRPr="00D26A93">
              <w:rPr>
                <w:rFonts w:cs="Arial"/>
                <w:color w:val="000000"/>
              </w:rPr>
              <w:t>General Education Limited Assignment Permit</w:t>
            </w:r>
          </w:p>
          <w:p w14:paraId="2433E36D" w14:textId="5F8E4F39" w:rsidR="003F50BC" w:rsidRPr="00D26A93" w:rsidRDefault="003F50BC" w:rsidP="00A30B08">
            <w:pPr>
              <w:numPr>
                <w:ilvl w:val="0"/>
                <w:numId w:val="2"/>
              </w:numPr>
              <w:spacing w:before="120" w:after="120"/>
              <w:rPr>
                <w:rFonts w:cs="Arial"/>
                <w:color w:val="000000"/>
              </w:rPr>
            </w:pPr>
            <w:r w:rsidRPr="00D26A93">
              <w:rPr>
                <w:rFonts w:cs="Arial"/>
                <w:color w:val="000000"/>
              </w:rPr>
              <w:t>Special Education Limited Assignment Permit</w:t>
            </w:r>
          </w:p>
          <w:p w14:paraId="75A88A69" w14:textId="77777777" w:rsidR="003F50BC" w:rsidRPr="00D26A93" w:rsidRDefault="003F50BC" w:rsidP="00A30B08">
            <w:pPr>
              <w:numPr>
                <w:ilvl w:val="0"/>
                <w:numId w:val="2"/>
              </w:numPr>
              <w:spacing w:before="120" w:after="120"/>
              <w:rPr>
                <w:rFonts w:cs="Arial"/>
                <w:color w:val="000000"/>
              </w:rPr>
            </w:pPr>
            <w:r w:rsidRPr="00D26A93">
              <w:rPr>
                <w:rFonts w:cs="Arial"/>
                <w:color w:val="000000"/>
              </w:rPr>
              <w:t>Short-Term Waivers</w:t>
            </w:r>
          </w:p>
          <w:p w14:paraId="5DD2D8BA" w14:textId="77777777" w:rsidR="003F50BC" w:rsidRPr="00D26A93" w:rsidRDefault="003F50BC" w:rsidP="00A30B08">
            <w:pPr>
              <w:numPr>
                <w:ilvl w:val="0"/>
                <w:numId w:val="2"/>
              </w:numPr>
              <w:spacing w:before="120" w:after="120"/>
              <w:rPr>
                <w:rFonts w:cs="Arial"/>
                <w:color w:val="000000"/>
              </w:rPr>
            </w:pPr>
            <w:r w:rsidRPr="00D26A93">
              <w:rPr>
                <w:rFonts w:cs="Arial"/>
                <w:color w:val="000000"/>
              </w:rPr>
              <w:t>Emergency English Learner or Bilingual Authorization Permits </w:t>
            </w:r>
          </w:p>
          <w:p w14:paraId="7CD137B3" w14:textId="5E20FA5B" w:rsidR="003F50BC" w:rsidRPr="00D26A93" w:rsidRDefault="003F50BC" w:rsidP="00A30B08">
            <w:pPr>
              <w:numPr>
                <w:ilvl w:val="0"/>
                <w:numId w:val="2"/>
              </w:numPr>
              <w:spacing w:before="120" w:after="120"/>
              <w:rPr>
                <w:rFonts w:cs="Arial"/>
                <w:color w:val="000000"/>
              </w:rPr>
            </w:pPr>
            <w:r w:rsidRPr="00D26A93">
              <w:rPr>
                <w:rFonts w:cs="Arial"/>
                <w:color w:val="000000"/>
              </w:rPr>
              <w:t>LAOs (except for those made pursuant to T5 §80005</w:t>
            </w:r>
            <w:r w:rsidR="00F005FB">
              <w:rPr>
                <w:rFonts w:cs="Arial"/>
                <w:color w:val="000000"/>
              </w:rPr>
              <w:t>[</w:t>
            </w:r>
            <w:r w:rsidRPr="00D26A93">
              <w:rPr>
                <w:rFonts w:cs="Arial"/>
                <w:color w:val="000000"/>
              </w:rPr>
              <w:t>b</w:t>
            </w:r>
            <w:r w:rsidR="00F005FB">
              <w:rPr>
                <w:rFonts w:cs="Arial"/>
                <w:color w:val="000000"/>
              </w:rPr>
              <w:t>]</w:t>
            </w:r>
            <w:r w:rsidRPr="00D26A93">
              <w:rPr>
                <w:rFonts w:cs="Arial"/>
                <w:color w:val="000000"/>
              </w:rPr>
              <w:t>)</w:t>
            </w:r>
          </w:p>
        </w:tc>
      </w:tr>
      <w:tr w:rsidR="003F50BC" w:rsidRPr="00D26A93" w14:paraId="74F26EA9" w14:textId="77777777" w:rsidTr="46A2BB53">
        <w:trPr>
          <w:cantSplit/>
          <w:jc w:val="center"/>
        </w:trPr>
        <w:tc>
          <w:tcPr>
            <w:tcW w:w="2155" w:type="dxa"/>
          </w:tcPr>
          <w:p w14:paraId="61009C47" w14:textId="77777777" w:rsidR="003F50BC" w:rsidRPr="00D26A93" w:rsidRDefault="003F50BC" w:rsidP="00A30B08">
            <w:pPr>
              <w:spacing w:before="120" w:after="120"/>
              <w:rPr>
                <w:rFonts w:cs="Arial"/>
                <w:b/>
                <w:lang w:val="en"/>
              </w:rPr>
            </w:pPr>
            <w:r w:rsidRPr="00D26A93">
              <w:rPr>
                <w:rFonts w:cs="Arial"/>
                <w:b/>
                <w:lang w:val="en"/>
              </w:rPr>
              <w:t>Intern</w:t>
            </w:r>
          </w:p>
        </w:tc>
        <w:tc>
          <w:tcPr>
            <w:tcW w:w="7195" w:type="dxa"/>
          </w:tcPr>
          <w:p w14:paraId="6F784B6C" w14:textId="2F88B864" w:rsidR="003F50BC" w:rsidRPr="00D26A93" w:rsidRDefault="003F50BC" w:rsidP="00A30B08">
            <w:pPr>
              <w:spacing w:before="120" w:after="120"/>
              <w:rPr>
                <w:rFonts w:cs="Arial"/>
                <w:color w:val="000000"/>
              </w:rPr>
            </w:pPr>
            <w:r w:rsidRPr="00D26A93">
              <w:rPr>
                <w:rFonts w:cs="Arial"/>
                <w:color w:val="000000"/>
              </w:rPr>
              <w:t>An intern teacher is defined as someone who has a bachelor’s degree and has demonstrated subject matter competency in the subject area(s) or for the student population associated with the assignment, and who holds an intern credential while they complete coursework requirements to obtain a preliminary credential.</w:t>
            </w:r>
          </w:p>
        </w:tc>
      </w:tr>
      <w:tr w:rsidR="003F50BC" w:rsidRPr="00D26A93" w14:paraId="31F5880D" w14:textId="77777777" w:rsidTr="46A2BB53">
        <w:trPr>
          <w:cantSplit/>
          <w:jc w:val="center"/>
        </w:trPr>
        <w:tc>
          <w:tcPr>
            <w:tcW w:w="2155" w:type="dxa"/>
          </w:tcPr>
          <w:p w14:paraId="138C3020" w14:textId="77777777" w:rsidR="003F50BC" w:rsidRPr="00D26A93" w:rsidRDefault="003F50BC" w:rsidP="00A30B08">
            <w:pPr>
              <w:spacing w:before="120" w:after="120"/>
              <w:rPr>
                <w:rFonts w:cs="Arial"/>
                <w:b/>
                <w:lang w:val="en"/>
              </w:rPr>
            </w:pPr>
            <w:r w:rsidRPr="00D26A93">
              <w:rPr>
                <w:rFonts w:cs="Arial"/>
                <w:b/>
                <w:lang w:val="en"/>
              </w:rPr>
              <w:t>Inexperienced Teacher</w:t>
            </w:r>
          </w:p>
        </w:tc>
        <w:tc>
          <w:tcPr>
            <w:tcW w:w="7195" w:type="dxa"/>
          </w:tcPr>
          <w:p w14:paraId="041EF04E" w14:textId="77777777" w:rsidR="003F50BC" w:rsidRPr="00D26A93" w:rsidRDefault="003F50BC" w:rsidP="00A30B08">
            <w:pPr>
              <w:spacing w:before="120" w:after="120"/>
              <w:rPr>
                <w:rFonts w:cs="Arial"/>
                <w:lang w:val="en"/>
              </w:rPr>
            </w:pPr>
            <w:r w:rsidRPr="00D26A93">
              <w:rPr>
                <w:rFonts w:cs="Arial"/>
                <w:lang w:val="en"/>
              </w:rPr>
              <w:t>A teacher who has two or fewer years of teaching experience.</w:t>
            </w:r>
          </w:p>
        </w:tc>
      </w:tr>
      <w:tr w:rsidR="003F50BC" w:rsidRPr="00D26A93" w14:paraId="3A166ED4" w14:textId="77777777" w:rsidTr="46A2BB53">
        <w:trPr>
          <w:cantSplit/>
          <w:jc w:val="center"/>
        </w:trPr>
        <w:tc>
          <w:tcPr>
            <w:tcW w:w="2155" w:type="dxa"/>
          </w:tcPr>
          <w:p w14:paraId="3371188A" w14:textId="77777777" w:rsidR="003F50BC" w:rsidRPr="00D26A93" w:rsidRDefault="003F50BC" w:rsidP="00A30B08">
            <w:pPr>
              <w:spacing w:before="120" w:after="120"/>
              <w:rPr>
                <w:rFonts w:cs="Arial"/>
                <w:b/>
                <w:lang w:val="en"/>
              </w:rPr>
            </w:pPr>
            <w:r w:rsidRPr="00D26A93">
              <w:rPr>
                <w:rFonts w:cs="Arial"/>
                <w:b/>
                <w:lang w:val="en"/>
              </w:rPr>
              <w:t>Minority Student</w:t>
            </w:r>
          </w:p>
        </w:tc>
        <w:tc>
          <w:tcPr>
            <w:tcW w:w="7195" w:type="dxa"/>
          </w:tcPr>
          <w:p w14:paraId="14C73A5B" w14:textId="6045AFD2" w:rsidR="003F50BC" w:rsidRPr="00D26A93" w:rsidRDefault="003F50BC" w:rsidP="00A30B08">
            <w:pPr>
              <w:spacing w:before="120" w:after="120"/>
              <w:rPr>
                <w:rFonts w:cs="Arial"/>
                <w:lang w:val="en"/>
              </w:rPr>
            </w:pPr>
            <w:r w:rsidRPr="00D26A93">
              <w:rPr>
                <w:rFonts w:cs="Arial"/>
                <w:lang w:val="en"/>
              </w:rPr>
              <w:t xml:space="preserve">A student who is American Indian/Alaska Native, Asian, African American, Filipino, Native Hawaiian/Pacific Islander, Hispanic, or </w:t>
            </w:r>
            <w:r w:rsidR="007409C1">
              <w:rPr>
                <w:rFonts w:cs="Arial"/>
                <w:lang w:val="en"/>
              </w:rPr>
              <w:t>t</w:t>
            </w:r>
            <w:r w:rsidRPr="00D26A93">
              <w:rPr>
                <w:rFonts w:cs="Arial"/>
                <w:lang w:val="en"/>
              </w:rPr>
              <w:t xml:space="preserve">wo or </w:t>
            </w:r>
            <w:r w:rsidR="007409C1">
              <w:rPr>
                <w:rFonts w:cs="Arial"/>
                <w:lang w:val="en"/>
              </w:rPr>
              <w:t>m</w:t>
            </w:r>
            <w:r w:rsidRPr="00D26A93">
              <w:rPr>
                <w:rFonts w:cs="Arial"/>
                <w:lang w:val="en"/>
              </w:rPr>
              <w:t xml:space="preserve">ore </w:t>
            </w:r>
            <w:r w:rsidR="007409C1">
              <w:rPr>
                <w:rFonts w:cs="Arial"/>
                <w:lang w:val="en"/>
              </w:rPr>
              <w:t>r</w:t>
            </w:r>
            <w:r w:rsidRPr="00D26A93">
              <w:rPr>
                <w:rFonts w:cs="Arial"/>
                <w:lang w:val="en"/>
              </w:rPr>
              <w:t>aces</w:t>
            </w:r>
            <w:r w:rsidR="00BA59AE">
              <w:rPr>
                <w:rFonts w:cs="Arial"/>
                <w:lang w:val="en"/>
              </w:rPr>
              <w:t xml:space="preserve"> that are</w:t>
            </w:r>
            <w:r w:rsidRPr="00D26A93">
              <w:rPr>
                <w:rFonts w:cs="Arial"/>
                <w:lang w:val="en"/>
              </w:rPr>
              <w:t xml:space="preserve"> </w:t>
            </w:r>
            <w:r w:rsidR="007409C1">
              <w:rPr>
                <w:rFonts w:cs="Arial"/>
                <w:lang w:val="en"/>
              </w:rPr>
              <w:t>n</w:t>
            </w:r>
            <w:r w:rsidRPr="00D26A93">
              <w:rPr>
                <w:rFonts w:cs="Arial"/>
                <w:lang w:val="en"/>
              </w:rPr>
              <w:t>ot Hispanic.</w:t>
            </w:r>
          </w:p>
        </w:tc>
      </w:tr>
      <w:tr w:rsidR="003F50BC" w:rsidRPr="00D26A93" w14:paraId="243D9F4F" w14:textId="77777777" w:rsidTr="46A2BB53">
        <w:trPr>
          <w:cantSplit/>
          <w:jc w:val="center"/>
        </w:trPr>
        <w:tc>
          <w:tcPr>
            <w:tcW w:w="2155" w:type="dxa"/>
          </w:tcPr>
          <w:p w14:paraId="09A69695" w14:textId="77777777" w:rsidR="003F50BC" w:rsidRPr="00D26A93" w:rsidRDefault="003F50BC" w:rsidP="00A30B08">
            <w:pPr>
              <w:spacing w:before="120" w:after="120"/>
              <w:rPr>
                <w:rFonts w:cs="Arial"/>
                <w:b/>
                <w:lang w:val="en"/>
              </w:rPr>
            </w:pPr>
            <w:r w:rsidRPr="00D26A93">
              <w:rPr>
                <w:rFonts w:cs="Arial"/>
                <w:b/>
                <w:lang w:val="en"/>
              </w:rPr>
              <w:lastRenderedPageBreak/>
              <w:t>Low-Income Student</w:t>
            </w:r>
          </w:p>
        </w:tc>
        <w:tc>
          <w:tcPr>
            <w:tcW w:w="7195" w:type="dxa"/>
          </w:tcPr>
          <w:p w14:paraId="56EB8441" w14:textId="1216FA0A" w:rsidR="003F50BC" w:rsidRPr="00D26A93" w:rsidRDefault="003F50BC" w:rsidP="46A2BB53">
            <w:pPr>
              <w:spacing w:before="120" w:after="120"/>
              <w:rPr>
                <w:rFonts w:cs="Arial"/>
              </w:rPr>
            </w:pPr>
            <w:r w:rsidRPr="00D26A93">
              <w:rPr>
                <w:rFonts w:cs="Arial"/>
              </w:rPr>
              <w:t xml:space="preserve">A student who is eligible to receive free or </w:t>
            </w:r>
            <w:r w:rsidR="00D204CC" w:rsidRPr="00D26A93">
              <w:rPr>
                <w:rFonts w:cs="Arial"/>
              </w:rPr>
              <w:t>reduced-price</w:t>
            </w:r>
            <w:r w:rsidRPr="00D26A93">
              <w:rPr>
                <w:rFonts w:cs="Arial"/>
              </w:rPr>
              <w:t xml:space="preserve"> meals</w:t>
            </w:r>
            <w:r w:rsidR="00DE36A5">
              <w:rPr>
                <w:rFonts w:cs="Arial"/>
              </w:rPr>
              <w:t>,</w:t>
            </w:r>
            <w:r w:rsidRPr="00D26A93">
              <w:rPr>
                <w:rFonts w:cs="Arial"/>
              </w:rPr>
              <w:t xml:space="preserve"> also referred to SED students.</w:t>
            </w:r>
          </w:p>
        </w:tc>
      </w:tr>
      <w:tr w:rsidR="003F50BC" w:rsidRPr="00D26A93" w14:paraId="6AEE9ABF" w14:textId="77777777" w:rsidTr="46A2BB53">
        <w:trPr>
          <w:cantSplit/>
          <w:jc w:val="center"/>
        </w:trPr>
        <w:tc>
          <w:tcPr>
            <w:tcW w:w="2155" w:type="dxa"/>
          </w:tcPr>
          <w:p w14:paraId="6B15708A" w14:textId="77777777" w:rsidR="003F50BC" w:rsidRPr="00D26A93" w:rsidRDefault="003F50BC" w:rsidP="00A30B08">
            <w:pPr>
              <w:spacing w:before="120" w:after="120"/>
              <w:rPr>
                <w:rFonts w:cs="Arial"/>
                <w:b/>
                <w:lang w:val="en"/>
              </w:rPr>
            </w:pPr>
            <w:r w:rsidRPr="00D26A93">
              <w:rPr>
                <w:rFonts w:cs="Arial"/>
                <w:b/>
                <w:lang w:val="en"/>
              </w:rPr>
              <w:t>Incomplete</w:t>
            </w:r>
          </w:p>
        </w:tc>
        <w:tc>
          <w:tcPr>
            <w:tcW w:w="7195" w:type="dxa"/>
          </w:tcPr>
          <w:p w14:paraId="308B4BFB" w14:textId="41045C85" w:rsidR="003F50BC" w:rsidRPr="00D26A93" w:rsidRDefault="003F50BC" w:rsidP="00A30B08">
            <w:pPr>
              <w:spacing w:before="120" w:after="120"/>
              <w:rPr>
                <w:rFonts w:cs="Arial"/>
                <w:color w:val="000000"/>
              </w:rPr>
            </w:pPr>
            <w:r w:rsidRPr="00D26A93">
              <w:rPr>
                <w:rFonts w:cs="Arial"/>
                <w:color w:val="000000"/>
              </w:rPr>
              <w:t>An assignment monitoring outcome of incomplete indicates that missing or incorrect information about the assignment was reported to CALPADS by the LEA which prevented a complete and accurate determination of the assignment authorization during the CTC assignment monitoring process. In some cases, the LEA or Monitoring Authority may have indicated that the assignment is appropriate; however, neither the CDE nor the CTC can validate the authorization basis for the assignment. </w:t>
            </w:r>
          </w:p>
        </w:tc>
      </w:tr>
      <w:tr w:rsidR="003F50BC" w:rsidRPr="00D26A93" w14:paraId="09812FA8" w14:textId="77777777" w:rsidTr="46A2BB53">
        <w:trPr>
          <w:cantSplit/>
          <w:jc w:val="center"/>
        </w:trPr>
        <w:tc>
          <w:tcPr>
            <w:tcW w:w="2155" w:type="dxa"/>
          </w:tcPr>
          <w:p w14:paraId="5EB384ED" w14:textId="77777777" w:rsidR="003F50BC" w:rsidRPr="00D26A93" w:rsidRDefault="003F50BC" w:rsidP="00A30B08">
            <w:pPr>
              <w:spacing w:before="120" w:after="120"/>
              <w:rPr>
                <w:rFonts w:cs="Arial"/>
                <w:b/>
                <w:lang w:val="en"/>
              </w:rPr>
            </w:pPr>
            <w:r w:rsidRPr="00D26A93">
              <w:rPr>
                <w:rFonts w:cs="Arial"/>
                <w:b/>
                <w:lang w:val="en"/>
              </w:rPr>
              <w:t>Unknown</w:t>
            </w:r>
          </w:p>
        </w:tc>
        <w:tc>
          <w:tcPr>
            <w:tcW w:w="7195" w:type="dxa"/>
          </w:tcPr>
          <w:p w14:paraId="27FF5589" w14:textId="43E312BF" w:rsidR="003F50BC" w:rsidRPr="00D26A93" w:rsidRDefault="003F50BC" w:rsidP="00A30B08">
            <w:pPr>
              <w:spacing w:before="120" w:after="120"/>
              <w:rPr>
                <w:rFonts w:cs="Arial"/>
                <w:color w:val="000000"/>
              </w:rPr>
            </w:pPr>
            <w:r w:rsidRPr="00D26A93">
              <w:rPr>
                <w:rFonts w:cs="Arial"/>
                <w:color w:val="000000"/>
              </w:rPr>
              <w:t xml:space="preserve">An assignment monitoring outcome of unknown indicates that insufficient information about the assignment was reported to CALPADS by the LEA which resulted in an unknown determination of the assignment authorization during the CTC assignment monitoring process. This outcome is often the result of LEAs not reporting an English language service associated with a course in which English learners are enrolled. Although the assignment authorization may be clear in other areas, an assignment monitoring outcome of unknown in the </w:t>
            </w:r>
            <w:r w:rsidR="00866A3E">
              <w:rPr>
                <w:rFonts w:cs="Arial"/>
                <w:color w:val="000000"/>
              </w:rPr>
              <w:t>English learner</w:t>
            </w:r>
            <w:r w:rsidRPr="00D26A93">
              <w:rPr>
                <w:rFonts w:cs="Arial"/>
                <w:color w:val="000000"/>
              </w:rPr>
              <w:t xml:space="preserve"> authorization space results in an overall determination </w:t>
            </w:r>
            <w:r w:rsidR="00866A3E">
              <w:rPr>
                <w:rFonts w:cs="Arial"/>
                <w:color w:val="000000"/>
              </w:rPr>
              <w:t>o</w:t>
            </w:r>
            <w:r w:rsidRPr="00D26A93">
              <w:rPr>
                <w:rFonts w:cs="Arial"/>
                <w:color w:val="000000"/>
              </w:rPr>
              <w:t>f unknown for the assignment. </w:t>
            </w:r>
          </w:p>
        </w:tc>
      </w:tr>
      <w:tr w:rsidR="003F50BC" w:rsidRPr="00D26A93" w14:paraId="75E62558" w14:textId="77777777" w:rsidTr="46A2BB53">
        <w:trPr>
          <w:cantSplit/>
          <w:jc w:val="center"/>
        </w:trPr>
        <w:tc>
          <w:tcPr>
            <w:tcW w:w="2155" w:type="dxa"/>
          </w:tcPr>
          <w:p w14:paraId="3C0DED10" w14:textId="2C23B3B5" w:rsidR="003F50BC" w:rsidRPr="00D26A93" w:rsidRDefault="00FB115E" w:rsidP="00A30B08">
            <w:pPr>
              <w:spacing w:before="120" w:after="120"/>
              <w:rPr>
                <w:rFonts w:cs="Arial"/>
                <w:b/>
                <w:lang w:val="en"/>
              </w:rPr>
            </w:pPr>
            <w:r>
              <w:rPr>
                <w:rFonts w:cs="Arial"/>
                <w:b/>
                <w:lang w:val="en"/>
              </w:rPr>
              <w:t>N/A</w:t>
            </w:r>
          </w:p>
        </w:tc>
        <w:tc>
          <w:tcPr>
            <w:tcW w:w="7195" w:type="dxa"/>
          </w:tcPr>
          <w:p w14:paraId="7D4C5F04" w14:textId="0C52D764" w:rsidR="003F50BC" w:rsidRPr="00D26A93" w:rsidRDefault="003F50BC" w:rsidP="00A30B08">
            <w:pPr>
              <w:spacing w:before="120" w:after="120"/>
              <w:rPr>
                <w:rFonts w:cs="Arial"/>
                <w:color w:val="000000"/>
              </w:rPr>
            </w:pPr>
            <w:r w:rsidRPr="00D26A93">
              <w:rPr>
                <w:rFonts w:cs="Arial"/>
                <w:color w:val="000000"/>
              </w:rPr>
              <w:t>An assignment monitoring outcome of N/A</w:t>
            </w:r>
            <w:r w:rsidR="0068256A">
              <w:rPr>
                <w:rFonts w:cs="Arial"/>
                <w:color w:val="000000"/>
              </w:rPr>
              <w:t xml:space="preserve"> </w:t>
            </w:r>
            <w:r w:rsidRPr="00D26A93">
              <w:rPr>
                <w:rFonts w:cs="Arial"/>
                <w:color w:val="000000"/>
              </w:rPr>
              <w:t>indicates that the assignment either required no authorization or evaluation of the authorization was not applicable given the state course code or some other attribute of the assignment. This includes specific state course codes not evaluated during the assignment monitoring process conducted by the CTC (e.g., 9143, 9154, or 9215) or because the assignment was an online, learner-led course in which the student sets the pace of instruction, and where content and instruction are provided solely by the online application. </w:t>
            </w:r>
          </w:p>
        </w:tc>
      </w:tr>
    </w:tbl>
    <w:p w14:paraId="19339BC7" w14:textId="7E80C15F" w:rsidR="003F50BC" w:rsidRPr="00D26A93" w:rsidRDefault="003F50BC" w:rsidP="00915031">
      <w:pPr>
        <w:spacing w:before="240" w:after="240"/>
        <w:rPr>
          <w:rFonts w:cs="Arial"/>
          <w:b/>
          <w:bCs/>
          <w:color w:val="000000"/>
          <w:shd w:val="clear" w:color="auto" w:fill="FFFFFF"/>
        </w:rPr>
      </w:pPr>
      <w:r w:rsidRPr="00D26A93">
        <w:rPr>
          <w:rFonts w:cs="Arial"/>
        </w:rPr>
        <w:t>Utilizing the Teaching AMO data, CDE staff divided California’s school enrollment into quartiles. Quartile 1 has the smallest percentage of low</w:t>
      </w:r>
      <w:r w:rsidR="003B0D17">
        <w:rPr>
          <w:rFonts w:cs="Arial"/>
        </w:rPr>
        <w:t>-</w:t>
      </w:r>
      <w:r w:rsidRPr="00D26A93">
        <w:rPr>
          <w:rFonts w:cs="Arial"/>
        </w:rPr>
        <w:t>income and minority students and Quartile 4 ha</w:t>
      </w:r>
      <w:r w:rsidR="005A1B3B">
        <w:rPr>
          <w:rFonts w:cs="Arial"/>
        </w:rPr>
        <w:t>s</w:t>
      </w:r>
      <w:r w:rsidRPr="00D26A93">
        <w:rPr>
          <w:rFonts w:cs="Arial"/>
        </w:rPr>
        <w:t xml:space="preserve"> the largest percentage. The tables provided below examine the rates in which </w:t>
      </w:r>
      <w:r w:rsidRPr="00D26A93">
        <w:rPr>
          <w:rFonts w:cs="Arial"/>
          <w:color w:val="000000"/>
          <w:shd w:val="clear" w:color="auto" w:fill="FFFFFF"/>
        </w:rPr>
        <w:t>low-income and minority students being taught by ineffective, inexperienced, or out-of-field teachers.</w:t>
      </w:r>
    </w:p>
    <w:p w14:paraId="6BEBF00A" w14:textId="63F8919D" w:rsidR="003F50BC" w:rsidRPr="00D26A93" w:rsidRDefault="003F50BC" w:rsidP="00B25530">
      <w:pPr>
        <w:pStyle w:val="Heading4"/>
        <w:spacing w:before="0"/>
        <w:rPr>
          <w:i/>
          <w:lang w:val="en"/>
        </w:rPr>
      </w:pPr>
      <w:r w:rsidRPr="00D26A93">
        <w:rPr>
          <w:lang w:val="en"/>
        </w:rPr>
        <w:lastRenderedPageBreak/>
        <w:t>Table 3a: Summary of 2021–22 Educator Equity Data: Minority Quartiles</w:t>
      </w:r>
      <w:r w:rsidR="001978D9">
        <w:rPr>
          <w:lang w:val="en"/>
        </w:rPr>
        <w:t xml:space="preserve"> - </w:t>
      </w:r>
      <w:r w:rsidR="001978D9" w:rsidRPr="001978D9">
        <w:rPr>
          <w:lang w:val="en"/>
        </w:rPr>
        <w:t>Student Enrollment and Teacher Counts</w:t>
      </w:r>
    </w:p>
    <w:tbl>
      <w:tblPr>
        <w:tblW w:w="8387" w:type="dxa"/>
        <w:jc w:val="center"/>
        <w:tblLook w:val="04A0" w:firstRow="1" w:lastRow="0" w:firstColumn="1" w:lastColumn="0" w:noHBand="0" w:noVBand="1"/>
        <w:tblCaption w:val="Table 3a: Summary of 2021–22 Educator Equity Data: Minority Quartiles"/>
        <w:tblDescription w:val="This table displays California’s school data divided into quartiles based on the number of minority students."/>
      </w:tblPr>
      <w:tblGrid>
        <w:gridCol w:w="1337"/>
        <w:gridCol w:w="1180"/>
        <w:gridCol w:w="1470"/>
        <w:gridCol w:w="1470"/>
        <w:gridCol w:w="1470"/>
        <w:gridCol w:w="1460"/>
      </w:tblGrid>
      <w:tr w:rsidR="00190652" w:rsidRPr="00D26A93" w14:paraId="23CE3C48" w14:textId="77777777" w:rsidTr="00CE2412">
        <w:trPr>
          <w:cantSplit/>
          <w:trHeight w:val="900"/>
          <w:tblHeader/>
          <w:jc w:val="center"/>
        </w:trPr>
        <w:tc>
          <w:tcPr>
            <w:tcW w:w="1337" w:type="dxa"/>
            <w:tcBorders>
              <w:top w:val="single" w:sz="4" w:space="0" w:color="auto"/>
              <w:left w:val="single" w:sz="4" w:space="0" w:color="auto"/>
              <w:bottom w:val="single" w:sz="4" w:space="0" w:color="auto"/>
              <w:right w:val="single" w:sz="4" w:space="0" w:color="auto"/>
            </w:tcBorders>
            <w:shd w:val="pct15" w:color="000000" w:fill="FFFFFF" w:themeFill="background1"/>
            <w:vAlign w:val="center"/>
            <w:hideMark/>
          </w:tcPr>
          <w:p w14:paraId="5564AC2A" w14:textId="77777777" w:rsidR="003F50BC" w:rsidRPr="00D26A93" w:rsidRDefault="003F50BC" w:rsidP="00190652">
            <w:pPr>
              <w:spacing w:before="120" w:after="120"/>
              <w:jc w:val="center"/>
              <w:rPr>
                <w:rFonts w:cs="Arial"/>
                <w:b/>
                <w:bCs/>
              </w:rPr>
            </w:pPr>
            <w:r w:rsidRPr="00D26A93">
              <w:rPr>
                <w:rFonts w:cs="Arial"/>
                <w:b/>
                <w:bCs/>
              </w:rPr>
              <w:t>Minority Quartile Rank</w:t>
            </w:r>
          </w:p>
        </w:tc>
        <w:tc>
          <w:tcPr>
            <w:tcW w:w="1180" w:type="dxa"/>
            <w:tcBorders>
              <w:top w:val="single" w:sz="4" w:space="0" w:color="auto"/>
              <w:left w:val="nil"/>
              <w:bottom w:val="single" w:sz="4" w:space="0" w:color="auto"/>
              <w:right w:val="single" w:sz="4" w:space="0" w:color="auto"/>
            </w:tcBorders>
            <w:shd w:val="pct15" w:color="000000" w:fill="FFFFFF" w:themeFill="background1"/>
            <w:vAlign w:val="center"/>
            <w:hideMark/>
          </w:tcPr>
          <w:p w14:paraId="122D9CE7" w14:textId="77777777" w:rsidR="003F50BC" w:rsidRPr="00D26A93" w:rsidRDefault="003F50BC" w:rsidP="00190652">
            <w:pPr>
              <w:spacing w:before="120" w:after="120"/>
              <w:jc w:val="center"/>
              <w:rPr>
                <w:rFonts w:cs="Arial"/>
                <w:b/>
                <w:bCs/>
              </w:rPr>
            </w:pPr>
            <w:r w:rsidRPr="00D26A93">
              <w:rPr>
                <w:rFonts w:cs="Arial"/>
                <w:b/>
                <w:bCs/>
              </w:rPr>
              <w:t>Number of Schools</w:t>
            </w:r>
          </w:p>
        </w:tc>
        <w:tc>
          <w:tcPr>
            <w:tcW w:w="1470" w:type="dxa"/>
            <w:tcBorders>
              <w:top w:val="single" w:sz="4" w:space="0" w:color="auto"/>
              <w:left w:val="nil"/>
              <w:bottom w:val="single" w:sz="4" w:space="0" w:color="auto"/>
              <w:right w:val="single" w:sz="4" w:space="0" w:color="auto"/>
            </w:tcBorders>
            <w:shd w:val="pct15" w:color="000000" w:fill="FFFFFF" w:themeFill="background1"/>
            <w:vAlign w:val="center"/>
            <w:hideMark/>
          </w:tcPr>
          <w:p w14:paraId="7AE914FE" w14:textId="77777777" w:rsidR="003F50BC" w:rsidRPr="00D26A93" w:rsidRDefault="003F50BC" w:rsidP="00190652">
            <w:pPr>
              <w:spacing w:before="120" w:after="120"/>
              <w:jc w:val="center"/>
              <w:rPr>
                <w:rFonts w:cs="Arial"/>
                <w:b/>
                <w:bCs/>
              </w:rPr>
            </w:pPr>
            <w:r w:rsidRPr="00D26A93">
              <w:rPr>
                <w:rFonts w:cs="Arial"/>
                <w:b/>
                <w:bCs/>
              </w:rPr>
              <w:t>Total Enrollment</w:t>
            </w:r>
            <w:r w:rsidRPr="00D26A93">
              <w:rPr>
                <w:rFonts w:cs="Arial"/>
                <w:b/>
                <w:bCs/>
              </w:rPr>
              <w:br/>
              <w:t>(N)</w:t>
            </w:r>
          </w:p>
        </w:tc>
        <w:tc>
          <w:tcPr>
            <w:tcW w:w="1470" w:type="dxa"/>
            <w:tcBorders>
              <w:top w:val="single" w:sz="4" w:space="0" w:color="auto"/>
              <w:left w:val="nil"/>
              <w:bottom w:val="single" w:sz="4" w:space="0" w:color="auto"/>
              <w:right w:val="single" w:sz="4" w:space="0" w:color="auto"/>
            </w:tcBorders>
            <w:shd w:val="pct15" w:color="000000" w:fill="FFFFFF" w:themeFill="background1"/>
            <w:vAlign w:val="center"/>
            <w:hideMark/>
          </w:tcPr>
          <w:p w14:paraId="5AD754A0" w14:textId="77777777" w:rsidR="003F50BC" w:rsidRPr="00D26A93" w:rsidRDefault="003F50BC" w:rsidP="00190652">
            <w:pPr>
              <w:spacing w:before="120" w:after="120"/>
              <w:jc w:val="center"/>
              <w:rPr>
                <w:rFonts w:cs="Arial"/>
                <w:b/>
                <w:bCs/>
              </w:rPr>
            </w:pPr>
            <w:r w:rsidRPr="00D26A93">
              <w:rPr>
                <w:rFonts w:cs="Arial"/>
                <w:b/>
                <w:bCs/>
              </w:rPr>
              <w:t xml:space="preserve">Minority Enrollment </w:t>
            </w:r>
            <w:r w:rsidRPr="00D26A93">
              <w:rPr>
                <w:rFonts w:cs="Arial"/>
                <w:b/>
                <w:bCs/>
              </w:rPr>
              <w:br/>
              <w:t>(N)</w:t>
            </w:r>
          </w:p>
        </w:tc>
        <w:tc>
          <w:tcPr>
            <w:tcW w:w="1470" w:type="dxa"/>
            <w:tcBorders>
              <w:top w:val="single" w:sz="4" w:space="0" w:color="auto"/>
              <w:left w:val="nil"/>
              <w:bottom w:val="single" w:sz="4" w:space="0" w:color="auto"/>
              <w:right w:val="single" w:sz="4" w:space="0" w:color="auto"/>
            </w:tcBorders>
            <w:shd w:val="pct15" w:color="000000" w:fill="FFFFFF" w:themeFill="background1"/>
            <w:vAlign w:val="center"/>
            <w:hideMark/>
          </w:tcPr>
          <w:p w14:paraId="11D65DD0" w14:textId="77777777" w:rsidR="003F50BC" w:rsidRPr="00D26A93" w:rsidRDefault="003F50BC" w:rsidP="00190652">
            <w:pPr>
              <w:spacing w:before="120" w:after="120"/>
              <w:jc w:val="center"/>
              <w:rPr>
                <w:rFonts w:cs="Arial"/>
                <w:b/>
                <w:bCs/>
              </w:rPr>
            </w:pPr>
            <w:r w:rsidRPr="00D26A93">
              <w:rPr>
                <w:rFonts w:cs="Arial"/>
                <w:b/>
                <w:bCs/>
              </w:rPr>
              <w:t>Minority Enrollment (%)</w:t>
            </w:r>
          </w:p>
        </w:tc>
        <w:tc>
          <w:tcPr>
            <w:tcW w:w="1460" w:type="dxa"/>
            <w:tcBorders>
              <w:top w:val="single" w:sz="4" w:space="0" w:color="auto"/>
              <w:left w:val="nil"/>
              <w:bottom w:val="single" w:sz="4" w:space="0" w:color="auto"/>
              <w:right w:val="single" w:sz="4" w:space="0" w:color="auto"/>
            </w:tcBorders>
            <w:shd w:val="pct15" w:color="000000" w:fill="FFFFFF" w:themeFill="background1"/>
            <w:vAlign w:val="center"/>
            <w:hideMark/>
          </w:tcPr>
          <w:p w14:paraId="67D9A650" w14:textId="77777777" w:rsidR="003F50BC" w:rsidRPr="00D26A93" w:rsidRDefault="003F50BC" w:rsidP="00190652">
            <w:pPr>
              <w:spacing w:before="120" w:after="120"/>
              <w:jc w:val="center"/>
              <w:rPr>
                <w:rFonts w:cs="Arial"/>
                <w:b/>
                <w:bCs/>
              </w:rPr>
            </w:pPr>
            <w:r w:rsidRPr="00D26A93">
              <w:rPr>
                <w:rFonts w:cs="Arial"/>
                <w:b/>
                <w:bCs/>
              </w:rPr>
              <w:t xml:space="preserve">Total </w:t>
            </w:r>
            <w:r w:rsidRPr="00D26A93">
              <w:rPr>
                <w:rFonts w:cs="Arial"/>
                <w:b/>
                <w:bCs/>
              </w:rPr>
              <w:br/>
              <w:t xml:space="preserve">Teacher </w:t>
            </w:r>
            <w:r w:rsidRPr="00D26A93">
              <w:rPr>
                <w:rFonts w:cs="Arial"/>
                <w:b/>
                <w:bCs/>
              </w:rPr>
              <w:br/>
              <w:t>FTE (N)</w:t>
            </w:r>
          </w:p>
        </w:tc>
      </w:tr>
      <w:tr w:rsidR="003F50BC" w:rsidRPr="00D26A93" w14:paraId="54D73D5D" w14:textId="77777777" w:rsidTr="00CE2412">
        <w:trPr>
          <w:cantSplit/>
          <w:trHeight w:val="280"/>
          <w:tblHeader/>
          <w:jc w:val="center"/>
        </w:trPr>
        <w:tc>
          <w:tcPr>
            <w:tcW w:w="1337" w:type="dxa"/>
            <w:tcBorders>
              <w:top w:val="nil"/>
              <w:left w:val="single" w:sz="4" w:space="0" w:color="auto"/>
              <w:bottom w:val="single" w:sz="4" w:space="0" w:color="auto"/>
              <w:right w:val="single" w:sz="4" w:space="0" w:color="auto"/>
            </w:tcBorders>
            <w:shd w:val="clear" w:color="auto" w:fill="auto"/>
            <w:noWrap/>
            <w:vAlign w:val="center"/>
            <w:hideMark/>
          </w:tcPr>
          <w:p w14:paraId="39EB5B3E" w14:textId="77777777" w:rsidR="003F50BC" w:rsidRPr="00D26A93" w:rsidRDefault="003F50BC" w:rsidP="00190652">
            <w:pPr>
              <w:spacing w:before="120" w:after="120"/>
              <w:jc w:val="center"/>
              <w:rPr>
                <w:rFonts w:cs="Arial"/>
              </w:rPr>
            </w:pPr>
            <w:r w:rsidRPr="00D26A93">
              <w:rPr>
                <w:rFonts w:cs="Arial"/>
              </w:rPr>
              <w:t>1</w:t>
            </w:r>
          </w:p>
        </w:tc>
        <w:tc>
          <w:tcPr>
            <w:tcW w:w="1180" w:type="dxa"/>
            <w:tcBorders>
              <w:top w:val="nil"/>
              <w:left w:val="nil"/>
              <w:bottom w:val="single" w:sz="4" w:space="0" w:color="auto"/>
              <w:right w:val="single" w:sz="4" w:space="0" w:color="auto"/>
            </w:tcBorders>
            <w:shd w:val="clear" w:color="auto" w:fill="auto"/>
            <w:noWrap/>
            <w:vAlign w:val="bottom"/>
            <w:hideMark/>
          </w:tcPr>
          <w:p w14:paraId="15181F23" w14:textId="77777777" w:rsidR="003F50BC" w:rsidRPr="00D26A93" w:rsidRDefault="003F50BC" w:rsidP="00190652">
            <w:pPr>
              <w:spacing w:before="120" w:after="120"/>
              <w:jc w:val="center"/>
              <w:rPr>
                <w:rFonts w:cs="Arial"/>
              </w:rPr>
            </w:pPr>
            <w:r w:rsidRPr="00D26A93">
              <w:rPr>
                <w:rFonts w:cs="Arial"/>
              </w:rPr>
              <w:t>2,494</w:t>
            </w:r>
          </w:p>
        </w:tc>
        <w:tc>
          <w:tcPr>
            <w:tcW w:w="1470" w:type="dxa"/>
            <w:tcBorders>
              <w:top w:val="nil"/>
              <w:left w:val="nil"/>
              <w:bottom w:val="single" w:sz="4" w:space="0" w:color="auto"/>
              <w:right w:val="single" w:sz="4" w:space="0" w:color="auto"/>
            </w:tcBorders>
            <w:shd w:val="clear" w:color="auto" w:fill="auto"/>
            <w:noWrap/>
            <w:vAlign w:val="bottom"/>
            <w:hideMark/>
          </w:tcPr>
          <w:p w14:paraId="596F2B60" w14:textId="77777777" w:rsidR="003F50BC" w:rsidRPr="00D26A93" w:rsidRDefault="003F50BC" w:rsidP="00190652">
            <w:pPr>
              <w:spacing w:before="120" w:after="120"/>
              <w:jc w:val="center"/>
              <w:rPr>
                <w:rFonts w:cs="Arial"/>
              </w:rPr>
            </w:pPr>
            <w:r w:rsidRPr="00D26A93">
              <w:rPr>
                <w:rFonts w:cs="Arial"/>
              </w:rPr>
              <w:t>1,281,960</w:t>
            </w:r>
          </w:p>
        </w:tc>
        <w:tc>
          <w:tcPr>
            <w:tcW w:w="1470" w:type="dxa"/>
            <w:tcBorders>
              <w:top w:val="nil"/>
              <w:left w:val="nil"/>
              <w:bottom w:val="single" w:sz="4" w:space="0" w:color="auto"/>
              <w:right w:val="single" w:sz="4" w:space="0" w:color="auto"/>
            </w:tcBorders>
            <w:shd w:val="clear" w:color="auto" w:fill="auto"/>
            <w:noWrap/>
            <w:vAlign w:val="bottom"/>
            <w:hideMark/>
          </w:tcPr>
          <w:p w14:paraId="18DFDB6B" w14:textId="77777777" w:rsidR="003F50BC" w:rsidRPr="00D26A93" w:rsidRDefault="003F50BC" w:rsidP="00190652">
            <w:pPr>
              <w:spacing w:before="120" w:after="120"/>
              <w:jc w:val="center"/>
              <w:rPr>
                <w:rFonts w:cs="Arial"/>
              </w:rPr>
            </w:pPr>
            <w:r w:rsidRPr="00D26A93">
              <w:rPr>
                <w:rFonts w:cs="Arial"/>
              </w:rPr>
              <w:t>602,701</w:t>
            </w:r>
          </w:p>
        </w:tc>
        <w:tc>
          <w:tcPr>
            <w:tcW w:w="1470" w:type="dxa"/>
            <w:tcBorders>
              <w:top w:val="nil"/>
              <w:left w:val="nil"/>
              <w:bottom w:val="single" w:sz="4" w:space="0" w:color="auto"/>
              <w:right w:val="single" w:sz="4" w:space="0" w:color="auto"/>
            </w:tcBorders>
            <w:shd w:val="clear" w:color="auto" w:fill="auto"/>
            <w:noWrap/>
            <w:vAlign w:val="bottom"/>
            <w:hideMark/>
          </w:tcPr>
          <w:p w14:paraId="5EF14DAB" w14:textId="77777777" w:rsidR="003F50BC" w:rsidRPr="00D26A93" w:rsidRDefault="003F50BC" w:rsidP="00190652">
            <w:pPr>
              <w:spacing w:before="120" w:after="120"/>
              <w:jc w:val="center"/>
              <w:rPr>
                <w:rFonts w:cs="Arial"/>
              </w:rPr>
            </w:pPr>
            <w:r w:rsidRPr="00D26A93">
              <w:rPr>
                <w:rFonts w:cs="Arial"/>
              </w:rPr>
              <w:t>47.0%</w:t>
            </w:r>
          </w:p>
        </w:tc>
        <w:tc>
          <w:tcPr>
            <w:tcW w:w="1460" w:type="dxa"/>
            <w:tcBorders>
              <w:top w:val="nil"/>
              <w:left w:val="nil"/>
              <w:bottom w:val="single" w:sz="4" w:space="0" w:color="auto"/>
              <w:right w:val="single" w:sz="4" w:space="0" w:color="auto"/>
            </w:tcBorders>
            <w:shd w:val="clear" w:color="auto" w:fill="auto"/>
            <w:noWrap/>
            <w:vAlign w:val="bottom"/>
            <w:hideMark/>
          </w:tcPr>
          <w:p w14:paraId="6A3D82FE" w14:textId="77777777" w:rsidR="003F50BC" w:rsidRPr="00D26A93" w:rsidRDefault="003F50BC" w:rsidP="00190652">
            <w:pPr>
              <w:spacing w:before="120" w:after="120"/>
              <w:jc w:val="center"/>
              <w:rPr>
                <w:rFonts w:cs="Arial"/>
              </w:rPr>
            </w:pPr>
            <w:r w:rsidRPr="00D26A93">
              <w:rPr>
                <w:rFonts w:cs="Arial"/>
              </w:rPr>
              <w:t>61,770.3</w:t>
            </w:r>
          </w:p>
        </w:tc>
      </w:tr>
      <w:tr w:rsidR="003F50BC" w:rsidRPr="00D26A93" w14:paraId="3A2A0A13" w14:textId="77777777" w:rsidTr="00CE2412">
        <w:trPr>
          <w:cantSplit/>
          <w:trHeight w:val="280"/>
          <w:tblHeader/>
          <w:jc w:val="center"/>
        </w:trPr>
        <w:tc>
          <w:tcPr>
            <w:tcW w:w="1337" w:type="dxa"/>
            <w:tcBorders>
              <w:top w:val="nil"/>
              <w:left w:val="single" w:sz="4" w:space="0" w:color="auto"/>
              <w:bottom w:val="single" w:sz="4" w:space="0" w:color="auto"/>
              <w:right w:val="single" w:sz="4" w:space="0" w:color="auto"/>
            </w:tcBorders>
            <w:shd w:val="clear" w:color="auto" w:fill="auto"/>
            <w:noWrap/>
            <w:vAlign w:val="center"/>
            <w:hideMark/>
          </w:tcPr>
          <w:p w14:paraId="6059F29F" w14:textId="77777777" w:rsidR="003F50BC" w:rsidRPr="00D26A93" w:rsidRDefault="003F50BC" w:rsidP="00190652">
            <w:pPr>
              <w:spacing w:before="120" w:after="120"/>
              <w:jc w:val="center"/>
              <w:rPr>
                <w:rFonts w:cs="Arial"/>
              </w:rPr>
            </w:pPr>
            <w:r w:rsidRPr="00D26A93">
              <w:rPr>
                <w:rFonts w:cs="Arial"/>
              </w:rPr>
              <w:t>2</w:t>
            </w:r>
          </w:p>
        </w:tc>
        <w:tc>
          <w:tcPr>
            <w:tcW w:w="1180" w:type="dxa"/>
            <w:tcBorders>
              <w:top w:val="nil"/>
              <w:left w:val="nil"/>
              <w:bottom w:val="single" w:sz="4" w:space="0" w:color="auto"/>
              <w:right w:val="single" w:sz="4" w:space="0" w:color="auto"/>
            </w:tcBorders>
            <w:shd w:val="clear" w:color="auto" w:fill="auto"/>
            <w:noWrap/>
            <w:vAlign w:val="bottom"/>
            <w:hideMark/>
          </w:tcPr>
          <w:p w14:paraId="75BDB5CB" w14:textId="77777777" w:rsidR="003F50BC" w:rsidRPr="00D26A93" w:rsidRDefault="003F50BC" w:rsidP="00190652">
            <w:pPr>
              <w:spacing w:before="120" w:after="120"/>
              <w:jc w:val="center"/>
              <w:rPr>
                <w:rFonts w:cs="Arial"/>
              </w:rPr>
            </w:pPr>
            <w:r w:rsidRPr="00D26A93">
              <w:rPr>
                <w:rFonts w:cs="Arial"/>
              </w:rPr>
              <w:t>2,494</w:t>
            </w:r>
          </w:p>
        </w:tc>
        <w:tc>
          <w:tcPr>
            <w:tcW w:w="1470" w:type="dxa"/>
            <w:tcBorders>
              <w:top w:val="nil"/>
              <w:left w:val="nil"/>
              <w:bottom w:val="single" w:sz="4" w:space="0" w:color="auto"/>
              <w:right w:val="single" w:sz="4" w:space="0" w:color="auto"/>
            </w:tcBorders>
            <w:shd w:val="clear" w:color="auto" w:fill="auto"/>
            <w:noWrap/>
            <w:vAlign w:val="bottom"/>
            <w:hideMark/>
          </w:tcPr>
          <w:p w14:paraId="09F42C81" w14:textId="77777777" w:rsidR="003F50BC" w:rsidRPr="00D26A93" w:rsidRDefault="003F50BC" w:rsidP="00190652">
            <w:pPr>
              <w:spacing w:before="120" w:after="120"/>
              <w:jc w:val="center"/>
              <w:rPr>
                <w:rFonts w:cs="Arial"/>
              </w:rPr>
            </w:pPr>
            <w:r w:rsidRPr="00D26A93">
              <w:rPr>
                <w:rFonts w:cs="Arial"/>
              </w:rPr>
              <w:t>1,623,218</w:t>
            </w:r>
          </w:p>
        </w:tc>
        <w:tc>
          <w:tcPr>
            <w:tcW w:w="1470" w:type="dxa"/>
            <w:tcBorders>
              <w:top w:val="nil"/>
              <w:left w:val="nil"/>
              <w:bottom w:val="single" w:sz="4" w:space="0" w:color="auto"/>
              <w:right w:val="single" w:sz="4" w:space="0" w:color="auto"/>
            </w:tcBorders>
            <w:shd w:val="clear" w:color="auto" w:fill="auto"/>
            <w:noWrap/>
            <w:vAlign w:val="bottom"/>
            <w:hideMark/>
          </w:tcPr>
          <w:p w14:paraId="775BF8CC" w14:textId="77777777" w:rsidR="003F50BC" w:rsidRPr="00D26A93" w:rsidRDefault="003F50BC" w:rsidP="00190652">
            <w:pPr>
              <w:spacing w:before="120" w:after="120"/>
              <w:jc w:val="center"/>
              <w:rPr>
                <w:rFonts w:cs="Arial"/>
              </w:rPr>
            </w:pPr>
            <w:r w:rsidRPr="00D26A93">
              <w:rPr>
                <w:rFonts w:cs="Arial"/>
              </w:rPr>
              <w:t>1,214,478</w:t>
            </w:r>
          </w:p>
        </w:tc>
        <w:tc>
          <w:tcPr>
            <w:tcW w:w="1470" w:type="dxa"/>
            <w:tcBorders>
              <w:top w:val="nil"/>
              <w:left w:val="nil"/>
              <w:bottom w:val="single" w:sz="4" w:space="0" w:color="auto"/>
              <w:right w:val="single" w:sz="4" w:space="0" w:color="auto"/>
            </w:tcBorders>
            <w:shd w:val="clear" w:color="auto" w:fill="auto"/>
            <w:noWrap/>
            <w:vAlign w:val="bottom"/>
            <w:hideMark/>
          </w:tcPr>
          <w:p w14:paraId="1E64A332" w14:textId="77777777" w:rsidR="003F50BC" w:rsidRPr="00D26A93" w:rsidRDefault="003F50BC" w:rsidP="00190652">
            <w:pPr>
              <w:spacing w:before="120" w:after="120"/>
              <w:jc w:val="center"/>
              <w:rPr>
                <w:rFonts w:cs="Arial"/>
              </w:rPr>
            </w:pPr>
            <w:r w:rsidRPr="00D26A93">
              <w:rPr>
                <w:rFonts w:cs="Arial"/>
              </w:rPr>
              <w:t>74.8%</w:t>
            </w:r>
          </w:p>
        </w:tc>
        <w:tc>
          <w:tcPr>
            <w:tcW w:w="1460" w:type="dxa"/>
            <w:tcBorders>
              <w:top w:val="nil"/>
              <w:left w:val="nil"/>
              <w:bottom w:val="single" w:sz="4" w:space="0" w:color="auto"/>
              <w:right w:val="single" w:sz="4" w:space="0" w:color="auto"/>
            </w:tcBorders>
            <w:shd w:val="clear" w:color="auto" w:fill="auto"/>
            <w:noWrap/>
            <w:vAlign w:val="bottom"/>
            <w:hideMark/>
          </w:tcPr>
          <w:p w14:paraId="15D57D06" w14:textId="77777777" w:rsidR="003F50BC" w:rsidRPr="00D26A93" w:rsidRDefault="003F50BC" w:rsidP="00190652">
            <w:pPr>
              <w:spacing w:before="120" w:after="120"/>
              <w:jc w:val="center"/>
              <w:rPr>
                <w:rFonts w:cs="Arial"/>
              </w:rPr>
            </w:pPr>
            <w:r w:rsidRPr="00D26A93">
              <w:rPr>
                <w:rFonts w:cs="Arial"/>
              </w:rPr>
              <w:t>75,830.8</w:t>
            </w:r>
          </w:p>
        </w:tc>
      </w:tr>
      <w:tr w:rsidR="003F50BC" w:rsidRPr="00D26A93" w14:paraId="5C962C84" w14:textId="77777777" w:rsidTr="00CE2412">
        <w:trPr>
          <w:cantSplit/>
          <w:trHeight w:val="280"/>
          <w:tblHeader/>
          <w:jc w:val="center"/>
        </w:trPr>
        <w:tc>
          <w:tcPr>
            <w:tcW w:w="1337" w:type="dxa"/>
            <w:tcBorders>
              <w:top w:val="nil"/>
              <w:left w:val="single" w:sz="4" w:space="0" w:color="auto"/>
              <w:bottom w:val="single" w:sz="4" w:space="0" w:color="auto"/>
              <w:right w:val="single" w:sz="4" w:space="0" w:color="auto"/>
            </w:tcBorders>
            <w:shd w:val="clear" w:color="auto" w:fill="auto"/>
            <w:noWrap/>
            <w:vAlign w:val="center"/>
            <w:hideMark/>
          </w:tcPr>
          <w:p w14:paraId="79D14BE6" w14:textId="77777777" w:rsidR="003F50BC" w:rsidRPr="00D26A93" w:rsidRDefault="003F50BC" w:rsidP="00190652">
            <w:pPr>
              <w:spacing w:before="120" w:after="120"/>
              <w:jc w:val="center"/>
              <w:rPr>
                <w:rFonts w:cs="Arial"/>
              </w:rPr>
            </w:pPr>
            <w:r w:rsidRPr="00D26A93">
              <w:rPr>
                <w:rFonts w:cs="Arial"/>
              </w:rPr>
              <w:t>3</w:t>
            </w:r>
          </w:p>
        </w:tc>
        <w:tc>
          <w:tcPr>
            <w:tcW w:w="1180" w:type="dxa"/>
            <w:tcBorders>
              <w:top w:val="nil"/>
              <w:left w:val="nil"/>
              <w:bottom w:val="single" w:sz="4" w:space="0" w:color="auto"/>
              <w:right w:val="single" w:sz="4" w:space="0" w:color="auto"/>
            </w:tcBorders>
            <w:shd w:val="clear" w:color="auto" w:fill="auto"/>
            <w:noWrap/>
            <w:vAlign w:val="bottom"/>
            <w:hideMark/>
          </w:tcPr>
          <w:p w14:paraId="6D599DF4" w14:textId="77777777" w:rsidR="003F50BC" w:rsidRPr="00D26A93" w:rsidRDefault="003F50BC" w:rsidP="00190652">
            <w:pPr>
              <w:spacing w:before="120" w:after="120"/>
              <w:jc w:val="center"/>
              <w:rPr>
                <w:rFonts w:cs="Arial"/>
              </w:rPr>
            </w:pPr>
            <w:r w:rsidRPr="00D26A93">
              <w:rPr>
                <w:rFonts w:cs="Arial"/>
              </w:rPr>
              <w:t>2,495</w:t>
            </w:r>
          </w:p>
        </w:tc>
        <w:tc>
          <w:tcPr>
            <w:tcW w:w="1470" w:type="dxa"/>
            <w:tcBorders>
              <w:top w:val="nil"/>
              <w:left w:val="nil"/>
              <w:bottom w:val="single" w:sz="4" w:space="0" w:color="auto"/>
              <w:right w:val="single" w:sz="4" w:space="0" w:color="auto"/>
            </w:tcBorders>
            <w:shd w:val="clear" w:color="auto" w:fill="auto"/>
            <w:noWrap/>
            <w:vAlign w:val="bottom"/>
            <w:hideMark/>
          </w:tcPr>
          <w:p w14:paraId="220D8CF5" w14:textId="77777777" w:rsidR="003F50BC" w:rsidRPr="00D26A93" w:rsidRDefault="003F50BC" w:rsidP="00190652">
            <w:pPr>
              <w:spacing w:before="120" w:after="120"/>
              <w:jc w:val="center"/>
              <w:rPr>
                <w:rFonts w:cs="Arial"/>
              </w:rPr>
            </w:pPr>
            <w:r w:rsidRPr="00D26A93">
              <w:rPr>
                <w:rFonts w:cs="Arial"/>
              </w:rPr>
              <w:t>1,575,774</w:t>
            </w:r>
          </w:p>
        </w:tc>
        <w:tc>
          <w:tcPr>
            <w:tcW w:w="1470" w:type="dxa"/>
            <w:tcBorders>
              <w:top w:val="nil"/>
              <w:left w:val="nil"/>
              <w:bottom w:val="single" w:sz="4" w:space="0" w:color="auto"/>
              <w:right w:val="single" w:sz="4" w:space="0" w:color="auto"/>
            </w:tcBorders>
            <w:shd w:val="clear" w:color="auto" w:fill="auto"/>
            <w:noWrap/>
            <w:vAlign w:val="bottom"/>
            <w:hideMark/>
          </w:tcPr>
          <w:p w14:paraId="7CE55B75" w14:textId="77777777" w:rsidR="003F50BC" w:rsidRPr="00D26A93" w:rsidRDefault="003F50BC" w:rsidP="00190652">
            <w:pPr>
              <w:spacing w:before="120" w:after="120"/>
              <w:jc w:val="center"/>
              <w:rPr>
                <w:rFonts w:cs="Arial"/>
              </w:rPr>
            </w:pPr>
            <w:r w:rsidRPr="00D26A93">
              <w:rPr>
                <w:rFonts w:cs="Arial"/>
              </w:rPr>
              <w:t>1,451,384</w:t>
            </w:r>
          </w:p>
        </w:tc>
        <w:tc>
          <w:tcPr>
            <w:tcW w:w="1470" w:type="dxa"/>
            <w:tcBorders>
              <w:top w:val="nil"/>
              <w:left w:val="nil"/>
              <w:bottom w:val="single" w:sz="4" w:space="0" w:color="auto"/>
              <w:right w:val="single" w:sz="4" w:space="0" w:color="auto"/>
            </w:tcBorders>
            <w:shd w:val="clear" w:color="auto" w:fill="auto"/>
            <w:noWrap/>
            <w:vAlign w:val="bottom"/>
            <w:hideMark/>
          </w:tcPr>
          <w:p w14:paraId="05F28A26" w14:textId="77777777" w:rsidR="003F50BC" w:rsidRPr="00D26A93" w:rsidRDefault="003F50BC" w:rsidP="00190652">
            <w:pPr>
              <w:spacing w:before="120" w:after="120"/>
              <w:jc w:val="center"/>
              <w:rPr>
                <w:rFonts w:cs="Arial"/>
              </w:rPr>
            </w:pPr>
            <w:r w:rsidRPr="00D26A93">
              <w:rPr>
                <w:rFonts w:cs="Arial"/>
              </w:rPr>
              <w:t>92.1%</w:t>
            </w:r>
          </w:p>
        </w:tc>
        <w:tc>
          <w:tcPr>
            <w:tcW w:w="1460" w:type="dxa"/>
            <w:tcBorders>
              <w:top w:val="nil"/>
              <w:left w:val="nil"/>
              <w:bottom w:val="single" w:sz="4" w:space="0" w:color="auto"/>
              <w:right w:val="single" w:sz="4" w:space="0" w:color="auto"/>
            </w:tcBorders>
            <w:shd w:val="clear" w:color="auto" w:fill="auto"/>
            <w:noWrap/>
            <w:vAlign w:val="bottom"/>
            <w:hideMark/>
          </w:tcPr>
          <w:p w14:paraId="44AA83FC" w14:textId="77777777" w:rsidR="003F50BC" w:rsidRPr="00D26A93" w:rsidRDefault="003F50BC" w:rsidP="00190652">
            <w:pPr>
              <w:spacing w:before="120" w:after="120"/>
              <w:jc w:val="center"/>
              <w:rPr>
                <w:rFonts w:cs="Arial"/>
              </w:rPr>
            </w:pPr>
            <w:r w:rsidRPr="00D26A93">
              <w:rPr>
                <w:rFonts w:cs="Arial"/>
              </w:rPr>
              <w:t>73,834.9</w:t>
            </w:r>
          </w:p>
        </w:tc>
      </w:tr>
      <w:tr w:rsidR="003F50BC" w:rsidRPr="00D26A93" w14:paraId="6C0ECD53" w14:textId="77777777" w:rsidTr="00CE2412">
        <w:trPr>
          <w:cantSplit/>
          <w:trHeight w:val="280"/>
          <w:tblHeader/>
          <w:jc w:val="center"/>
        </w:trPr>
        <w:tc>
          <w:tcPr>
            <w:tcW w:w="1337" w:type="dxa"/>
            <w:tcBorders>
              <w:top w:val="nil"/>
              <w:left w:val="single" w:sz="4" w:space="0" w:color="auto"/>
              <w:bottom w:val="single" w:sz="4" w:space="0" w:color="auto"/>
              <w:right w:val="single" w:sz="4" w:space="0" w:color="auto"/>
            </w:tcBorders>
            <w:shd w:val="clear" w:color="auto" w:fill="auto"/>
            <w:noWrap/>
            <w:vAlign w:val="center"/>
            <w:hideMark/>
          </w:tcPr>
          <w:p w14:paraId="0836B938" w14:textId="77777777" w:rsidR="003F50BC" w:rsidRPr="00D26A93" w:rsidRDefault="003F50BC" w:rsidP="00190652">
            <w:pPr>
              <w:spacing w:before="120" w:after="120"/>
              <w:jc w:val="center"/>
              <w:rPr>
                <w:rFonts w:cs="Arial"/>
              </w:rPr>
            </w:pPr>
            <w:r w:rsidRPr="00D26A93">
              <w:rPr>
                <w:rFonts w:cs="Arial"/>
              </w:rPr>
              <w:t>4</w:t>
            </w:r>
          </w:p>
        </w:tc>
        <w:tc>
          <w:tcPr>
            <w:tcW w:w="1180" w:type="dxa"/>
            <w:tcBorders>
              <w:top w:val="nil"/>
              <w:left w:val="nil"/>
              <w:bottom w:val="single" w:sz="4" w:space="0" w:color="auto"/>
              <w:right w:val="single" w:sz="4" w:space="0" w:color="auto"/>
            </w:tcBorders>
            <w:shd w:val="clear" w:color="auto" w:fill="auto"/>
            <w:noWrap/>
            <w:vAlign w:val="bottom"/>
            <w:hideMark/>
          </w:tcPr>
          <w:p w14:paraId="366C5716" w14:textId="77777777" w:rsidR="003F50BC" w:rsidRPr="00D26A93" w:rsidRDefault="003F50BC" w:rsidP="00190652">
            <w:pPr>
              <w:spacing w:before="120" w:after="120"/>
              <w:jc w:val="center"/>
              <w:rPr>
                <w:rFonts w:cs="Arial"/>
              </w:rPr>
            </w:pPr>
            <w:r w:rsidRPr="00D26A93">
              <w:rPr>
                <w:rFonts w:cs="Arial"/>
              </w:rPr>
              <w:t>2,494</w:t>
            </w:r>
          </w:p>
        </w:tc>
        <w:tc>
          <w:tcPr>
            <w:tcW w:w="1470" w:type="dxa"/>
            <w:tcBorders>
              <w:top w:val="nil"/>
              <w:left w:val="nil"/>
              <w:bottom w:val="single" w:sz="4" w:space="0" w:color="auto"/>
              <w:right w:val="single" w:sz="4" w:space="0" w:color="auto"/>
            </w:tcBorders>
            <w:shd w:val="clear" w:color="auto" w:fill="auto"/>
            <w:noWrap/>
            <w:vAlign w:val="bottom"/>
            <w:hideMark/>
          </w:tcPr>
          <w:p w14:paraId="7555B43E" w14:textId="77777777" w:rsidR="003F50BC" w:rsidRPr="00D26A93" w:rsidRDefault="003F50BC" w:rsidP="00190652">
            <w:pPr>
              <w:spacing w:before="120" w:after="120"/>
              <w:jc w:val="center"/>
              <w:rPr>
                <w:rFonts w:cs="Arial"/>
              </w:rPr>
            </w:pPr>
            <w:r w:rsidRPr="00D26A93">
              <w:rPr>
                <w:rFonts w:cs="Arial"/>
              </w:rPr>
              <w:t>1,393,391</w:t>
            </w:r>
          </w:p>
        </w:tc>
        <w:tc>
          <w:tcPr>
            <w:tcW w:w="1470" w:type="dxa"/>
            <w:tcBorders>
              <w:top w:val="nil"/>
              <w:left w:val="nil"/>
              <w:bottom w:val="single" w:sz="4" w:space="0" w:color="auto"/>
              <w:right w:val="single" w:sz="4" w:space="0" w:color="auto"/>
            </w:tcBorders>
            <w:shd w:val="clear" w:color="auto" w:fill="auto"/>
            <w:noWrap/>
            <w:vAlign w:val="bottom"/>
            <w:hideMark/>
          </w:tcPr>
          <w:p w14:paraId="73F092C6" w14:textId="77777777" w:rsidR="003F50BC" w:rsidRPr="00D26A93" w:rsidRDefault="003F50BC" w:rsidP="00190652">
            <w:pPr>
              <w:spacing w:before="120" w:after="120"/>
              <w:jc w:val="center"/>
              <w:rPr>
                <w:rFonts w:cs="Arial"/>
              </w:rPr>
            </w:pPr>
            <w:r w:rsidRPr="00D26A93">
              <w:rPr>
                <w:rFonts w:cs="Arial"/>
              </w:rPr>
              <w:t>1,369,756</w:t>
            </w:r>
          </w:p>
        </w:tc>
        <w:tc>
          <w:tcPr>
            <w:tcW w:w="1470" w:type="dxa"/>
            <w:tcBorders>
              <w:top w:val="nil"/>
              <w:left w:val="nil"/>
              <w:bottom w:val="single" w:sz="4" w:space="0" w:color="auto"/>
              <w:right w:val="single" w:sz="4" w:space="0" w:color="auto"/>
            </w:tcBorders>
            <w:shd w:val="clear" w:color="auto" w:fill="auto"/>
            <w:noWrap/>
            <w:vAlign w:val="bottom"/>
            <w:hideMark/>
          </w:tcPr>
          <w:p w14:paraId="6F3BB7A1" w14:textId="77777777" w:rsidR="003F50BC" w:rsidRPr="00D26A93" w:rsidRDefault="003F50BC" w:rsidP="00190652">
            <w:pPr>
              <w:spacing w:before="120" w:after="120"/>
              <w:jc w:val="center"/>
              <w:rPr>
                <w:rFonts w:cs="Arial"/>
              </w:rPr>
            </w:pPr>
            <w:r w:rsidRPr="00D26A93">
              <w:rPr>
                <w:rFonts w:cs="Arial"/>
              </w:rPr>
              <w:t>98.3%</w:t>
            </w:r>
          </w:p>
        </w:tc>
        <w:tc>
          <w:tcPr>
            <w:tcW w:w="1460" w:type="dxa"/>
            <w:tcBorders>
              <w:top w:val="nil"/>
              <w:left w:val="nil"/>
              <w:bottom w:val="single" w:sz="4" w:space="0" w:color="auto"/>
              <w:right w:val="single" w:sz="4" w:space="0" w:color="auto"/>
            </w:tcBorders>
            <w:shd w:val="clear" w:color="auto" w:fill="auto"/>
            <w:noWrap/>
            <w:vAlign w:val="bottom"/>
            <w:hideMark/>
          </w:tcPr>
          <w:p w14:paraId="61008583" w14:textId="77777777" w:rsidR="003F50BC" w:rsidRPr="00D26A93" w:rsidRDefault="003F50BC" w:rsidP="00190652">
            <w:pPr>
              <w:spacing w:before="120" w:after="120"/>
              <w:jc w:val="center"/>
              <w:rPr>
                <w:rFonts w:cs="Arial"/>
              </w:rPr>
            </w:pPr>
            <w:r w:rsidRPr="00D26A93">
              <w:rPr>
                <w:rFonts w:cs="Arial"/>
              </w:rPr>
              <w:t>66,559.8</w:t>
            </w:r>
          </w:p>
        </w:tc>
      </w:tr>
      <w:tr w:rsidR="00190652" w:rsidRPr="00D26A93" w14:paraId="395E25BA" w14:textId="77777777" w:rsidTr="00CE2412">
        <w:trPr>
          <w:cantSplit/>
          <w:trHeight w:val="280"/>
          <w:tblHeader/>
          <w:jc w:val="center"/>
        </w:trPr>
        <w:tc>
          <w:tcPr>
            <w:tcW w:w="1337" w:type="dxa"/>
            <w:tcBorders>
              <w:top w:val="nil"/>
              <w:left w:val="single" w:sz="4" w:space="0" w:color="auto"/>
              <w:bottom w:val="single" w:sz="4" w:space="0" w:color="auto"/>
              <w:right w:val="single" w:sz="4" w:space="0" w:color="auto"/>
            </w:tcBorders>
            <w:shd w:val="clear" w:color="auto" w:fill="auto"/>
            <w:noWrap/>
            <w:vAlign w:val="center"/>
            <w:hideMark/>
          </w:tcPr>
          <w:p w14:paraId="0EE7E816" w14:textId="77777777" w:rsidR="003F50BC" w:rsidRPr="00D26A93" w:rsidRDefault="003F50BC" w:rsidP="00190652">
            <w:pPr>
              <w:spacing w:before="120" w:after="120"/>
              <w:jc w:val="center"/>
              <w:rPr>
                <w:rFonts w:cs="Arial"/>
                <w:b/>
                <w:bCs/>
              </w:rPr>
            </w:pPr>
            <w:r w:rsidRPr="00D26A93">
              <w:rPr>
                <w:rFonts w:cs="Arial"/>
                <w:b/>
                <w:bCs/>
              </w:rPr>
              <w:t>Statewide</w:t>
            </w:r>
          </w:p>
        </w:tc>
        <w:tc>
          <w:tcPr>
            <w:tcW w:w="1180" w:type="dxa"/>
            <w:tcBorders>
              <w:top w:val="nil"/>
              <w:left w:val="nil"/>
              <w:bottom w:val="single" w:sz="4" w:space="0" w:color="auto"/>
              <w:right w:val="single" w:sz="4" w:space="0" w:color="auto"/>
            </w:tcBorders>
            <w:shd w:val="clear" w:color="auto" w:fill="auto"/>
            <w:noWrap/>
            <w:vAlign w:val="bottom"/>
            <w:hideMark/>
          </w:tcPr>
          <w:p w14:paraId="71BF3C13" w14:textId="77777777" w:rsidR="003F50BC" w:rsidRPr="00D26A93" w:rsidRDefault="003F50BC" w:rsidP="00190652">
            <w:pPr>
              <w:spacing w:before="120" w:after="120"/>
              <w:jc w:val="center"/>
              <w:rPr>
                <w:rFonts w:cs="Arial"/>
                <w:b/>
                <w:bCs/>
              </w:rPr>
            </w:pPr>
            <w:r w:rsidRPr="00D26A93">
              <w:rPr>
                <w:rFonts w:cs="Arial"/>
                <w:b/>
                <w:bCs/>
              </w:rPr>
              <w:t>9,977</w:t>
            </w:r>
          </w:p>
        </w:tc>
        <w:tc>
          <w:tcPr>
            <w:tcW w:w="1470" w:type="dxa"/>
            <w:tcBorders>
              <w:top w:val="nil"/>
              <w:left w:val="nil"/>
              <w:bottom w:val="single" w:sz="4" w:space="0" w:color="auto"/>
              <w:right w:val="single" w:sz="4" w:space="0" w:color="auto"/>
            </w:tcBorders>
            <w:shd w:val="clear" w:color="auto" w:fill="auto"/>
            <w:noWrap/>
            <w:vAlign w:val="bottom"/>
            <w:hideMark/>
          </w:tcPr>
          <w:p w14:paraId="5070ABEC" w14:textId="77777777" w:rsidR="003F50BC" w:rsidRPr="00D26A93" w:rsidRDefault="003F50BC" w:rsidP="00190652">
            <w:pPr>
              <w:spacing w:before="120" w:after="120"/>
              <w:jc w:val="center"/>
              <w:rPr>
                <w:rFonts w:cs="Arial"/>
                <w:b/>
                <w:bCs/>
              </w:rPr>
            </w:pPr>
            <w:r w:rsidRPr="00D26A93">
              <w:rPr>
                <w:rFonts w:cs="Arial"/>
                <w:b/>
                <w:bCs/>
              </w:rPr>
              <w:t>5,874,343</w:t>
            </w:r>
          </w:p>
        </w:tc>
        <w:tc>
          <w:tcPr>
            <w:tcW w:w="1470" w:type="dxa"/>
            <w:tcBorders>
              <w:top w:val="nil"/>
              <w:left w:val="nil"/>
              <w:bottom w:val="single" w:sz="4" w:space="0" w:color="auto"/>
              <w:right w:val="single" w:sz="4" w:space="0" w:color="auto"/>
            </w:tcBorders>
            <w:shd w:val="clear" w:color="auto" w:fill="auto"/>
            <w:noWrap/>
            <w:vAlign w:val="bottom"/>
            <w:hideMark/>
          </w:tcPr>
          <w:p w14:paraId="0D8062DD" w14:textId="77777777" w:rsidR="003F50BC" w:rsidRPr="00D26A93" w:rsidRDefault="003F50BC" w:rsidP="00190652">
            <w:pPr>
              <w:spacing w:before="120" w:after="120"/>
              <w:jc w:val="center"/>
              <w:rPr>
                <w:rFonts w:cs="Arial"/>
                <w:b/>
                <w:bCs/>
              </w:rPr>
            </w:pPr>
            <w:r w:rsidRPr="00D26A93">
              <w:rPr>
                <w:rFonts w:cs="Arial"/>
                <w:b/>
                <w:bCs/>
              </w:rPr>
              <w:t>4,638,319</w:t>
            </w:r>
          </w:p>
        </w:tc>
        <w:tc>
          <w:tcPr>
            <w:tcW w:w="1470" w:type="dxa"/>
            <w:tcBorders>
              <w:top w:val="nil"/>
              <w:left w:val="nil"/>
              <w:bottom w:val="single" w:sz="4" w:space="0" w:color="auto"/>
              <w:right w:val="single" w:sz="4" w:space="0" w:color="auto"/>
            </w:tcBorders>
            <w:shd w:val="clear" w:color="auto" w:fill="auto"/>
            <w:noWrap/>
            <w:vAlign w:val="bottom"/>
            <w:hideMark/>
          </w:tcPr>
          <w:p w14:paraId="115D81DE" w14:textId="77777777" w:rsidR="003F50BC" w:rsidRPr="00D26A93" w:rsidRDefault="003F50BC" w:rsidP="00190652">
            <w:pPr>
              <w:spacing w:before="120" w:after="120"/>
              <w:jc w:val="center"/>
              <w:rPr>
                <w:rFonts w:cs="Arial"/>
                <w:b/>
                <w:bCs/>
              </w:rPr>
            </w:pPr>
            <w:r w:rsidRPr="00D26A93">
              <w:rPr>
                <w:rFonts w:cs="Arial"/>
                <w:b/>
                <w:bCs/>
              </w:rPr>
              <w:t>79.0%</w:t>
            </w:r>
          </w:p>
        </w:tc>
        <w:tc>
          <w:tcPr>
            <w:tcW w:w="1460" w:type="dxa"/>
            <w:tcBorders>
              <w:top w:val="nil"/>
              <w:left w:val="nil"/>
              <w:bottom w:val="single" w:sz="4" w:space="0" w:color="auto"/>
              <w:right w:val="single" w:sz="4" w:space="0" w:color="auto"/>
            </w:tcBorders>
            <w:shd w:val="clear" w:color="auto" w:fill="auto"/>
            <w:noWrap/>
            <w:vAlign w:val="bottom"/>
            <w:hideMark/>
          </w:tcPr>
          <w:p w14:paraId="4B4BE35C" w14:textId="77777777" w:rsidR="003F50BC" w:rsidRPr="00D26A93" w:rsidRDefault="003F50BC" w:rsidP="00190652">
            <w:pPr>
              <w:spacing w:before="120" w:after="120"/>
              <w:jc w:val="center"/>
              <w:rPr>
                <w:rFonts w:cs="Arial"/>
                <w:b/>
                <w:bCs/>
              </w:rPr>
            </w:pPr>
            <w:r w:rsidRPr="00D26A93">
              <w:rPr>
                <w:rFonts w:cs="Arial"/>
                <w:b/>
                <w:bCs/>
              </w:rPr>
              <w:t>277,995.7</w:t>
            </w:r>
          </w:p>
        </w:tc>
      </w:tr>
    </w:tbl>
    <w:p w14:paraId="6BDA1A39" w14:textId="77777777" w:rsidR="003F50BC" w:rsidRPr="00D26A93" w:rsidRDefault="003F50BC" w:rsidP="00B25530">
      <w:pPr>
        <w:spacing w:before="240" w:after="480"/>
        <w:rPr>
          <w:rFonts w:cs="Arial"/>
          <w:b/>
          <w:bCs/>
          <w:lang w:val="en"/>
        </w:rPr>
      </w:pPr>
      <w:r w:rsidRPr="00D26A93">
        <w:rPr>
          <w:rFonts w:cs="Arial"/>
          <w:lang w:val="en"/>
        </w:rPr>
        <w:t xml:space="preserve">Table 3a displays California’s school data divided into quartiles based on the number of minority students. Quartile 1 includes schools with the lowest percentage of minority students and Quartile 4 includes schools with the highest percentage of minority students. The final column includes the number of teaching assignments in each quartile. </w:t>
      </w:r>
    </w:p>
    <w:p w14:paraId="292CEBC1" w14:textId="76228BD4" w:rsidR="003F50BC" w:rsidRPr="00D26A93" w:rsidRDefault="003F50BC" w:rsidP="00B25530">
      <w:pPr>
        <w:pStyle w:val="Heading4"/>
        <w:spacing w:before="0"/>
        <w:rPr>
          <w:rFonts w:cs="Arial"/>
          <w:b w:val="0"/>
          <w:i/>
          <w:lang w:val="en"/>
        </w:rPr>
      </w:pPr>
      <w:r w:rsidRPr="00D26A93">
        <w:rPr>
          <w:rFonts w:cs="Arial"/>
          <w:lang w:val="en"/>
        </w:rPr>
        <w:t>Table 3b: Summary of 2021–22 Educator Equity Data: Minority Quartiles</w:t>
      </w:r>
      <w:r w:rsidR="003B3EEC">
        <w:rPr>
          <w:rFonts w:cs="Arial"/>
          <w:lang w:val="en"/>
        </w:rPr>
        <w:t xml:space="preserve"> - </w:t>
      </w:r>
      <w:r w:rsidR="003B3EEC" w:rsidRPr="003B3EEC">
        <w:rPr>
          <w:rFonts w:cs="Arial"/>
          <w:lang w:val="en"/>
        </w:rPr>
        <w:t>Inexperienced, Clear, Intern, Ineffective</w:t>
      </w:r>
      <w:r w:rsidR="00483FEF">
        <w:rPr>
          <w:rFonts w:cs="Arial"/>
          <w:lang w:val="en"/>
        </w:rPr>
        <w:t>,</w:t>
      </w:r>
      <w:r w:rsidR="003B3EEC" w:rsidRPr="003B3EEC">
        <w:rPr>
          <w:rFonts w:cs="Arial"/>
          <w:lang w:val="en"/>
        </w:rPr>
        <w:t xml:space="preserve"> and Out-of-Field Teacher Assignments</w:t>
      </w:r>
    </w:p>
    <w:tbl>
      <w:tblPr>
        <w:tblW w:w="8275" w:type="dxa"/>
        <w:jc w:val="center"/>
        <w:tblLayout w:type="fixed"/>
        <w:tblLook w:val="04A0" w:firstRow="1" w:lastRow="0" w:firstColumn="1" w:lastColumn="0" w:noHBand="0" w:noVBand="1"/>
        <w:tblCaption w:val="Table 3b: Summary of 2021–22 Educator Equity Data: Minority Quartiles"/>
        <w:tblDescription w:val="Table 3b includes the minority quartiles, but includes the percentage of inexperienced, clear, intern, ineffective, and out-of-field teachers assigned to the schools in each quartile."/>
      </w:tblPr>
      <w:tblGrid>
        <w:gridCol w:w="1337"/>
        <w:gridCol w:w="1831"/>
        <w:gridCol w:w="1057"/>
        <w:gridCol w:w="990"/>
        <w:gridCol w:w="1440"/>
        <w:gridCol w:w="1620"/>
      </w:tblGrid>
      <w:tr w:rsidR="003F50BC" w:rsidRPr="00D26A93" w14:paraId="369CF4A4" w14:textId="77777777" w:rsidTr="00CE2412">
        <w:trPr>
          <w:cantSplit/>
          <w:trHeight w:val="900"/>
          <w:tblHeader/>
          <w:jc w:val="center"/>
        </w:trPr>
        <w:tc>
          <w:tcPr>
            <w:tcW w:w="133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5D0615" w14:textId="77777777" w:rsidR="003F50BC" w:rsidRPr="00D26A93" w:rsidRDefault="003F50BC" w:rsidP="00190652">
            <w:pPr>
              <w:spacing w:before="120" w:after="120"/>
              <w:jc w:val="center"/>
              <w:rPr>
                <w:rFonts w:cs="Arial"/>
                <w:b/>
                <w:bCs/>
              </w:rPr>
            </w:pPr>
            <w:r w:rsidRPr="00D26A93">
              <w:rPr>
                <w:rFonts w:cs="Arial"/>
                <w:b/>
                <w:bCs/>
              </w:rPr>
              <w:t>Minority Quartile Rank</w:t>
            </w:r>
          </w:p>
        </w:tc>
        <w:tc>
          <w:tcPr>
            <w:tcW w:w="1831" w:type="dxa"/>
            <w:tcBorders>
              <w:top w:val="single" w:sz="4" w:space="0" w:color="auto"/>
              <w:left w:val="single" w:sz="4" w:space="0" w:color="auto"/>
              <w:bottom w:val="single" w:sz="4" w:space="0" w:color="auto"/>
              <w:right w:val="single" w:sz="4" w:space="0" w:color="auto"/>
            </w:tcBorders>
            <w:shd w:val="clear" w:color="000000" w:fill="D9D9D9"/>
            <w:vAlign w:val="center"/>
          </w:tcPr>
          <w:p w14:paraId="7ABF2B97" w14:textId="77777777" w:rsidR="003F50BC" w:rsidRPr="00D26A93" w:rsidRDefault="003F50BC" w:rsidP="00190652">
            <w:pPr>
              <w:spacing w:before="120" w:after="120"/>
              <w:jc w:val="center"/>
              <w:rPr>
                <w:rFonts w:cs="Arial"/>
                <w:b/>
                <w:bCs/>
              </w:rPr>
            </w:pPr>
            <w:r w:rsidRPr="00D26A93">
              <w:rPr>
                <w:rFonts w:cs="Arial"/>
                <w:b/>
                <w:bCs/>
              </w:rPr>
              <w:t>Inexperienced FTE (%)</w:t>
            </w:r>
          </w:p>
        </w:tc>
        <w:tc>
          <w:tcPr>
            <w:tcW w:w="1057" w:type="dxa"/>
            <w:tcBorders>
              <w:top w:val="single" w:sz="4" w:space="0" w:color="auto"/>
              <w:left w:val="single" w:sz="4" w:space="0" w:color="auto"/>
              <w:bottom w:val="single" w:sz="4" w:space="0" w:color="auto"/>
              <w:right w:val="single" w:sz="4" w:space="0" w:color="auto"/>
            </w:tcBorders>
            <w:shd w:val="clear" w:color="000000" w:fill="D9D9D9"/>
            <w:vAlign w:val="center"/>
          </w:tcPr>
          <w:p w14:paraId="12F84980" w14:textId="77777777" w:rsidR="003F50BC" w:rsidRPr="00D26A93" w:rsidRDefault="003F50BC" w:rsidP="00190652">
            <w:pPr>
              <w:spacing w:before="120" w:after="120"/>
              <w:jc w:val="center"/>
              <w:rPr>
                <w:rFonts w:cs="Arial"/>
                <w:b/>
                <w:bCs/>
              </w:rPr>
            </w:pPr>
            <w:r w:rsidRPr="00D26A93">
              <w:rPr>
                <w:rFonts w:cs="Arial"/>
                <w:b/>
                <w:bCs/>
              </w:rPr>
              <w:t xml:space="preserve">Clear </w:t>
            </w:r>
            <w:r w:rsidRPr="00D26A93">
              <w:rPr>
                <w:rFonts w:cs="Arial"/>
                <w:b/>
                <w:bCs/>
              </w:rPr>
              <w:br/>
              <w:t>FTE (%)</w:t>
            </w:r>
          </w:p>
        </w:tc>
        <w:tc>
          <w:tcPr>
            <w:tcW w:w="990" w:type="dxa"/>
            <w:tcBorders>
              <w:top w:val="single" w:sz="4" w:space="0" w:color="auto"/>
              <w:left w:val="single" w:sz="4" w:space="0" w:color="auto"/>
              <w:bottom w:val="single" w:sz="4" w:space="0" w:color="auto"/>
              <w:right w:val="single" w:sz="4" w:space="0" w:color="auto"/>
            </w:tcBorders>
            <w:shd w:val="clear" w:color="000000" w:fill="D9D9D9"/>
            <w:vAlign w:val="center"/>
          </w:tcPr>
          <w:p w14:paraId="5A2880E6" w14:textId="77777777" w:rsidR="003F50BC" w:rsidRPr="00D26A93" w:rsidRDefault="003F50BC" w:rsidP="00190652">
            <w:pPr>
              <w:spacing w:before="120" w:after="120"/>
              <w:jc w:val="center"/>
              <w:rPr>
                <w:rFonts w:cs="Arial"/>
                <w:b/>
                <w:bCs/>
              </w:rPr>
            </w:pPr>
            <w:r w:rsidRPr="00D26A93">
              <w:rPr>
                <w:rFonts w:cs="Arial"/>
                <w:b/>
                <w:bCs/>
              </w:rPr>
              <w:t>Intern</w:t>
            </w:r>
            <w:r w:rsidRPr="00D26A93">
              <w:rPr>
                <w:rFonts w:cs="Arial"/>
                <w:b/>
                <w:bCs/>
              </w:rPr>
              <w:br/>
              <w:t>FTE (%)</w:t>
            </w:r>
          </w:p>
        </w:tc>
        <w:tc>
          <w:tcPr>
            <w:tcW w:w="1440" w:type="dxa"/>
            <w:tcBorders>
              <w:top w:val="single" w:sz="4" w:space="0" w:color="auto"/>
              <w:left w:val="single" w:sz="4" w:space="0" w:color="auto"/>
              <w:bottom w:val="single" w:sz="4" w:space="0" w:color="auto"/>
              <w:right w:val="single" w:sz="4" w:space="0" w:color="auto"/>
            </w:tcBorders>
            <w:shd w:val="clear" w:color="000000" w:fill="D9D9D9"/>
            <w:vAlign w:val="center"/>
          </w:tcPr>
          <w:p w14:paraId="5EE5E9BE" w14:textId="77777777" w:rsidR="003F50BC" w:rsidRPr="00D26A93" w:rsidRDefault="003F50BC" w:rsidP="00190652">
            <w:pPr>
              <w:spacing w:before="120" w:after="120"/>
              <w:jc w:val="center"/>
              <w:rPr>
                <w:rFonts w:cs="Arial"/>
                <w:b/>
                <w:bCs/>
              </w:rPr>
            </w:pPr>
            <w:r w:rsidRPr="00D26A93">
              <w:rPr>
                <w:rFonts w:cs="Arial"/>
                <w:b/>
                <w:bCs/>
              </w:rPr>
              <w:t xml:space="preserve">Ineffective </w:t>
            </w:r>
            <w:r w:rsidRPr="00D26A93">
              <w:rPr>
                <w:rFonts w:cs="Arial"/>
                <w:b/>
                <w:bCs/>
              </w:rPr>
              <w:br/>
              <w:t>FTE (%)</w:t>
            </w:r>
          </w:p>
        </w:tc>
        <w:tc>
          <w:tcPr>
            <w:tcW w:w="1620" w:type="dxa"/>
            <w:tcBorders>
              <w:top w:val="single" w:sz="4" w:space="0" w:color="auto"/>
              <w:left w:val="single" w:sz="4" w:space="0" w:color="auto"/>
              <w:bottom w:val="single" w:sz="4" w:space="0" w:color="auto"/>
              <w:right w:val="single" w:sz="4" w:space="0" w:color="auto"/>
            </w:tcBorders>
            <w:shd w:val="clear" w:color="000000" w:fill="D9D9D9"/>
            <w:vAlign w:val="center"/>
          </w:tcPr>
          <w:p w14:paraId="35451755" w14:textId="77777777" w:rsidR="003F50BC" w:rsidRPr="00D26A93" w:rsidRDefault="003F50BC" w:rsidP="00190652">
            <w:pPr>
              <w:spacing w:before="120" w:after="120"/>
              <w:jc w:val="center"/>
              <w:rPr>
                <w:rFonts w:cs="Arial"/>
                <w:b/>
                <w:bCs/>
              </w:rPr>
            </w:pPr>
            <w:r w:rsidRPr="00D26A93">
              <w:rPr>
                <w:rFonts w:cs="Arial"/>
                <w:b/>
                <w:bCs/>
              </w:rPr>
              <w:t>Out of Field</w:t>
            </w:r>
            <w:r w:rsidRPr="00D26A93">
              <w:rPr>
                <w:rFonts w:cs="Arial"/>
                <w:b/>
                <w:bCs/>
              </w:rPr>
              <w:br/>
              <w:t>FTE (%)</w:t>
            </w:r>
          </w:p>
        </w:tc>
      </w:tr>
      <w:tr w:rsidR="003F50BC" w:rsidRPr="00D26A93" w14:paraId="06CB2181" w14:textId="77777777" w:rsidTr="00CE2412">
        <w:trPr>
          <w:cantSplit/>
          <w:trHeight w:val="280"/>
          <w:tblHeader/>
          <w:jc w:val="center"/>
        </w:trPr>
        <w:tc>
          <w:tcPr>
            <w:tcW w:w="1337" w:type="dxa"/>
            <w:tcBorders>
              <w:top w:val="nil"/>
              <w:left w:val="single" w:sz="4" w:space="0" w:color="auto"/>
              <w:bottom w:val="single" w:sz="4" w:space="0" w:color="auto"/>
              <w:right w:val="single" w:sz="4" w:space="0" w:color="auto"/>
            </w:tcBorders>
            <w:shd w:val="clear" w:color="auto" w:fill="auto"/>
            <w:noWrap/>
            <w:vAlign w:val="center"/>
            <w:hideMark/>
          </w:tcPr>
          <w:p w14:paraId="3E620C79" w14:textId="77777777" w:rsidR="003F50BC" w:rsidRPr="00D26A93" w:rsidRDefault="003F50BC" w:rsidP="00190652">
            <w:pPr>
              <w:spacing w:before="120" w:after="120"/>
              <w:jc w:val="center"/>
              <w:rPr>
                <w:rFonts w:cs="Arial"/>
              </w:rPr>
            </w:pPr>
            <w:r w:rsidRPr="00D26A93">
              <w:rPr>
                <w:rFonts w:cs="Arial"/>
              </w:rPr>
              <w:t>1</w:t>
            </w:r>
          </w:p>
        </w:tc>
        <w:tc>
          <w:tcPr>
            <w:tcW w:w="1831" w:type="dxa"/>
            <w:tcBorders>
              <w:top w:val="nil"/>
              <w:left w:val="single" w:sz="4" w:space="0" w:color="auto"/>
              <w:bottom w:val="single" w:sz="4" w:space="0" w:color="auto"/>
              <w:right w:val="single" w:sz="4" w:space="0" w:color="auto"/>
            </w:tcBorders>
            <w:vAlign w:val="bottom"/>
          </w:tcPr>
          <w:p w14:paraId="52855014" w14:textId="77777777" w:rsidR="003F50BC" w:rsidRPr="00D26A93" w:rsidRDefault="003F50BC" w:rsidP="00190652">
            <w:pPr>
              <w:spacing w:before="120" w:after="120"/>
              <w:jc w:val="center"/>
              <w:rPr>
                <w:rFonts w:cs="Arial"/>
              </w:rPr>
            </w:pPr>
            <w:r w:rsidRPr="00D26A93">
              <w:rPr>
                <w:rFonts w:cs="Arial"/>
              </w:rPr>
              <w:t>11.0%</w:t>
            </w:r>
          </w:p>
        </w:tc>
        <w:tc>
          <w:tcPr>
            <w:tcW w:w="1057" w:type="dxa"/>
            <w:tcBorders>
              <w:top w:val="nil"/>
              <w:left w:val="single" w:sz="4" w:space="0" w:color="auto"/>
              <w:bottom w:val="single" w:sz="4" w:space="0" w:color="auto"/>
              <w:right w:val="single" w:sz="4" w:space="0" w:color="auto"/>
            </w:tcBorders>
            <w:vAlign w:val="bottom"/>
          </w:tcPr>
          <w:p w14:paraId="5F5DEC1A" w14:textId="77777777" w:rsidR="003F50BC" w:rsidRPr="00D26A93" w:rsidRDefault="003F50BC" w:rsidP="00190652">
            <w:pPr>
              <w:spacing w:before="120" w:after="120"/>
              <w:jc w:val="center"/>
              <w:rPr>
                <w:rFonts w:cs="Arial"/>
              </w:rPr>
            </w:pPr>
            <w:r w:rsidRPr="00D26A93">
              <w:rPr>
                <w:rFonts w:cs="Arial"/>
              </w:rPr>
              <w:t>84.3%</w:t>
            </w:r>
          </w:p>
        </w:tc>
        <w:tc>
          <w:tcPr>
            <w:tcW w:w="990" w:type="dxa"/>
            <w:tcBorders>
              <w:top w:val="nil"/>
              <w:left w:val="single" w:sz="4" w:space="0" w:color="auto"/>
              <w:bottom w:val="single" w:sz="4" w:space="0" w:color="auto"/>
              <w:right w:val="single" w:sz="4" w:space="0" w:color="auto"/>
            </w:tcBorders>
            <w:vAlign w:val="bottom"/>
          </w:tcPr>
          <w:p w14:paraId="31377D4F" w14:textId="77777777" w:rsidR="003F50BC" w:rsidRPr="00D26A93" w:rsidRDefault="003F50BC" w:rsidP="00190652">
            <w:pPr>
              <w:spacing w:before="120" w:after="120"/>
              <w:jc w:val="center"/>
              <w:rPr>
                <w:rFonts w:cs="Arial"/>
              </w:rPr>
            </w:pPr>
            <w:r w:rsidRPr="00D26A93">
              <w:rPr>
                <w:rFonts w:cs="Arial"/>
              </w:rPr>
              <w:t>1.1%</w:t>
            </w:r>
          </w:p>
        </w:tc>
        <w:tc>
          <w:tcPr>
            <w:tcW w:w="1440" w:type="dxa"/>
            <w:tcBorders>
              <w:top w:val="nil"/>
              <w:left w:val="single" w:sz="4" w:space="0" w:color="auto"/>
              <w:bottom w:val="single" w:sz="4" w:space="0" w:color="auto"/>
              <w:right w:val="single" w:sz="4" w:space="0" w:color="auto"/>
            </w:tcBorders>
            <w:vAlign w:val="bottom"/>
          </w:tcPr>
          <w:p w14:paraId="38CF0DB3" w14:textId="77777777" w:rsidR="003F50BC" w:rsidRPr="00D26A93" w:rsidRDefault="003F50BC" w:rsidP="00190652">
            <w:pPr>
              <w:spacing w:before="120" w:after="120"/>
              <w:jc w:val="center"/>
              <w:rPr>
                <w:rFonts w:cs="Arial"/>
              </w:rPr>
            </w:pPr>
            <w:r w:rsidRPr="00D26A93">
              <w:rPr>
                <w:rFonts w:cs="Arial"/>
              </w:rPr>
              <w:t>3.4%</w:t>
            </w:r>
          </w:p>
        </w:tc>
        <w:tc>
          <w:tcPr>
            <w:tcW w:w="1620" w:type="dxa"/>
            <w:tcBorders>
              <w:top w:val="nil"/>
              <w:left w:val="single" w:sz="4" w:space="0" w:color="auto"/>
              <w:bottom w:val="single" w:sz="4" w:space="0" w:color="auto"/>
              <w:right w:val="single" w:sz="4" w:space="0" w:color="auto"/>
            </w:tcBorders>
            <w:vAlign w:val="bottom"/>
          </w:tcPr>
          <w:p w14:paraId="7A4D693C" w14:textId="77777777" w:rsidR="003F50BC" w:rsidRPr="00D26A93" w:rsidRDefault="003F50BC" w:rsidP="00190652">
            <w:pPr>
              <w:spacing w:before="120" w:after="120"/>
              <w:jc w:val="center"/>
              <w:rPr>
                <w:rFonts w:cs="Arial"/>
              </w:rPr>
            </w:pPr>
            <w:r w:rsidRPr="00D26A93">
              <w:rPr>
                <w:rFonts w:cs="Arial"/>
              </w:rPr>
              <w:t>6.2%</w:t>
            </w:r>
          </w:p>
        </w:tc>
      </w:tr>
      <w:tr w:rsidR="003F50BC" w:rsidRPr="00D26A93" w14:paraId="36424A40" w14:textId="77777777" w:rsidTr="00CE2412">
        <w:trPr>
          <w:cantSplit/>
          <w:trHeight w:val="280"/>
          <w:tblHeader/>
          <w:jc w:val="center"/>
        </w:trPr>
        <w:tc>
          <w:tcPr>
            <w:tcW w:w="1337" w:type="dxa"/>
            <w:tcBorders>
              <w:top w:val="nil"/>
              <w:left w:val="single" w:sz="4" w:space="0" w:color="auto"/>
              <w:bottom w:val="single" w:sz="4" w:space="0" w:color="auto"/>
              <w:right w:val="single" w:sz="4" w:space="0" w:color="auto"/>
            </w:tcBorders>
            <w:shd w:val="clear" w:color="auto" w:fill="auto"/>
            <w:noWrap/>
            <w:vAlign w:val="center"/>
            <w:hideMark/>
          </w:tcPr>
          <w:p w14:paraId="39D10B56" w14:textId="77777777" w:rsidR="003F50BC" w:rsidRPr="00D26A93" w:rsidRDefault="003F50BC" w:rsidP="00190652">
            <w:pPr>
              <w:spacing w:before="120" w:after="120"/>
              <w:jc w:val="center"/>
              <w:rPr>
                <w:rFonts w:cs="Arial"/>
              </w:rPr>
            </w:pPr>
            <w:r w:rsidRPr="00D26A93">
              <w:rPr>
                <w:rFonts w:cs="Arial"/>
              </w:rPr>
              <w:t>2</w:t>
            </w:r>
          </w:p>
        </w:tc>
        <w:tc>
          <w:tcPr>
            <w:tcW w:w="1831" w:type="dxa"/>
            <w:tcBorders>
              <w:top w:val="nil"/>
              <w:left w:val="single" w:sz="4" w:space="0" w:color="auto"/>
              <w:bottom w:val="single" w:sz="4" w:space="0" w:color="auto"/>
              <w:right w:val="single" w:sz="4" w:space="0" w:color="auto"/>
            </w:tcBorders>
            <w:vAlign w:val="bottom"/>
          </w:tcPr>
          <w:p w14:paraId="23ACA1EF" w14:textId="77777777" w:rsidR="003F50BC" w:rsidRPr="00D26A93" w:rsidRDefault="003F50BC" w:rsidP="00190652">
            <w:pPr>
              <w:spacing w:before="120" w:after="120"/>
              <w:jc w:val="center"/>
              <w:rPr>
                <w:rFonts w:cs="Arial"/>
              </w:rPr>
            </w:pPr>
            <w:r w:rsidRPr="00D26A93">
              <w:rPr>
                <w:rFonts w:cs="Arial"/>
              </w:rPr>
              <w:t>11.9%</w:t>
            </w:r>
          </w:p>
        </w:tc>
        <w:tc>
          <w:tcPr>
            <w:tcW w:w="1057" w:type="dxa"/>
            <w:tcBorders>
              <w:top w:val="nil"/>
              <w:left w:val="single" w:sz="4" w:space="0" w:color="auto"/>
              <w:bottom w:val="single" w:sz="4" w:space="0" w:color="auto"/>
              <w:right w:val="single" w:sz="4" w:space="0" w:color="auto"/>
            </w:tcBorders>
            <w:vAlign w:val="bottom"/>
          </w:tcPr>
          <w:p w14:paraId="30CD1070" w14:textId="77777777" w:rsidR="003F50BC" w:rsidRPr="00D26A93" w:rsidRDefault="003F50BC" w:rsidP="00190652">
            <w:pPr>
              <w:spacing w:before="120" w:after="120"/>
              <w:jc w:val="center"/>
              <w:rPr>
                <w:rFonts w:cs="Arial"/>
              </w:rPr>
            </w:pPr>
            <w:r w:rsidRPr="00D26A93">
              <w:rPr>
                <w:rFonts w:cs="Arial"/>
              </w:rPr>
              <w:t>84.6%</w:t>
            </w:r>
          </w:p>
        </w:tc>
        <w:tc>
          <w:tcPr>
            <w:tcW w:w="990" w:type="dxa"/>
            <w:tcBorders>
              <w:top w:val="nil"/>
              <w:left w:val="single" w:sz="4" w:space="0" w:color="auto"/>
              <w:bottom w:val="single" w:sz="4" w:space="0" w:color="auto"/>
              <w:right w:val="single" w:sz="4" w:space="0" w:color="auto"/>
            </w:tcBorders>
            <w:vAlign w:val="bottom"/>
          </w:tcPr>
          <w:p w14:paraId="45FC5E85" w14:textId="77777777" w:rsidR="003F50BC" w:rsidRPr="00D26A93" w:rsidRDefault="003F50BC" w:rsidP="00190652">
            <w:pPr>
              <w:spacing w:before="120" w:after="120"/>
              <w:jc w:val="center"/>
              <w:rPr>
                <w:rFonts w:cs="Arial"/>
              </w:rPr>
            </w:pPr>
            <w:r w:rsidRPr="00D26A93">
              <w:rPr>
                <w:rFonts w:cs="Arial"/>
              </w:rPr>
              <w:t>1.4%</w:t>
            </w:r>
          </w:p>
        </w:tc>
        <w:tc>
          <w:tcPr>
            <w:tcW w:w="1440" w:type="dxa"/>
            <w:tcBorders>
              <w:top w:val="nil"/>
              <w:left w:val="single" w:sz="4" w:space="0" w:color="auto"/>
              <w:bottom w:val="single" w:sz="4" w:space="0" w:color="auto"/>
              <w:right w:val="single" w:sz="4" w:space="0" w:color="auto"/>
            </w:tcBorders>
            <w:vAlign w:val="bottom"/>
          </w:tcPr>
          <w:p w14:paraId="7DC2F93E" w14:textId="77777777" w:rsidR="003F50BC" w:rsidRPr="00D26A93" w:rsidRDefault="003F50BC" w:rsidP="00190652">
            <w:pPr>
              <w:spacing w:before="120" w:after="120"/>
              <w:jc w:val="center"/>
              <w:rPr>
                <w:rFonts w:cs="Arial"/>
              </w:rPr>
            </w:pPr>
            <w:r w:rsidRPr="00D26A93">
              <w:rPr>
                <w:rFonts w:cs="Arial"/>
              </w:rPr>
              <w:t>3.5%</w:t>
            </w:r>
          </w:p>
        </w:tc>
        <w:tc>
          <w:tcPr>
            <w:tcW w:w="1620" w:type="dxa"/>
            <w:tcBorders>
              <w:top w:val="nil"/>
              <w:left w:val="single" w:sz="4" w:space="0" w:color="auto"/>
              <w:bottom w:val="single" w:sz="4" w:space="0" w:color="auto"/>
              <w:right w:val="single" w:sz="4" w:space="0" w:color="auto"/>
            </w:tcBorders>
            <w:vAlign w:val="bottom"/>
          </w:tcPr>
          <w:p w14:paraId="3BE0B310" w14:textId="77777777" w:rsidR="003F50BC" w:rsidRPr="00D26A93" w:rsidRDefault="003F50BC" w:rsidP="00190652">
            <w:pPr>
              <w:spacing w:before="120" w:after="120"/>
              <w:jc w:val="center"/>
              <w:rPr>
                <w:rFonts w:cs="Arial"/>
              </w:rPr>
            </w:pPr>
            <w:r w:rsidRPr="00D26A93">
              <w:rPr>
                <w:rFonts w:cs="Arial"/>
              </w:rPr>
              <w:t>4.2%</w:t>
            </w:r>
          </w:p>
        </w:tc>
      </w:tr>
      <w:tr w:rsidR="003F50BC" w:rsidRPr="00D26A93" w14:paraId="669DEE69" w14:textId="77777777" w:rsidTr="00CE2412">
        <w:trPr>
          <w:cantSplit/>
          <w:trHeight w:val="280"/>
          <w:tblHeader/>
          <w:jc w:val="center"/>
        </w:trPr>
        <w:tc>
          <w:tcPr>
            <w:tcW w:w="1337" w:type="dxa"/>
            <w:tcBorders>
              <w:top w:val="nil"/>
              <w:left w:val="single" w:sz="4" w:space="0" w:color="auto"/>
              <w:bottom w:val="single" w:sz="4" w:space="0" w:color="auto"/>
              <w:right w:val="single" w:sz="4" w:space="0" w:color="auto"/>
            </w:tcBorders>
            <w:shd w:val="clear" w:color="auto" w:fill="auto"/>
            <w:noWrap/>
            <w:vAlign w:val="center"/>
            <w:hideMark/>
          </w:tcPr>
          <w:p w14:paraId="28274022" w14:textId="77777777" w:rsidR="003F50BC" w:rsidRPr="00D26A93" w:rsidRDefault="003F50BC" w:rsidP="00190652">
            <w:pPr>
              <w:spacing w:before="120" w:after="120"/>
              <w:jc w:val="center"/>
              <w:rPr>
                <w:rFonts w:cs="Arial"/>
              </w:rPr>
            </w:pPr>
            <w:r w:rsidRPr="00D26A93">
              <w:rPr>
                <w:rFonts w:cs="Arial"/>
              </w:rPr>
              <w:t>3</w:t>
            </w:r>
          </w:p>
        </w:tc>
        <w:tc>
          <w:tcPr>
            <w:tcW w:w="1831" w:type="dxa"/>
            <w:tcBorders>
              <w:top w:val="nil"/>
              <w:left w:val="single" w:sz="4" w:space="0" w:color="auto"/>
              <w:bottom w:val="single" w:sz="4" w:space="0" w:color="auto"/>
              <w:right w:val="single" w:sz="4" w:space="0" w:color="auto"/>
            </w:tcBorders>
            <w:vAlign w:val="bottom"/>
          </w:tcPr>
          <w:p w14:paraId="04D42BC0" w14:textId="77777777" w:rsidR="003F50BC" w:rsidRPr="00D26A93" w:rsidRDefault="003F50BC" w:rsidP="00190652">
            <w:pPr>
              <w:spacing w:before="120" w:after="120"/>
              <w:jc w:val="center"/>
              <w:rPr>
                <w:rFonts w:cs="Arial"/>
              </w:rPr>
            </w:pPr>
            <w:r w:rsidRPr="00D26A93">
              <w:rPr>
                <w:rFonts w:cs="Arial"/>
              </w:rPr>
              <w:t>13.2%</w:t>
            </w:r>
          </w:p>
        </w:tc>
        <w:tc>
          <w:tcPr>
            <w:tcW w:w="1057" w:type="dxa"/>
            <w:tcBorders>
              <w:top w:val="nil"/>
              <w:left w:val="single" w:sz="4" w:space="0" w:color="auto"/>
              <w:bottom w:val="single" w:sz="4" w:space="0" w:color="auto"/>
              <w:right w:val="single" w:sz="4" w:space="0" w:color="auto"/>
            </w:tcBorders>
            <w:vAlign w:val="bottom"/>
          </w:tcPr>
          <w:p w14:paraId="5A9F1E98" w14:textId="77777777" w:rsidR="003F50BC" w:rsidRPr="00D26A93" w:rsidRDefault="003F50BC" w:rsidP="00190652">
            <w:pPr>
              <w:spacing w:before="120" w:after="120"/>
              <w:jc w:val="center"/>
              <w:rPr>
                <w:rFonts w:cs="Arial"/>
              </w:rPr>
            </w:pPr>
            <w:r w:rsidRPr="00D26A93">
              <w:rPr>
                <w:rFonts w:cs="Arial"/>
              </w:rPr>
              <w:t>83.3%</w:t>
            </w:r>
          </w:p>
        </w:tc>
        <w:tc>
          <w:tcPr>
            <w:tcW w:w="990" w:type="dxa"/>
            <w:tcBorders>
              <w:top w:val="nil"/>
              <w:left w:val="single" w:sz="4" w:space="0" w:color="auto"/>
              <w:bottom w:val="single" w:sz="4" w:space="0" w:color="auto"/>
              <w:right w:val="single" w:sz="4" w:space="0" w:color="auto"/>
            </w:tcBorders>
            <w:vAlign w:val="bottom"/>
          </w:tcPr>
          <w:p w14:paraId="25658FC0" w14:textId="77777777" w:rsidR="003F50BC" w:rsidRPr="00D26A93" w:rsidRDefault="003F50BC" w:rsidP="00190652">
            <w:pPr>
              <w:spacing w:before="120" w:after="120"/>
              <w:jc w:val="center"/>
              <w:rPr>
                <w:rFonts w:cs="Arial"/>
              </w:rPr>
            </w:pPr>
            <w:r w:rsidRPr="00D26A93">
              <w:rPr>
                <w:rFonts w:cs="Arial"/>
              </w:rPr>
              <w:t>1.9%</w:t>
            </w:r>
          </w:p>
        </w:tc>
        <w:tc>
          <w:tcPr>
            <w:tcW w:w="1440" w:type="dxa"/>
            <w:tcBorders>
              <w:top w:val="nil"/>
              <w:left w:val="single" w:sz="4" w:space="0" w:color="auto"/>
              <w:bottom w:val="single" w:sz="4" w:space="0" w:color="auto"/>
              <w:right w:val="single" w:sz="4" w:space="0" w:color="auto"/>
            </w:tcBorders>
            <w:vAlign w:val="bottom"/>
          </w:tcPr>
          <w:p w14:paraId="44488D1F" w14:textId="77777777" w:rsidR="003F50BC" w:rsidRPr="00D26A93" w:rsidRDefault="003F50BC" w:rsidP="00190652">
            <w:pPr>
              <w:spacing w:before="120" w:after="120"/>
              <w:jc w:val="center"/>
              <w:rPr>
                <w:rFonts w:cs="Arial"/>
              </w:rPr>
            </w:pPr>
            <w:r w:rsidRPr="00D26A93">
              <w:rPr>
                <w:rFonts w:cs="Arial"/>
              </w:rPr>
              <w:t>4.5%</w:t>
            </w:r>
          </w:p>
        </w:tc>
        <w:tc>
          <w:tcPr>
            <w:tcW w:w="1620" w:type="dxa"/>
            <w:tcBorders>
              <w:top w:val="nil"/>
              <w:left w:val="single" w:sz="4" w:space="0" w:color="auto"/>
              <w:bottom w:val="single" w:sz="4" w:space="0" w:color="auto"/>
              <w:right w:val="single" w:sz="4" w:space="0" w:color="auto"/>
            </w:tcBorders>
            <w:vAlign w:val="bottom"/>
          </w:tcPr>
          <w:p w14:paraId="2E5AA5F8" w14:textId="77777777" w:rsidR="003F50BC" w:rsidRPr="00D26A93" w:rsidRDefault="003F50BC" w:rsidP="00190652">
            <w:pPr>
              <w:spacing w:before="120" w:after="120"/>
              <w:jc w:val="center"/>
              <w:rPr>
                <w:rFonts w:cs="Arial"/>
              </w:rPr>
            </w:pPr>
            <w:r w:rsidRPr="00D26A93">
              <w:rPr>
                <w:rFonts w:cs="Arial"/>
              </w:rPr>
              <w:t>4.3%</w:t>
            </w:r>
          </w:p>
        </w:tc>
      </w:tr>
      <w:tr w:rsidR="003F50BC" w:rsidRPr="00D26A93" w14:paraId="42F391FB" w14:textId="77777777" w:rsidTr="00CE2412">
        <w:trPr>
          <w:cantSplit/>
          <w:trHeight w:val="280"/>
          <w:tblHeader/>
          <w:jc w:val="center"/>
        </w:trPr>
        <w:tc>
          <w:tcPr>
            <w:tcW w:w="1337" w:type="dxa"/>
            <w:tcBorders>
              <w:top w:val="nil"/>
              <w:left w:val="single" w:sz="4" w:space="0" w:color="auto"/>
              <w:bottom w:val="single" w:sz="4" w:space="0" w:color="auto"/>
              <w:right w:val="single" w:sz="4" w:space="0" w:color="auto"/>
            </w:tcBorders>
            <w:shd w:val="clear" w:color="auto" w:fill="auto"/>
            <w:noWrap/>
            <w:vAlign w:val="center"/>
            <w:hideMark/>
          </w:tcPr>
          <w:p w14:paraId="53D031BF" w14:textId="77777777" w:rsidR="003F50BC" w:rsidRPr="00D26A93" w:rsidRDefault="003F50BC" w:rsidP="00190652">
            <w:pPr>
              <w:spacing w:before="120" w:after="120"/>
              <w:jc w:val="center"/>
              <w:rPr>
                <w:rFonts w:cs="Arial"/>
              </w:rPr>
            </w:pPr>
            <w:r w:rsidRPr="00D26A93">
              <w:rPr>
                <w:rFonts w:cs="Arial"/>
              </w:rPr>
              <w:t>4</w:t>
            </w:r>
          </w:p>
        </w:tc>
        <w:tc>
          <w:tcPr>
            <w:tcW w:w="1831" w:type="dxa"/>
            <w:tcBorders>
              <w:top w:val="nil"/>
              <w:left w:val="single" w:sz="4" w:space="0" w:color="auto"/>
              <w:bottom w:val="single" w:sz="4" w:space="0" w:color="auto"/>
              <w:right w:val="single" w:sz="4" w:space="0" w:color="auto"/>
            </w:tcBorders>
            <w:vAlign w:val="bottom"/>
          </w:tcPr>
          <w:p w14:paraId="75115309" w14:textId="77777777" w:rsidR="003F50BC" w:rsidRPr="00D26A93" w:rsidRDefault="003F50BC" w:rsidP="00190652">
            <w:pPr>
              <w:spacing w:before="120" w:after="120"/>
              <w:jc w:val="center"/>
              <w:rPr>
                <w:rFonts w:cs="Arial"/>
              </w:rPr>
            </w:pPr>
            <w:r w:rsidRPr="00D26A93">
              <w:rPr>
                <w:rFonts w:cs="Arial"/>
              </w:rPr>
              <w:t>13.5%</w:t>
            </w:r>
          </w:p>
        </w:tc>
        <w:tc>
          <w:tcPr>
            <w:tcW w:w="1057" w:type="dxa"/>
            <w:tcBorders>
              <w:top w:val="nil"/>
              <w:left w:val="single" w:sz="4" w:space="0" w:color="auto"/>
              <w:bottom w:val="single" w:sz="4" w:space="0" w:color="auto"/>
              <w:right w:val="single" w:sz="4" w:space="0" w:color="auto"/>
            </w:tcBorders>
            <w:vAlign w:val="bottom"/>
          </w:tcPr>
          <w:p w14:paraId="34AB7AA1" w14:textId="77777777" w:rsidR="003F50BC" w:rsidRPr="00D26A93" w:rsidRDefault="003F50BC" w:rsidP="00190652">
            <w:pPr>
              <w:spacing w:before="120" w:after="120"/>
              <w:jc w:val="center"/>
              <w:rPr>
                <w:rFonts w:cs="Arial"/>
              </w:rPr>
            </w:pPr>
            <w:r w:rsidRPr="00D26A93">
              <w:rPr>
                <w:rFonts w:cs="Arial"/>
              </w:rPr>
              <w:t>84.1%</w:t>
            </w:r>
          </w:p>
        </w:tc>
        <w:tc>
          <w:tcPr>
            <w:tcW w:w="990" w:type="dxa"/>
            <w:tcBorders>
              <w:top w:val="nil"/>
              <w:left w:val="single" w:sz="4" w:space="0" w:color="auto"/>
              <w:bottom w:val="single" w:sz="4" w:space="0" w:color="auto"/>
              <w:right w:val="single" w:sz="4" w:space="0" w:color="auto"/>
            </w:tcBorders>
            <w:vAlign w:val="bottom"/>
          </w:tcPr>
          <w:p w14:paraId="318C3DCB" w14:textId="77777777" w:rsidR="003F50BC" w:rsidRPr="00D26A93" w:rsidRDefault="003F50BC" w:rsidP="00190652">
            <w:pPr>
              <w:spacing w:before="120" w:after="120"/>
              <w:jc w:val="center"/>
              <w:rPr>
                <w:rFonts w:cs="Arial"/>
              </w:rPr>
            </w:pPr>
            <w:r w:rsidRPr="00D26A93">
              <w:rPr>
                <w:rFonts w:cs="Arial"/>
              </w:rPr>
              <w:t>2.5%</w:t>
            </w:r>
          </w:p>
        </w:tc>
        <w:tc>
          <w:tcPr>
            <w:tcW w:w="1440" w:type="dxa"/>
            <w:tcBorders>
              <w:top w:val="nil"/>
              <w:left w:val="single" w:sz="4" w:space="0" w:color="auto"/>
              <w:bottom w:val="single" w:sz="4" w:space="0" w:color="auto"/>
              <w:right w:val="single" w:sz="4" w:space="0" w:color="auto"/>
            </w:tcBorders>
            <w:vAlign w:val="bottom"/>
          </w:tcPr>
          <w:p w14:paraId="6C2B5D46" w14:textId="77777777" w:rsidR="003F50BC" w:rsidRPr="00D26A93" w:rsidRDefault="003F50BC" w:rsidP="00190652">
            <w:pPr>
              <w:spacing w:before="120" w:after="120"/>
              <w:jc w:val="center"/>
              <w:rPr>
                <w:rFonts w:cs="Arial"/>
              </w:rPr>
            </w:pPr>
            <w:r w:rsidRPr="00D26A93">
              <w:rPr>
                <w:rFonts w:cs="Arial"/>
              </w:rPr>
              <w:t>5.8%</w:t>
            </w:r>
          </w:p>
        </w:tc>
        <w:tc>
          <w:tcPr>
            <w:tcW w:w="1620" w:type="dxa"/>
            <w:tcBorders>
              <w:top w:val="nil"/>
              <w:left w:val="single" w:sz="4" w:space="0" w:color="auto"/>
              <w:bottom w:val="single" w:sz="4" w:space="0" w:color="auto"/>
              <w:right w:val="single" w:sz="4" w:space="0" w:color="auto"/>
            </w:tcBorders>
            <w:vAlign w:val="bottom"/>
          </w:tcPr>
          <w:p w14:paraId="56A6400A" w14:textId="77777777" w:rsidR="003F50BC" w:rsidRPr="00D26A93" w:rsidRDefault="003F50BC" w:rsidP="00190652">
            <w:pPr>
              <w:spacing w:before="120" w:after="120"/>
              <w:jc w:val="center"/>
              <w:rPr>
                <w:rFonts w:cs="Arial"/>
              </w:rPr>
            </w:pPr>
            <w:r w:rsidRPr="00D26A93">
              <w:rPr>
                <w:rFonts w:cs="Arial"/>
              </w:rPr>
              <w:t>2.5%</w:t>
            </w:r>
          </w:p>
        </w:tc>
      </w:tr>
      <w:tr w:rsidR="00190652" w:rsidRPr="00D26A93" w14:paraId="4FAE4ED6" w14:textId="77777777" w:rsidTr="00CE2412">
        <w:trPr>
          <w:cantSplit/>
          <w:trHeight w:val="280"/>
          <w:tblHeader/>
          <w:jc w:val="center"/>
        </w:trPr>
        <w:tc>
          <w:tcPr>
            <w:tcW w:w="1337" w:type="dxa"/>
            <w:tcBorders>
              <w:top w:val="nil"/>
              <w:left w:val="single" w:sz="4" w:space="0" w:color="auto"/>
              <w:bottom w:val="single" w:sz="4" w:space="0" w:color="auto"/>
              <w:right w:val="single" w:sz="4" w:space="0" w:color="auto"/>
            </w:tcBorders>
            <w:shd w:val="clear" w:color="auto" w:fill="auto"/>
            <w:noWrap/>
            <w:vAlign w:val="center"/>
            <w:hideMark/>
          </w:tcPr>
          <w:p w14:paraId="15341590" w14:textId="77777777" w:rsidR="003F50BC" w:rsidRPr="00D26A93" w:rsidRDefault="003F50BC" w:rsidP="00190652">
            <w:pPr>
              <w:spacing w:before="120" w:after="120"/>
              <w:jc w:val="center"/>
              <w:rPr>
                <w:rFonts w:cs="Arial"/>
                <w:b/>
                <w:bCs/>
              </w:rPr>
            </w:pPr>
            <w:r w:rsidRPr="00D26A93">
              <w:rPr>
                <w:rFonts w:cs="Arial"/>
                <w:b/>
                <w:bCs/>
              </w:rPr>
              <w:t>Statewide</w:t>
            </w:r>
          </w:p>
        </w:tc>
        <w:tc>
          <w:tcPr>
            <w:tcW w:w="1831" w:type="dxa"/>
            <w:tcBorders>
              <w:top w:val="nil"/>
              <w:left w:val="single" w:sz="4" w:space="0" w:color="auto"/>
              <w:bottom w:val="single" w:sz="4" w:space="0" w:color="auto"/>
              <w:right w:val="single" w:sz="4" w:space="0" w:color="auto"/>
            </w:tcBorders>
            <w:shd w:val="clear" w:color="auto" w:fill="auto"/>
            <w:vAlign w:val="bottom"/>
          </w:tcPr>
          <w:p w14:paraId="0A2C04D1" w14:textId="77777777" w:rsidR="003F50BC" w:rsidRPr="00D26A93" w:rsidRDefault="003F50BC" w:rsidP="00190652">
            <w:pPr>
              <w:spacing w:before="120" w:after="120"/>
              <w:jc w:val="center"/>
              <w:rPr>
                <w:rFonts w:cs="Arial"/>
                <w:b/>
                <w:bCs/>
              </w:rPr>
            </w:pPr>
            <w:r w:rsidRPr="00D26A93">
              <w:rPr>
                <w:rFonts w:cs="Arial"/>
                <w:b/>
                <w:bCs/>
              </w:rPr>
              <w:t>12.4%</w:t>
            </w:r>
          </w:p>
        </w:tc>
        <w:tc>
          <w:tcPr>
            <w:tcW w:w="1057" w:type="dxa"/>
            <w:tcBorders>
              <w:top w:val="nil"/>
              <w:left w:val="single" w:sz="4" w:space="0" w:color="auto"/>
              <w:bottom w:val="single" w:sz="4" w:space="0" w:color="auto"/>
              <w:right w:val="single" w:sz="4" w:space="0" w:color="auto"/>
            </w:tcBorders>
            <w:shd w:val="clear" w:color="auto" w:fill="auto"/>
            <w:vAlign w:val="bottom"/>
          </w:tcPr>
          <w:p w14:paraId="55C16EB0" w14:textId="77777777" w:rsidR="003F50BC" w:rsidRPr="00D26A93" w:rsidRDefault="003F50BC" w:rsidP="00190652">
            <w:pPr>
              <w:spacing w:before="120" w:after="120"/>
              <w:jc w:val="center"/>
              <w:rPr>
                <w:rFonts w:cs="Arial"/>
                <w:b/>
                <w:bCs/>
              </w:rPr>
            </w:pPr>
            <w:r w:rsidRPr="00D26A93">
              <w:rPr>
                <w:rFonts w:cs="Arial"/>
                <w:b/>
                <w:bCs/>
              </w:rPr>
              <w:t>84.1%</w:t>
            </w:r>
          </w:p>
        </w:tc>
        <w:tc>
          <w:tcPr>
            <w:tcW w:w="990" w:type="dxa"/>
            <w:tcBorders>
              <w:top w:val="nil"/>
              <w:left w:val="single" w:sz="4" w:space="0" w:color="auto"/>
              <w:bottom w:val="single" w:sz="4" w:space="0" w:color="auto"/>
              <w:right w:val="single" w:sz="4" w:space="0" w:color="auto"/>
            </w:tcBorders>
            <w:shd w:val="clear" w:color="auto" w:fill="auto"/>
            <w:vAlign w:val="bottom"/>
          </w:tcPr>
          <w:p w14:paraId="78C02895" w14:textId="77777777" w:rsidR="003F50BC" w:rsidRPr="00D26A93" w:rsidRDefault="003F50BC" w:rsidP="00190652">
            <w:pPr>
              <w:spacing w:before="120" w:after="120"/>
              <w:jc w:val="center"/>
              <w:rPr>
                <w:rFonts w:cs="Arial"/>
                <w:b/>
                <w:bCs/>
              </w:rPr>
            </w:pPr>
            <w:r w:rsidRPr="00D26A93">
              <w:rPr>
                <w:rFonts w:cs="Arial"/>
                <w:b/>
                <w:bCs/>
              </w:rPr>
              <w:t>1.7%</w:t>
            </w:r>
          </w:p>
        </w:tc>
        <w:tc>
          <w:tcPr>
            <w:tcW w:w="1440" w:type="dxa"/>
            <w:tcBorders>
              <w:top w:val="nil"/>
              <w:left w:val="single" w:sz="4" w:space="0" w:color="auto"/>
              <w:bottom w:val="single" w:sz="4" w:space="0" w:color="auto"/>
              <w:right w:val="single" w:sz="4" w:space="0" w:color="auto"/>
            </w:tcBorders>
            <w:shd w:val="clear" w:color="auto" w:fill="auto"/>
            <w:vAlign w:val="bottom"/>
          </w:tcPr>
          <w:p w14:paraId="7EE1C360" w14:textId="77777777" w:rsidR="003F50BC" w:rsidRPr="00D26A93" w:rsidRDefault="003F50BC" w:rsidP="00190652">
            <w:pPr>
              <w:spacing w:before="120" w:after="120"/>
              <w:jc w:val="center"/>
              <w:rPr>
                <w:rFonts w:cs="Arial"/>
                <w:b/>
                <w:bCs/>
              </w:rPr>
            </w:pPr>
            <w:r w:rsidRPr="00D26A93">
              <w:rPr>
                <w:rFonts w:cs="Arial"/>
                <w:b/>
                <w:bCs/>
              </w:rPr>
              <w:t>4.3%</w:t>
            </w:r>
          </w:p>
        </w:tc>
        <w:tc>
          <w:tcPr>
            <w:tcW w:w="1620" w:type="dxa"/>
            <w:tcBorders>
              <w:top w:val="nil"/>
              <w:left w:val="single" w:sz="4" w:space="0" w:color="auto"/>
              <w:bottom w:val="single" w:sz="4" w:space="0" w:color="auto"/>
              <w:right w:val="single" w:sz="4" w:space="0" w:color="auto"/>
            </w:tcBorders>
            <w:shd w:val="clear" w:color="auto" w:fill="auto"/>
            <w:vAlign w:val="bottom"/>
          </w:tcPr>
          <w:p w14:paraId="361145C4" w14:textId="77777777" w:rsidR="003F50BC" w:rsidRPr="00D26A93" w:rsidRDefault="003F50BC" w:rsidP="00190652">
            <w:pPr>
              <w:spacing w:before="120" w:after="120"/>
              <w:jc w:val="center"/>
              <w:rPr>
                <w:rFonts w:cs="Arial"/>
                <w:b/>
                <w:bCs/>
              </w:rPr>
            </w:pPr>
            <w:r w:rsidRPr="00D26A93">
              <w:rPr>
                <w:rFonts w:cs="Arial"/>
                <w:b/>
                <w:bCs/>
              </w:rPr>
              <w:t>4.3%</w:t>
            </w:r>
          </w:p>
        </w:tc>
      </w:tr>
    </w:tbl>
    <w:p w14:paraId="6D135163" w14:textId="7A5A7C30" w:rsidR="003F50BC" w:rsidRPr="00D26A93" w:rsidRDefault="003F50BC" w:rsidP="00B25530">
      <w:pPr>
        <w:spacing w:before="240" w:after="480"/>
        <w:rPr>
          <w:rFonts w:cs="Arial"/>
          <w:b/>
          <w:bCs/>
        </w:rPr>
      </w:pPr>
      <w:r w:rsidRPr="00D26A93">
        <w:rPr>
          <w:rFonts w:cs="Arial"/>
        </w:rPr>
        <w:t xml:space="preserve">Table 3b includes the same minority quartiles, but includes the percentage of inexperienced, clear, intern, ineffective, and out-of-field teachers assigned to the </w:t>
      </w:r>
      <w:r w:rsidRPr="00D26A93">
        <w:rPr>
          <w:rFonts w:cs="Arial"/>
        </w:rPr>
        <w:lastRenderedPageBreak/>
        <w:t xml:space="preserve">schools in each quartile. Quartile 1 that includes schools with the lowest percentage of minority students has 11 percent inexperienced FTEs while </w:t>
      </w:r>
      <w:r w:rsidR="003D79CD" w:rsidRPr="00D26A93">
        <w:rPr>
          <w:rFonts w:cs="Arial"/>
        </w:rPr>
        <w:t>Q</w:t>
      </w:r>
      <w:r w:rsidRPr="00D26A93">
        <w:rPr>
          <w:rFonts w:cs="Arial"/>
        </w:rPr>
        <w:t xml:space="preserve">uartile 4 with the highest percentage of minority students has 13.5 percent. Quartile 1 has 84.3 percent clear teachers, while Quartile 4 has 84.1 percent. The percentage of intern teachers assigned to </w:t>
      </w:r>
      <w:r w:rsidR="003E330F">
        <w:rPr>
          <w:rFonts w:cs="Arial"/>
        </w:rPr>
        <w:t>Q</w:t>
      </w:r>
      <w:r w:rsidRPr="00D26A93">
        <w:rPr>
          <w:rFonts w:cs="Arial"/>
        </w:rPr>
        <w:t xml:space="preserve">uartile 1 is 1.1 percent and the percentage of intern teachers in Quartile 4 is 2.5 percent. The difference between </w:t>
      </w:r>
      <w:r w:rsidR="003E330F">
        <w:rPr>
          <w:rFonts w:cs="Arial"/>
        </w:rPr>
        <w:t>Q</w:t>
      </w:r>
      <w:r w:rsidRPr="00D26A93">
        <w:rPr>
          <w:rFonts w:cs="Arial"/>
        </w:rPr>
        <w:t>uartile 1 and Quartile 4 for ineffective teachers is 3.4 percent and 5.8 percent respectively. Finally, out-of-field teachers represent 6.2 percent</w:t>
      </w:r>
      <w:r w:rsidR="00C50F16">
        <w:rPr>
          <w:rFonts w:cs="Arial"/>
        </w:rPr>
        <w:t xml:space="preserve"> in Quartile 1</w:t>
      </w:r>
      <w:r w:rsidRPr="00D26A93">
        <w:rPr>
          <w:rFonts w:cs="Arial"/>
        </w:rPr>
        <w:t xml:space="preserve"> and 2.5 percent in Quartile 4.</w:t>
      </w:r>
    </w:p>
    <w:p w14:paraId="19264784" w14:textId="19431EBF" w:rsidR="003F50BC" w:rsidRPr="00D26A93" w:rsidRDefault="003F50BC" w:rsidP="00B25530">
      <w:pPr>
        <w:pStyle w:val="Heading4"/>
        <w:spacing w:before="0"/>
        <w:rPr>
          <w:rFonts w:cs="Arial"/>
          <w:b w:val="0"/>
          <w:i/>
          <w:lang w:val="en"/>
        </w:rPr>
      </w:pPr>
      <w:r w:rsidRPr="00D26A93">
        <w:rPr>
          <w:rFonts w:cs="Arial"/>
          <w:lang w:val="en"/>
        </w:rPr>
        <w:t>Table 3c: Summary of 2021–22 Educator Equity Data: Minority Quartiles</w:t>
      </w:r>
      <w:r w:rsidR="008E70B0">
        <w:rPr>
          <w:rFonts w:cs="Arial"/>
          <w:lang w:val="en"/>
        </w:rPr>
        <w:t xml:space="preserve"> - </w:t>
      </w:r>
      <w:r w:rsidR="008E70B0" w:rsidRPr="008E70B0">
        <w:rPr>
          <w:rFonts w:cs="Arial"/>
          <w:lang w:val="en"/>
        </w:rPr>
        <w:t>Incomplete, Unknown, and Not Applicable</w:t>
      </w:r>
    </w:p>
    <w:tbl>
      <w:tblPr>
        <w:tblW w:w="5125" w:type="dxa"/>
        <w:jc w:val="center"/>
        <w:tblLook w:val="04A0" w:firstRow="1" w:lastRow="0" w:firstColumn="1" w:lastColumn="0" w:noHBand="0" w:noVBand="1"/>
        <w:tblCaption w:val="Table 3c: Summary of 2021–22 Educator Equity Data: Minority Quartiles"/>
        <w:tblDescription w:val="Table 3c includes the same minority quartiles, but includes the percentage of incomplete, unknown, and N/A FTEs assigned to the schools in each quartile. "/>
      </w:tblPr>
      <w:tblGrid>
        <w:gridCol w:w="1337"/>
        <w:gridCol w:w="1483"/>
        <w:gridCol w:w="1296"/>
        <w:gridCol w:w="1009"/>
      </w:tblGrid>
      <w:tr w:rsidR="003F50BC" w:rsidRPr="00D26A93" w14:paraId="3F21B7C2" w14:textId="77777777" w:rsidTr="00CE2412">
        <w:trPr>
          <w:cantSplit/>
          <w:trHeight w:val="900"/>
          <w:tblHeader/>
          <w:jc w:val="center"/>
        </w:trPr>
        <w:tc>
          <w:tcPr>
            <w:tcW w:w="133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9252DD" w14:textId="77777777" w:rsidR="003F50BC" w:rsidRPr="00D26A93" w:rsidRDefault="003F50BC" w:rsidP="00190652">
            <w:pPr>
              <w:spacing w:before="120" w:after="120"/>
              <w:jc w:val="center"/>
              <w:rPr>
                <w:rFonts w:cs="Arial"/>
                <w:b/>
                <w:bCs/>
              </w:rPr>
            </w:pPr>
            <w:r w:rsidRPr="00D26A93">
              <w:rPr>
                <w:rFonts w:cs="Arial"/>
                <w:b/>
                <w:bCs/>
              </w:rPr>
              <w:t>Minority Quartile Rank</w:t>
            </w:r>
          </w:p>
        </w:tc>
        <w:tc>
          <w:tcPr>
            <w:tcW w:w="1483" w:type="dxa"/>
            <w:tcBorders>
              <w:top w:val="single" w:sz="4" w:space="0" w:color="auto"/>
              <w:left w:val="single" w:sz="4" w:space="0" w:color="auto"/>
              <w:bottom w:val="single" w:sz="4" w:space="0" w:color="auto"/>
              <w:right w:val="single" w:sz="4" w:space="0" w:color="auto"/>
            </w:tcBorders>
            <w:shd w:val="clear" w:color="000000" w:fill="D9D9D9"/>
            <w:vAlign w:val="center"/>
          </w:tcPr>
          <w:p w14:paraId="4481E62A" w14:textId="77777777" w:rsidR="003F50BC" w:rsidRPr="00D26A93" w:rsidRDefault="003F50BC" w:rsidP="00190652">
            <w:pPr>
              <w:spacing w:before="120" w:after="120"/>
              <w:jc w:val="center"/>
              <w:rPr>
                <w:rFonts w:cs="Arial"/>
                <w:b/>
                <w:bCs/>
              </w:rPr>
            </w:pPr>
            <w:r w:rsidRPr="00D26A93">
              <w:rPr>
                <w:rFonts w:cs="Arial"/>
                <w:b/>
                <w:bCs/>
              </w:rPr>
              <w:t>Incomplete</w:t>
            </w:r>
            <w:r w:rsidRPr="00D26A93">
              <w:rPr>
                <w:rFonts w:cs="Arial"/>
                <w:b/>
                <w:bCs/>
              </w:rPr>
              <w:br/>
              <w:t>FTE (%)</w:t>
            </w:r>
          </w:p>
        </w:tc>
        <w:tc>
          <w:tcPr>
            <w:tcW w:w="1296" w:type="dxa"/>
            <w:tcBorders>
              <w:top w:val="single" w:sz="4" w:space="0" w:color="auto"/>
              <w:left w:val="single" w:sz="4" w:space="0" w:color="auto"/>
              <w:bottom w:val="single" w:sz="4" w:space="0" w:color="auto"/>
              <w:right w:val="single" w:sz="4" w:space="0" w:color="auto"/>
            </w:tcBorders>
            <w:shd w:val="clear" w:color="000000" w:fill="D9D9D9"/>
            <w:vAlign w:val="center"/>
          </w:tcPr>
          <w:p w14:paraId="4667B917" w14:textId="77777777" w:rsidR="003F50BC" w:rsidRPr="00D26A93" w:rsidRDefault="003F50BC" w:rsidP="00190652">
            <w:pPr>
              <w:spacing w:before="120" w:after="120"/>
              <w:jc w:val="center"/>
              <w:rPr>
                <w:rFonts w:cs="Arial"/>
                <w:b/>
                <w:bCs/>
              </w:rPr>
            </w:pPr>
            <w:r w:rsidRPr="00D26A93">
              <w:rPr>
                <w:rFonts w:cs="Arial"/>
                <w:b/>
                <w:bCs/>
              </w:rPr>
              <w:t>Unknown</w:t>
            </w:r>
            <w:r w:rsidRPr="00D26A93">
              <w:rPr>
                <w:rFonts w:cs="Arial"/>
                <w:b/>
                <w:bCs/>
              </w:rPr>
              <w:br/>
              <w:t>FTE (%)</w:t>
            </w:r>
          </w:p>
        </w:tc>
        <w:tc>
          <w:tcPr>
            <w:tcW w:w="1009" w:type="dxa"/>
            <w:tcBorders>
              <w:top w:val="single" w:sz="4" w:space="0" w:color="auto"/>
              <w:left w:val="single" w:sz="4" w:space="0" w:color="auto"/>
              <w:bottom w:val="single" w:sz="4" w:space="0" w:color="auto"/>
              <w:right w:val="single" w:sz="4" w:space="0" w:color="auto"/>
            </w:tcBorders>
            <w:shd w:val="clear" w:color="000000" w:fill="D9D9D9"/>
            <w:vAlign w:val="center"/>
          </w:tcPr>
          <w:p w14:paraId="14348D69" w14:textId="161ADEFD" w:rsidR="003F50BC" w:rsidRPr="00D26A93" w:rsidRDefault="003F50BC" w:rsidP="00190652">
            <w:pPr>
              <w:spacing w:before="120" w:after="120"/>
              <w:jc w:val="center"/>
              <w:rPr>
                <w:rFonts w:cs="Arial"/>
                <w:b/>
                <w:bCs/>
              </w:rPr>
            </w:pPr>
            <w:r w:rsidRPr="00D26A93">
              <w:rPr>
                <w:rFonts w:cs="Arial"/>
                <w:b/>
                <w:bCs/>
              </w:rPr>
              <w:t>N/A</w:t>
            </w:r>
            <w:r w:rsidRPr="00D26A93">
              <w:rPr>
                <w:rFonts w:cs="Arial"/>
                <w:b/>
                <w:bCs/>
              </w:rPr>
              <w:br/>
              <w:t>FTE (</w:t>
            </w:r>
            <w:r w:rsidR="002172E2">
              <w:rPr>
                <w:rFonts w:cs="Arial"/>
                <w:b/>
                <w:bCs/>
              </w:rPr>
              <w:t>%</w:t>
            </w:r>
            <w:r w:rsidRPr="00D26A93">
              <w:rPr>
                <w:rFonts w:cs="Arial"/>
                <w:b/>
                <w:bCs/>
              </w:rPr>
              <w:t>)</w:t>
            </w:r>
          </w:p>
        </w:tc>
      </w:tr>
      <w:tr w:rsidR="003F50BC" w:rsidRPr="00D26A93" w14:paraId="231C9F4F" w14:textId="77777777" w:rsidTr="00CE2412">
        <w:trPr>
          <w:cantSplit/>
          <w:trHeight w:val="280"/>
          <w:tblHeader/>
          <w:jc w:val="center"/>
        </w:trPr>
        <w:tc>
          <w:tcPr>
            <w:tcW w:w="1337" w:type="dxa"/>
            <w:tcBorders>
              <w:top w:val="nil"/>
              <w:left w:val="single" w:sz="4" w:space="0" w:color="auto"/>
              <w:bottom w:val="single" w:sz="4" w:space="0" w:color="auto"/>
              <w:right w:val="single" w:sz="4" w:space="0" w:color="auto"/>
            </w:tcBorders>
            <w:shd w:val="clear" w:color="auto" w:fill="auto"/>
            <w:noWrap/>
            <w:vAlign w:val="center"/>
            <w:hideMark/>
          </w:tcPr>
          <w:p w14:paraId="0B935350" w14:textId="77777777" w:rsidR="003F50BC" w:rsidRPr="00D26A93" w:rsidRDefault="003F50BC" w:rsidP="00190652">
            <w:pPr>
              <w:spacing w:before="120" w:after="120"/>
              <w:jc w:val="center"/>
              <w:rPr>
                <w:rFonts w:cs="Arial"/>
              </w:rPr>
            </w:pPr>
            <w:r w:rsidRPr="00D26A93">
              <w:rPr>
                <w:rFonts w:cs="Arial"/>
              </w:rPr>
              <w:t>1</w:t>
            </w:r>
          </w:p>
        </w:tc>
        <w:tc>
          <w:tcPr>
            <w:tcW w:w="1483" w:type="dxa"/>
            <w:tcBorders>
              <w:top w:val="nil"/>
              <w:left w:val="single" w:sz="4" w:space="0" w:color="auto"/>
              <w:bottom w:val="single" w:sz="4" w:space="0" w:color="auto"/>
              <w:right w:val="single" w:sz="4" w:space="0" w:color="auto"/>
            </w:tcBorders>
            <w:vAlign w:val="bottom"/>
          </w:tcPr>
          <w:p w14:paraId="2DEFE2A1" w14:textId="77777777" w:rsidR="003F50BC" w:rsidRPr="00D26A93" w:rsidRDefault="003F50BC" w:rsidP="00190652">
            <w:pPr>
              <w:spacing w:before="120" w:after="120"/>
              <w:jc w:val="center"/>
              <w:rPr>
                <w:rFonts w:cs="Arial"/>
              </w:rPr>
            </w:pPr>
            <w:r w:rsidRPr="00D26A93">
              <w:rPr>
                <w:rFonts w:cs="Arial"/>
              </w:rPr>
              <w:t>4.5%</w:t>
            </w:r>
          </w:p>
        </w:tc>
        <w:tc>
          <w:tcPr>
            <w:tcW w:w="1296" w:type="dxa"/>
            <w:tcBorders>
              <w:top w:val="nil"/>
              <w:left w:val="single" w:sz="4" w:space="0" w:color="auto"/>
              <w:bottom w:val="single" w:sz="4" w:space="0" w:color="auto"/>
              <w:right w:val="single" w:sz="4" w:space="0" w:color="auto"/>
            </w:tcBorders>
            <w:vAlign w:val="bottom"/>
          </w:tcPr>
          <w:p w14:paraId="66D607AA" w14:textId="77777777" w:rsidR="003F50BC" w:rsidRPr="00D26A93" w:rsidRDefault="003F50BC" w:rsidP="00190652">
            <w:pPr>
              <w:spacing w:before="120" w:after="120"/>
              <w:jc w:val="center"/>
              <w:rPr>
                <w:rFonts w:cs="Arial"/>
              </w:rPr>
            </w:pPr>
            <w:r w:rsidRPr="00D26A93">
              <w:rPr>
                <w:rFonts w:cs="Arial"/>
              </w:rPr>
              <w:t>0.4%</w:t>
            </w:r>
          </w:p>
        </w:tc>
        <w:tc>
          <w:tcPr>
            <w:tcW w:w="1009" w:type="dxa"/>
            <w:tcBorders>
              <w:top w:val="nil"/>
              <w:left w:val="single" w:sz="4" w:space="0" w:color="auto"/>
              <w:bottom w:val="single" w:sz="4" w:space="0" w:color="auto"/>
              <w:right w:val="single" w:sz="4" w:space="0" w:color="auto"/>
            </w:tcBorders>
            <w:vAlign w:val="bottom"/>
          </w:tcPr>
          <w:p w14:paraId="3BF0E20B" w14:textId="77777777" w:rsidR="003F50BC" w:rsidRPr="00D26A93" w:rsidRDefault="003F50BC" w:rsidP="00190652">
            <w:pPr>
              <w:spacing w:before="120" w:after="120"/>
              <w:jc w:val="center"/>
              <w:rPr>
                <w:rFonts w:cs="Arial"/>
              </w:rPr>
            </w:pPr>
            <w:r w:rsidRPr="00D26A93">
              <w:rPr>
                <w:rFonts w:cs="Arial"/>
              </w:rPr>
              <w:t>0.2%</w:t>
            </w:r>
          </w:p>
        </w:tc>
      </w:tr>
      <w:tr w:rsidR="003F50BC" w:rsidRPr="00D26A93" w14:paraId="6A6F7C29" w14:textId="77777777" w:rsidTr="00CE2412">
        <w:trPr>
          <w:cantSplit/>
          <w:trHeight w:val="280"/>
          <w:tblHeader/>
          <w:jc w:val="center"/>
        </w:trPr>
        <w:tc>
          <w:tcPr>
            <w:tcW w:w="1337" w:type="dxa"/>
            <w:tcBorders>
              <w:top w:val="nil"/>
              <w:left w:val="single" w:sz="4" w:space="0" w:color="auto"/>
              <w:bottom w:val="single" w:sz="4" w:space="0" w:color="auto"/>
              <w:right w:val="single" w:sz="4" w:space="0" w:color="auto"/>
            </w:tcBorders>
            <w:shd w:val="clear" w:color="auto" w:fill="auto"/>
            <w:noWrap/>
            <w:vAlign w:val="center"/>
            <w:hideMark/>
          </w:tcPr>
          <w:p w14:paraId="1C184EFA" w14:textId="77777777" w:rsidR="003F50BC" w:rsidRPr="00D26A93" w:rsidRDefault="003F50BC" w:rsidP="00190652">
            <w:pPr>
              <w:spacing w:before="120" w:after="120"/>
              <w:jc w:val="center"/>
              <w:rPr>
                <w:rFonts w:cs="Arial"/>
              </w:rPr>
            </w:pPr>
            <w:r w:rsidRPr="00D26A93">
              <w:rPr>
                <w:rFonts w:cs="Arial"/>
              </w:rPr>
              <w:t>2</w:t>
            </w:r>
          </w:p>
        </w:tc>
        <w:tc>
          <w:tcPr>
            <w:tcW w:w="1483" w:type="dxa"/>
            <w:tcBorders>
              <w:top w:val="nil"/>
              <w:left w:val="single" w:sz="4" w:space="0" w:color="auto"/>
              <w:bottom w:val="single" w:sz="4" w:space="0" w:color="auto"/>
              <w:right w:val="single" w:sz="4" w:space="0" w:color="auto"/>
            </w:tcBorders>
            <w:vAlign w:val="bottom"/>
          </w:tcPr>
          <w:p w14:paraId="6B9A85EA" w14:textId="77777777" w:rsidR="003F50BC" w:rsidRPr="00D26A93" w:rsidRDefault="003F50BC" w:rsidP="00190652">
            <w:pPr>
              <w:spacing w:before="120" w:after="120"/>
              <w:jc w:val="center"/>
              <w:rPr>
                <w:rFonts w:cs="Arial"/>
              </w:rPr>
            </w:pPr>
            <w:r w:rsidRPr="00D26A93">
              <w:rPr>
                <w:rFonts w:cs="Arial"/>
              </w:rPr>
              <w:t>5.6%</w:t>
            </w:r>
          </w:p>
        </w:tc>
        <w:tc>
          <w:tcPr>
            <w:tcW w:w="1296" w:type="dxa"/>
            <w:tcBorders>
              <w:top w:val="nil"/>
              <w:left w:val="single" w:sz="4" w:space="0" w:color="auto"/>
              <w:bottom w:val="single" w:sz="4" w:space="0" w:color="auto"/>
              <w:right w:val="single" w:sz="4" w:space="0" w:color="auto"/>
            </w:tcBorders>
            <w:vAlign w:val="bottom"/>
          </w:tcPr>
          <w:p w14:paraId="22104B95" w14:textId="77777777" w:rsidR="003F50BC" w:rsidRPr="00D26A93" w:rsidRDefault="003F50BC" w:rsidP="00190652">
            <w:pPr>
              <w:spacing w:before="120" w:after="120"/>
              <w:jc w:val="center"/>
              <w:rPr>
                <w:rFonts w:cs="Arial"/>
              </w:rPr>
            </w:pPr>
            <w:r w:rsidRPr="00D26A93">
              <w:rPr>
                <w:rFonts w:cs="Arial"/>
              </w:rPr>
              <w:t>0.4%</w:t>
            </w:r>
          </w:p>
        </w:tc>
        <w:tc>
          <w:tcPr>
            <w:tcW w:w="1009" w:type="dxa"/>
            <w:tcBorders>
              <w:top w:val="nil"/>
              <w:left w:val="single" w:sz="4" w:space="0" w:color="auto"/>
              <w:bottom w:val="single" w:sz="4" w:space="0" w:color="auto"/>
              <w:right w:val="single" w:sz="4" w:space="0" w:color="auto"/>
            </w:tcBorders>
            <w:vAlign w:val="bottom"/>
          </w:tcPr>
          <w:p w14:paraId="66306A6B" w14:textId="77777777" w:rsidR="003F50BC" w:rsidRPr="00D26A93" w:rsidRDefault="003F50BC" w:rsidP="00190652">
            <w:pPr>
              <w:spacing w:before="120" w:after="120"/>
              <w:jc w:val="center"/>
              <w:rPr>
                <w:rFonts w:cs="Arial"/>
              </w:rPr>
            </w:pPr>
            <w:r w:rsidRPr="00D26A93">
              <w:rPr>
                <w:rFonts w:cs="Arial"/>
              </w:rPr>
              <w:t>0.2%</w:t>
            </w:r>
          </w:p>
        </w:tc>
      </w:tr>
      <w:tr w:rsidR="003F50BC" w:rsidRPr="00D26A93" w14:paraId="632DA736" w14:textId="77777777" w:rsidTr="00CE2412">
        <w:trPr>
          <w:cantSplit/>
          <w:trHeight w:val="280"/>
          <w:tblHeader/>
          <w:jc w:val="center"/>
        </w:trPr>
        <w:tc>
          <w:tcPr>
            <w:tcW w:w="1337" w:type="dxa"/>
            <w:tcBorders>
              <w:top w:val="nil"/>
              <w:left w:val="single" w:sz="4" w:space="0" w:color="auto"/>
              <w:bottom w:val="single" w:sz="4" w:space="0" w:color="auto"/>
              <w:right w:val="single" w:sz="4" w:space="0" w:color="auto"/>
            </w:tcBorders>
            <w:shd w:val="clear" w:color="auto" w:fill="auto"/>
            <w:noWrap/>
            <w:vAlign w:val="center"/>
            <w:hideMark/>
          </w:tcPr>
          <w:p w14:paraId="51FB234F" w14:textId="77777777" w:rsidR="003F50BC" w:rsidRPr="00D26A93" w:rsidRDefault="003F50BC" w:rsidP="00190652">
            <w:pPr>
              <w:spacing w:before="120" w:after="120"/>
              <w:jc w:val="center"/>
              <w:rPr>
                <w:rFonts w:cs="Arial"/>
              </w:rPr>
            </w:pPr>
            <w:r w:rsidRPr="00D26A93">
              <w:rPr>
                <w:rFonts w:cs="Arial"/>
              </w:rPr>
              <w:t>3</w:t>
            </w:r>
          </w:p>
        </w:tc>
        <w:tc>
          <w:tcPr>
            <w:tcW w:w="1483" w:type="dxa"/>
            <w:tcBorders>
              <w:top w:val="nil"/>
              <w:left w:val="single" w:sz="4" w:space="0" w:color="auto"/>
              <w:bottom w:val="single" w:sz="4" w:space="0" w:color="auto"/>
              <w:right w:val="single" w:sz="4" w:space="0" w:color="auto"/>
            </w:tcBorders>
            <w:vAlign w:val="bottom"/>
          </w:tcPr>
          <w:p w14:paraId="2A86758D" w14:textId="77777777" w:rsidR="003F50BC" w:rsidRPr="00D26A93" w:rsidRDefault="003F50BC" w:rsidP="00190652">
            <w:pPr>
              <w:spacing w:before="120" w:after="120"/>
              <w:jc w:val="center"/>
              <w:rPr>
                <w:rFonts w:cs="Arial"/>
              </w:rPr>
            </w:pPr>
            <w:r w:rsidRPr="00D26A93">
              <w:rPr>
                <w:rFonts w:cs="Arial"/>
              </w:rPr>
              <w:t>5.6%</w:t>
            </w:r>
          </w:p>
        </w:tc>
        <w:tc>
          <w:tcPr>
            <w:tcW w:w="1296" w:type="dxa"/>
            <w:tcBorders>
              <w:top w:val="nil"/>
              <w:left w:val="single" w:sz="4" w:space="0" w:color="auto"/>
              <w:bottom w:val="single" w:sz="4" w:space="0" w:color="auto"/>
              <w:right w:val="single" w:sz="4" w:space="0" w:color="auto"/>
            </w:tcBorders>
            <w:vAlign w:val="bottom"/>
          </w:tcPr>
          <w:p w14:paraId="035872A0" w14:textId="77777777" w:rsidR="003F50BC" w:rsidRPr="00D26A93" w:rsidRDefault="003F50BC" w:rsidP="00190652">
            <w:pPr>
              <w:spacing w:before="120" w:after="120"/>
              <w:jc w:val="center"/>
              <w:rPr>
                <w:rFonts w:cs="Arial"/>
              </w:rPr>
            </w:pPr>
            <w:r w:rsidRPr="00D26A93">
              <w:rPr>
                <w:rFonts w:cs="Arial"/>
              </w:rPr>
              <w:t>0.3%</w:t>
            </w:r>
          </w:p>
        </w:tc>
        <w:tc>
          <w:tcPr>
            <w:tcW w:w="1009" w:type="dxa"/>
            <w:tcBorders>
              <w:top w:val="nil"/>
              <w:left w:val="single" w:sz="4" w:space="0" w:color="auto"/>
              <w:bottom w:val="single" w:sz="4" w:space="0" w:color="auto"/>
              <w:right w:val="single" w:sz="4" w:space="0" w:color="auto"/>
            </w:tcBorders>
            <w:vAlign w:val="bottom"/>
          </w:tcPr>
          <w:p w14:paraId="733213C7" w14:textId="77777777" w:rsidR="003F50BC" w:rsidRPr="00D26A93" w:rsidRDefault="003F50BC" w:rsidP="00190652">
            <w:pPr>
              <w:spacing w:before="120" w:after="120"/>
              <w:jc w:val="center"/>
              <w:rPr>
                <w:rFonts w:cs="Arial"/>
              </w:rPr>
            </w:pPr>
            <w:r w:rsidRPr="00D26A93">
              <w:rPr>
                <w:rFonts w:cs="Arial"/>
              </w:rPr>
              <w:t>0.1%</w:t>
            </w:r>
          </w:p>
        </w:tc>
      </w:tr>
      <w:tr w:rsidR="003F50BC" w:rsidRPr="00D26A93" w14:paraId="1B6505C7" w14:textId="77777777" w:rsidTr="00CE2412">
        <w:trPr>
          <w:cantSplit/>
          <w:trHeight w:val="280"/>
          <w:tblHeader/>
          <w:jc w:val="center"/>
        </w:trPr>
        <w:tc>
          <w:tcPr>
            <w:tcW w:w="1337" w:type="dxa"/>
            <w:tcBorders>
              <w:top w:val="nil"/>
              <w:left w:val="single" w:sz="4" w:space="0" w:color="auto"/>
              <w:bottom w:val="single" w:sz="4" w:space="0" w:color="auto"/>
              <w:right w:val="single" w:sz="4" w:space="0" w:color="auto"/>
            </w:tcBorders>
            <w:shd w:val="clear" w:color="auto" w:fill="auto"/>
            <w:noWrap/>
            <w:vAlign w:val="center"/>
            <w:hideMark/>
          </w:tcPr>
          <w:p w14:paraId="6974AE70" w14:textId="77777777" w:rsidR="003F50BC" w:rsidRPr="00D26A93" w:rsidRDefault="003F50BC" w:rsidP="00190652">
            <w:pPr>
              <w:spacing w:before="120" w:after="120"/>
              <w:jc w:val="center"/>
              <w:rPr>
                <w:rFonts w:cs="Arial"/>
              </w:rPr>
            </w:pPr>
            <w:r w:rsidRPr="00D26A93">
              <w:rPr>
                <w:rFonts w:cs="Arial"/>
              </w:rPr>
              <w:t>4</w:t>
            </w:r>
          </w:p>
        </w:tc>
        <w:tc>
          <w:tcPr>
            <w:tcW w:w="1483" w:type="dxa"/>
            <w:tcBorders>
              <w:top w:val="nil"/>
              <w:left w:val="single" w:sz="4" w:space="0" w:color="auto"/>
              <w:bottom w:val="single" w:sz="4" w:space="0" w:color="auto"/>
              <w:right w:val="single" w:sz="4" w:space="0" w:color="auto"/>
            </w:tcBorders>
            <w:vAlign w:val="bottom"/>
          </w:tcPr>
          <w:p w14:paraId="3C54E723" w14:textId="77777777" w:rsidR="003F50BC" w:rsidRPr="00D26A93" w:rsidRDefault="003F50BC" w:rsidP="00190652">
            <w:pPr>
              <w:spacing w:before="120" w:after="120"/>
              <w:jc w:val="center"/>
              <w:rPr>
                <w:rFonts w:cs="Arial"/>
              </w:rPr>
            </w:pPr>
            <w:r w:rsidRPr="00D26A93">
              <w:rPr>
                <w:rFonts w:cs="Arial"/>
              </w:rPr>
              <w:t>4.8%</w:t>
            </w:r>
          </w:p>
        </w:tc>
        <w:tc>
          <w:tcPr>
            <w:tcW w:w="1296" w:type="dxa"/>
            <w:tcBorders>
              <w:top w:val="nil"/>
              <w:left w:val="single" w:sz="4" w:space="0" w:color="auto"/>
              <w:bottom w:val="single" w:sz="4" w:space="0" w:color="auto"/>
              <w:right w:val="single" w:sz="4" w:space="0" w:color="auto"/>
            </w:tcBorders>
            <w:vAlign w:val="bottom"/>
          </w:tcPr>
          <w:p w14:paraId="20340B80" w14:textId="77777777" w:rsidR="003F50BC" w:rsidRPr="00D26A93" w:rsidRDefault="003F50BC" w:rsidP="00190652">
            <w:pPr>
              <w:spacing w:before="120" w:after="120"/>
              <w:jc w:val="center"/>
              <w:rPr>
                <w:rFonts w:cs="Arial"/>
              </w:rPr>
            </w:pPr>
            <w:r w:rsidRPr="00D26A93">
              <w:rPr>
                <w:rFonts w:cs="Arial"/>
              </w:rPr>
              <w:t>0.2%</w:t>
            </w:r>
          </w:p>
        </w:tc>
        <w:tc>
          <w:tcPr>
            <w:tcW w:w="1009" w:type="dxa"/>
            <w:tcBorders>
              <w:top w:val="nil"/>
              <w:left w:val="single" w:sz="4" w:space="0" w:color="auto"/>
              <w:bottom w:val="single" w:sz="4" w:space="0" w:color="auto"/>
              <w:right w:val="single" w:sz="4" w:space="0" w:color="auto"/>
            </w:tcBorders>
            <w:vAlign w:val="bottom"/>
          </w:tcPr>
          <w:p w14:paraId="07A9E28E" w14:textId="77777777" w:rsidR="003F50BC" w:rsidRPr="00D26A93" w:rsidRDefault="003F50BC" w:rsidP="00190652">
            <w:pPr>
              <w:spacing w:before="120" w:after="120"/>
              <w:jc w:val="center"/>
              <w:rPr>
                <w:rFonts w:cs="Arial"/>
              </w:rPr>
            </w:pPr>
            <w:r w:rsidRPr="00D26A93">
              <w:rPr>
                <w:rFonts w:cs="Arial"/>
              </w:rPr>
              <w:t>0.1%</w:t>
            </w:r>
          </w:p>
        </w:tc>
      </w:tr>
      <w:tr w:rsidR="003F50BC" w:rsidRPr="00D26A93" w14:paraId="24CAE3E8" w14:textId="77777777" w:rsidTr="00CE2412">
        <w:trPr>
          <w:cantSplit/>
          <w:trHeight w:val="280"/>
          <w:tblHeader/>
          <w:jc w:val="center"/>
        </w:trPr>
        <w:tc>
          <w:tcPr>
            <w:tcW w:w="1337" w:type="dxa"/>
            <w:tcBorders>
              <w:top w:val="nil"/>
              <w:left w:val="single" w:sz="4" w:space="0" w:color="auto"/>
              <w:bottom w:val="single" w:sz="4" w:space="0" w:color="auto"/>
              <w:right w:val="single" w:sz="4" w:space="0" w:color="auto"/>
            </w:tcBorders>
            <w:shd w:val="clear" w:color="auto" w:fill="auto"/>
            <w:noWrap/>
            <w:vAlign w:val="center"/>
            <w:hideMark/>
          </w:tcPr>
          <w:p w14:paraId="0D9B72DF" w14:textId="77777777" w:rsidR="003F50BC" w:rsidRPr="00D26A93" w:rsidRDefault="003F50BC" w:rsidP="00190652">
            <w:pPr>
              <w:spacing w:before="120" w:after="120"/>
              <w:jc w:val="center"/>
              <w:rPr>
                <w:rFonts w:cs="Arial"/>
                <w:b/>
                <w:bCs/>
              </w:rPr>
            </w:pPr>
            <w:r w:rsidRPr="00D26A93">
              <w:rPr>
                <w:rFonts w:cs="Arial"/>
                <w:b/>
                <w:bCs/>
              </w:rPr>
              <w:t>Statewide</w:t>
            </w:r>
          </w:p>
        </w:tc>
        <w:tc>
          <w:tcPr>
            <w:tcW w:w="1483" w:type="dxa"/>
            <w:tcBorders>
              <w:top w:val="nil"/>
              <w:left w:val="single" w:sz="4" w:space="0" w:color="auto"/>
              <w:bottom w:val="single" w:sz="4" w:space="0" w:color="auto"/>
              <w:right w:val="single" w:sz="4" w:space="0" w:color="auto"/>
            </w:tcBorders>
            <w:shd w:val="clear" w:color="auto" w:fill="auto"/>
            <w:vAlign w:val="bottom"/>
          </w:tcPr>
          <w:p w14:paraId="1F9284BE" w14:textId="77777777" w:rsidR="003F50BC" w:rsidRPr="00D26A93" w:rsidRDefault="003F50BC" w:rsidP="00190652">
            <w:pPr>
              <w:spacing w:before="120" w:after="120"/>
              <w:jc w:val="center"/>
              <w:rPr>
                <w:rFonts w:cs="Arial"/>
                <w:b/>
                <w:bCs/>
              </w:rPr>
            </w:pPr>
            <w:r w:rsidRPr="00D26A93">
              <w:rPr>
                <w:rFonts w:cs="Arial"/>
                <w:b/>
                <w:bCs/>
              </w:rPr>
              <w:t>5.2%</w:t>
            </w:r>
          </w:p>
        </w:tc>
        <w:tc>
          <w:tcPr>
            <w:tcW w:w="1296" w:type="dxa"/>
            <w:tcBorders>
              <w:top w:val="nil"/>
              <w:left w:val="single" w:sz="4" w:space="0" w:color="auto"/>
              <w:bottom w:val="single" w:sz="4" w:space="0" w:color="auto"/>
              <w:right w:val="single" w:sz="4" w:space="0" w:color="auto"/>
            </w:tcBorders>
            <w:shd w:val="clear" w:color="auto" w:fill="auto"/>
            <w:vAlign w:val="bottom"/>
          </w:tcPr>
          <w:p w14:paraId="52FB3B8C" w14:textId="77777777" w:rsidR="003F50BC" w:rsidRPr="00D26A93" w:rsidRDefault="003F50BC" w:rsidP="00190652">
            <w:pPr>
              <w:spacing w:before="120" w:after="120"/>
              <w:jc w:val="center"/>
              <w:rPr>
                <w:rFonts w:cs="Arial"/>
                <w:b/>
                <w:bCs/>
              </w:rPr>
            </w:pPr>
            <w:r w:rsidRPr="00D26A93">
              <w:rPr>
                <w:rFonts w:cs="Arial"/>
                <w:b/>
                <w:bCs/>
              </w:rPr>
              <w:t>0.3%</w:t>
            </w:r>
          </w:p>
        </w:tc>
        <w:tc>
          <w:tcPr>
            <w:tcW w:w="1009" w:type="dxa"/>
            <w:tcBorders>
              <w:top w:val="nil"/>
              <w:left w:val="single" w:sz="4" w:space="0" w:color="auto"/>
              <w:bottom w:val="single" w:sz="4" w:space="0" w:color="auto"/>
              <w:right w:val="single" w:sz="4" w:space="0" w:color="auto"/>
            </w:tcBorders>
            <w:shd w:val="clear" w:color="auto" w:fill="auto"/>
            <w:vAlign w:val="bottom"/>
          </w:tcPr>
          <w:p w14:paraId="0B28517D" w14:textId="77777777" w:rsidR="003F50BC" w:rsidRPr="00D26A93" w:rsidRDefault="003F50BC" w:rsidP="00190652">
            <w:pPr>
              <w:spacing w:before="120" w:after="120"/>
              <w:jc w:val="center"/>
              <w:rPr>
                <w:rFonts w:cs="Arial"/>
                <w:b/>
                <w:bCs/>
              </w:rPr>
            </w:pPr>
            <w:r w:rsidRPr="00D26A93">
              <w:rPr>
                <w:rFonts w:cs="Arial"/>
                <w:b/>
                <w:bCs/>
              </w:rPr>
              <w:t>0.2%</w:t>
            </w:r>
          </w:p>
        </w:tc>
      </w:tr>
    </w:tbl>
    <w:p w14:paraId="1695F74D" w14:textId="7A27DFE6" w:rsidR="003F50BC" w:rsidRPr="00D26A93" w:rsidRDefault="003F50BC" w:rsidP="46A2BB53">
      <w:pPr>
        <w:spacing w:before="240" w:after="240"/>
        <w:rPr>
          <w:rFonts w:cs="Arial"/>
          <w:b/>
          <w:bCs/>
        </w:rPr>
      </w:pPr>
      <w:r w:rsidRPr="00D26A93">
        <w:rPr>
          <w:rFonts w:cs="Arial"/>
        </w:rPr>
        <w:t xml:space="preserve">Table 3c includes the same minority quartiles, but includes the percentage of incomplete, unknown, and N/A FTEs assigned to the schools in each quartile. Quartile 1 that includes schools with the lowest percentage of SED students has 4.5 percent incomplete FTEs, </w:t>
      </w:r>
      <w:r w:rsidR="003D79CD" w:rsidRPr="00D26A93">
        <w:rPr>
          <w:rFonts w:cs="Arial"/>
        </w:rPr>
        <w:t>0</w:t>
      </w:r>
      <w:r w:rsidRPr="00D26A93">
        <w:rPr>
          <w:rFonts w:cs="Arial"/>
        </w:rPr>
        <w:t xml:space="preserve">.4 percent unknown FTE and </w:t>
      </w:r>
      <w:r w:rsidR="003D79CD" w:rsidRPr="00D26A93">
        <w:rPr>
          <w:rFonts w:cs="Arial"/>
        </w:rPr>
        <w:t>0</w:t>
      </w:r>
      <w:r w:rsidRPr="00D26A93">
        <w:rPr>
          <w:rFonts w:cs="Arial"/>
        </w:rPr>
        <w:t xml:space="preserve">.2 percent N/A FTE. Quartile 4 with the highest percentage of minority students has 4.8 percent incomplete FTEs, </w:t>
      </w:r>
      <w:r w:rsidR="003D79CD" w:rsidRPr="00D26A93">
        <w:rPr>
          <w:rFonts w:cs="Arial"/>
        </w:rPr>
        <w:t>0</w:t>
      </w:r>
      <w:r w:rsidRPr="00D26A93">
        <w:rPr>
          <w:rFonts w:cs="Arial"/>
        </w:rPr>
        <w:t xml:space="preserve">.4 percent unknown FTEs, and </w:t>
      </w:r>
      <w:r w:rsidR="003D79CD" w:rsidRPr="00D26A93">
        <w:rPr>
          <w:rFonts w:cs="Arial"/>
        </w:rPr>
        <w:t>0</w:t>
      </w:r>
      <w:r w:rsidRPr="00D26A93">
        <w:rPr>
          <w:rFonts w:cs="Arial"/>
        </w:rPr>
        <w:t>.2 percent N/A FTEs.</w:t>
      </w:r>
    </w:p>
    <w:p w14:paraId="123D0B69" w14:textId="77777777" w:rsidR="003F50BC" w:rsidRPr="00D26A93" w:rsidRDefault="003F50BC" w:rsidP="00643C46">
      <w:pPr>
        <w:pStyle w:val="Heading4"/>
        <w:spacing w:before="0"/>
        <w:rPr>
          <w:rFonts w:cs="Arial"/>
        </w:rPr>
      </w:pPr>
      <w:r w:rsidRPr="00D26A93">
        <w:rPr>
          <w:rFonts w:cs="Arial"/>
        </w:rPr>
        <w:lastRenderedPageBreak/>
        <w:t xml:space="preserve">Table 4a: Socioeconomically Disadvantaged Quartiles: </w:t>
      </w:r>
      <w:bookmarkStart w:id="1" w:name="_Hlk169779009"/>
      <w:r w:rsidRPr="00D26A93">
        <w:rPr>
          <w:rFonts w:cs="Arial"/>
        </w:rPr>
        <w:t>Student Enrollment and Teacher Counts</w:t>
      </w:r>
    </w:p>
    <w:tbl>
      <w:tblPr>
        <w:tblW w:w="8387" w:type="dxa"/>
        <w:jc w:val="center"/>
        <w:tblLook w:val="04A0" w:firstRow="1" w:lastRow="0" w:firstColumn="1" w:lastColumn="0" w:noHBand="0" w:noVBand="1"/>
        <w:tblCaption w:val="Table 4a: Socioeconomically Disadvantaged Quartiles: Student Enrollment and Teacher Counts"/>
        <w:tblDescription w:val="Table 4a displays California’s school data divided into quartiles based on the enrollment of SED students."/>
      </w:tblPr>
      <w:tblGrid>
        <w:gridCol w:w="1337"/>
        <w:gridCol w:w="1180"/>
        <w:gridCol w:w="1470"/>
        <w:gridCol w:w="1470"/>
        <w:gridCol w:w="1470"/>
        <w:gridCol w:w="1460"/>
      </w:tblGrid>
      <w:tr w:rsidR="003F50BC" w:rsidRPr="00D26A93" w14:paraId="7C99F162" w14:textId="77777777" w:rsidTr="001F3281">
        <w:trPr>
          <w:cantSplit/>
          <w:trHeight w:val="900"/>
          <w:tblHeader/>
          <w:jc w:val="center"/>
        </w:trPr>
        <w:tc>
          <w:tcPr>
            <w:tcW w:w="1337" w:type="dxa"/>
            <w:tcBorders>
              <w:top w:val="single" w:sz="4" w:space="0" w:color="auto"/>
              <w:left w:val="single" w:sz="4" w:space="0" w:color="auto"/>
              <w:bottom w:val="single" w:sz="4" w:space="0" w:color="auto"/>
              <w:right w:val="single" w:sz="4" w:space="0" w:color="auto"/>
            </w:tcBorders>
            <w:shd w:val="clear" w:color="000000" w:fill="D9D9D9"/>
            <w:vAlign w:val="center"/>
            <w:hideMark/>
          </w:tcPr>
          <w:bookmarkEnd w:id="1"/>
          <w:p w14:paraId="4AEB64BB" w14:textId="77777777" w:rsidR="003F50BC" w:rsidRPr="00D26A93" w:rsidRDefault="003F50BC" w:rsidP="00190652">
            <w:pPr>
              <w:spacing w:before="120" w:after="120"/>
              <w:jc w:val="center"/>
              <w:rPr>
                <w:rFonts w:cs="Arial"/>
                <w:b/>
                <w:bCs/>
              </w:rPr>
            </w:pPr>
            <w:r w:rsidRPr="00D26A93">
              <w:rPr>
                <w:rFonts w:cs="Arial"/>
                <w:b/>
                <w:bCs/>
              </w:rPr>
              <w:t>SED Quartile Rank</w:t>
            </w:r>
          </w:p>
        </w:tc>
        <w:tc>
          <w:tcPr>
            <w:tcW w:w="1180" w:type="dxa"/>
            <w:tcBorders>
              <w:top w:val="single" w:sz="4" w:space="0" w:color="auto"/>
              <w:left w:val="nil"/>
              <w:bottom w:val="single" w:sz="4" w:space="0" w:color="auto"/>
              <w:right w:val="single" w:sz="4" w:space="0" w:color="auto"/>
            </w:tcBorders>
            <w:shd w:val="clear" w:color="000000" w:fill="D9D9D9"/>
            <w:vAlign w:val="center"/>
            <w:hideMark/>
          </w:tcPr>
          <w:p w14:paraId="43842C81" w14:textId="77777777" w:rsidR="003F50BC" w:rsidRPr="00D26A93" w:rsidRDefault="003F50BC" w:rsidP="00190652">
            <w:pPr>
              <w:spacing w:before="120" w:after="120"/>
              <w:jc w:val="center"/>
              <w:rPr>
                <w:rFonts w:cs="Arial"/>
                <w:b/>
                <w:bCs/>
              </w:rPr>
            </w:pPr>
            <w:r w:rsidRPr="00D26A93">
              <w:rPr>
                <w:rFonts w:cs="Arial"/>
                <w:b/>
                <w:bCs/>
              </w:rPr>
              <w:t>Number of Schools</w:t>
            </w:r>
          </w:p>
        </w:tc>
        <w:tc>
          <w:tcPr>
            <w:tcW w:w="1470" w:type="dxa"/>
            <w:tcBorders>
              <w:top w:val="single" w:sz="4" w:space="0" w:color="auto"/>
              <w:left w:val="nil"/>
              <w:bottom w:val="single" w:sz="4" w:space="0" w:color="auto"/>
              <w:right w:val="single" w:sz="4" w:space="0" w:color="auto"/>
            </w:tcBorders>
            <w:shd w:val="clear" w:color="000000" w:fill="D9D9D9"/>
            <w:vAlign w:val="center"/>
            <w:hideMark/>
          </w:tcPr>
          <w:p w14:paraId="40AC3125" w14:textId="77777777" w:rsidR="003F50BC" w:rsidRPr="00D26A93" w:rsidRDefault="003F50BC" w:rsidP="00190652">
            <w:pPr>
              <w:spacing w:before="120" w:after="120"/>
              <w:jc w:val="center"/>
              <w:rPr>
                <w:rFonts w:cs="Arial"/>
                <w:b/>
                <w:bCs/>
              </w:rPr>
            </w:pPr>
            <w:r w:rsidRPr="00D26A93">
              <w:rPr>
                <w:rFonts w:cs="Arial"/>
                <w:b/>
                <w:bCs/>
              </w:rPr>
              <w:t>Total Enrollment</w:t>
            </w:r>
            <w:r w:rsidRPr="00D26A93">
              <w:rPr>
                <w:rFonts w:cs="Arial"/>
                <w:b/>
                <w:bCs/>
              </w:rPr>
              <w:br/>
              <w:t>(N)</w:t>
            </w:r>
          </w:p>
        </w:tc>
        <w:tc>
          <w:tcPr>
            <w:tcW w:w="1470" w:type="dxa"/>
            <w:tcBorders>
              <w:top w:val="single" w:sz="4" w:space="0" w:color="auto"/>
              <w:left w:val="nil"/>
              <w:bottom w:val="single" w:sz="4" w:space="0" w:color="auto"/>
              <w:right w:val="single" w:sz="4" w:space="0" w:color="auto"/>
            </w:tcBorders>
            <w:shd w:val="clear" w:color="000000" w:fill="D9D9D9"/>
            <w:vAlign w:val="center"/>
            <w:hideMark/>
          </w:tcPr>
          <w:p w14:paraId="28E641F1" w14:textId="77777777" w:rsidR="003F50BC" w:rsidRPr="00D26A93" w:rsidRDefault="003F50BC" w:rsidP="00190652">
            <w:pPr>
              <w:spacing w:before="120" w:after="120"/>
              <w:jc w:val="center"/>
              <w:rPr>
                <w:rFonts w:cs="Arial"/>
                <w:b/>
                <w:bCs/>
              </w:rPr>
            </w:pPr>
            <w:r w:rsidRPr="00D26A93">
              <w:rPr>
                <w:rFonts w:cs="Arial"/>
                <w:b/>
                <w:bCs/>
              </w:rPr>
              <w:t xml:space="preserve">SED Enrollment </w:t>
            </w:r>
            <w:r w:rsidRPr="00D26A93">
              <w:rPr>
                <w:rFonts w:cs="Arial"/>
                <w:b/>
                <w:bCs/>
              </w:rPr>
              <w:br/>
              <w:t>(N)</w:t>
            </w:r>
          </w:p>
        </w:tc>
        <w:tc>
          <w:tcPr>
            <w:tcW w:w="1470" w:type="dxa"/>
            <w:tcBorders>
              <w:top w:val="single" w:sz="4" w:space="0" w:color="auto"/>
              <w:left w:val="nil"/>
              <w:bottom w:val="single" w:sz="4" w:space="0" w:color="auto"/>
              <w:right w:val="single" w:sz="4" w:space="0" w:color="auto"/>
            </w:tcBorders>
            <w:shd w:val="clear" w:color="000000" w:fill="D9D9D9"/>
            <w:vAlign w:val="center"/>
            <w:hideMark/>
          </w:tcPr>
          <w:p w14:paraId="247C8ACD" w14:textId="77777777" w:rsidR="003F50BC" w:rsidRPr="00D26A93" w:rsidRDefault="003F50BC" w:rsidP="00190652">
            <w:pPr>
              <w:spacing w:before="120" w:after="120"/>
              <w:jc w:val="center"/>
              <w:rPr>
                <w:rFonts w:cs="Arial"/>
                <w:b/>
                <w:bCs/>
              </w:rPr>
            </w:pPr>
            <w:r w:rsidRPr="00D26A93">
              <w:rPr>
                <w:rFonts w:cs="Arial"/>
                <w:b/>
                <w:bCs/>
              </w:rPr>
              <w:t>SED Enrollment (%)</w:t>
            </w:r>
          </w:p>
        </w:tc>
        <w:tc>
          <w:tcPr>
            <w:tcW w:w="1460" w:type="dxa"/>
            <w:tcBorders>
              <w:top w:val="single" w:sz="4" w:space="0" w:color="auto"/>
              <w:left w:val="nil"/>
              <w:bottom w:val="single" w:sz="4" w:space="0" w:color="auto"/>
              <w:right w:val="single" w:sz="4" w:space="0" w:color="auto"/>
            </w:tcBorders>
            <w:shd w:val="clear" w:color="000000" w:fill="D9D9D9"/>
            <w:vAlign w:val="center"/>
            <w:hideMark/>
          </w:tcPr>
          <w:p w14:paraId="58E5A28D" w14:textId="77777777" w:rsidR="003F50BC" w:rsidRPr="00D26A93" w:rsidRDefault="003F50BC" w:rsidP="00190652">
            <w:pPr>
              <w:spacing w:before="120" w:after="120"/>
              <w:jc w:val="center"/>
              <w:rPr>
                <w:rFonts w:cs="Arial"/>
                <w:b/>
                <w:bCs/>
              </w:rPr>
            </w:pPr>
            <w:r w:rsidRPr="00D26A93">
              <w:rPr>
                <w:rFonts w:cs="Arial"/>
                <w:b/>
                <w:bCs/>
              </w:rPr>
              <w:t xml:space="preserve">Total </w:t>
            </w:r>
            <w:r w:rsidRPr="00D26A93">
              <w:rPr>
                <w:rFonts w:cs="Arial"/>
                <w:b/>
                <w:bCs/>
              </w:rPr>
              <w:br/>
              <w:t xml:space="preserve">Teacher </w:t>
            </w:r>
            <w:r w:rsidRPr="00D26A93">
              <w:rPr>
                <w:rFonts w:cs="Arial"/>
                <w:b/>
                <w:bCs/>
              </w:rPr>
              <w:br/>
              <w:t>FTE (N)</w:t>
            </w:r>
          </w:p>
        </w:tc>
      </w:tr>
      <w:tr w:rsidR="003F50BC" w:rsidRPr="00D26A93" w14:paraId="7873ECB9" w14:textId="77777777" w:rsidTr="001F3281">
        <w:trPr>
          <w:cantSplit/>
          <w:trHeight w:val="280"/>
          <w:tblHeader/>
          <w:jc w:val="center"/>
        </w:trPr>
        <w:tc>
          <w:tcPr>
            <w:tcW w:w="1337" w:type="dxa"/>
            <w:tcBorders>
              <w:top w:val="nil"/>
              <w:left w:val="single" w:sz="4" w:space="0" w:color="auto"/>
              <w:bottom w:val="single" w:sz="4" w:space="0" w:color="auto"/>
              <w:right w:val="single" w:sz="4" w:space="0" w:color="auto"/>
            </w:tcBorders>
            <w:shd w:val="clear" w:color="auto" w:fill="auto"/>
            <w:noWrap/>
            <w:vAlign w:val="center"/>
            <w:hideMark/>
          </w:tcPr>
          <w:p w14:paraId="38CE279A" w14:textId="77777777" w:rsidR="003F50BC" w:rsidRPr="00D26A93" w:rsidRDefault="003F50BC" w:rsidP="00190652">
            <w:pPr>
              <w:spacing w:before="120" w:after="120"/>
              <w:jc w:val="center"/>
              <w:rPr>
                <w:rFonts w:cs="Arial"/>
              </w:rPr>
            </w:pPr>
            <w:r w:rsidRPr="00D26A93">
              <w:rPr>
                <w:rFonts w:cs="Arial"/>
              </w:rPr>
              <w:t>1</w:t>
            </w:r>
          </w:p>
        </w:tc>
        <w:tc>
          <w:tcPr>
            <w:tcW w:w="1180" w:type="dxa"/>
            <w:tcBorders>
              <w:top w:val="nil"/>
              <w:left w:val="nil"/>
              <w:bottom w:val="single" w:sz="4" w:space="0" w:color="auto"/>
              <w:right w:val="single" w:sz="4" w:space="0" w:color="auto"/>
            </w:tcBorders>
            <w:shd w:val="clear" w:color="auto" w:fill="auto"/>
            <w:noWrap/>
            <w:vAlign w:val="bottom"/>
            <w:hideMark/>
          </w:tcPr>
          <w:p w14:paraId="57D2011B" w14:textId="77777777" w:rsidR="003F50BC" w:rsidRPr="00D26A93" w:rsidRDefault="003F50BC" w:rsidP="00190652">
            <w:pPr>
              <w:spacing w:before="120" w:after="120"/>
              <w:jc w:val="center"/>
              <w:rPr>
                <w:rFonts w:cs="Arial"/>
              </w:rPr>
            </w:pPr>
            <w:r w:rsidRPr="00D26A93">
              <w:rPr>
                <w:rFonts w:cs="Arial"/>
              </w:rPr>
              <w:t>2,494</w:t>
            </w:r>
          </w:p>
        </w:tc>
        <w:tc>
          <w:tcPr>
            <w:tcW w:w="1470" w:type="dxa"/>
            <w:tcBorders>
              <w:top w:val="nil"/>
              <w:left w:val="nil"/>
              <w:bottom w:val="single" w:sz="4" w:space="0" w:color="auto"/>
              <w:right w:val="single" w:sz="4" w:space="0" w:color="auto"/>
            </w:tcBorders>
            <w:shd w:val="clear" w:color="auto" w:fill="auto"/>
            <w:noWrap/>
            <w:vAlign w:val="bottom"/>
            <w:hideMark/>
          </w:tcPr>
          <w:p w14:paraId="2E81518F" w14:textId="77777777" w:rsidR="003F50BC" w:rsidRPr="00D26A93" w:rsidRDefault="003F50BC" w:rsidP="00190652">
            <w:pPr>
              <w:spacing w:before="120" w:after="120"/>
              <w:jc w:val="center"/>
              <w:rPr>
                <w:rFonts w:cs="Arial"/>
              </w:rPr>
            </w:pPr>
            <w:r w:rsidRPr="00D26A93">
              <w:rPr>
                <w:rFonts w:cs="Arial"/>
              </w:rPr>
              <w:t>1,676,998</w:t>
            </w:r>
          </w:p>
        </w:tc>
        <w:tc>
          <w:tcPr>
            <w:tcW w:w="1470" w:type="dxa"/>
            <w:tcBorders>
              <w:top w:val="nil"/>
              <w:left w:val="nil"/>
              <w:bottom w:val="single" w:sz="4" w:space="0" w:color="auto"/>
              <w:right w:val="single" w:sz="4" w:space="0" w:color="auto"/>
            </w:tcBorders>
            <w:shd w:val="clear" w:color="auto" w:fill="auto"/>
            <w:noWrap/>
            <w:vAlign w:val="bottom"/>
            <w:hideMark/>
          </w:tcPr>
          <w:p w14:paraId="3222B23E" w14:textId="77777777" w:rsidR="003F50BC" w:rsidRPr="00D26A93" w:rsidRDefault="003F50BC" w:rsidP="00190652">
            <w:pPr>
              <w:spacing w:before="120" w:after="120"/>
              <w:jc w:val="center"/>
              <w:rPr>
                <w:rFonts w:cs="Arial"/>
              </w:rPr>
            </w:pPr>
            <w:r w:rsidRPr="00D26A93">
              <w:rPr>
                <w:rFonts w:cs="Arial"/>
              </w:rPr>
              <w:t>395,534</w:t>
            </w:r>
          </w:p>
        </w:tc>
        <w:tc>
          <w:tcPr>
            <w:tcW w:w="1470" w:type="dxa"/>
            <w:tcBorders>
              <w:top w:val="nil"/>
              <w:left w:val="nil"/>
              <w:bottom w:val="single" w:sz="4" w:space="0" w:color="auto"/>
              <w:right w:val="single" w:sz="4" w:space="0" w:color="auto"/>
            </w:tcBorders>
            <w:shd w:val="clear" w:color="auto" w:fill="auto"/>
            <w:noWrap/>
            <w:vAlign w:val="bottom"/>
            <w:hideMark/>
          </w:tcPr>
          <w:p w14:paraId="781CBF73" w14:textId="77777777" w:rsidR="003F50BC" w:rsidRPr="00D26A93" w:rsidRDefault="003F50BC" w:rsidP="00190652">
            <w:pPr>
              <w:spacing w:before="120" w:after="120"/>
              <w:jc w:val="center"/>
              <w:rPr>
                <w:rFonts w:cs="Arial"/>
              </w:rPr>
            </w:pPr>
            <w:r w:rsidRPr="00D26A93">
              <w:rPr>
                <w:rFonts w:cs="Arial"/>
              </w:rPr>
              <w:t>23.6%</w:t>
            </w:r>
          </w:p>
        </w:tc>
        <w:tc>
          <w:tcPr>
            <w:tcW w:w="1460" w:type="dxa"/>
            <w:tcBorders>
              <w:top w:val="nil"/>
              <w:left w:val="nil"/>
              <w:bottom w:val="single" w:sz="4" w:space="0" w:color="auto"/>
              <w:right w:val="single" w:sz="4" w:space="0" w:color="auto"/>
            </w:tcBorders>
            <w:shd w:val="clear" w:color="auto" w:fill="auto"/>
            <w:noWrap/>
            <w:vAlign w:val="bottom"/>
            <w:hideMark/>
          </w:tcPr>
          <w:p w14:paraId="01E99132" w14:textId="77777777" w:rsidR="003F50BC" w:rsidRPr="00D26A93" w:rsidRDefault="003F50BC" w:rsidP="00190652">
            <w:pPr>
              <w:spacing w:before="120" w:after="120"/>
              <w:jc w:val="center"/>
              <w:rPr>
                <w:rFonts w:cs="Arial"/>
              </w:rPr>
            </w:pPr>
            <w:r w:rsidRPr="00D26A93">
              <w:rPr>
                <w:rFonts w:cs="Arial"/>
              </w:rPr>
              <w:t>77,676.2</w:t>
            </w:r>
          </w:p>
        </w:tc>
      </w:tr>
      <w:tr w:rsidR="003F50BC" w:rsidRPr="00D26A93" w14:paraId="4DB18996" w14:textId="77777777" w:rsidTr="001F3281">
        <w:trPr>
          <w:cantSplit/>
          <w:trHeight w:val="280"/>
          <w:tblHeader/>
          <w:jc w:val="center"/>
        </w:trPr>
        <w:tc>
          <w:tcPr>
            <w:tcW w:w="1337" w:type="dxa"/>
            <w:tcBorders>
              <w:top w:val="nil"/>
              <w:left w:val="single" w:sz="4" w:space="0" w:color="auto"/>
              <w:bottom w:val="single" w:sz="4" w:space="0" w:color="auto"/>
              <w:right w:val="single" w:sz="4" w:space="0" w:color="auto"/>
            </w:tcBorders>
            <w:shd w:val="clear" w:color="auto" w:fill="auto"/>
            <w:noWrap/>
            <w:vAlign w:val="center"/>
            <w:hideMark/>
          </w:tcPr>
          <w:p w14:paraId="124D72F1" w14:textId="77777777" w:rsidR="003F50BC" w:rsidRPr="00D26A93" w:rsidRDefault="003F50BC" w:rsidP="00190652">
            <w:pPr>
              <w:spacing w:before="120" w:after="120"/>
              <w:jc w:val="center"/>
              <w:rPr>
                <w:rFonts w:cs="Arial"/>
              </w:rPr>
            </w:pPr>
            <w:r w:rsidRPr="00D26A93">
              <w:rPr>
                <w:rFonts w:cs="Arial"/>
              </w:rPr>
              <w:t>2</w:t>
            </w:r>
          </w:p>
        </w:tc>
        <w:tc>
          <w:tcPr>
            <w:tcW w:w="1180" w:type="dxa"/>
            <w:tcBorders>
              <w:top w:val="nil"/>
              <w:left w:val="nil"/>
              <w:bottom w:val="single" w:sz="4" w:space="0" w:color="auto"/>
              <w:right w:val="single" w:sz="4" w:space="0" w:color="auto"/>
            </w:tcBorders>
            <w:shd w:val="clear" w:color="auto" w:fill="auto"/>
            <w:noWrap/>
            <w:vAlign w:val="bottom"/>
            <w:hideMark/>
          </w:tcPr>
          <w:p w14:paraId="403F4A2A" w14:textId="77777777" w:rsidR="003F50BC" w:rsidRPr="00D26A93" w:rsidRDefault="003F50BC" w:rsidP="00190652">
            <w:pPr>
              <w:spacing w:before="120" w:after="120"/>
              <w:jc w:val="center"/>
              <w:rPr>
                <w:rFonts w:cs="Arial"/>
              </w:rPr>
            </w:pPr>
            <w:r w:rsidRPr="00D26A93">
              <w:rPr>
                <w:rFonts w:cs="Arial"/>
              </w:rPr>
              <w:t>2,494</w:t>
            </w:r>
          </w:p>
        </w:tc>
        <w:tc>
          <w:tcPr>
            <w:tcW w:w="1470" w:type="dxa"/>
            <w:tcBorders>
              <w:top w:val="nil"/>
              <w:left w:val="nil"/>
              <w:bottom w:val="single" w:sz="4" w:space="0" w:color="auto"/>
              <w:right w:val="single" w:sz="4" w:space="0" w:color="auto"/>
            </w:tcBorders>
            <w:shd w:val="clear" w:color="auto" w:fill="auto"/>
            <w:noWrap/>
            <w:vAlign w:val="bottom"/>
            <w:hideMark/>
          </w:tcPr>
          <w:p w14:paraId="570CF317" w14:textId="77777777" w:rsidR="003F50BC" w:rsidRPr="00D26A93" w:rsidRDefault="003F50BC" w:rsidP="00190652">
            <w:pPr>
              <w:spacing w:before="120" w:after="120"/>
              <w:jc w:val="center"/>
              <w:rPr>
                <w:rFonts w:cs="Arial"/>
              </w:rPr>
            </w:pPr>
            <w:r w:rsidRPr="00D26A93">
              <w:rPr>
                <w:rFonts w:cs="Arial"/>
              </w:rPr>
              <w:t>1,503,275</w:t>
            </w:r>
          </w:p>
        </w:tc>
        <w:tc>
          <w:tcPr>
            <w:tcW w:w="1470" w:type="dxa"/>
            <w:tcBorders>
              <w:top w:val="nil"/>
              <w:left w:val="nil"/>
              <w:bottom w:val="single" w:sz="4" w:space="0" w:color="auto"/>
              <w:right w:val="single" w:sz="4" w:space="0" w:color="auto"/>
            </w:tcBorders>
            <w:shd w:val="clear" w:color="auto" w:fill="auto"/>
            <w:noWrap/>
            <w:vAlign w:val="bottom"/>
            <w:hideMark/>
          </w:tcPr>
          <w:p w14:paraId="26D69E49" w14:textId="77777777" w:rsidR="003F50BC" w:rsidRPr="00D26A93" w:rsidRDefault="003F50BC" w:rsidP="00190652">
            <w:pPr>
              <w:spacing w:before="120" w:after="120"/>
              <w:jc w:val="center"/>
              <w:rPr>
                <w:rFonts w:cs="Arial"/>
              </w:rPr>
            </w:pPr>
            <w:r w:rsidRPr="00D26A93">
              <w:rPr>
                <w:rFonts w:cs="Arial"/>
              </w:rPr>
              <w:t>829,579</w:t>
            </w:r>
          </w:p>
        </w:tc>
        <w:tc>
          <w:tcPr>
            <w:tcW w:w="1470" w:type="dxa"/>
            <w:tcBorders>
              <w:top w:val="nil"/>
              <w:left w:val="nil"/>
              <w:bottom w:val="single" w:sz="4" w:space="0" w:color="auto"/>
              <w:right w:val="single" w:sz="4" w:space="0" w:color="auto"/>
            </w:tcBorders>
            <w:shd w:val="clear" w:color="auto" w:fill="auto"/>
            <w:noWrap/>
            <w:vAlign w:val="bottom"/>
            <w:hideMark/>
          </w:tcPr>
          <w:p w14:paraId="128323B3" w14:textId="77777777" w:rsidR="003F50BC" w:rsidRPr="00D26A93" w:rsidRDefault="003F50BC" w:rsidP="00190652">
            <w:pPr>
              <w:spacing w:before="120" w:after="120"/>
              <w:jc w:val="center"/>
              <w:rPr>
                <w:rFonts w:cs="Arial"/>
              </w:rPr>
            </w:pPr>
            <w:r w:rsidRPr="00D26A93">
              <w:rPr>
                <w:rFonts w:cs="Arial"/>
              </w:rPr>
              <w:t>55.2%</w:t>
            </w:r>
          </w:p>
        </w:tc>
        <w:tc>
          <w:tcPr>
            <w:tcW w:w="1460" w:type="dxa"/>
            <w:tcBorders>
              <w:top w:val="nil"/>
              <w:left w:val="nil"/>
              <w:bottom w:val="single" w:sz="4" w:space="0" w:color="auto"/>
              <w:right w:val="single" w:sz="4" w:space="0" w:color="auto"/>
            </w:tcBorders>
            <w:shd w:val="clear" w:color="auto" w:fill="auto"/>
            <w:noWrap/>
            <w:vAlign w:val="bottom"/>
            <w:hideMark/>
          </w:tcPr>
          <w:p w14:paraId="4BFD40F3" w14:textId="77777777" w:rsidR="003F50BC" w:rsidRPr="00D26A93" w:rsidRDefault="003F50BC" w:rsidP="00190652">
            <w:pPr>
              <w:spacing w:before="120" w:after="120"/>
              <w:jc w:val="center"/>
              <w:rPr>
                <w:rFonts w:cs="Arial"/>
              </w:rPr>
            </w:pPr>
            <w:r w:rsidRPr="00D26A93">
              <w:rPr>
                <w:rFonts w:cs="Arial"/>
              </w:rPr>
              <w:t>70,621.3</w:t>
            </w:r>
          </w:p>
        </w:tc>
      </w:tr>
      <w:tr w:rsidR="003F50BC" w:rsidRPr="00D26A93" w14:paraId="4909E575" w14:textId="77777777" w:rsidTr="001F3281">
        <w:trPr>
          <w:cantSplit/>
          <w:trHeight w:val="280"/>
          <w:tblHeader/>
          <w:jc w:val="center"/>
        </w:trPr>
        <w:tc>
          <w:tcPr>
            <w:tcW w:w="1337" w:type="dxa"/>
            <w:tcBorders>
              <w:top w:val="nil"/>
              <w:left w:val="single" w:sz="4" w:space="0" w:color="auto"/>
              <w:bottom w:val="single" w:sz="4" w:space="0" w:color="auto"/>
              <w:right w:val="single" w:sz="4" w:space="0" w:color="auto"/>
            </w:tcBorders>
            <w:shd w:val="clear" w:color="auto" w:fill="auto"/>
            <w:noWrap/>
            <w:vAlign w:val="center"/>
            <w:hideMark/>
          </w:tcPr>
          <w:p w14:paraId="2EF81B21" w14:textId="77777777" w:rsidR="003F50BC" w:rsidRPr="00D26A93" w:rsidRDefault="003F50BC" w:rsidP="00190652">
            <w:pPr>
              <w:spacing w:before="120" w:after="120"/>
              <w:jc w:val="center"/>
              <w:rPr>
                <w:rFonts w:cs="Arial"/>
              </w:rPr>
            </w:pPr>
            <w:r w:rsidRPr="00D26A93">
              <w:rPr>
                <w:rFonts w:cs="Arial"/>
              </w:rPr>
              <w:t>3</w:t>
            </w:r>
          </w:p>
        </w:tc>
        <w:tc>
          <w:tcPr>
            <w:tcW w:w="1180" w:type="dxa"/>
            <w:tcBorders>
              <w:top w:val="nil"/>
              <w:left w:val="nil"/>
              <w:bottom w:val="single" w:sz="4" w:space="0" w:color="auto"/>
              <w:right w:val="single" w:sz="4" w:space="0" w:color="auto"/>
            </w:tcBorders>
            <w:shd w:val="clear" w:color="auto" w:fill="auto"/>
            <w:noWrap/>
            <w:vAlign w:val="bottom"/>
            <w:hideMark/>
          </w:tcPr>
          <w:p w14:paraId="7F35A072" w14:textId="77777777" w:rsidR="003F50BC" w:rsidRPr="00D26A93" w:rsidRDefault="003F50BC" w:rsidP="00190652">
            <w:pPr>
              <w:spacing w:before="120" w:after="120"/>
              <w:jc w:val="center"/>
              <w:rPr>
                <w:rFonts w:cs="Arial"/>
              </w:rPr>
            </w:pPr>
            <w:r w:rsidRPr="00D26A93">
              <w:rPr>
                <w:rFonts w:cs="Arial"/>
              </w:rPr>
              <w:t>2,495</w:t>
            </w:r>
          </w:p>
        </w:tc>
        <w:tc>
          <w:tcPr>
            <w:tcW w:w="1470" w:type="dxa"/>
            <w:tcBorders>
              <w:top w:val="nil"/>
              <w:left w:val="nil"/>
              <w:bottom w:val="single" w:sz="4" w:space="0" w:color="auto"/>
              <w:right w:val="single" w:sz="4" w:space="0" w:color="auto"/>
            </w:tcBorders>
            <w:shd w:val="clear" w:color="auto" w:fill="auto"/>
            <w:noWrap/>
            <w:vAlign w:val="bottom"/>
            <w:hideMark/>
          </w:tcPr>
          <w:p w14:paraId="47591EFD" w14:textId="77777777" w:rsidR="003F50BC" w:rsidRPr="00D26A93" w:rsidRDefault="003F50BC" w:rsidP="00190652">
            <w:pPr>
              <w:spacing w:before="120" w:after="120"/>
              <w:jc w:val="center"/>
              <w:rPr>
                <w:rFonts w:cs="Arial"/>
              </w:rPr>
            </w:pPr>
            <w:r w:rsidRPr="00D26A93">
              <w:rPr>
                <w:rFonts w:cs="Arial"/>
              </w:rPr>
              <w:t>1,431,965</w:t>
            </w:r>
          </w:p>
        </w:tc>
        <w:tc>
          <w:tcPr>
            <w:tcW w:w="1470" w:type="dxa"/>
            <w:tcBorders>
              <w:top w:val="nil"/>
              <w:left w:val="nil"/>
              <w:bottom w:val="single" w:sz="4" w:space="0" w:color="auto"/>
              <w:right w:val="single" w:sz="4" w:space="0" w:color="auto"/>
            </w:tcBorders>
            <w:shd w:val="clear" w:color="auto" w:fill="auto"/>
            <w:noWrap/>
            <w:vAlign w:val="bottom"/>
            <w:hideMark/>
          </w:tcPr>
          <w:p w14:paraId="4106A734" w14:textId="77777777" w:rsidR="003F50BC" w:rsidRPr="00D26A93" w:rsidRDefault="003F50BC" w:rsidP="00190652">
            <w:pPr>
              <w:spacing w:before="120" w:after="120"/>
              <w:jc w:val="center"/>
              <w:rPr>
                <w:rFonts w:cs="Arial"/>
              </w:rPr>
            </w:pPr>
            <w:r w:rsidRPr="00D26A93">
              <w:rPr>
                <w:rFonts w:cs="Arial"/>
              </w:rPr>
              <w:t>1,112,995</w:t>
            </w:r>
          </w:p>
        </w:tc>
        <w:tc>
          <w:tcPr>
            <w:tcW w:w="1470" w:type="dxa"/>
            <w:tcBorders>
              <w:top w:val="nil"/>
              <w:left w:val="nil"/>
              <w:bottom w:val="single" w:sz="4" w:space="0" w:color="auto"/>
              <w:right w:val="single" w:sz="4" w:space="0" w:color="auto"/>
            </w:tcBorders>
            <w:shd w:val="clear" w:color="auto" w:fill="auto"/>
            <w:noWrap/>
            <w:vAlign w:val="bottom"/>
            <w:hideMark/>
          </w:tcPr>
          <w:p w14:paraId="374940D2" w14:textId="77777777" w:rsidR="003F50BC" w:rsidRPr="00D26A93" w:rsidRDefault="003F50BC" w:rsidP="00190652">
            <w:pPr>
              <w:spacing w:before="120" w:after="120"/>
              <w:jc w:val="center"/>
              <w:rPr>
                <w:rFonts w:cs="Arial"/>
              </w:rPr>
            </w:pPr>
            <w:r w:rsidRPr="00D26A93">
              <w:rPr>
                <w:rFonts w:cs="Arial"/>
              </w:rPr>
              <w:t>77.7%</w:t>
            </w:r>
          </w:p>
        </w:tc>
        <w:tc>
          <w:tcPr>
            <w:tcW w:w="1460" w:type="dxa"/>
            <w:tcBorders>
              <w:top w:val="nil"/>
              <w:left w:val="nil"/>
              <w:bottom w:val="single" w:sz="4" w:space="0" w:color="auto"/>
              <w:right w:val="single" w:sz="4" w:space="0" w:color="auto"/>
            </w:tcBorders>
            <w:shd w:val="clear" w:color="auto" w:fill="auto"/>
            <w:noWrap/>
            <w:vAlign w:val="bottom"/>
            <w:hideMark/>
          </w:tcPr>
          <w:p w14:paraId="10488458" w14:textId="77777777" w:rsidR="003F50BC" w:rsidRPr="00D26A93" w:rsidRDefault="003F50BC" w:rsidP="00190652">
            <w:pPr>
              <w:spacing w:before="120" w:after="120"/>
              <w:jc w:val="center"/>
              <w:rPr>
                <w:rFonts w:cs="Arial"/>
              </w:rPr>
            </w:pPr>
            <w:r w:rsidRPr="00D26A93">
              <w:rPr>
                <w:rFonts w:cs="Arial"/>
              </w:rPr>
              <w:t>67,359.2</w:t>
            </w:r>
          </w:p>
        </w:tc>
      </w:tr>
      <w:tr w:rsidR="003F50BC" w:rsidRPr="00D26A93" w14:paraId="33FAA8A8" w14:textId="77777777" w:rsidTr="001F3281">
        <w:trPr>
          <w:cantSplit/>
          <w:trHeight w:val="280"/>
          <w:tblHeader/>
          <w:jc w:val="center"/>
        </w:trPr>
        <w:tc>
          <w:tcPr>
            <w:tcW w:w="1337" w:type="dxa"/>
            <w:tcBorders>
              <w:top w:val="nil"/>
              <w:left w:val="single" w:sz="4" w:space="0" w:color="auto"/>
              <w:bottom w:val="single" w:sz="4" w:space="0" w:color="auto"/>
              <w:right w:val="single" w:sz="4" w:space="0" w:color="auto"/>
            </w:tcBorders>
            <w:shd w:val="clear" w:color="auto" w:fill="auto"/>
            <w:noWrap/>
            <w:vAlign w:val="center"/>
            <w:hideMark/>
          </w:tcPr>
          <w:p w14:paraId="1BB489E8" w14:textId="77777777" w:rsidR="003F50BC" w:rsidRPr="00D26A93" w:rsidRDefault="003F50BC" w:rsidP="00190652">
            <w:pPr>
              <w:spacing w:before="120" w:after="120"/>
              <w:jc w:val="center"/>
              <w:rPr>
                <w:rFonts w:cs="Arial"/>
              </w:rPr>
            </w:pPr>
            <w:r w:rsidRPr="00D26A93">
              <w:rPr>
                <w:rFonts w:cs="Arial"/>
              </w:rPr>
              <w:t>4</w:t>
            </w:r>
          </w:p>
        </w:tc>
        <w:tc>
          <w:tcPr>
            <w:tcW w:w="1180" w:type="dxa"/>
            <w:tcBorders>
              <w:top w:val="nil"/>
              <w:left w:val="nil"/>
              <w:bottom w:val="single" w:sz="4" w:space="0" w:color="auto"/>
              <w:right w:val="single" w:sz="4" w:space="0" w:color="auto"/>
            </w:tcBorders>
            <w:shd w:val="clear" w:color="auto" w:fill="auto"/>
            <w:noWrap/>
            <w:vAlign w:val="bottom"/>
            <w:hideMark/>
          </w:tcPr>
          <w:p w14:paraId="781B38EF" w14:textId="77777777" w:rsidR="003F50BC" w:rsidRPr="00D26A93" w:rsidRDefault="003F50BC" w:rsidP="00190652">
            <w:pPr>
              <w:spacing w:before="120" w:after="120"/>
              <w:jc w:val="center"/>
              <w:rPr>
                <w:rFonts w:cs="Arial"/>
              </w:rPr>
            </w:pPr>
            <w:r w:rsidRPr="00D26A93">
              <w:rPr>
                <w:rFonts w:cs="Arial"/>
              </w:rPr>
              <w:t>2,494</w:t>
            </w:r>
          </w:p>
        </w:tc>
        <w:tc>
          <w:tcPr>
            <w:tcW w:w="1470" w:type="dxa"/>
            <w:tcBorders>
              <w:top w:val="nil"/>
              <w:left w:val="nil"/>
              <w:bottom w:val="single" w:sz="4" w:space="0" w:color="auto"/>
              <w:right w:val="single" w:sz="4" w:space="0" w:color="auto"/>
            </w:tcBorders>
            <w:shd w:val="clear" w:color="auto" w:fill="auto"/>
            <w:noWrap/>
            <w:vAlign w:val="bottom"/>
            <w:hideMark/>
          </w:tcPr>
          <w:p w14:paraId="476416BE" w14:textId="77777777" w:rsidR="003F50BC" w:rsidRPr="00D26A93" w:rsidRDefault="003F50BC" w:rsidP="00190652">
            <w:pPr>
              <w:spacing w:before="120" w:after="120"/>
              <w:jc w:val="center"/>
              <w:rPr>
                <w:rFonts w:cs="Arial"/>
              </w:rPr>
            </w:pPr>
            <w:r w:rsidRPr="00D26A93">
              <w:rPr>
                <w:rFonts w:cs="Arial"/>
              </w:rPr>
              <w:t>1,262,105</w:t>
            </w:r>
          </w:p>
        </w:tc>
        <w:tc>
          <w:tcPr>
            <w:tcW w:w="1470" w:type="dxa"/>
            <w:tcBorders>
              <w:top w:val="nil"/>
              <w:left w:val="nil"/>
              <w:bottom w:val="single" w:sz="4" w:space="0" w:color="auto"/>
              <w:right w:val="single" w:sz="4" w:space="0" w:color="auto"/>
            </w:tcBorders>
            <w:shd w:val="clear" w:color="auto" w:fill="auto"/>
            <w:noWrap/>
            <w:vAlign w:val="bottom"/>
            <w:hideMark/>
          </w:tcPr>
          <w:p w14:paraId="65C962D8" w14:textId="77777777" w:rsidR="003F50BC" w:rsidRPr="00D26A93" w:rsidRDefault="003F50BC" w:rsidP="00190652">
            <w:pPr>
              <w:spacing w:before="120" w:after="120"/>
              <w:jc w:val="center"/>
              <w:rPr>
                <w:rFonts w:cs="Arial"/>
              </w:rPr>
            </w:pPr>
            <w:r w:rsidRPr="00D26A93">
              <w:rPr>
                <w:rFonts w:cs="Arial"/>
              </w:rPr>
              <w:t>1,166,793</w:t>
            </w:r>
          </w:p>
        </w:tc>
        <w:tc>
          <w:tcPr>
            <w:tcW w:w="1470" w:type="dxa"/>
            <w:tcBorders>
              <w:top w:val="nil"/>
              <w:left w:val="nil"/>
              <w:bottom w:val="single" w:sz="4" w:space="0" w:color="auto"/>
              <w:right w:val="single" w:sz="4" w:space="0" w:color="auto"/>
            </w:tcBorders>
            <w:shd w:val="clear" w:color="auto" w:fill="auto"/>
            <w:noWrap/>
            <w:vAlign w:val="bottom"/>
            <w:hideMark/>
          </w:tcPr>
          <w:p w14:paraId="79E1E0EA" w14:textId="77777777" w:rsidR="003F50BC" w:rsidRPr="00D26A93" w:rsidRDefault="003F50BC" w:rsidP="00190652">
            <w:pPr>
              <w:spacing w:before="120" w:after="120"/>
              <w:jc w:val="center"/>
              <w:rPr>
                <w:rFonts w:cs="Arial"/>
              </w:rPr>
            </w:pPr>
            <w:r w:rsidRPr="00D26A93">
              <w:rPr>
                <w:rFonts w:cs="Arial"/>
              </w:rPr>
              <w:t>92.4%</w:t>
            </w:r>
          </w:p>
        </w:tc>
        <w:tc>
          <w:tcPr>
            <w:tcW w:w="1460" w:type="dxa"/>
            <w:tcBorders>
              <w:top w:val="nil"/>
              <w:left w:val="nil"/>
              <w:bottom w:val="single" w:sz="4" w:space="0" w:color="auto"/>
              <w:right w:val="single" w:sz="4" w:space="0" w:color="auto"/>
            </w:tcBorders>
            <w:shd w:val="clear" w:color="auto" w:fill="auto"/>
            <w:noWrap/>
            <w:vAlign w:val="bottom"/>
            <w:hideMark/>
          </w:tcPr>
          <w:p w14:paraId="697E7926" w14:textId="77777777" w:rsidR="003F50BC" w:rsidRPr="00D26A93" w:rsidRDefault="003F50BC" w:rsidP="00190652">
            <w:pPr>
              <w:spacing w:before="120" w:after="120"/>
              <w:jc w:val="center"/>
              <w:rPr>
                <w:rFonts w:cs="Arial"/>
              </w:rPr>
            </w:pPr>
            <w:r w:rsidRPr="00D26A93">
              <w:rPr>
                <w:rFonts w:cs="Arial"/>
              </w:rPr>
              <w:t>62,339.0</w:t>
            </w:r>
          </w:p>
        </w:tc>
      </w:tr>
      <w:tr w:rsidR="00190652" w:rsidRPr="00D26A93" w14:paraId="3D625AE1" w14:textId="77777777" w:rsidTr="001F3281">
        <w:trPr>
          <w:cantSplit/>
          <w:trHeight w:val="280"/>
          <w:tblHeader/>
          <w:jc w:val="center"/>
        </w:trPr>
        <w:tc>
          <w:tcPr>
            <w:tcW w:w="1337" w:type="dxa"/>
            <w:tcBorders>
              <w:top w:val="nil"/>
              <w:left w:val="single" w:sz="4" w:space="0" w:color="auto"/>
              <w:bottom w:val="single" w:sz="4" w:space="0" w:color="auto"/>
              <w:right w:val="single" w:sz="4" w:space="0" w:color="auto"/>
            </w:tcBorders>
            <w:shd w:val="clear" w:color="auto" w:fill="auto"/>
            <w:noWrap/>
            <w:vAlign w:val="center"/>
            <w:hideMark/>
          </w:tcPr>
          <w:p w14:paraId="3225068E" w14:textId="77777777" w:rsidR="003F50BC" w:rsidRPr="00D26A93" w:rsidRDefault="003F50BC" w:rsidP="00190652">
            <w:pPr>
              <w:spacing w:before="120" w:after="120"/>
              <w:jc w:val="center"/>
              <w:rPr>
                <w:rFonts w:cs="Arial"/>
                <w:b/>
                <w:bCs/>
              </w:rPr>
            </w:pPr>
            <w:r w:rsidRPr="00D26A93">
              <w:rPr>
                <w:rFonts w:cs="Arial"/>
                <w:b/>
                <w:bCs/>
              </w:rPr>
              <w:t>Statewide</w:t>
            </w:r>
          </w:p>
        </w:tc>
        <w:tc>
          <w:tcPr>
            <w:tcW w:w="1180" w:type="dxa"/>
            <w:tcBorders>
              <w:top w:val="nil"/>
              <w:left w:val="nil"/>
              <w:bottom w:val="single" w:sz="4" w:space="0" w:color="auto"/>
              <w:right w:val="single" w:sz="4" w:space="0" w:color="auto"/>
            </w:tcBorders>
            <w:shd w:val="clear" w:color="auto" w:fill="auto"/>
            <w:noWrap/>
            <w:vAlign w:val="bottom"/>
            <w:hideMark/>
          </w:tcPr>
          <w:p w14:paraId="5179410A" w14:textId="77777777" w:rsidR="003F50BC" w:rsidRPr="00D26A93" w:rsidRDefault="003F50BC" w:rsidP="00190652">
            <w:pPr>
              <w:spacing w:before="120" w:after="120"/>
              <w:jc w:val="center"/>
              <w:rPr>
                <w:rFonts w:cs="Arial"/>
                <w:b/>
                <w:bCs/>
              </w:rPr>
            </w:pPr>
            <w:r w:rsidRPr="00D26A93">
              <w:rPr>
                <w:rFonts w:cs="Arial"/>
                <w:b/>
                <w:bCs/>
              </w:rPr>
              <w:t>9,977</w:t>
            </w:r>
          </w:p>
        </w:tc>
        <w:tc>
          <w:tcPr>
            <w:tcW w:w="1470" w:type="dxa"/>
            <w:tcBorders>
              <w:top w:val="nil"/>
              <w:left w:val="nil"/>
              <w:bottom w:val="single" w:sz="4" w:space="0" w:color="auto"/>
              <w:right w:val="single" w:sz="4" w:space="0" w:color="auto"/>
            </w:tcBorders>
            <w:shd w:val="clear" w:color="auto" w:fill="auto"/>
            <w:noWrap/>
            <w:vAlign w:val="bottom"/>
            <w:hideMark/>
          </w:tcPr>
          <w:p w14:paraId="33C0F31A" w14:textId="77777777" w:rsidR="003F50BC" w:rsidRPr="00D26A93" w:rsidRDefault="003F50BC" w:rsidP="00190652">
            <w:pPr>
              <w:spacing w:before="120" w:after="120"/>
              <w:jc w:val="center"/>
              <w:rPr>
                <w:rFonts w:cs="Arial"/>
                <w:b/>
                <w:bCs/>
              </w:rPr>
            </w:pPr>
            <w:r w:rsidRPr="00D26A93">
              <w:rPr>
                <w:rFonts w:cs="Arial"/>
                <w:b/>
                <w:bCs/>
              </w:rPr>
              <w:t>5,874,343</w:t>
            </w:r>
          </w:p>
        </w:tc>
        <w:tc>
          <w:tcPr>
            <w:tcW w:w="1470" w:type="dxa"/>
            <w:tcBorders>
              <w:top w:val="nil"/>
              <w:left w:val="nil"/>
              <w:bottom w:val="single" w:sz="4" w:space="0" w:color="auto"/>
              <w:right w:val="single" w:sz="4" w:space="0" w:color="auto"/>
            </w:tcBorders>
            <w:shd w:val="clear" w:color="auto" w:fill="auto"/>
            <w:noWrap/>
            <w:vAlign w:val="bottom"/>
            <w:hideMark/>
          </w:tcPr>
          <w:p w14:paraId="0C3AF774" w14:textId="77777777" w:rsidR="003F50BC" w:rsidRPr="00D26A93" w:rsidRDefault="003F50BC" w:rsidP="00190652">
            <w:pPr>
              <w:spacing w:before="120" w:after="120"/>
              <w:jc w:val="center"/>
              <w:rPr>
                <w:rFonts w:cs="Arial"/>
                <w:b/>
                <w:bCs/>
              </w:rPr>
            </w:pPr>
            <w:r w:rsidRPr="00D26A93">
              <w:rPr>
                <w:rFonts w:cs="Arial"/>
                <w:b/>
                <w:bCs/>
              </w:rPr>
              <w:t>4,638,319</w:t>
            </w:r>
          </w:p>
        </w:tc>
        <w:tc>
          <w:tcPr>
            <w:tcW w:w="1470" w:type="dxa"/>
            <w:tcBorders>
              <w:top w:val="nil"/>
              <w:left w:val="nil"/>
              <w:bottom w:val="single" w:sz="4" w:space="0" w:color="auto"/>
              <w:right w:val="single" w:sz="4" w:space="0" w:color="auto"/>
            </w:tcBorders>
            <w:shd w:val="clear" w:color="auto" w:fill="auto"/>
            <w:noWrap/>
            <w:vAlign w:val="bottom"/>
            <w:hideMark/>
          </w:tcPr>
          <w:p w14:paraId="4D33C9CC" w14:textId="22ECBAFD" w:rsidR="003F50BC" w:rsidRPr="00D26A93" w:rsidRDefault="00866A3E" w:rsidP="00190652">
            <w:pPr>
              <w:spacing w:before="120" w:after="120"/>
              <w:jc w:val="center"/>
              <w:rPr>
                <w:rFonts w:cs="Arial"/>
                <w:b/>
                <w:bCs/>
              </w:rPr>
            </w:pPr>
            <w:r>
              <w:rPr>
                <w:rFonts w:cs="Arial"/>
                <w:b/>
                <w:bCs/>
              </w:rPr>
              <w:t>59.7</w:t>
            </w:r>
            <w:r w:rsidR="003F50BC" w:rsidRPr="00D26A93">
              <w:rPr>
                <w:rFonts w:cs="Arial"/>
                <w:b/>
                <w:bCs/>
              </w:rPr>
              <w:t>%</w:t>
            </w:r>
          </w:p>
        </w:tc>
        <w:tc>
          <w:tcPr>
            <w:tcW w:w="1460" w:type="dxa"/>
            <w:tcBorders>
              <w:top w:val="nil"/>
              <w:left w:val="nil"/>
              <w:bottom w:val="single" w:sz="4" w:space="0" w:color="auto"/>
              <w:right w:val="single" w:sz="4" w:space="0" w:color="auto"/>
            </w:tcBorders>
            <w:shd w:val="clear" w:color="auto" w:fill="auto"/>
            <w:noWrap/>
            <w:vAlign w:val="bottom"/>
            <w:hideMark/>
          </w:tcPr>
          <w:p w14:paraId="56D17AD6" w14:textId="77777777" w:rsidR="003F50BC" w:rsidRPr="00D26A93" w:rsidRDefault="003F50BC" w:rsidP="00190652">
            <w:pPr>
              <w:spacing w:before="120" w:after="120"/>
              <w:jc w:val="center"/>
              <w:rPr>
                <w:rFonts w:cs="Arial"/>
                <w:b/>
                <w:bCs/>
              </w:rPr>
            </w:pPr>
            <w:r w:rsidRPr="00D26A93">
              <w:rPr>
                <w:rFonts w:cs="Arial"/>
                <w:b/>
                <w:bCs/>
              </w:rPr>
              <w:t>277,995.7</w:t>
            </w:r>
          </w:p>
        </w:tc>
      </w:tr>
    </w:tbl>
    <w:p w14:paraId="01453C3D" w14:textId="77777777" w:rsidR="003F50BC" w:rsidRPr="00D26A93" w:rsidRDefault="003F50BC" w:rsidP="00B25530">
      <w:pPr>
        <w:spacing w:before="240" w:after="480"/>
        <w:rPr>
          <w:rFonts w:cs="Arial"/>
          <w:b/>
          <w:bCs/>
          <w:lang w:val="en"/>
        </w:rPr>
      </w:pPr>
      <w:r w:rsidRPr="00D26A93">
        <w:rPr>
          <w:rFonts w:cs="Arial"/>
          <w:lang w:val="en"/>
        </w:rPr>
        <w:t xml:space="preserve">Table 4a displays California’s school data divided into quartiles based on the enrollment of SED students. Quartile 1 includes schools with the lowest percentage of SED students and Quartile 4 includes schools with the highest percentage of SED students. The final column includes the number of FTEs in each quartile. </w:t>
      </w:r>
    </w:p>
    <w:p w14:paraId="5824A31C" w14:textId="65CB13FB" w:rsidR="003F50BC" w:rsidRPr="00D26A93" w:rsidRDefault="003F50BC" w:rsidP="00643C46">
      <w:pPr>
        <w:pStyle w:val="Heading4"/>
        <w:spacing w:before="0"/>
        <w:rPr>
          <w:rFonts w:cs="Arial"/>
        </w:rPr>
      </w:pPr>
      <w:r w:rsidRPr="00D26A93">
        <w:rPr>
          <w:rFonts w:cs="Arial"/>
        </w:rPr>
        <w:t xml:space="preserve">Table 4b: </w:t>
      </w:r>
      <w:r w:rsidRPr="00D26A93">
        <w:rPr>
          <w:rFonts w:cs="Arial"/>
          <w:lang w:val="en"/>
        </w:rPr>
        <w:t xml:space="preserve">Socioeconomically Disadvantaged Quartiles: </w:t>
      </w:r>
      <w:bookmarkStart w:id="2" w:name="_Hlk169778754"/>
      <w:r w:rsidRPr="00D26A93">
        <w:rPr>
          <w:rFonts w:cs="Arial"/>
          <w:lang w:val="en"/>
        </w:rPr>
        <w:t>Inexperienced, Clear, Intern, Ineffective</w:t>
      </w:r>
      <w:r w:rsidR="00EA56DF">
        <w:rPr>
          <w:rFonts w:cs="Arial"/>
          <w:lang w:val="en"/>
        </w:rPr>
        <w:t>,</w:t>
      </w:r>
      <w:r w:rsidRPr="00D26A93">
        <w:rPr>
          <w:rFonts w:cs="Arial"/>
          <w:lang w:val="en"/>
        </w:rPr>
        <w:t xml:space="preserve"> and Out-of-Field Teacher Assignments</w:t>
      </w:r>
    </w:p>
    <w:tbl>
      <w:tblPr>
        <w:tblW w:w="8365" w:type="dxa"/>
        <w:tblLayout w:type="fixed"/>
        <w:tblLook w:val="04A0" w:firstRow="1" w:lastRow="0" w:firstColumn="1" w:lastColumn="0" w:noHBand="0" w:noVBand="1"/>
        <w:tblCaption w:val="Table 4b: Socioeconomically Disadvantaged Quartiles: Inexperienced, Clear, Intern, Ineffective and Out-of-Field Teacher Assignments"/>
        <w:tblDescription w:val="Table 4b includes the same SED quartiles, but includes the percentage of inexperienced, clear, intern, ineffective, and out-of-field teachers assigned to the schools in each quartile."/>
      </w:tblPr>
      <w:tblGrid>
        <w:gridCol w:w="1337"/>
        <w:gridCol w:w="1898"/>
        <w:gridCol w:w="1080"/>
        <w:gridCol w:w="1170"/>
        <w:gridCol w:w="1440"/>
        <w:gridCol w:w="1440"/>
      </w:tblGrid>
      <w:tr w:rsidR="003F50BC" w:rsidRPr="00D26A93" w14:paraId="07A12914" w14:textId="77777777" w:rsidTr="00AA7B59">
        <w:trPr>
          <w:cantSplit/>
          <w:trHeight w:val="900"/>
          <w:tblHeader/>
        </w:trPr>
        <w:tc>
          <w:tcPr>
            <w:tcW w:w="1337" w:type="dxa"/>
            <w:tcBorders>
              <w:top w:val="single" w:sz="4" w:space="0" w:color="auto"/>
              <w:left w:val="single" w:sz="4" w:space="0" w:color="auto"/>
              <w:bottom w:val="single" w:sz="4" w:space="0" w:color="auto"/>
              <w:right w:val="single" w:sz="4" w:space="0" w:color="auto"/>
            </w:tcBorders>
            <w:shd w:val="clear" w:color="000000" w:fill="D9D9D9"/>
            <w:vAlign w:val="center"/>
            <w:hideMark/>
          </w:tcPr>
          <w:bookmarkEnd w:id="2"/>
          <w:p w14:paraId="109256CC" w14:textId="77777777" w:rsidR="003F50BC" w:rsidRPr="00D26A93" w:rsidRDefault="003F50BC" w:rsidP="00190652">
            <w:pPr>
              <w:spacing w:before="120" w:after="120"/>
              <w:jc w:val="center"/>
              <w:rPr>
                <w:rFonts w:cs="Arial"/>
                <w:b/>
                <w:bCs/>
              </w:rPr>
            </w:pPr>
            <w:r w:rsidRPr="00D26A93">
              <w:rPr>
                <w:rFonts w:cs="Arial"/>
                <w:b/>
                <w:bCs/>
              </w:rPr>
              <w:t>SED Quartile Rank</w:t>
            </w:r>
          </w:p>
        </w:tc>
        <w:tc>
          <w:tcPr>
            <w:tcW w:w="1898" w:type="dxa"/>
            <w:tcBorders>
              <w:top w:val="single" w:sz="4" w:space="0" w:color="auto"/>
              <w:left w:val="single" w:sz="4" w:space="0" w:color="auto"/>
              <w:bottom w:val="single" w:sz="4" w:space="0" w:color="auto"/>
              <w:right w:val="single" w:sz="4" w:space="0" w:color="auto"/>
            </w:tcBorders>
            <w:shd w:val="clear" w:color="000000" w:fill="D9D9D9"/>
            <w:vAlign w:val="center"/>
          </w:tcPr>
          <w:p w14:paraId="59188515" w14:textId="77777777" w:rsidR="003F50BC" w:rsidRPr="00D26A93" w:rsidRDefault="003F50BC" w:rsidP="00190652">
            <w:pPr>
              <w:spacing w:before="120" w:after="120"/>
              <w:jc w:val="center"/>
              <w:rPr>
                <w:rFonts w:cs="Arial"/>
                <w:b/>
                <w:bCs/>
              </w:rPr>
            </w:pPr>
            <w:r w:rsidRPr="00D26A93">
              <w:rPr>
                <w:rFonts w:cs="Arial"/>
                <w:b/>
                <w:bCs/>
              </w:rPr>
              <w:t>Inexperienced FTE (%)</w:t>
            </w:r>
          </w:p>
        </w:tc>
        <w:tc>
          <w:tcPr>
            <w:tcW w:w="1080" w:type="dxa"/>
            <w:tcBorders>
              <w:top w:val="single" w:sz="4" w:space="0" w:color="auto"/>
              <w:left w:val="single" w:sz="4" w:space="0" w:color="auto"/>
              <w:bottom w:val="single" w:sz="4" w:space="0" w:color="auto"/>
              <w:right w:val="single" w:sz="4" w:space="0" w:color="auto"/>
            </w:tcBorders>
            <w:shd w:val="clear" w:color="000000" w:fill="D9D9D9"/>
            <w:vAlign w:val="center"/>
          </w:tcPr>
          <w:p w14:paraId="1CB66094" w14:textId="77777777" w:rsidR="003F50BC" w:rsidRPr="00D26A93" w:rsidRDefault="003F50BC" w:rsidP="00190652">
            <w:pPr>
              <w:spacing w:before="120" w:after="120"/>
              <w:jc w:val="center"/>
              <w:rPr>
                <w:rFonts w:cs="Arial"/>
                <w:b/>
                <w:bCs/>
              </w:rPr>
            </w:pPr>
            <w:r w:rsidRPr="00D26A93">
              <w:rPr>
                <w:rFonts w:cs="Arial"/>
                <w:b/>
                <w:bCs/>
              </w:rPr>
              <w:t xml:space="preserve">Clear </w:t>
            </w:r>
            <w:r w:rsidRPr="00D26A93">
              <w:rPr>
                <w:rFonts w:cs="Arial"/>
                <w:b/>
                <w:bCs/>
              </w:rPr>
              <w:br/>
              <w:t>FTE (%)</w:t>
            </w:r>
          </w:p>
        </w:tc>
        <w:tc>
          <w:tcPr>
            <w:tcW w:w="1170" w:type="dxa"/>
            <w:tcBorders>
              <w:top w:val="single" w:sz="4" w:space="0" w:color="auto"/>
              <w:left w:val="single" w:sz="4" w:space="0" w:color="auto"/>
              <w:bottom w:val="single" w:sz="4" w:space="0" w:color="auto"/>
              <w:right w:val="single" w:sz="4" w:space="0" w:color="auto"/>
            </w:tcBorders>
            <w:shd w:val="clear" w:color="000000" w:fill="D9D9D9"/>
            <w:vAlign w:val="center"/>
          </w:tcPr>
          <w:p w14:paraId="1BA3E177" w14:textId="77777777" w:rsidR="003F50BC" w:rsidRPr="00D26A93" w:rsidRDefault="003F50BC" w:rsidP="00190652">
            <w:pPr>
              <w:spacing w:before="120" w:after="120"/>
              <w:jc w:val="center"/>
              <w:rPr>
                <w:rFonts w:cs="Arial"/>
                <w:b/>
                <w:bCs/>
              </w:rPr>
            </w:pPr>
            <w:r w:rsidRPr="00D26A93">
              <w:rPr>
                <w:rFonts w:cs="Arial"/>
                <w:b/>
                <w:bCs/>
              </w:rPr>
              <w:t>Intern</w:t>
            </w:r>
            <w:r w:rsidRPr="00D26A93">
              <w:rPr>
                <w:rFonts w:cs="Arial"/>
                <w:b/>
                <w:bCs/>
              </w:rPr>
              <w:br/>
              <w:t>FTE (%)</w:t>
            </w:r>
          </w:p>
        </w:tc>
        <w:tc>
          <w:tcPr>
            <w:tcW w:w="1440" w:type="dxa"/>
            <w:tcBorders>
              <w:top w:val="single" w:sz="4" w:space="0" w:color="auto"/>
              <w:left w:val="single" w:sz="4" w:space="0" w:color="auto"/>
              <w:bottom w:val="single" w:sz="4" w:space="0" w:color="auto"/>
              <w:right w:val="single" w:sz="4" w:space="0" w:color="auto"/>
            </w:tcBorders>
            <w:shd w:val="clear" w:color="000000" w:fill="D9D9D9"/>
            <w:vAlign w:val="center"/>
          </w:tcPr>
          <w:p w14:paraId="790D4195" w14:textId="77777777" w:rsidR="003F50BC" w:rsidRPr="00D26A93" w:rsidRDefault="003F50BC" w:rsidP="00190652">
            <w:pPr>
              <w:spacing w:before="120" w:after="120"/>
              <w:jc w:val="center"/>
              <w:rPr>
                <w:rFonts w:cs="Arial"/>
                <w:b/>
                <w:bCs/>
              </w:rPr>
            </w:pPr>
            <w:r w:rsidRPr="00D26A93">
              <w:rPr>
                <w:rFonts w:cs="Arial"/>
                <w:b/>
                <w:bCs/>
              </w:rPr>
              <w:t xml:space="preserve">Ineffective </w:t>
            </w:r>
            <w:r w:rsidRPr="00D26A93">
              <w:rPr>
                <w:rFonts w:cs="Arial"/>
                <w:b/>
                <w:bCs/>
              </w:rPr>
              <w:br/>
              <w:t>FTE (%)</w:t>
            </w:r>
          </w:p>
        </w:tc>
        <w:tc>
          <w:tcPr>
            <w:tcW w:w="1440" w:type="dxa"/>
            <w:tcBorders>
              <w:top w:val="single" w:sz="4" w:space="0" w:color="auto"/>
              <w:left w:val="single" w:sz="4" w:space="0" w:color="auto"/>
              <w:bottom w:val="single" w:sz="4" w:space="0" w:color="auto"/>
              <w:right w:val="single" w:sz="4" w:space="0" w:color="auto"/>
            </w:tcBorders>
            <w:shd w:val="clear" w:color="000000" w:fill="D9D9D9"/>
            <w:vAlign w:val="center"/>
          </w:tcPr>
          <w:p w14:paraId="0C99E98B" w14:textId="77777777" w:rsidR="003F50BC" w:rsidRPr="00D26A93" w:rsidRDefault="003F50BC" w:rsidP="00190652">
            <w:pPr>
              <w:spacing w:before="120" w:after="120"/>
              <w:jc w:val="center"/>
              <w:rPr>
                <w:rFonts w:cs="Arial"/>
                <w:b/>
                <w:bCs/>
              </w:rPr>
            </w:pPr>
            <w:r w:rsidRPr="00D26A93">
              <w:rPr>
                <w:rFonts w:cs="Arial"/>
                <w:b/>
                <w:bCs/>
              </w:rPr>
              <w:t>Out of Field</w:t>
            </w:r>
            <w:r w:rsidRPr="00D26A93">
              <w:rPr>
                <w:rFonts w:cs="Arial"/>
                <w:b/>
                <w:bCs/>
              </w:rPr>
              <w:br/>
              <w:t>FTE (%)</w:t>
            </w:r>
          </w:p>
        </w:tc>
      </w:tr>
      <w:tr w:rsidR="003F50BC" w:rsidRPr="00D26A93" w14:paraId="43A0FEB9" w14:textId="77777777" w:rsidTr="00AA7B59">
        <w:trPr>
          <w:cantSplit/>
          <w:trHeight w:val="280"/>
          <w:tblHeader/>
        </w:trPr>
        <w:tc>
          <w:tcPr>
            <w:tcW w:w="1337" w:type="dxa"/>
            <w:tcBorders>
              <w:top w:val="nil"/>
              <w:left w:val="single" w:sz="4" w:space="0" w:color="auto"/>
              <w:bottom w:val="single" w:sz="4" w:space="0" w:color="auto"/>
              <w:right w:val="single" w:sz="4" w:space="0" w:color="auto"/>
            </w:tcBorders>
            <w:shd w:val="clear" w:color="auto" w:fill="auto"/>
            <w:noWrap/>
            <w:vAlign w:val="center"/>
            <w:hideMark/>
          </w:tcPr>
          <w:p w14:paraId="4CB1A4DA" w14:textId="77777777" w:rsidR="003F50BC" w:rsidRPr="00D26A93" w:rsidRDefault="003F50BC" w:rsidP="00190652">
            <w:pPr>
              <w:spacing w:before="120" w:after="120"/>
              <w:jc w:val="center"/>
              <w:rPr>
                <w:rFonts w:cs="Arial"/>
              </w:rPr>
            </w:pPr>
            <w:r w:rsidRPr="00D26A93">
              <w:rPr>
                <w:rFonts w:cs="Arial"/>
              </w:rPr>
              <w:t>1</w:t>
            </w:r>
          </w:p>
        </w:tc>
        <w:tc>
          <w:tcPr>
            <w:tcW w:w="1898" w:type="dxa"/>
            <w:tcBorders>
              <w:top w:val="nil"/>
              <w:left w:val="single" w:sz="4" w:space="0" w:color="auto"/>
              <w:bottom w:val="single" w:sz="4" w:space="0" w:color="auto"/>
              <w:right w:val="single" w:sz="4" w:space="0" w:color="auto"/>
            </w:tcBorders>
            <w:vAlign w:val="bottom"/>
          </w:tcPr>
          <w:p w14:paraId="560E2F10" w14:textId="77777777" w:rsidR="003F50BC" w:rsidRPr="00D26A93" w:rsidRDefault="003F50BC" w:rsidP="00190652">
            <w:pPr>
              <w:spacing w:before="120" w:after="120"/>
              <w:jc w:val="center"/>
              <w:rPr>
                <w:rFonts w:cs="Arial"/>
              </w:rPr>
            </w:pPr>
            <w:r w:rsidRPr="00D26A93">
              <w:rPr>
                <w:rFonts w:cs="Arial"/>
              </w:rPr>
              <w:t>10.2%</w:t>
            </w:r>
          </w:p>
        </w:tc>
        <w:tc>
          <w:tcPr>
            <w:tcW w:w="1080" w:type="dxa"/>
            <w:tcBorders>
              <w:top w:val="nil"/>
              <w:left w:val="single" w:sz="4" w:space="0" w:color="auto"/>
              <w:bottom w:val="single" w:sz="4" w:space="0" w:color="auto"/>
              <w:right w:val="single" w:sz="4" w:space="0" w:color="auto"/>
            </w:tcBorders>
            <w:vAlign w:val="bottom"/>
          </w:tcPr>
          <w:p w14:paraId="793059EB" w14:textId="77777777" w:rsidR="003F50BC" w:rsidRPr="00D26A93" w:rsidRDefault="003F50BC" w:rsidP="00190652">
            <w:pPr>
              <w:spacing w:before="120" w:after="120"/>
              <w:jc w:val="center"/>
              <w:rPr>
                <w:rFonts w:cs="Arial"/>
              </w:rPr>
            </w:pPr>
            <w:r w:rsidRPr="00D26A93">
              <w:rPr>
                <w:rFonts w:cs="Arial"/>
              </w:rPr>
              <w:t>87.7%</w:t>
            </w:r>
          </w:p>
        </w:tc>
        <w:tc>
          <w:tcPr>
            <w:tcW w:w="1170" w:type="dxa"/>
            <w:tcBorders>
              <w:top w:val="nil"/>
              <w:left w:val="single" w:sz="4" w:space="0" w:color="auto"/>
              <w:bottom w:val="single" w:sz="4" w:space="0" w:color="auto"/>
              <w:right w:val="single" w:sz="4" w:space="0" w:color="auto"/>
            </w:tcBorders>
            <w:vAlign w:val="bottom"/>
          </w:tcPr>
          <w:p w14:paraId="4EF675CB" w14:textId="77777777" w:rsidR="003F50BC" w:rsidRPr="00D26A93" w:rsidRDefault="003F50BC" w:rsidP="00190652">
            <w:pPr>
              <w:spacing w:before="120" w:after="120"/>
              <w:jc w:val="center"/>
              <w:rPr>
                <w:rFonts w:cs="Arial"/>
              </w:rPr>
            </w:pPr>
            <w:r w:rsidRPr="00D26A93">
              <w:rPr>
                <w:rFonts w:cs="Arial"/>
              </w:rPr>
              <w:t>0.8%</w:t>
            </w:r>
          </w:p>
        </w:tc>
        <w:tc>
          <w:tcPr>
            <w:tcW w:w="1440" w:type="dxa"/>
            <w:tcBorders>
              <w:top w:val="nil"/>
              <w:left w:val="single" w:sz="4" w:space="0" w:color="auto"/>
              <w:bottom w:val="single" w:sz="4" w:space="0" w:color="auto"/>
              <w:right w:val="single" w:sz="4" w:space="0" w:color="auto"/>
            </w:tcBorders>
            <w:vAlign w:val="bottom"/>
          </w:tcPr>
          <w:p w14:paraId="6011DC76" w14:textId="77777777" w:rsidR="003F50BC" w:rsidRPr="00D26A93" w:rsidRDefault="003F50BC" w:rsidP="00190652">
            <w:pPr>
              <w:spacing w:before="120" w:after="120"/>
              <w:jc w:val="center"/>
              <w:rPr>
                <w:rFonts w:cs="Arial"/>
              </w:rPr>
            </w:pPr>
            <w:r w:rsidRPr="00D26A93">
              <w:rPr>
                <w:rFonts w:cs="Arial"/>
              </w:rPr>
              <w:t>2.8%</w:t>
            </w:r>
          </w:p>
        </w:tc>
        <w:tc>
          <w:tcPr>
            <w:tcW w:w="1440" w:type="dxa"/>
            <w:tcBorders>
              <w:top w:val="nil"/>
              <w:left w:val="single" w:sz="4" w:space="0" w:color="auto"/>
              <w:bottom w:val="single" w:sz="4" w:space="0" w:color="auto"/>
              <w:right w:val="single" w:sz="4" w:space="0" w:color="auto"/>
            </w:tcBorders>
            <w:vAlign w:val="bottom"/>
          </w:tcPr>
          <w:p w14:paraId="28439467" w14:textId="77777777" w:rsidR="003F50BC" w:rsidRPr="00D26A93" w:rsidRDefault="003F50BC" w:rsidP="00190652">
            <w:pPr>
              <w:spacing w:before="120" w:after="120"/>
              <w:jc w:val="center"/>
              <w:rPr>
                <w:rFonts w:cs="Arial"/>
              </w:rPr>
            </w:pPr>
            <w:r w:rsidRPr="00D26A93">
              <w:rPr>
                <w:rFonts w:cs="Arial"/>
              </w:rPr>
              <w:t>3.6%</w:t>
            </w:r>
          </w:p>
        </w:tc>
      </w:tr>
      <w:tr w:rsidR="003F50BC" w:rsidRPr="00D26A93" w14:paraId="731C665C" w14:textId="77777777" w:rsidTr="00AA7B59">
        <w:trPr>
          <w:cantSplit/>
          <w:trHeight w:val="280"/>
          <w:tblHeader/>
        </w:trPr>
        <w:tc>
          <w:tcPr>
            <w:tcW w:w="1337" w:type="dxa"/>
            <w:tcBorders>
              <w:top w:val="nil"/>
              <w:left w:val="single" w:sz="4" w:space="0" w:color="auto"/>
              <w:bottom w:val="single" w:sz="4" w:space="0" w:color="auto"/>
              <w:right w:val="single" w:sz="4" w:space="0" w:color="auto"/>
            </w:tcBorders>
            <w:shd w:val="clear" w:color="auto" w:fill="auto"/>
            <w:noWrap/>
            <w:vAlign w:val="center"/>
            <w:hideMark/>
          </w:tcPr>
          <w:p w14:paraId="1258C7BE" w14:textId="77777777" w:rsidR="003F50BC" w:rsidRPr="00D26A93" w:rsidRDefault="003F50BC" w:rsidP="00190652">
            <w:pPr>
              <w:spacing w:before="120" w:after="120"/>
              <w:jc w:val="center"/>
              <w:rPr>
                <w:rFonts w:cs="Arial"/>
              </w:rPr>
            </w:pPr>
            <w:r w:rsidRPr="00D26A93">
              <w:rPr>
                <w:rFonts w:cs="Arial"/>
              </w:rPr>
              <w:t>2</w:t>
            </w:r>
          </w:p>
        </w:tc>
        <w:tc>
          <w:tcPr>
            <w:tcW w:w="1898" w:type="dxa"/>
            <w:tcBorders>
              <w:top w:val="nil"/>
              <w:left w:val="single" w:sz="4" w:space="0" w:color="auto"/>
              <w:bottom w:val="single" w:sz="4" w:space="0" w:color="auto"/>
              <w:right w:val="single" w:sz="4" w:space="0" w:color="auto"/>
            </w:tcBorders>
            <w:vAlign w:val="bottom"/>
          </w:tcPr>
          <w:p w14:paraId="72F370E7" w14:textId="77777777" w:rsidR="003F50BC" w:rsidRPr="00D26A93" w:rsidRDefault="003F50BC" w:rsidP="00190652">
            <w:pPr>
              <w:spacing w:before="120" w:after="120"/>
              <w:jc w:val="center"/>
              <w:rPr>
                <w:rFonts w:cs="Arial"/>
              </w:rPr>
            </w:pPr>
            <w:r w:rsidRPr="00D26A93">
              <w:rPr>
                <w:rFonts w:cs="Arial"/>
              </w:rPr>
              <w:t>13.0%</w:t>
            </w:r>
          </w:p>
        </w:tc>
        <w:tc>
          <w:tcPr>
            <w:tcW w:w="1080" w:type="dxa"/>
            <w:tcBorders>
              <w:top w:val="nil"/>
              <w:left w:val="single" w:sz="4" w:space="0" w:color="auto"/>
              <w:bottom w:val="single" w:sz="4" w:space="0" w:color="auto"/>
              <w:right w:val="single" w:sz="4" w:space="0" w:color="auto"/>
            </w:tcBorders>
            <w:vAlign w:val="bottom"/>
          </w:tcPr>
          <w:p w14:paraId="003F468F" w14:textId="77777777" w:rsidR="003F50BC" w:rsidRPr="00D26A93" w:rsidRDefault="003F50BC" w:rsidP="00190652">
            <w:pPr>
              <w:spacing w:before="120" w:after="120"/>
              <w:jc w:val="center"/>
              <w:rPr>
                <w:rFonts w:cs="Arial"/>
              </w:rPr>
            </w:pPr>
            <w:r w:rsidRPr="00D26A93">
              <w:rPr>
                <w:rFonts w:cs="Arial"/>
              </w:rPr>
              <w:t>83.0%</w:t>
            </w:r>
          </w:p>
        </w:tc>
        <w:tc>
          <w:tcPr>
            <w:tcW w:w="1170" w:type="dxa"/>
            <w:tcBorders>
              <w:top w:val="nil"/>
              <w:left w:val="single" w:sz="4" w:space="0" w:color="auto"/>
              <w:bottom w:val="single" w:sz="4" w:space="0" w:color="auto"/>
              <w:right w:val="single" w:sz="4" w:space="0" w:color="auto"/>
            </w:tcBorders>
            <w:vAlign w:val="bottom"/>
          </w:tcPr>
          <w:p w14:paraId="16827A26" w14:textId="77777777" w:rsidR="003F50BC" w:rsidRPr="00D26A93" w:rsidRDefault="003F50BC" w:rsidP="00190652">
            <w:pPr>
              <w:spacing w:before="120" w:after="120"/>
              <w:jc w:val="center"/>
              <w:rPr>
                <w:rFonts w:cs="Arial"/>
              </w:rPr>
            </w:pPr>
            <w:r w:rsidRPr="00D26A93">
              <w:rPr>
                <w:rFonts w:cs="Arial"/>
              </w:rPr>
              <w:t>1.6%</w:t>
            </w:r>
          </w:p>
        </w:tc>
        <w:tc>
          <w:tcPr>
            <w:tcW w:w="1440" w:type="dxa"/>
            <w:tcBorders>
              <w:top w:val="nil"/>
              <w:left w:val="single" w:sz="4" w:space="0" w:color="auto"/>
              <w:bottom w:val="single" w:sz="4" w:space="0" w:color="auto"/>
              <w:right w:val="single" w:sz="4" w:space="0" w:color="auto"/>
            </w:tcBorders>
            <w:vAlign w:val="bottom"/>
          </w:tcPr>
          <w:p w14:paraId="2694BF00" w14:textId="77777777" w:rsidR="003F50BC" w:rsidRPr="00D26A93" w:rsidRDefault="003F50BC" w:rsidP="00190652">
            <w:pPr>
              <w:spacing w:before="120" w:after="120"/>
              <w:jc w:val="center"/>
              <w:rPr>
                <w:rFonts w:cs="Arial"/>
              </w:rPr>
            </w:pPr>
            <w:r w:rsidRPr="00D26A93">
              <w:rPr>
                <w:rFonts w:cs="Arial"/>
              </w:rPr>
              <w:t>4.3%</w:t>
            </w:r>
          </w:p>
        </w:tc>
        <w:tc>
          <w:tcPr>
            <w:tcW w:w="1440" w:type="dxa"/>
            <w:tcBorders>
              <w:top w:val="nil"/>
              <w:left w:val="single" w:sz="4" w:space="0" w:color="auto"/>
              <w:bottom w:val="single" w:sz="4" w:space="0" w:color="auto"/>
              <w:right w:val="single" w:sz="4" w:space="0" w:color="auto"/>
            </w:tcBorders>
            <w:vAlign w:val="bottom"/>
          </w:tcPr>
          <w:p w14:paraId="337037E0" w14:textId="77777777" w:rsidR="003F50BC" w:rsidRPr="00D26A93" w:rsidRDefault="003F50BC" w:rsidP="00190652">
            <w:pPr>
              <w:spacing w:before="120" w:after="120"/>
              <w:jc w:val="center"/>
              <w:rPr>
                <w:rFonts w:cs="Arial"/>
              </w:rPr>
            </w:pPr>
            <w:r w:rsidRPr="00D26A93">
              <w:rPr>
                <w:rFonts w:cs="Arial"/>
              </w:rPr>
              <w:t>4.9%</w:t>
            </w:r>
          </w:p>
        </w:tc>
      </w:tr>
      <w:tr w:rsidR="003F50BC" w:rsidRPr="00D26A93" w14:paraId="0F6EE2C4" w14:textId="77777777" w:rsidTr="00AA7B59">
        <w:trPr>
          <w:cantSplit/>
          <w:trHeight w:val="280"/>
          <w:tblHeader/>
        </w:trPr>
        <w:tc>
          <w:tcPr>
            <w:tcW w:w="1337" w:type="dxa"/>
            <w:tcBorders>
              <w:top w:val="nil"/>
              <w:left w:val="single" w:sz="4" w:space="0" w:color="auto"/>
              <w:bottom w:val="single" w:sz="4" w:space="0" w:color="auto"/>
              <w:right w:val="single" w:sz="4" w:space="0" w:color="auto"/>
            </w:tcBorders>
            <w:shd w:val="clear" w:color="auto" w:fill="auto"/>
            <w:noWrap/>
            <w:vAlign w:val="center"/>
            <w:hideMark/>
          </w:tcPr>
          <w:p w14:paraId="238FDD65" w14:textId="77777777" w:rsidR="003F50BC" w:rsidRPr="00D26A93" w:rsidRDefault="003F50BC" w:rsidP="00190652">
            <w:pPr>
              <w:spacing w:before="120" w:after="120"/>
              <w:jc w:val="center"/>
              <w:rPr>
                <w:rFonts w:cs="Arial"/>
              </w:rPr>
            </w:pPr>
            <w:r w:rsidRPr="00D26A93">
              <w:rPr>
                <w:rFonts w:cs="Arial"/>
              </w:rPr>
              <w:t>3</w:t>
            </w:r>
          </w:p>
        </w:tc>
        <w:tc>
          <w:tcPr>
            <w:tcW w:w="1898" w:type="dxa"/>
            <w:tcBorders>
              <w:top w:val="nil"/>
              <w:left w:val="single" w:sz="4" w:space="0" w:color="auto"/>
              <w:bottom w:val="single" w:sz="4" w:space="0" w:color="auto"/>
              <w:right w:val="single" w:sz="4" w:space="0" w:color="auto"/>
            </w:tcBorders>
            <w:vAlign w:val="bottom"/>
          </w:tcPr>
          <w:p w14:paraId="612D3CD6" w14:textId="77777777" w:rsidR="003F50BC" w:rsidRPr="00D26A93" w:rsidRDefault="003F50BC" w:rsidP="00190652">
            <w:pPr>
              <w:spacing w:before="120" w:after="120"/>
              <w:jc w:val="center"/>
              <w:rPr>
                <w:rFonts w:cs="Arial"/>
              </w:rPr>
            </w:pPr>
            <w:r w:rsidRPr="00D26A93">
              <w:rPr>
                <w:rFonts w:cs="Arial"/>
              </w:rPr>
              <w:t>13.4%</w:t>
            </w:r>
          </w:p>
        </w:tc>
        <w:tc>
          <w:tcPr>
            <w:tcW w:w="1080" w:type="dxa"/>
            <w:tcBorders>
              <w:top w:val="nil"/>
              <w:left w:val="single" w:sz="4" w:space="0" w:color="auto"/>
              <w:bottom w:val="single" w:sz="4" w:space="0" w:color="auto"/>
              <w:right w:val="single" w:sz="4" w:space="0" w:color="auto"/>
            </w:tcBorders>
            <w:vAlign w:val="bottom"/>
          </w:tcPr>
          <w:p w14:paraId="1F83D315" w14:textId="77777777" w:rsidR="003F50BC" w:rsidRPr="00D26A93" w:rsidRDefault="003F50BC" w:rsidP="00190652">
            <w:pPr>
              <w:spacing w:before="120" w:after="120"/>
              <w:jc w:val="center"/>
              <w:rPr>
                <w:rFonts w:cs="Arial"/>
              </w:rPr>
            </w:pPr>
            <w:r w:rsidRPr="00D26A93">
              <w:rPr>
                <w:rFonts w:cs="Arial"/>
              </w:rPr>
              <w:t>82.3%</w:t>
            </w:r>
          </w:p>
        </w:tc>
        <w:tc>
          <w:tcPr>
            <w:tcW w:w="1170" w:type="dxa"/>
            <w:tcBorders>
              <w:top w:val="nil"/>
              <w:left w:val="single" w:sz="4" w:space="0" w:color="auto"/>
              <w:bottom w:val="single" w:sz="4" w:space="0" w:color="auto"/>
              <w:right w:val="single" w:sz="4" w:space="0" w:color="auto"/>
            </w:tcBorders>
            <w:vAlign w:val="bottom"/>
          </w:tcPr>
          <w:p w14:paraId="1F459157" w14:textId="77777777" w:rsidR="003F50BC" w:rsidRPr="00D26A93" w:rsidRDefault="003F50BC" w:rsidP="00190652">
            <w:pPr>
              <w:spacing w:before="120" w:after="120"/>
              <w:jc w:val="center"/>
              <w:rPr>
                <w:rFonts w:cs="Arial"/>
              </w:rPr>
            </w:pPr>
            <w:r w:rsidRPr="00D26A93">
              <w:rPr>
                <w:rFonts w:cs="Arial"/>
              </w:rPr>
              <w:t>2.0%</w:t>
            </w:r>
          </w:p>
        </w:tc>
        <w:tc>
          <w:tcPr>
            <w:tcW w:w="1440" w:type="dxa"/>
            <w:tcBorders>
              <w:top w:val="nil"/>
              <w:left w:val="single" w:sz="4" w:space="0" w:color="auto"/>
              <w:bottom w:val="single" w:sz="4" w:space="0" w:color="auto"/>
              <w:right w:val="single" w:sz="4" w:space="0" w:color="auto"/>
            </w:tcBorders>
            <w:vAlign w:val="bottom"/>
          </w:tcPr>
          <w:p w14:paraId="4AE57FBC" w14:textId="77777777" w:rsidR="003F50BC" w:rsidRPr="00D26A93" w:rsidRDefault="003F50BC" w:rsidP="00190652">
            <w:pPr>
              <w:spacing w:before="120" w:after="120"/>
              <w:jc w:val="center"/>
              <w:rPr>
                <w:rFonts w:cs="Arial"/>
              </w:rPr>
            </w:pPr>
            <w:r w:rsidRPr="00D26A93">
              <w:rPr>
                <w:rFonts w:cs="Arial"/>
              </w:rPr>
              <w:t>5.1%</w:t>
            </w:r>
          </w:p>
        </w:tc>
        <w:tc>
          <w:tcPr>
            <w:tcW w:w="1440" w:type="dxa"/>
            <w:tcBorders>
              <w:top w:val="nil"/>
              <w:left w:val="single" w:sz="4" w:space="0" w:color="auto"/>
              <w:bottom w:val="single" w:sz="4" w:space="0" w:color="auto"/>
              <w:right w:val="single" w:sz="4" w:space="0" w:color="auto"/>
            </w:tcBorders>
            <w:vAlign w:val="bottom"/>
          </w:tcPr>
          <w:p w14:paraId="616233ED" w14:textId="77777777" w:rsidR="003F50BC" w:rsidRPr="00D26A93" w:rsidRDefault="003F50BC" w:rsidP="00190652">
            <w:pPr>
              <w:spacing w:before="120" w:after="120"/>
              <w:jc w:val="center"/>
              <w:rPr>
                <w:rFonts w:cs="Arial"/>
              </w:rPr>
            </w:pPr>
            <w:r w:rsidRPr="00D26A93">
              <w:rPr>
                <w:rFonts w:cs="Arial"/>
              </w:rPr>
              <w:t>4.6%</w:t>
            </w:r>
          </w:p>
        </w:tc>
      </w:tr>
      <w:tr w:rsidR="003F50BC" w:rsidRPr="00D26A93" w14:paraId="3DE86E53" w14:textId="77777777" w:rsidTr="00AA7B59">
        <w:trPr>
          <w:cantSplit/>
          <w:trHeight w:val="280"/>
          <w:tblHeader/>
        </w:trPr>
        <w:tc>
          <w:tcPr>
            <w:tcW w:w="1337" w:type="dxa"/>
            <w:tcBorders>
              <w:top w:val="nil"/>
              <w:left w:val="single" w:sz="4" w:space="0" w:color="auto"/>
              <w:bottom w:val="single" w:sz="4" w:space="0" w:color="auto"/>
              <w:right w:val="single" w:sz="4" w:space="0" w:color="auto"/>
            </w:tcBorders>
            <w:shd w:val="clear" w:color="auto" w:fill="auto"/>
            <w:noWrap/>
            <w:vAlign w:val="center"/>
            <w:hideMark/>
          </w:tcPr>
          <w:p w14:paraId="2BFE409D" w14:textId="77777777" w:rsidR="003F50BC" w:rsidRPr="00D26A93" w:rsidRDefault="003F50BC" w:rsidP="00190652">
            <w:pPr>
              <w:spacing w:before="120" w:after="120"/>
              <w:jc w:val="center"/>
              <w:rPr>
                <w:rFonts w:cs="Arial"/>
              </w:rPr>
            </w:pPr>
            <w:r w:rsidRPr="00D26A93">
              <w:rPr>
                <w:rFonts w:cs="Arial"/>
              </w:rPr>
              <w:t>4</w:t>
            </w:r>
          </w:p>
        </w:tc>
        <w:tc>
          <w:tcPr>
            <w:tcW w:w="1898" w:type="dxa"/>
            <w:tcBorders>
              <w:top w:val="nil"/>
              <w:left w:val="single" w:sz="4" w:space="0" w:color="auto"/>
              <w:bottom w:val="single" w:sz="4" w:space="0" w:color="auto"/>
              <w:right w:val="single" w:sz="4" w:space="0" w:color="auto"/>
            </w:tcBorders>
            <w:vAlign w:val="bottom"/>
          </w:tcPr>
          <w:p w14:paraId="54017E7B" w14:textId="77777777" w:rsidR="003F50BC" w:rsidRPr="00D26A93" w:rsidRDefault="003F50BC" w:rsidP="00190652">
            <w:pPr>
              <w:spacing w:before="120" w:after="120"/>
              <w:jc w:val="center"/>
              <w:rPr>
                <w:rFonts w:cs="Arial"/>
              </w:rPr>
            </w:pPr>
            <w:r w:rsidRPr="00D26A93">
              <w:rPr>
                <w:rFonts w:cs="Arial"/>
              </w:rPr>
              <w:t>13.6%</w:t>
            </w:r>
          </w:p>
        </w:tc>
        <w:tc>
          <w:tcPr>
            <w:tcW w:w="1080" w:type="dxa"/>
            <w:tcBorders>
              <w:top w:val="nil"/>
              <w:left w:val="single" w:sz="4" w:space="0" w:color="auto"/>
              <w:bottom w:val="single" w:sz="4" w:space="0" w:color="auto"/>
              <w:right w:val="single" w:sz="4" w:space="0" w:color="auto"/>
            </w:tcBorders>
            <w:vAlign w:val="bottom"/>
          </w:tcPr>
          <w:p w14:paraId="585E1E68" w14:textId="77777777" w:rsidR="003F50BC" w:rsidRPr="00D26A93" w:rsidRDefault="003F50BC" w:rsidP="00190652">
            <w:pPr>
              <w:spacing w:before="120" w:after="120"/>
              <w:jc w:val="center"/>
              <w:rPr>
                <w:rFonts w:cs="Arial"/>
              </w:rPr>
            </w:pPr>
            <w:r w:rsidRPr="00D26A93">
              <w:rPr>
                <w:rFonts w:cs="Arial"/>
              </w:rPr>
              <w:t>82.7%</w:t>
            </w:r>
          </w:p>
        </w:tc>
        <w:tc>
          <w:tcPr>
            <w:tcW w:w="1170" w:type="dxa"/>
            <w:tcBorders>
              <w:top w:val="nil"/>
              <w:left w:val="single" w:sz="4" w:space="0" w:color="auto"/>
              <w:bottom w:val="single" w:sz="4" w:space="0" w:color="auto"/>
              <w:right w:val="single" w:sz="4" w:space="0" w:color="auto"/>
            </w:tcBorders>
            <w:vAlign w:val="bottom"/>
          </w:tcPr>
          <w:p w14:paraId="2DC160F0" w14:textId="77777777" w:rsidR="003F50BC" w:rsidRPr="00D26A93" w:rsidRDefault="003F50BC" w:rsidP="00190652">
            <w:pPr>
              <w:spacing w:before="120" w:after="120"/>
              <w:jc w:val="center"/>
              <w:rPr>
                <w:rFonts w:cs="Arial"/>
              </w:rPr>
            </w:pPr>
            <w:r w:rsidRPr="00D26A93">
              <w:rPr>
                <w:rFonts w:cs="Arial"/>
              </w:rPr>
              <w:t>2.7%</w:t>
            </w:r>
          </w:p>
        </w:tc>
        <w:tc>
          <w:tcPr>
            <w:tcW w:w="1440" w:type="dxa"/>
            <w:tcBorders>
              <w:top w:val="nil"/>
              <w:left w:val="single" w:sz="4" w:space="0" w:color="auto"/>
              <w:bottom w:val="single" w:sz="4" w:space="0" w:color="auto"/>
              <w:right w:val="single" w:sz="4" w:space="0" w:color="auto"/>
            </w:tcBorders>
            <w:vAlign w:val="bottom"/>
          </w:tcPr>
          <w:p w14:paraId="6EB092E7" w14:textId="77777777" w:rsidR="003F50BC" w:rsidRPr="00D26A93" w:rsidRDefault="003F50BC" w:rsidP="00190652">
            <w:pPr>
              <w:spacing w:before="120" w:after="120"/>
              <w:jc w:val="center"/>
              <w:rPr>
                <w:rFonts w:cs="Arial"/>
              </w:rPr>
            </w:pPr>
            <w:r w:rsidRPr="00D26A93">
              <w:rPr>
                <w:rFonts w:cs="Arial"/>
              </w:rPr>
              <w:t>5.3%</w:t>
            </w:r>
          </w:p>
        </w:tc>
        <w:tc>
          <w:tcPr>
            <w:tcW w:w="1440" w:type="dxa"/>
            <w:tcBorders>
              <w:top w:val="nil"/>
              <w:left w:val="single" w:sz="4" w:space="0" w:color="auto"/>
              <w:bottom w:val="single" w:sz="4" w:space="0" w:color="auto"/>
              <w:right w:val="single" w:sz="4" w:space="0" w:color="auto"/>
            </w:tcBorders>
            <w:vAlign w:val="bottom"/>
          </w:tcPr>
          <w:p w14:paraId="07009F35" w14:textId="77777777" w:rsidR="003F50BC" w:rsidRPr="00D26A93" w:rsidRDefault="003F50BC" w:rsidP="00190652">
            <w:pPr>
              <w:spacing w:before="120" w:after="120"/>
              <w:jc w:val="center"/>
              <w:rPr>
                <w:rFonts w:cs="Arial"/>
              </w:rPr>
            </w:pPr>
            <w:r w:rsidRPr="00D26A93">
              <w:rPr>
                <w:rFonts w:cs="Arial"/>
              </w:rPr>
              <w:t>4.0%</w:t>
            </w:r>
          </w:p>
        </w:tc>
      </w:tr>
      <w:tr w:rsidR="00190652" w:rsidRPr="00D26A93" w14:paraId="47594E47" w14:textId="77777777" w:rsidTr="00AA7B59">
        <w:trPr>
          <w:cantSplit/>
          <w:trHeight w:val="280"/>
          <w:tblHeader/>
        </w:trPr>
        <w:tc>
          <w:tcPr>
            <w:tcW w:w="1337" w:type="dxa"/>
            <w:tcBorders>
              <w:top w:val="nil"/>
              <w:left w:val="single" w:sz="4" w:space="0" w:color="auto"/>
              <w:bottom w:val="single" w:sz="4" w:space="0" w:color="auto"/>
              <w:right w:val="single" w:sz="4" w:space="0" w:color="auto"/>
            </w:tcBorders>
            <w:shd w:val="clear" w:color="auto" w:fill="auto"/>
            <w:noWrap/>
            <w:vAlign w:val="center"/>
            <w:hideMark/>
          </w:tcPr>
          <w:p w14:paraId="18DD373A" w14:textId="77777777" w:rsidR="003F50BC" w:rsidRPr="00D26A93" w:rsidRDefault="003F50BC" w:rsidP="00190652">
            <w:pPr>
              <w:spacing w:before="120" w:after="120"/>
              <w:jc w:val="center"/>
              <w:rPr>
                <w:rFonts w:cs="Arial"/>
                <w:b/>
                <w:bCs/>
              </w:rPr>
            </w:pPr>
            <w:r w:rsidRPr="00D26A93">
              <w:rPr>
                <w:rFonts w:cs="Arial"/>
                <w:b/>
                <w:bCs/>
              </w:rPr>
              <w:t>Statewide</w:t>
            </w:r>
          </w:p>
        </w:tc>
        <w:tc>
          <w:tcPr>
            <w:tcW w:w="1898" w:type="dxa"/>
            <w:tcBorders>
              <w:top w:val="nil"/>
              <w:left w:val="single" w:sz="4" w:space="0" w:color="auto"/>
              <w:bottom w:val="single" w:sz="4" w:space="0" w:color="auto"/>
              <w:right w:val="single" w:sz="4" w:space="0" w:color="auto"/>
            </w:tcBorders>
            <w:shd w:val="clear" w:color="auto" w:fill="auto"/>
            <w:vAlign w:val="bottom"/>
          </w:tcPr>
          <w:p w14:paraId="799C7413" w14:textId="77777777" w:rsidR="003F50BC" w:rsidRPr="00D26A93" w:rsidRDefault="003F50BC" w:rsidP="00190652">
            <w:pPr>
              <w:spacing w:before="120" w:after="120"/>
              <w:jc w:val="center"/>
              <w:rPr>
                <w:rFonts w:cs="Arial"/>
                <w:b/>
                <w:bCs/>
              </w:rPr>
            </w:pPr>
            <w:r w:rsidRPr="00D26A93">
              <w:rPr>
                <w:rFonts w:cs="Arial"/>
                <w:b/>
                <w:bCs/>
              </w:rPr>
              <w:t>12.4%</w:t>
            </w:r>
          </w:p>
        </w:tc>
        <w:tc>
          <w:tcPr>
            <w:tcW w:w="1080" w:type="dxa"/>
            <w:tcBorders>
              <w:top w:val="nil"/>
              <w:left w:val="single" w:sz="4" w:space="0" w:color="auto"/>
              <w:bottom w:val="single" w:sz="4" w:space="0" w:color="auto"/>
              <w:right w:val="single" w:sz="4" w:space="0" w:color="auto"/>
            </w:tcBorders>
            <w:shd w:val="clear" w:color="auto" w:fill="auto"/>
            <w:vAlign w:val="bottom"/>
          </w:tcPr>
          <w:p w14:paraId="021DEC1A" w14:textId="77777777" w:rsidR="003F50BC" w:rsidRPr="00D26A93" w:rsidRDefault="003F50BC" w:rsidP="00190652">
            <w:pPr>
              <w:spacing w:before="120" w:after="120"/>
              <w:jc w:val="center"/>
              <w:rPr>
                <w:rFonts w:cs="Arial"/>
                <w:b/>
                <w:bCs/>
              </w:rPr>
            </w:pPr>
            <w:r w:rsidRPr="00D26A93">
              <w:rPr>
                <w:rFonts w:cs="Arial"/>
                <w:b/>
                <w:bCs/>
              </w:rPr>
              <w:t>84.1%</w:t>
            </w:r>
          </w:p>
        </w:tc>
        <w:tc>
          <w:tcPr>
            <w:tcW w:w="1170" w:type="dxa"/>
            <w:tcBorders>
              <w:top w:val="nil"/>
              <w:left w:val="single" w:sz="4" w:space="0" w:color="auto"/>
              <w:bottom w:val="single" w:sz="4" w:space="0" w:color="auto"/>
              <w:right w:val="single" w:sz="4" w:space="0" w:color="auto"/>
            </w:tcBorders>
            <w:shd w:val="clear" w:color="auto" w:fill="auto"/>
            <w:vAlign w:val="bottom"/>
          </w:tcPr>
          <w:p w14:paraId="50F743D6" w14:textId="77777777" w:rsidR="003F50BC" w:rsidRPr="00D26A93" w:rsidRDefault="003F50BC" w:rsidP="00190652">
            <w:pPr>
              <w:spacing w:before="120" w:after="120"/>
              <w:jc w:val="center"/>
              <w:rPr>
                <w:rFonts w:cs="Arial"/>
                <w:b/>
                <w:bCs/>
              </w:rPr>
            </w:pPr>
            <w:r w:rsidRPr="00D26A93">
              <w:rPr>
                <w:rFonts w:cs="Arial"/>
                <w:b/>
                <w:bCs/>
              </w:rPr>
              <w:t>1.7%</w:t>
            </w:r>
          </w:p>
        </w:tc>
        <w:tc>
          <w:tcPr>
            <w:tcW w:w="1440" w:type="dxa"/>
            <w:tcBorders>
              <w:top w:val="nil"/>
              <w:left w:val="single" w:sz="4" w:space="0" w:color="auto"/>
              <w:bottom w:val="single" w:sz="4" w:space="0" w:color="auto"/>
              <w:right w:val="single" w:sz="4" w:space="0" w:color="auto"/>
            </w:tcBorders>
            <w:shd w:val="clear" w:color="auto" w:fill="auto"/>
            <w:vAlign w:val="bottom"/>
          </w:tcPr>
          <w:p w14:paraId="38F250E5" w14:textId="77777777" w:rsidR="003F50BC" w:rsidRPr="00D26A93" w:rsidRDefault="003F50BC" w:rsidP="00190652">
            <w:pPr>
              <w:spacing w:before="120" w:after="120"/>
              <w:jc w:val="center"/>
              <w:rPr>
                <w:rFonts w:cs="Arial"/>
                <w:b/>
                <w:bCs/>
              </w:rPr>
            </w:pPr>
            <w:r w:rsidRPr="00D26A93">
              <w:rPr>
                <w:rFonts w:cs="Arial"/>
                <w:b/>
                <w:bCs/>
              </w:rPr>
              <w:t>4.3%</w:t>
            </w:r>
          </w:p>
        </w:tc>
        <w:tc>
          <w:tcPr>
            <w:tcW w:w="1440" w:type="dxa"/>
            <w:tcBorders>
              <w:top w:val="nil"/>
              <w:left w:val="single" w:sz="4" w:space="0" w:color="auto"/>
              <w:bottom w:val="single" w:sz="4" w:space="0" w:color="auto"/>
              <w:right w:val="single" w:sz="4" w:space="0" w:color="auto"/>
            </w:tcBorders>
            <w:shd w:val="clear" w:color="auto" w:fill="auto"/>
            <w:vAlign w:val="bottom"/>
          </w:tcPr>
          <w:p w14:paraId="43163E1A" w14:textId="77777777" w:rsidR="003F50BC" w:rsidRPr="00D26A93" w:rsidRDefault="003F50BC" w:rsidP="00190652">
            <w:pPr>
              <w:spacing w:before="120" w:after="120"/>
              <w:jc w:val="center"/>
              <w:rPr>
                <w:rFonts w:cs="Arial"/>
                <w:b/>
                <w:bCs/>
              </w:rPr>
            </w:pPr>
            <w:r w:rsidRPr="00D26A93">
              <w:rPr>
                <w:rFonts w:cs="Arial"/>
                <w:b/>
                <w:bCs/>
              </w:rPr>
              <w:t>4.3%</w:t>
            </w:r>
          </w:p>
        </w:tc>
      </w:tr>
    </w:tbl>
    <w:p w14:paraId="481CC3AC" w14:textId="4405C838" w:rsidR="003F50BC" w:rsidRPr="00D26A93" w:rsidRDefault="003F50BC" w:rsidP="00B25530">
      <w:pPr>
        <w:spacing w:before="240" w:after="480"/>
        <w:rPr>
          <w:rFonts w:cs="Arial"/>
          <w:b/>
          <w:bCs/>
        </w:rPr>
      </w:pPr>
      <w:r w:rsidRPr="00D26A93">
        <w:rPr>
          <w:rFonts w:cs="Arial"/>
        </w:rPr>
        <w:t>Table 4b includes the same SED quartiles, but includes the percentage</w:t>
      </w:r>
      <w:r w:rsidR="008D329B">
        <w:rPr>
          <w:rFonts w:cs="Arial"/>
        </w:rPr>
        <w:t>s</w:t>
      </w:r>
      <w:r w:rsidRPr="00D26A93">
        <w:rPr>
          <w:rFonts w:cs="Arial"/>
        </w:rPr>
        <w:t xml:space="preserve"> of inexperienced, clear, intern, ineffective, and out-of-field teachers assigned to the schools in each quartile. Quartile 1 includes schools with the lowest percentage of SED students and has 10.2 percent inexperienced FTEs while Quartile 4 with the highest percentage of SED students has 13.6 percent. Quartile 1 has 87.7 percent clear </w:t>
      </w:r>
      <w:r w:rsidRPr="00D26A93">
        <w:rPr>
          <w:rFonts w:cs="Arial"/>
        </w:rPr>
        <w:lastRenderedPageBreak/>
        <w:t>teachers, while Quartile 4 has 82.7 percent. The percentage of intern teachers assigned to Quartile 1 is 0.8 percent and the percentage of intern teachers in Quartile 4 is 2.7 percent. The difference between</w:t>
      </w:r>
      <w:r w:rsidR="004F344A">
        <w:rPr>
          <w:rFonts w:cs="Arial"/>
        </w:rPr>
        <w:t xml:space="preserve"> Q</w:t>
      </w:r>
      <w:r w:rsidRPr="00D26A93">
        <w:rPr>
          <w:rFonts w:cs="Arial"/>
        </w:rPr>
        <w:t>uartile 1 and Quartile 4 for ineffective teachers is 2.8 percent and 5.3 percent respectively. Finally, out-of-field teachers</w:t>
      </w:r>
      <w:r w:rsidR="006F49D2">
        <w:rPr>
          <w:rFonts w:cs="Arial"/>
        </w:rPr>
        <w:t xml:space="preserve"> represent 3.6 percent</w:t>
      </w:r>
      <w:r w:rsidRPr="00D26A93">
        <w:rPr>
          <w:rFonts w:cs="Arial"/>
        </w:rPr>
        <w:t xml:space="preserve"> in </w:t>
      </w:r>
      <w:r w:rsidR="006F49D2">
        <w:rPr>
          <w:rFonts w:cs="Arial"/>
        </w:rPr>
        <w:t>Q</w:t>
      </w:r>
      <w:r w:rsidRPr="00D26A93">
        <w:rPr>
          <w:rFonts w:cs="Arial"/>
        </w:rPr>
        <w:t>uartile 1 and 4 percent in Quartile 4.</w:t>
      </w:r>
    </w:p>
    <w:p w14:paraId="128B7B13" w14:textId="1C818DD4" w:rsidR="003F50BC" w:rsidRPr="00D26A93" w:rsidRDefault="003F50BC" w:rsidP="00643C46">
      <w:pPr>
        <w:pStyle w:val="Heading4"/>
        <w:spacing w:before="0"/>
        <w:rPr>
          <w:rFonts w:cs="Arial"/>
        </w:rPr>
      </w:pPr>
      <w:r w:rsidRPr="00D26A93">
        <w:rPr>
          <w:rFonts w:cs="Arial"/>
        </w:rPr>
        <w:t xml:space="preserve">Table 4c: </w:t>
      </w:r>
      <w:r w:rsidR="00EA56DF" w:rsidRPr="00EA56DF">
        <w:rPr>
          <w:rFonts w:cs="Arial"/>
        </w:rPr>
        <w:t xml:space="preserve">Socioeconomically Disadvantaged Quartiles: </w:t>
      </w:r>
      <w:r w:rsidR="00EA56DF">
        <w:rPr>
          <w:rFonts w:cs="Arial"/>
        </w:rPr>
        <w:t xml:space="preserve">Incomplete, Unknown, and Not Applicable </w:t>
      </w:r>
    </w:p>
    <w:tbl>
      <w:tblPr>
        <w:tblW w:w="5485" w:type="dxa"/>
        <w:jc w:val="center"/>
        <w:tblLook w:val="04A0" w:firstRow="1" w:lastRow="0" w:firstColumn="1" w:lastColumn="0" w:noHBand="0" w:noVBand="1"/>
        <w:tblCaption w:val="Table 4c: Summary of 2021–22 Educator Equity Data: Socioeconomically Disadvantaged Quartiles"/>
        <w:tblDescription w:val="Table 4c includes the same SED quartiles, but includes the percentage of incomplete, unknown, and N/A FTEs assigned to the schools in each quartile."/>
      </w:tblPr>
      <w:tblGrid>
        <w:gridCol w:w="1337"/>
        <w:gridCol w:w="1483"/>
        <w:gridCol w:w="1296"/>
        <w:gridCol w:w="1369"/>
      </w:tblGrid>
      <w:tr w:rsidR="003F50BC" w:rsidRPr="00D26A93" w14:paraId="457D722B" w14:textId="77777777" w:rsidTr="00007596">
        <w:trPr>
          <w:cantSplit/>
          <w:trHeight w:val="900"/>
          <w:tblHeader/>
          <w:jc w:val="center"/>
        </w:trPr>
        <w:tc>
          <w:tcPr>
            <w:tcW w:w="133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BFD365D" w14:textId="77777777" w:rsidR="003F50BC" w:rsidRPr="00D26A93" w:rsidRDefault="003F50BC" w:rsidP="00673B74">
            <w:pPr>
              <w:spacing w:before="120" w:after="120"/>
              <w:jc w:val="center"/>
              <w:rPr>
                <w:rFonts w:cs="Arial"/>
                <w:b/>
                <w:bCs/>
              </w:rPr>
            </w:pPr>
            <w:r w:rsidRPr="00D26A93">
              <w:rPr>
                <w:rFonts w:cs="Arial"/>
                <w:b/>
                <w:bCs/>
              </w:rPr>
              <w:t>SED Quartile Rank</w:t>
            </w:r>
          </w:p>
        </w:tc>
        <w:tc>
          <w:tcPr>
            <w:tcW w:w="1483" w:type="dxa"/>
            <w:tcBorders>
              <w:top w:val="single" w:sz="4" w:space="0" w:color="auto"/>
              <w:left w:val="single" w:sz="4" w:space="0" w:color="auto"/>
              <w:bottom w:val="single" w:sz="4" w:space="0" w:color="auto"/>
              <w:right w:val="single" w:sz="4" w:space="0" w:color="auto"/>
            </w:tcBorders>
            <w:shd w:val="clear" w:color="000000" w:fill="D9D9D9"/>
            <w:vAlign w:val="center"/>
          </w:tcPr>
          <w:p w14:paraId="0C1B3294" w14:textId="77777777" w:rsidR="003F50BC" w:rsidRPr="00D26A93" w:rsidRDefault="003F50BC" w:rsidP="00673B74">
            <w:pPr>
              <w:spacing w:before="120" w:after="120"/>
              <w:jc w:val="center"/>
              <w:rPr>
                <w:rFonts w:cs="Arial"/>
                <w:b/>
                <w:bCs/>
              </w:rPr>
            </w:pPr>
            <w:r w:rsidRPr="00D26A93">
              <w:rPr>
                <w:rFonts w:cs="Arial"/>
                <w:b/>
                <w:bCs/>
              </w:rPr>
              <w:t>Incomplete</w:t>
            </w:r>
            <w:r w:rsidRPr="00D26A93">
              <w:rPr>
                <w:rFonts w:cs="Arial"/>
                <w:b/>
                <w:bCs/>
              </w:rPr>
              <w:br/>
              <w:t>FTE (%)</w:t>
            </w:r>
          </w:p>
        </w:tc>
        <w:tc>
          <w:tcPr>
            <w:tcW w:w="1296" w:type="dxa"/>
            <w:tcBorders>
              <w:top w:val="single" w:sz="4" w:space="0" w:color="auto"/>
              <w:left w:val="single" w:sz="4" w:space="0" w:color="auto"/>
              <w:bottom w:val="single" w:sz="4" w:space="0" w:color="auto"/>
              <w:right w:val="single" w:sz="4" w:space="0" w:color="auto"/>
            </w:tcBorders>
            <w:shd w:val="clear" w:color="000000" w:fill="D9D9D9"/>
            <w:vAlign w:val="center"/>
          </w:tcPr>
          <w:p w14:paraId="0A70125D" w14:textId="77777777" w:rsidR="003F50BC" w:rsidRPr="00D26A93" w:rsidRDefault="003F50BC" w:rsidP="00673B74">
            <w:pPr>
              <w:spacing w:before="120" w:after="120"/>
              <w:jc w:val="center"/>
              <w:rPr>
                <w:rFonts w:cs="Arial"/>
                <w:b/>
                <w:bCs/>
              </w:rPr>
            </w:pPr>
            <w:r w:rsidRPr="00D26A93">
              <w:rPr>
                <w:rFonts w:cs="Arial"/>
                <w:b/>
                <w:bCs/>
              </w:rPr>
              <w:t>Unknown</w:t>
            </w:r>
            <w:r w:rsidRPr="00D26A93">
              <w:rPr>
                <w:rFonts w:cs="Arial"/>
                <w:b/>
                <w:bCs/>
              </w:rPr>
              <w:br/>
              <w:t>FTE (%)</w:t>
            </w:r>
          </w:p>
        </w:tc>
        <w:tc>
          <w:tcPr>
            <w:tcW w:w="1369" w:type="dxa"/>
            <w:tcBorders>
              <w:top w:val="single" w:sz="4" w:space="0" w:color="auto"/>
              <w:left w:val="single" w:sz="4" w:space="0" w:color="auto"/>
              <w:bottom w:val="single" w:sz="4" w:space="0" w:color="auto"/>
              <w:right w:val="single" w:sz="4" w:space="0" w:color="auto"/>
            </w:tcBorders>
            <w:shd w:val="clear" w:color="000000" w:fill="D9D9D9"/>
            <w:vAlign w:val="center"/>
          </w:tcPr>
          <w:p w14:paraId="087D2EEA" w14:textId="77777777" w:rsidR="003F50BC" w:rsidRPr="00D26A93" w:rsidRDefault="003F50BC" w:rsidP="00673B74">
            <w:pPr>
              <w:spacing w:before="120" w:after="120"/>
              <w:jc w:val="center"/>
              <w:rPr>
                <w:rFonts w:cs="Arial"/>
                <w:b/>
                <w:bCs/>
              </w:rPr>
            </w:pPr>
            <w:r w:rsidRPr="00D26A93">
              <w:rPr>
                <w:rFonts w:cs="Arial"/>
                <w:b/>
                <w:bCs/>
              </w:rPr>
              <w:t>N/A</w:t>
            </w:r>
            <w:r w:rsidRPr="00D26A93">
              <w:rPr>
                <w:rFonts w:cs="Arial"/>
                <w:b/>
                <w:bCs/>
              </w:rPr>
              <w:br/>
              <w:t>FTE (%)</w:t>
            </w:r>
          </w:p>
        </w:tc>
      </w:tr>
      <w:tr w:rsidR="003F50BC" w:rsidRPr="00D26A93" w14:paraId="0CF73AF9" w14:textId="77777777" w:rsidTr="001F3281">
        <w:trPr>
          <w:trHeight w:val="280"/>
          <w:jc w:val="center"/>
        </w:trPr>
        <w:tc>
          <w:tcPr>
            <w:tcW w:w="1337" w:type="dxa"/>
            <w:tcBorders>
              <w:top w:val="nil"/>
              <w:left w:val="single" w:sz="4" w:space="0" w:color="auto"/>
              <w:bottom w:val="single" w:sz="4" w:space="0" w:color="auto"/>
              <w:right w:val="single" w:sz="4" w:space="0" w:color="auto"/>
            </w:tcBorders>
            <w:shd w:val="clear" w:color="auto" w:fill="auto"/>
            <w:noWrap/>
            <w:vAlign w:val="center"/>
            <w:hideMark/>
          </w:tcPr>
          <w:p w14:paraId="7891A712" w14:textId="77777777" w:rsidR="003F50BC" w:rsidRPr="00D26A93" w:rsidRDefault="003F50BC" w:rsidP="00673B74">
            <w:pPr>
              <w:spacing w:before="120" w:after="120"/>
              <w:jc w:val="center"/>
              <w:rPr>
                <w:rFonts w:cs="Arial"/>
              </w:rPr>
            </w:pPr>
            <w:r w:rsidRPr="00D26A93">
              <w:rPr>
                <w:rFonts w:cs="Arial"/>
              </w:rPr>
              <w:t>1</w:t>
            </w:r>
          </w:p>
        </w:tc>
        <w:tc>
          <w:tcPr>
            <w:tcW w:w="1483" w:type="dxa"/>
            <w:tcBorders>
              <w:top w:val="nil"/>
              <w:left w:val="single" w:sz="4" w:space="0" w:color="auto"/>
              <w:bottom w:val="single" w:sz="4" w:space="0" w:color="auto"/>
              <w:right w:val="single" w:sz="4" w:space="0" w:color="auto"/>
            </w:tcBorders>
            <w:vAlign w:val="bottom"/>
          </w:tcPr>
          <w:p w14:paraId="06C35A60" w14:textId="77777777" w:rsidR="003F50BC" w:rsidRPr="00D26A93" w:rsidRDefault="003F50BC" w:rsidP="00673B74">
            <w:pPr>
              <w:spacing w:before="120" w:after="120"/>
              <w:jc w:val="center"/>
              <w:rPr>
                <w:rFonts w:cs="Arial"/>
              </w:rPr>
            </w:pPr>
            <w:r w:rsidRPr="00D26A93">
              <w:rPr>
                <w:rFonts w:cs="Arial"/>
              </w:rPr>
              <w:t>4.6%</w:t>
            </w:r>
          </w:p>
        </w:tc>
        <w:tc>
          <w:tcPr>
            <w:tcW w:w="1296" w:type="dxa"/>
            <w:tcBorders>
              <w:top w:val="nil"/>
              <w:left w:val="single" w:sz="4" w:space="0" w:color="auto"/>
              <w:bottom w:val="single" w:sz="4" w:space="0" w:color="auto"/>
              <w:right w:val="single" w:sz="4" w:space="0" w:color="auto"/>
            </w:tcBorders>
            <w:vAlign w:val="bottom"/>
          </w:tcPr>
          <w:p w14:paraId="0F6EB9AB" w14:textId="77777777" w:rsidR="003F50BC" w:rsidRPr="00D26A93" w:rsidRDefault="003F50BC" w:rsidP="00673B74">
            <w:pPr>
              <w:spacing w:before="120" w:after="120"/>
              <w:jc w:val="center"/>
              <w:rPr>
                <w:rFonts w:cs="Arial"/>
              </w:rPr>
            </w:pPr>
            <w:r w:rsidRPr="00D26A93">
              <w:rPr>
                <w:rFonts w:cs="Arial"/>
              </w:rPr>
              <w:t>0.3%</w:t>
            </w:r>
          </w:p>
        </w:tc>
        <w:tc>
          <w:tcPr>
            <w:tcW w:w="1369" w:type="dxa"/>
            <w:tcBorders>
              <w:top w:val="nil"/>
              <w:left w:val="single" w:sz="4" w:space="0" w:color="auto"/>
              <w:bottom w:val="single" w:sz="4" w:space="0" w:color="auto"/>
              <w:right w:val="single" w:sz="4" w:space="0" w:color="auto"/>
            </w:tcBorders>
            <w:vAlign w:val="bottom"/>
          </w:tcPr>
          <w:p w14:paraId="25D58FB8" w14:textId="77777777" w:rsidR="003F50BC" w:rsidRPr="00D26A93" w:rsidRDefault="003F50BC" w:rsidP="00673B74">
            <w:pPr>
              <w:spacing w:before="120" w:after="120"/>
              <w:jc w:val="center"/>
              <w:rPr>
                <w:rFonts w:cs="Arial"/>
              </w:rPr>
            </w:pPr>
            <w:r w:rsidRPr="00D26A93">
              <w:rPr>
                <w:rFonts w:cs="Arial"/>
              </w:rPr>
              <w:t>0.1%</w:t>
            </w:r>
          </w:p>
        </w:tc>
      </w:tr>
      <w:tr w:rsidR="003F50BC" w:rsidRPr="00D26A93" w14:paraId="6CD9FDDC" w14:textId="77777777" w:rsidTr="001F3281">
        <w:trPr>
          <w:trHeight w:val="280"/>
          <w:jc w:val="center"/>
        </w:trPr>
        <w:tc>
          <w:tcPr>
            <w:tcW w:w="1337" w:type="dxa"/>
            <w:tcBorders>
              <w:top w:val="nil"/>
              <w:left w:val="single" w:sz="4" w:space="0" w:color="auto"/>
              <w:bottom w:val="single" w:sz="4" w:space="0" w:color="auto"/>
              <w:right w:val="single" w:sz="4" w:space="0" w:color="auto"/>
            </w:tcBorders>
            <w:shd w:val="clear" w:color="auto" w:fill="auto"/>
            <w:noWrap/>
            <w:vAlign w:val="center"/>
            <w:hideMark/>
          </w:tcPr>
          <w:p w14:paraId="039E0D9F" w14:textId="77777777" w:rsidR="003F50BC" w:rsidRPr="00D26A93" w:rsidRDefault="003F50BC" w:rsidP="00673B74">
            <w:pPr>
              <w:spacing w:before="120" w:after="120"/>
              <w:jc w:val="center"/>
              <w:rPr>
                <w:rFonts w:cs="Arial"/>
              </w:rPr>
            </w:pPr>
            <w:r w:rsidRPr="00D26A93">
              <w:rPr>
                <w:rFonts w:cs="Arial"/>
              </w:rPr>
              <w:t>2</w:t>
            </w:r>
          </w:p>
        </w:tc>
        <w:tc>
          <w:tcPr>
            <w:tcW w:w="1483" w:type="dxa"/>
            <w:tcBorders>
              <w:top w:val="nil"/>
              <w:left w:val="single" w:sz="4" w:space="0" w:color="auto"/>
              <w:bottom w:val="single" w:sz="4" w:space="0" w:color="auto"/>
              <w:right w:val="single" w:sz="4" w:space="0" w:color="auto"/>
            </w:tcBorders>
            <w:vAlign w:val="bottom"/>
          </w:tcPr>
          <w:p w14:paraId="617D31D9" w14:textId="77777777" w:rsidR="003F50BC" w:rsidRPr="00D26A93" w:rsidRDefault="003F50BC" w:rsidP="00673B74">
            <w:pPr>
              <w:spacing w:before="120" w:after="120"/>
              <w:jc w:val="center"/>
              <w:rPr>
                <w:rFonts w:cs="Arial"/>
              </w:rPr>
            </w:pPr>
            <w:r w:rsidRPr="00D26A93">
              <w:rPr>
                <w:rFonts w:cs="Arial"/>
              </w:rPr>
              <w:t>5.5%</w:t>
            </w:r>
          </w:p>
        </w:tc>
        <w:tc>
          <w:tcPr>
            <w:tcW w:w="1296" w:type="dxa"/>
            <w:tcBorders>
              <w:top w:val="nil"/>
              <w:left w:val="single" w:sz="4" w:space="0" w:color="auto"/>
              <w:bottom w:val="single" w:sz="4" w:space="0" w:color="auto"/>
              <w:right w:val="single" w:sz="4" w:space="0" w:color="auto"/>
            </w:tcBorders>
            <w:vAlign w:val="bottom"/>
          </w:tcPr>
          <w:p w14:paraId="1AEE4EAA" w14:textId="77777777" w:rsidR="003F50BC" w:rsidRPr="00D26A93" w:rsidRDefault="003F50BC" w:rsidP="00673B74">
            <w:pPr>
              <w:spacing w:before="120" w:after="120"/>
              <w:jc w:val="center"/>
              <w:rPr>
                <w:rFonts w:cs="Arial"/>
              </w:rPr>
            </w:pPr>
            <w:r w:rsidRPr="00D26A93">
              <w:rPr>
                <w:rFonts w:cs="Arial"/>
              </w:rPr>
              <w:t>0.4%</w:t>
            </w:r>
          </w:p>
        </w:tc>
        <w:tc>
          <w:tcPr>
            <w:tcW w:w="1369" w:type="dxa"/>
            <w:tcBorders>
              <w:top w:val="nil"/>
              <w:left w:val="single" w:sz="4" w:space="0" w:color="auto"/>
              <w:bottom w:val="single" w:sz="4" w:space="0" w:color="auto"/>
              <w:right w:val="single" w:sz="4" w:space="0" w:color="auto"/>
            </w:tcBorders>
            <w:vAlign w:val="bottom"/>
          </w:tcPr>
          <w:p w14:paraId="434C9AC3" w14:textId="77777777" w:rsidR="003F50BC" w:rsidRPr="00D26A93" w:rsidRDefault="003F50BC" w:rsidP="00673B74">
            <w:pPr>
              <w:spacing w:before="120" w:after="120"/>
              <w:jc w:val="center"/>
              <w:rPr>
                <w:rFonts w:cs="Arial"/>
              </w:rPr>
            </w:pPr>
            <w:r w:rsidRPr="00D26A93">
              <w:rPr>
                <w:rFonts w:cs="Arial"/>
              </w:rPr>
              <w:t>0.2%</w:t>
            </w:r>
          </w:p>
        </w:tc>
      </w:tr>
      <w:tr w:rsidR="003F50BC" w:rsidRPr="00D26A93" w14:paraId="654DF1F9" w14:textId="77777777" w:rsidTr="001F3281">
        <w:trPr>
          <w:trHeight w:val="280"/>
          <w:jc w:val="center"/>
        </w:trPr>
        <w:tc>
          <w:tcPr>
            <w:tcW w:w="1337" w:type="dxa"/>
            <w:tcBorders>
              <w:top w:val="nil"/>
              <w:left w:val="single" w:sz="4" w:space="0" w:color="auto"/>
              <w:bottom w:val="single" w:sz="4" w:space="0" w:color="auto"/>
              <w:right w:val="single" w:sz="4" w:space="0" w:color="auto"/>
            </w:tcBorders>
            <w:shd w:val="clear" w:color="auto" w:fill="auto"/>
            <w:noWrap/>
            <w:vAlign w:val="center"/>
            <w:hideMark/>
          </w:tcPr>
          <w:p w14:paraId="01ECC4A8" w14:textId="77777777" w:rsidR="003F50BC" w:rsidRPr="00D26A93" w:rsidRDefault="003F50BC" w:rsidP="00673B74">
            <w:pPr>
              <w:spacing w:before="120" w:after="120"/>
              <w:jc w:val="center"/>
              <w:rPr>
                <w:rFonts w:cs="Arial"/>
              </w:rPr>
            </w:pPr>
            <w:r w:rsidRPr="00D26A93">
              <w:rPr>
                <w:rFonts w:cs="Arial"/>
              </w:rPr>
              <w:t>3</w:t>
            </w:r>
          </w:p>
        </w:tc>
        <w:tc>
          <w:tcPr>
            <w:tcW w:w="1483" w:type="dxa"/>
            <w:tcBorders>
              <w:top w:val="nil"/>
              <w:left w:val="single" w:sz="4" w:space="0" w:color="auto"/>
              <w:bottom w:val="single" w:sz="4" w:space="0" w:color="auto"/>
              <w:right w:val="single" w:sz="4" w:space="0" w:color="auto"/>
            </w:tcBorders>
            <w:vAlign w:val="bottom"/>
          </w:tcPr>
          <w:p w14:paraId="73410B83" w14:textId="77777777" w:rsidR="003F50BC" w:rsidRPr="00D26A93" w:rsidRDefault="003F50BC" w:rsidP="00673B74">
            <w:pPr>
              <w:spacing w:before="120" w:after="120"/>
              <w:jc w:val="center"/>
              <w:rPr>
                <w:rFonts w:cs="Arial"/>
              </w:rPr>
            </w:pPr>
            <w:r w:rsidRPr="00D26A93">
              <w:rPr>
                <w:rFonts w:cs="Arial"/>
              </w:rPr>
              <w:t>5.6%</w:t>
            </w:r>
          </w:p>
        </w:tc>
        <w:tc>
          <w:tcPr>
            <w:tcW w:w="1296" w:type="dxa"/>
            <w:tcBorders>
              <w:top w:val="nil"/>
              <w:left w:val="single" w:sz="4" w:space="0" w:color="auto"/>
              <w:bottom w:val="single" w:sz="4" w:space="0" w:color="auto"/>
              <w:right w:val="single" w:sz="4" w:space="0" w:color="auto"/>
            </w:tcBorders>
            <w:vAlign w:val="bottom"/>
          </w:tcPr>
          <w:p w14:paraId="2163A06C" w14:textId="77777777" w:rsidR="003F50BC" w:rsidRPr="00D26A93" w:rsidRDefault="003F50BC" w:rsidP="00673B74">
            <w:pPr>
              <w:spacing w:before="120" w:after="120"/>
              <w:jc w:val="center"/>
              <w:rPr>
                <w:rFonts w:cs="Arial"/>
              </w:rPr>
            </w:pPr>
            <w:r w:rsidRPr="00D26A93">
              <w:rPr>
                <w:rFonts w:cs="Arial"/>
              </w:rPr>
              <w:t>0.3%</w:t>
            </w:r>
          </w:p>
        </w:tc>
        <w:tc>
          <w:tcPr>
            <w:tcW w:w="1369" w:type="dxa"/>
            <w:tcBorders>
              <w:top w:val="nil"/>
              <w:left w:val="single" w:sz="4" w:space="0" w:color="auto"/>
              <w:bottom w:val="single" w:sz="4" w:space="0" w:color="auto"/>
              <w:right w:val="single" w:sz="4" w:space="0" w:color="auto"/>
            </w:tcBorders>
            <w:vAlign w:val="bottom"/>
          </w:tcPr>
          <w:p w14:paraId="060E1525" w14:textId="77777777" w:rsidR="003F50BC" w:rsidRPr="00D26A93" w:rsidRDefault="003F50BC" w:rsidP="00673B74">
            <w:pPr>
              <w:spacing w:before="120" w:after="120"/>
              <w:jc w:val="center"/>
              <w:rPr>
                <w:rFonts w:cs="Arial"/>
              </w:rPr>
            </w:pPr>
            <w:r w:rsidRPr="00D26A93">
              <w:rPr>
                <w:rFonts w:cs="Arial"/>
              </w:rPr>
              <w:t>0.2%</w:t>
            </w:r>
          </w:p>
        </w:tc>
      </w:tr>
      <w:tr w:rsidR="003F50BC" w:rsidRPr="00D26A93" w14:paraId="3870A5CC" w14:textId="77777777" w:rsidTr="001F3281">
        <w:trPr>
          <w:trHeight w:val="280"/>
          <w:jc w:val="center"/>
        </w:trPr>
        <w:tc>
          <w:tcPr>
            <w:tcW w:w="1337" w:type="dxa"/>
            <w:tcBorders>
              <w:top w:val="nil"/>
              <w:left w:val="single" w:sz="4" w:space="0" w:color="auto"/>
              <w:bottom w:val="single" w:sz="4" w:space="0" w:color="auto"/>
              <w:right w:val="single" w:sz="4" w:space="0" w:color="auto"/>
            </w:tcBorders>
            <w:shd w:val="clear" w:color="auto" w:fill="auto"/>
            <w:noWrap/>
            <w:vAlign w:val="center"/>
            <w:hideMark/>
          </w:tcPr>
          <w:p w14:paraId="7A48CCDF" w14:textId="77777777" w:rsidR="003F50BC" w:rsidRPr="00D26A93" w:rsidRDefault="003F50BC" w:rsidP="00673B74">
            <w:pPr>
              <w:spacing w:before="120" w:after="120"/>
              <w:jc w:val="center"/>
              <w:rPr>
                <w:rFonts w:cs="Arial"/>
              </w:rPr>
            </w:pPr>
            <w:r w:rsidRPr="00D26A93">
              <w:rPr>
                <w:rFonts w:cs="Arial"/>
              </w:rPr>
              <w:t>4</w:t>
            </w:r>
          </w:p>
        </w:tc>
        <w:tc>
          <w:tcPr>
            <w:tcW w:w="1483" w:type="dxa"/>
            <w:tcBorders>
              <w:top w:val="nil"/>
              <w:left w:val="single" w:sz="4" w:space="0" w:color="auto"/>
              <w:bottom w:val="single" w:sz="4" w:space="0" w:color="auto"/>
              <w:right w:val="single" w:sz="4" w:space="0" w:color="auto"/>
            </w:tcBorders>
            <w:vAlign w:val="bottom"/>
          </w:tcPr>
          <w:p w14:paraId="55E88B09" w14:textId="77777777" w:rsidR="003F50BC" w:rsidRPr="00D26A93" w:rsidRDefault="003F50BC" w:rsidP="00673B74">
            <w:pPr>
              <w:spacing w:before="120" w:after="120"/>
              <w:jc w:val="center"/>
              <w:rPr>
                <w:rFonts w:cs="Arial"/>
              </w:rPr>
            </w:pPr>
            <w:r w:rsidRPr="00D26A93">
              <w:rPr>
                <w:rFonts w:cs="Arial"/>
              </w:rPr>
              <w:t>5.0%</w:t>
            </w:r>
          </w:p>
        </w:tc>
        <w:tc>
          <w:tcPr>
            <w:tcW w:w="1296" w:type="dxa"/>
            <w:tcBorders>
              <w:top w:val="nil"/>
              <w:left w:val="single" w:sz="4" w:space="0" w:color="auto"/>
              <w:bottom w:val="single" w:sz="4" w:space="0" w:color="auto"/>
              <w:right w:val="single" w:sz="4" w:space="0" w:color="auto"/>
            </w:tcBorders>
            <w:vAlign w:val="bottom"/>
          </w:tcPr>
          <w:p w14:paraId="552AB435" w14:textId="77777777" w:rsidR="003F50BC" w:rsidRPr="00D26A93" w:rsidRDefault="003F50BC" w:rsidP="00673B74">
            <w:pPr>
              <w:spacing w:before="120" w:after="120"/>
              <w:jc w:val="center"/>
              <w:rPr>
                <w:rFonts w:cs="Arial"/>
              </w:rPr>
            </w:pPr>
            <w:r w:rsidRPr="00D26A93">
              <w:rPr>
                <w:rFonts w:cs="Arial"/>
              </w:rPr>
              <w:t>0.3%</w:t>
            </w:r>
          </w:p>
        </w:tc>
        <w:tc>
          <w:tcPr>
            <w:tcW w:w="1369" w:type="dxa"/>
            <w:tcBorders>
              <w:top w:val="nil"/>
              <w:left w:val="single" w:sz="4" w:space="0" w:color="auto"/>
              <w:bottom w:val="single" w:sz="4" w:space="0" w:color="auto"/>
              <w:right w:val="single" w:sz="4" w:space="0" w:color="auto"/>
            </w:tcBorders>
            <w:vAlign w:val="bottom"/>
          </w:tcPr>
          <w:p w14:paraId="62502A39" w14:textId="77777777" w:rsidR="003F50BC" w:rsidRPr="00D26A93" w:rsidRDefault="003F50BC" w:rsidP="00673B74">
            <w:pPr>
              <w:spacing w:before="120" w:after="120"/>
              <w:jc w:val="center"/>
              <w:rPr>
                <w:rFonts w:cs="Arial"/>
              </w:rPr>
            </w:pPr>
            <w:r w:rsidRPr="00D26A93">
              <w:rPr>
                <w:rFonts w:cs="Arial"/>
              </w:rPr>
              <w:t>0.1%</w:t>
            </w:r>
          </w:p>
        </w:tc>
      </w:tr>
      <w:tr w:rsidR="003F50BC" w:rsidRPr="00D26A93" w14:paraId="431E630D" w14:textId="77777777" w:rsidTr="001F3281">
        <w:trPr>
          <w:trHeight w:val="280"/>
          <w:jc w:val="center"/>
        </w:trPr>
        <w:tc>
          <w:tcPr>
            <w:tcW w:w="1337" w:type="dxa"/>
            <w:tcBorders>
              <w:top w:val="nil"/>
              <w:left w:val="single" w:sz="4" w:space="0" w:color="auto"/>
              <w:bottom w:val="single" w:sz="4" w:space="0" w:color="auto"/>
              <w:right w:val="single" w:sz="4" w:space="0" w:color="auto"/>
            </w:tcBorders>
            <w:shd w:val="clear" w:color="auto" w:fill="auto"/>
            <w:noWrap/>
            <w:vAlign w:val="center"/>
            <w:hideMark/>
          </w:tcPr>
          <w:p w14:paraId="54955BD3" w14:textId="77777777" w:rsidR="003F50BC" w:rsidRPr="00D26A93" w:rsidRDefault="003F50BC" w:rsidP="00673B74">
            <w:pPr>
              <w:spacing w:before="120" w:after="120"/>
              <w:jc w:val="center"/>
              <w:rPr>
                <w:rFonts w:cs="Arial"/>
                <w:b/>
                <w:bCs/>
              </w:rPr>
            </w:pPr>
            <w:r w:rsidRPr="00D26A93">
              <w:rPr>
                <w:rFonts w:cs="Arial"/>
                <w:b/>
                <w:bCs/>
              </w:rPr>
              <w:t>Statewide</w:t>
            </w:r>
          </w:p>
        </w:tc>
        <w:tc>
          <w:tcPr>
            <w:tcW w:w="1483" w:type="dxa"/>
            <w:tcBorders>
              <w:top w:val="nil"/>
              <w:left w:val="single" w:sz="4" w:space="0" w:color="auto"/>
              <w:bottom w:val="single" w:sz="4" w:space="0" w:color="auto"/>
              <w:right w:val="single" w:sz="4" w:space="0" w:color="auto"/>
            </w:tcBorders>
            <w:shd w:val="clear" w:color="auto" w:fill="auto"/>
            <w:vAlign w:val="bottom"/>
          </w:tcPr>
          <w:p w14:paraId="00F089E5" w14:textId="77777777" w:rsidR="003F50BC" w:rsidRPr="00D26A93" w:rsidRDefault="003F50BC" w:rsidP="00673B74">
            <w:pPr>
              <w:spacing w:before="120" w:after="120"/>
              <w:jc w:val="center"/>
              <w:rPr>
                <w:rFonts w:cs="Arial"/>
                <w:b/>
                <w:bCs/>
              </w:rPr>
            </w:pPr>
            <w:r w:rsidRPr="00D26A93">
              <w:rPr>
                <w:rFonts w:cs="Arial"/>
                <w:b/>
                <w:bCs/>
              </w:rPr>
              <w:t>5.2%</w:t>
            </w:r>
          </w:p>
        </w:tc>
        <w:tc>
          <w:tcPr>
            <w:tcW w:w="1296" w:type="dxa"/>
            <w:tcBorders>
              <w:top w:val="nil"/>
              <w:left w:val="single" w:sz="4" w:space="0" w:color="auto"/>
              <w:bottom w:val="single" w:sz="4" w:space="0" w:color="auto"/>
              <w:right w:val="single" w:sz="4" w:space="0" w:color="auto"/>
            </w:tcBorders>
            <w:shd w:val="clear" w:color="auto" w:fill="auto"/>
            <w:vAlign w:val="bottom"/>
          </w:tcPr>
          <w:p w14:paraId="26E6BA4F" w14:textId="77777777" w:rsidR="003F50BC" w:rsidRPr="00D26A93" w:rsidRDefault="003F50BC" w:rsidP="00673B74">
            <w:pPr>
              <w:spacing w:before="120" w:after="120"/>
              <w:jc w:val="center"/>
              <w:rPr>
                <w:rFonts w:cs="Arial"/>
                <w:b/>
                <w:bCs/>
              </w:rPr>
            </w:pPr>
            <w:r w:rsidRPr="00D26A93">
              <w:rPr>
                <w:rFonts w:cs="Arial"/>
                <w:b/>
                <w:bCs/>
              </w:rPr>
              <w:t>0.3%</w:t>
            </w:r>
          </w:p>
        </w:tc>
        <w:tc>
          <w:tcPr>
            <w:tcW w:w="1369" w:type="dxa"/>
            <w:tcBorders>
              <w:top w:val="nil"/>
              <w:left w:val="single" w:sz="4" w:space="0" w:color="auto"/>
              <w:bottom w:val="single" w:sz="4" w:space="0" w:color="auto"/>
              <w:right w:val="single" w:sz="4" w:space="0" w:color="auto"/>
            </w:tcBorders>
            <w:shd w:val="clear" w:color="auto" w:fill="auto"/>
            <w:vAlign w:val="bottom"/>
          </w:tcPr>
          <w:p w14:paraId="7C86314D" w14:textId="77777777" w:rsidR="003F50BC" w:rsidRPr="00D26A93" w:rsidRDefault="003F50BC" w:rsidP="00673B74">
            <w:pPr>
              <w:spacing w:before="120" w:after="120"/>
              <w:jc w:val="center"/>
              <w:rPr>
                <w:rFonts w:cs="Arial"/>
                <w:b/>
                <w:bCs/>
              </w:rPr>
            </w:pPr>
            <w:r w:rsidRPr="00D26A93">
              <w:rPr>
                <w:rFonts w:cs="Arial"/>
                <w:b/>
                <w:bCs/>
              </w:rPr>
              <w:t>0.2%</w:t>
            </w:r>
          </w:p>
        </w:tc>
      </w:tr>
    </w:tbl>
    <w:p w14:paraId="7FCAC68E" w14:textId="2195C128" w:rsidR="003F50BC" w:rsidRPr="00D26A93" w:rsidRDefault="003F50BC" w:rsidP="00B25530">
      <w:pPr>
        <w:spacing w:before="240" w:after="480"/>
        <w:rPr>
          <w:rFonts w:cs="Arial"/>
          <w:b/>
          <w:bCs/>
        </w:rPr>
      </w:pPr>
      <w:r w:rsidRPr="00D26A93">
        <w:rPr>
          <w:rFonts w:cs="Arial"/>
        </w:rPr>
        <w:t>Table 4c includes the same SED quartiles, but includes the percentage</w:t>
      </w:r>
      <w:r w:rsidR="005663EE">
        <w:rPr>
          <w:rFonts w:cs="Arial"/>
        </w:rPr>
        <w:t>s</w:t>
      </w:r>
      <w:r w:rsidRPr="00D26A93">
        <w:rPr>
          <w:rFonts w:cs="Arial"/>
        </w:rPr>
        <w:t xml:space="preserve"> of incomplete, unknown, and N/A FTEs assigned to the schools in each quartile. Quartile 1 that includes schools with the lowest percentage of SED students has 4.6 percent incomplete FTEs, </w:t>
      </w:r>
      <w:r w:rsidR="003D79CD" w:rsidRPr="00D26A93">
        <w:rPr>
          <w:rFonts w:cs="Arial"/>
        </w:rPr>
        <w:t>0</w:t>
      </w:r>
      <w:r w:rsidRPr="00D26A93">
        <w:rPr>
          <w:rFonts w:cs="Arial"/>
        </w:rPr>
        <w:t>.3 percent unknown FTEs and 0.1 percent</w:t>
      </w:r>
      <w:r w:rsidR="00504532" w:rsidRPr="00D26A93">
        <w:rPr>
          <w:rFonts w:cs="Arial"/>
        </w:rPr>
        <w:t xml:space="preserve"> </w:t>
      </w:r>
      <w:r w:rsidRPr="00D26A93">
        <w:rPr>
          <w:rFonts w:cs="Arial"/>
        </w:rPr>
        <w:t>N/A FTE. Quartile 4 with the highest percentage of minority students has 5</w:t>
      </w:r>
      <w:r w:rsidR="00520EDD" w:rsidRPr="00D26A93">
        <w:rPr>
          <w:rFonts w:cs="Arial"/>
        </w:rPr>
        <w:t xml:space="preserve"> percent</w:t>
      </w:r>
      <w:r w:rsidRPr="00D26A93">
        <w:rPr>
          <w:rFonts w:cs="Arial"/>
        </w:rPr>
        <w:t xml:space="preserve"> incomplete FTEs, </w:t>
      </w:r>
      <w:r w:rsidR="003D79CD" w:rsidRPr="00D26A93">
        <w:rPr>
          <w:rFonts w:cs="Arial"/>
        </w:rPr>
        <w:t>0</w:t>
      </w:r>
      <w:r w:rsidRPr="00D26A93">
        <w:rPr>
          <w:rFonts w:cs="Arial"/>
        </w:rPr>
        <w:t>.3 percent unknown FTEs, and 0.1 percent N/A FTEs.</w:t>
      </w:r>
    </w:p>
    <w:p w14:paraId="213037D0" w14:textId="1E2D01FA" w:rsidR="003F50BC" w:rsidRPr="00D26A93" w:rsidRDefault="003F50BC" w:rsidP="00643C46">
      <w:pPr>
        <w:pStyle w:val="Heading3"/>
        <w:spacing w:before="0"/>
        <w:rPr>
          <w:rFonts w:cs="Arial"/>
        </w:rPr>
      </w:pPr>
      <w:r w:rsidRPr="00D26A93">
        <w:rPr>
          <w:rFonts w:cs="Arial"/>
        </w:rPr>
        <w:t>Uses of the Teaching A</w:t>
      </w:r>
      <w:r w:rsidR="007E6302">
        <w:rPr>
          <w:rFonts w:cs="Arial"/>
        </w:rPr>
        <w:t xml:space="preserve">ssignment </w:t>
      </w:r>
      <w:r w:rsidRPr="00D26A93">
        <w:rPr>
          <w:rFonts w:cs="Arial"/>
        </w:rPr>
        <w:t>M</w:t>
      </w:r>
      <w:r w:rsidR="007E6302">
        <w:rPr>
          <w:rFonts w:cs="Arial"/>
        </w:rPr>
        <w:t xml:space="preserve">onitoring </w:t>
      </w:r>
      <w:r w:rsidRPr="00D26A93">
        <w:rPr>
          <w:rFonts w:cs="Arial"/>
        </w:rPr>
        <w:t>O</w:t>
      </w:r>
      <w:r w:rsidR="007E6302">
        <w:rPr>
          <w:rFonts w:cs="Arial"/>
        </w:rPr>
        <w:t>utcome</w:t>
      </w:r>
      <w:r w:rsidRPr="00D26A93">
        <w:rPr>
          <w:rFonts w:cs="Arial"/>
        </w:rPr>
        <w:t xml:space="preserve"> data</w:t>
      </w:r>
    </w:p>
    <w:p w14:paraId="51D9F4B6" w14:textId="77777777" w:rsidR="003F50BC" w:rsidRPr="00D26A93" w:rsidRDefault="003F50BC" w:rsidP="00AB77E9">
      <w:pPr>
        <w:spacing w:before="240" w:after="240"/>
        <w:rPr>
          <w:rFonts w:cs="Arial"/>
        </w:rPr>
      </w:pPr>
      <w:r w:rsidRPr="00D26A93">
        <w:rPr>
          <w:rFonts w:cs="Arial"/>
        </w:rPr>
        <w:t xml:space="preserve">The Teaching AMO data are now utilized for the following reporting purposes: </w:t>
      </w:r>
      <w:proofErr w:type="spellStart"/>
      <w:r w:rsidRPr="00D26A93">
        <w:rPr>
          <w:rFonts w:cs="Arial"/>
        </w:rPr>
        <w:t>DataQuest</w:t>
      </w:r>
      <w:proofErr w:type="spellEnd"/>
      <w:r w:rsidRPr="00D26A93">
        <w:rPr>
          <w:rFonts w:cs="Arial"/>
        </w:rPr>
        <w:t xml:space="preserve"> reporting, the School Accountability Report Card (SARC), California School Dashboard Priority One, Williams Determinations, Teacher Equity Plan, and federal Teacher Shortage and </w:t>
      </w:r>
      <w:proofErr w:type="spellStart"/>
      <w:r w:rsidRPr="00D26A93">
        <w:rPr>
          <w:rFonts w:cs="Arial"/>
        </w:rPr>
        <w:t>EDFacts</w:t>
      </w:r>
      <w:proofErr w:type="spellEnd"/>
      <w:r w:rsidRPr="00D26A93">
        <w:rPr>
          <w:rFonts w:cs="Arial"/>
        </w:rPr>
        <w:t xml:space="preserve"> reporting.</w:t>
      </w:r>
    </w:p>
    <w:p w14:paraId="318DD544" w14:textId="4B96E1FC" w:rsidR="003F50BC" w:rsidRPr="00D26A93" w:rsidRDefault="003F50BC" w:rsidP="00AB77E9">
      <w:pPr>
        <w:spacing w:before="240" w:after="240"/>
        <w:rPr>
          <w:rFonts w:cs="Arial"/>
          <w:bCs/>
        </w:rPr>
      </w:pPr>
      <w:r w:rsidRPr="00D26A93">
        <w:rPr>
          <w:rFonts w:cs="Arial"/>
        </w:rPr>
        <w:t xml:space="preserve">In July 2023, the SBE approved the 2022–23 SARC template in which </w:t>
      </w:r>
      <w:r w:rsidR="008301B0">
        <w:rPr>
          <w:rFonts w:cs="Arial"/>
        </w:rPr>
        <w:t xml:space="preserve">the </w:t>
      </w:r>
      <w:r w:rsidRPr="00D26A93">
        <w:rPr>
          <w:rFonts w:cs="Arial"/>
        </w:rPr>
        <w:t xml:space="preserve">CDE would </w:t>
      </w:r>
      <w:r w:rsidRPr="00D26A93">
        <w:rPr>
          <w:rFonts w:cs="Arial"/>
        </w:rPr>
        <w:br/>
        <w:t>pre-populate teacher data utilizing Teaching AMO data. These sections of the SARC were previously self-populated by the LEA. Additionally, data labels have been updated to include terms used in</w:t>
      </w:r>
      <w:r w:rsidR="00752250">
        <w:rPr>
          <w:rFonts w:cs="Arial"/>
        </w:rPr>
        <w:t xml:space="preserve"> the</w:t>
      </w:r>
      <w:r w:rsidRPr="00D26A93">
        <w:rPr>
          <w:rFonts w:cs="Arial"/>
        </w:rPr>
        <w:t xml:space="preserve"> ESSA and subsequently in the Teaching AMO data. For example, Table 7 in the 2022–23 SARC template lists: </w:t>
      </w:r>
      <w:r w:rsidRPr="00D26A93">
        <w:rPr>
          <w:rFonts w:eastAsia="Arial" w:cs="Arial"/>
          <w:bCs/>
        </w:rPr>
        <w:t xml:space="preserve">Teachers Without Credentials </w:t>
      </w:r>
      <w:r w:rsidRPr="00D26A93">
        <w:rPr>
          <w:rFonts w:eastAsia="Arial" w:cs="Arial"/>
          <w:bCs/>
        </w:rPr>
        <w:lastRenderedPageBreak/>
        <w:t>and Misassignments (ineffective under</w:t>
      </w:r>
      <w:r w:rsidR="00752250">
        <w:rPr>
          <w:rFonts w:eastAsia="Arial" w:cs="Arial"/>
          <w:bCs/>
        </w:rPr>
        <w:t xml:space="preserve"> the</w:t>
      </w:r>
      <w:r w:rsidRPr="00D26A93">
        <w:rPr>
          <w:rFonts w:eastAsia="Arial" w:cs="Arial"/>
          <w:bCs/>
        </w:rPr>
        <w:t xml:space="preserve"> ESSA) and includes the Teaching AMO categories of </w:t>
      </w:r>
      <w:r w:rsidR="00C86756">
        <w:rPr>
          <w:rFonts w:eastAsia="Arial" w:cs="Arial"/>
          <w:bCs/>
        </w:rPr>
        <w:t>u</w:t>
      </w:r>
      <w:r w:rsidRPr="00D26A93">
        <w:rPr>
          <w:rFonts w:eastAsia="Arial" w:cs="Arial"/>
          <w:bCs/>
        </w:rPr>
        <w:t xml:space="preserve">nknown, </w:t>
      </w:r>
      <w:r w:rsidR="00C86756">
        <w:rPr>
          <w:rFonts w:eastAsia="Arial" w:cs="Arial"/>
          <w:bCs/>
        </w:rPr>
        <w:t>i</w:t>
      </w:r>
      <w:r w:rsidRPr="00D26A93">
        <w:rPr>
          <w:rFonts w:eastAsia="Arial" w:cs="Arial"/>
          <w:bCs/>
        </w:rPr>
        <w:t>ncomplete, and N/A.</w:t>
      </w:r>
    </w:p>
    <w:p w14:paraId="293B61CE" w14:textId="12B47754" w:rsidR="003F50BC" w:rsidRPr="00D26A93" w:rsidRDefault="003F50BC" w:rsidP="00AB77E9">
      <w:pPr>
        <w:spacing w:before="240" w:after="240"/>
        <w:rPr>
          <w:rFonts w:cs="Arial"/>
          <w:bCs/>
        </w:rPr>
      </w:pPr>
      <w:r w:rsidRPr="00D26A93">
        <w:rPr>
          <w:rFonts w:cs="Arial"/>
          <w:shd w:val="clear" w:color="auto" w:fill="FFFFFF"/>
        </w:rPr>
        <w:t>LEAs are required to address applicable Local Control Funding Formula state priorities, as well as any local priorities identified by the LEA</w:t>
      </w:r>
      <w:r w:rsidR="00586315">
        <w:rPr>
          <w:rFonts w:cs="Arial"/>
          <w:shd w:val="clear" w:color="auto" w:fill="FFFFFF"/>
        </w:rPr>
        <w:t>s</w:t>
      </w:r>
      <w:r w:rsidRPr="00D26A93">
        <w:rPr>
          <w:rFonts w:cs="Arial"/>
          <w:shd w:val="clear" w:color="auto" w:fill="FFFFFF"/>
        </w:rPr>
        <w:t xml:space="preserve">, in the LCAP. As part of State Priority 1, LEAs must describe the degree to which </w:t>
      </w:r>
      <w:r w:rsidRPr="00D26A93">
        <w:rPr>
          <w:rFonts w:cs="Arial"/>
        </w:rPr>
        <w:t>teachers in the LEA</w:t>
      </w:r>
      <w:r w:rsidR="00586315">
        <w:rPr>
          <w:rFonts w:cs="Arial"/>
        </w:rPr>
        <w:t>s</w:t>
      </w:r>
      <w:r w:rsidRPr="00D26A93">
        <w:rPr>
          <w:rFonts w:cs="Arial"/>
        </w:rPr>
        <w:t xml:space="preserve"> are appropriately assigned and fully credentialed in the subject area and for the students they are teaching.</w:t>
      </w:r>
    </w:p>
    <w:p w14:paraId="6623D5FA" w14:textId="19C3566C" w:rsidR="003F50BC" w:rsidRPr="00D26A93" w:rsidRDefault="003F50BC" w:rsidP="00AB77E9">
      <w:pPr>
        <w:spacing w:before="240" w:after="240"/>
        <w:rPr>
          <w:rFonts w:cs="Arial"/>
          <w:b/>
          <w:bCs/>
        </w:rPr>
      </w:pPr>
      <w:r w:rsidRPr="677ADCF8">
        <w:rPr>
          <w:rFonts w:cs="Arial"/>
        </w:rPr>
        <w:t xml:space="preserve">In the past, LEAs used locally available data to report this data to the </w:t>
      </w:r>
      <w:r w:rsidR="005F3769" w:rsidRPr="677ADCF8">
        <w:rPr>
          <w:rFonts w:cs="Arial"/>
        </w:rPr>
        <w:t xml:space="preserve">California School </w:t>
      </w:r>
      <w:r w:rsidR="00F13B12" w:rsidRPr="677ADCF8">
        <w:rPr>
          <w:rFonts w:cs="Arial"/>
        </w:rPr>
        <w:t>D</w:t>
      </w:r>
      <w:r w:rsidRPr="677ADCF8">
        <w:rPr>
          <w:rFonts w:cs="Arial"/>
        </w:rPr>
        <w:t>ashboard using the self-reflective tool.</w:t>
      </w:r>
      <w:r w:rsidR="00605B37" w:rsidRPr="677ADCF8">
        <w:rPr>
          <w:rFonts w:cs="Arial"/>
        </w:rPr>
        <w:t xml:space="preserve"> </w:t>
      </w:r>
      <w:r w:rsidR="00605B37" w:rsidRPr="677ADCF8">
        <w:rPr>
          <w:rFonts w:cs="Arial"/>
          <w:i/>
          <w:iCs/>
        </w:rPr>
        <w:t>EC</w:t>
      </w:r>
      <w:r w:rsidR="00605B37" w:rsidRPr="677ADCF8">
        <w:rPr>
          <w:rFonts w:cs="Arial"/>
        </w:rPr>
        <w:t xml:space="preserve"> Section</w:t>
      </w:r>
      <w:r w:rsidRPr="677ADCF8">
        <w:rPr>
          <w:rFonts w:cs="Arial"/>
        </w:rPr>
        <w:t xml:space="preserve"> 52064.5(e)(2) was amended in 2020 to require the standards for local indicat</w:t>
      </w:r>
      <w:r w:rsidR="4564E60A" w:rsidRPr="677ADCF8">
        <w:rPr>
          <w:rFonts w:cs="Arial"/>
        </w:rPr>
        <w:t>ors</w:t>
      </w:r>
      <w:r w:rsidRPr="677ADCF8">
        <w:rPr>
          <w:rFonts w:cs="Arial"/>
        </w:rPr>
        <w:t xml:space="preserve"> to be based on objective criteria when the CDE collects or has access to reliable school level data. Given that the Teaching AMO data directly addresses this part of Priority 1, starting in </w:t>
      </w:r>
      <w:r w:rsidR="004F4764">
        <w:rPr>
          <w:rFonts w:cs="Arial"/>
        </w:rPr>
        <w:t xml:space="preserve">the </w:t>
      </w:r>
      <w:r w:rsidRPr="677ADCF8">
        <w:rPr>
          <w:rFonts w:cs="Arial"/>
        </w:rPr>
        <w:t>2022–23</w:t>
      </w:r>
      <w:r w:rsidR="004F4764">
        <w:rPr>
          <w:rFonts w:cs="Arial"/>
        </w:rPr>
        <w:t xml:space="preserve"> school year</w:t>
      </w:r>
      <w:r w:rsidRPr="677ADCF8">
        <w:rPr>
          <w:rFonts w:cs="Arial"/>
        </w:rPr>
        <w:t xml:space="preserve">, the Teaching AMO data were directly reported to the </w:t>
      </w:r>
      <w:r w:rsidR="0017327B" w:rsidRPr="677ADCF8">
        <w:rPr>
          <w:rFonts w:cs="Arial"/>
        </w:rPr>
        <w:t>California School D</w:t>
      </w:r>
      <w:r w:rsidRPr="677ADCF8">
        <w:rPr>
          <w:rFonts w:cs="Arial"/>
        </w:rPr>
        <w:t>ashboard by the CDE. The CDE engaged with statewide educational partners to collect recommendations for objective criteria which were brought to the SBE for approval.</w:t>
      </w:r>
    </w:p>
    <w:p w14:paraId="07D4D63A" w14:textId="2019B04B" w:rsidR="003F50BC" w:rsidRPr="00D26A93" w:rsidRDefault="003F50BC" w:rsidP="00AB77E9">
      <w:pPr>
        <w:spacing w:before="240" w:after="240"/>
        <w:rPr>
          <w:rFonts w:cs="Arial"/>
          <w:b/>
          <w:bCs/>
        </w:rPr>
      </w:pPr>
      <w:r w:rsidRPr="00D26A93">
        <w:rPr>
          <w:rFonts w:cs="Arial"/>
        </w:rPr>
        <w:t>When it comes to addressing Priority 1 on the LCAP, there is no state</w:t>
      </w:r>
      <w:r w:rsidR="00DF3C1C">
        <w:rPr>
          <w:rFonts w:cs="Arial"/>
        </w:rPr>
        <w:t>-</w:t>
      </w:r>
      <w:r w:rsidRPr="00D26A93">
        <w:rPr>
          <w:rFonts w:cs="Arial"/>
        </w:rPr>
        <w:t xml:space="preserve">required metric for determining how the LEA is making progress related to how their teachers are appropriately assigned and fully credentialed for the courses and students that they teach. It is a local decision for LEAs to determine how to measure and report this progress on the LCAP. However, given that the Teaching AMO data will be reported on the SARC and the </w:t>
      </w:r>
      <w:r w:rsidR="00837DF1">
        <w:rPr>
          <w:rFonts w:cs="Arial"/>
        </w:rPr>
        <w:t>California School D</w:t>
      </w:r>
      <w:r w:rsidRPr="00D26A93">
        <w:rPr>
          <w:rFonts w:cs="Arial"/>
        </w:rPr>
        <w:t xml:space="preserve">ashboard, LEAs will need to consider whether their current local measures and reporting methods should be updated. </w:t>
      </w:r>
    </w:p>
    <w:p w14:paraId="0B2B32F5" w14:textId="337A49A7" w:rsidR="003F50BC" w:rsidRPr="00D26A93" w:rsidRDefault="003F50BC" w:rsidP="00B25530">
      <w:pPr>
        <w:spacing w:before="240" w:after="480"/>
        <w:rPr>
          <w:rFonts w:cs="Arial"/>
          <w:b/>
          <w:bCs/>
        </w:rPr>
      </w:pPr>
      <w:r w:rsidRPr="00D26A93">
        <w:rPr>
          <w:rFonts w:cs="Arial"/>
        </w:rPr>
        <w:t>Each year the CDE reports teacher shortage data to the U</w:t>
      </w:r>
      <w:r w:rsidR="00B738ED">
        <w:rPr>
          <w:rFonts w:cs="Arial"/>
        </w:rPr>
        <w:t>.</w:t>
      </w:r>
      <w:r w:rsidRPr="00D26A93">
        <w:rPr>
          <w:rFonts w:cs="Arial"/>
        </w:rPr>
        <w:t>S</w:t>
      </w:r>
      <w:r w:rsidR="00B738ED">
        <w:rPr>
          <w:rFonts w:cs="Arial"/>
        </w:rPr>
        <w:t>.</w:t>
      </w:r>
      <w:r w:rsidRPr="00D26A93">
        <w:rPr>
          <w:rFonts w:cs="Arial"/>
        </w:rPr>
        <w:t xml:space="preserve"> Department of Education (ED). Prior to the availability of the Teaching AMO</w:t>
      </w:r>
      <w:r w:rsidR="00845781">
        <w:rPr>
          <w:rFonts w:cs="Arial"/>
        </w:rPr>
        <w:t xml:space="preserve"> data</w:t>
      </w:r>
      <w:r w:rsidRPr="00D26A93">
        <w:rPr>
          <w:rFonts w:cs="Arial"/>
        </w:rPr>
        <w:t xml:space="preserve">, the shortage data was self-reported through the California Basic Educational Data System. The </w:t>
      </w:r>
      <w:r w:rsidR="00EA6886">
        <w:rPr>
          <w:rFonts w:cs="Arial"/>
        </w:rPr>
        <w:t>T</w:t>
      </w:r>
      <w:r w:rsidRPr="00D26A93">
        <w:rPr>
          <w:rFonts w:cs="Arial"/>
        </w:rPr>
        <w:t>eaching AMO data has enabled the CDE to more accurately report shortages according to ED’s definitions. For example, ineffective teachers and those teaching out-of-field are considered a shortage due to the fact that an appropriately credentialed teacher could not be hired for that position.</w:t>
      </w:r>
    </w:p>
    <w:p w14:paraId="134EAA36" w14:textId="77777777" w:rsidR="003F50BC" w:rsidRPr="00D26A93" w:rsidRDefault="003F50BC" w:rsidP="00643C46">
      <w:pPr>
        <w:pStyle w:val="Heading3"/>
        <w:spacing w:before="0"/>
        <w:rPr>
          <w:rFonts w:cs="Arial"/>
        </w:rPr>
      </w:pPr>
      <w:r w:rsidRPr="00D26A93">
        <w:rPr>
          <w:rFonts w:cs="Arial"/>
        </w:rPr>
        <w:t>Promoting Equitable Access to Teachers Program</w:t>
      </w:r>
    </w:p>
    <w:p w14:paraId="4BE49EDA" w14:textId="77777777" w:rsidR="003F50BC" w:rsidRPr="00D26A93" w:rsidRDefault="003F50BC" w:rsidP="46A2BB53">
      <w:pPr>
        <w:shd w:val="clear" w:color="auto" w:fill="FFFFFF" w:themeFill="background1"/>
        <w:spacing w:before="240" w:after="240"/>
        <w:rPr>
          <w:rFonts w:cs="Arial"/>
        </w:rPr>
      </w:pPr>
      <w:r w:rsidRPr="00D26A93">
        <w:rPr>
          <w:rFonts w:cs="Arial"/>
        </w:rPr>
        <w:t xml:space="preserve">The CDE has developed the Promoting Equitable Access to Teachers (PEAT) Program to assist LEAs in identifying and addressing local disparities or equity gaps. A key element of the PEAT Program is a suite of equity tools designed to guide LEAs as they collect and analyze the appropriate data, conduct data analyses to identify potential equity gaps, conduct a root cause analysis and consider various strategies to address disparities, and engage stakeholders in the process. </w:t>
      </w:r>
    </w:p>
    <w:p w14:paraId="1CAEE4BE" w14:textId="577F7357" w:rsidR="003F50BC" w:rsidRPr="00D26A93" w:rsidRDefault="003F50BC" w:rsidP="46A2BB53">
      <w:pPr>
        <w:shd w:val="clear" w:color="auto" w:fill="FFFFFF" w:themeFill="background1"/>
        <w:spacing w:before="240" w:after="240"/>
        <w:rPr>
          <w:rFonts w:cs="Arial"/>
        </w:rPr>
      </w:pPr>
      <w:r w:rsidRPr="00D26A93">
        <w:rPr>
          <w:rFonts w:cs="Arial"/>
        </w:rPr>
        <w:t xml:space="preserve">Other PEAT resources address the topics of retention, recruitment, and diversification of the teacher workforce to directly assist LEAs to continuously improve equitable access </w:t>
      </w:r>
      <w:r w:rsidRPr="00D26A93">
        <w:rPr>
          <w:rFonts w:cs="Arial"/>
        </w:rPr>
        <w:lastRenderedPageBreak/>
        <w:t>to teachers. More recently, PEAT staff have added resources on asset-based pedagogies in order to support teachers’ and LEAs’ efficacy in serving California’s culturally rich and diverse communities. Some of these tools were initially developed to help LEAs successfully complete their LCAP Federal Addend</w:t>
      </w:r>
      <w:r w:rsidR="00285635">
        <w:rPr>
          <w:rFonts w:cs="Arial"/>
        </w:rPr>
        <w:t>a</w:t>
      </w:r>
      <w:r w:rsidRPr="00D26A93">
        <w:rPr>
          <w:rFonts w:cs="Arial"/>
        </w:rPr>
        <w:t xml:space="preserve"> in </w:t>
      </w:r>
      <w:r w:rsidR="001D1DDB">
        <w:rPr>
          <w:rFonts w:cs="Arial"/>
        </w:rPr>
        <w:t xml:space="preserve">the </w:t>
      </w:r>
      <w:r w:rsidRPr="00D26A93">
        <w:rPr>
          <w:rFonts w:cs="Arial"/>
        </w:rPr>
        <w:t>2018–19</w:t>
      </w:r>
      <w:r w:rsidR="001D1DDB">
        <w:rPr>
          <w:rFonts w:cs="Arial"/>
        </w:rPr>
        <w:t xml:space="preserve"> school year</w:t>
      </w:r>
      <w:r w:rsidRPr="00D26A93">
        <w:rPr>
          <w:rFonts w:cs="Arial"/>
        </w:rPr>
        <w:t xml:space="preserve">. Now, these tools serve to assist LEAs and school communities to continue addressing any equity gaps in the years ahead. </w:t>
      </w:r>
    </w:p>
    <w:p w14:paraId="7C8A14CD" w14:textId="0C9567D4" w:rsidR="003F50BC" w:rsidRPr="00D26A93" w:rsidRDefault="003F50BC" w:rsidP="00B25530">
      <w:pPr>
        <w:shd w:val="clear" w:color="auto" w:fill="FFFFFF" w:themeFill="background1"/>
        <w:spacing w:before="240" w:after="480"/>
        <w:rPr>
          <w:rFonts w:cs="Arial"/>
        </w:rPr>
      </w:pPr>
      <w:r w:rsidRPr="00D26A93">
        <w:rPr>
          <w:rFonts w:cs="Arial"/>
        </w:rPr>
        <w:t xml:space="preserve">Most recently, a set of training videos was added to the PEAT website to help them understand and refine their local Teaching AMO data. The videos include an overview of the data and also topics that were chosen from common questions received by </w:t>
      </w:r>
      <w:r w:rsidR="00CD7F0C">
        <w:rPr>
          <w:rFonts w:cs="Arial"/>
        </w:rPr>
        <w:t xml:space="preserve">the </w:t>
      </w:r>
      <w:r w:rsidRPr="00D26A93">
        <w:rPr>
          <w:rFonts w:cs="Arial"/>
        </w:rPr>
        <w:t xml:space="preserve">CDE about the data. The tools are available on the CDE PEAT Program web page at </w:t>
      </w:r>
      <w:hyperlink r:id="rId12" w:tooltip="CDE PEAT web page " w:history="1">
        <w:r w:rsidR="0067244B" w:rsidRPr="001E2FC4">
          <w:rPr>
            <w:rStyle w:val="Hyperlink"/>
            <w:rFonts w:cs="Arial"/>
          </w:rPr>
          <w:t>https://www.cde.ca.gov/ci/pl/peat.asp</w:t>
        </w:r>
      </w:hyperlink>
      <w:r w:rsidRPr="00D26A93">
        <w:rPr>
          <w:rFonts w:cs="Arial"/>
        </w:rPr>
        <w:t>.</w:t>
      </w:r>
      <w:r w:rsidR="0067244B">
        <w:rPr>
          <w:rFonts w:cs="Arial"/>
        </w:rPr>
        <w:t xml:space="preserve"> </w:t>
      </w:r>
    </w:p>
    <w:p w14:paraId="3D8F4F82" w14:textId="77505859" w:rsidR="00DF4289" w:rsidRPr="00D26A93" w:rsidRDefault="00DF4289" w:rsidP="00643C46">
      <w:pPr>
        <w:pStyle w:val="Heading2"/>
        <w:spacing w:before="0"/>
        <w:rPr>
          <w:lang w:val="en"/>
        </w:rPr>
      </w:pPr>
      <w:r w:rsidRPr="00D26A93">
        <w:rPr>
          <w:lang w:val="en"/>
        </w:rPr>
        <w:t>Attachments</w:t>
      </w:r>
    </w:p>
    <w:p w14:paraId="01338A29" w14:textId="7E9DDB3D" w:rsidR="00DF4289" w:rsidRPr="00DF4289" w:rsidRDefault="00DF4289" w:rsidP="00DF4289">
      <w:pPr>
        <w:rPr>
          <w:lang w:val="en"/>
        </w:rPr>
      </w:pPr>
      <w:r w:rsidRPr="00D26A93">
        <w:rPr>
          <w:lang w:val="en"/>
        </w:rPr>
        <w:t>None.</w:t>
      </w:r>
    </w:p>
    <w:sectPr w:rsidR="00DF4289" w:rsidRPr="00DF4289" w:rsidSect="003F50BC">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5F1DB" w14:textId="77777777" w:rsidR="00B273CC" w:rsidRDefault="00B273CC" w:rsidP="007544C7">
      <w:r>
        <w:separator/>
      </w:r>
    </w:p>
  </w:endnote>
  <w:endnote w:type="continuationSeparator" w:id="0">
    <w:p w14:paraId="3EF2126C" w14:textId="77777777" w:rsidR="00B273CC" w:rsidRDefault="00B273CC" w:rsidP="00754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23CEC" w14:textId="77777777" w:rsidR="00B273CC" w:rsidRDefault="00B273CC" w:rsidP="007544C7">
      <w:r>
        <w:separator/>
      </w:r>
    </w:p>
  </w:footnote>
  <w:footnote w:type="continuationSeparator" w:id="0">
    <w:p w14:paraId="1E8C1FAB" w14:textId="77777777" w:rsidR="00B273CC" w:rsidRDefault="00B273CC" w:rsidP="00754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3C07A690" w14:textId="01158587" w:rsidR="00A77250" w:rsidRPr="00B67475" w:rsidRDefault="00A77250" w:rsidP="00A77250">
        <w:pPr>
          <w:jc w:val="right"/>
          <w:rPr>
            <w:rFonts w:cs="Arial"/>
          </w:rPr>
        </w:pPr>
        <w:r w:rsidRPr="00B67475">
          <w:rPr>
            <w:rFonts w:cs="Arial"/>
          </w:rPr>
          <w:t>memo-imab-plsd-</w:t>
        </w:r>
        <w:r w:rsidR="009E1A03">
          <w:rPr>
            <w:rFonts w:cs="Arial"/>
          </w:rPr>
          <w:t>aug</w:t>
        </w:r>
        <w:r w:rsidRPr="00B67475">
          <w:rPr>
            <w:rFonts w:cs="Arial"/>
          </w:rPr>
          <w:t>24item</w:t>
        </w:r>
        <w:r w:rsidR="009167A9">
          <w:rPr>
            <w:rFonts w:cs="Arial"/>
          </w:rPr>
          <w:t>01</w:t>
        </w:r>
      </w:p>
      <w:p w14:paraId="01013AF1" w14:textId="1AD85EA6" w:rsidR="00A77250" w:rsidRPr="00A77250" w:rsidRDefault="00A77250" w:rsidP="0095554F">
        <w:pPr>
          <w:pStyle w:val="Header"/>
          <w:spacing w:after="480"/>
          <w:jc w:val="right"/>
        </w:pPr>
        <w:r w:rsidRPr="00A77250">
          <w:t xml:space="preserve">Page </w:t>
        </w:r>
        <w:r w:rsidRPr="00A77250">
          <w:fldChar w:fldCharType="begin"/>
        </w:r>
        <w:r w:rsidRPr="00A77250">
          <w:instrText xml:space="preserve"> PAGE </w:instrText>
        </w:r>
        <w:r w:rsidRPr="00A77250">
          <w:fldChar w:fldCharType="separate"/>
        </w:r>
        <w:r w:rsidRPr="00A77250">
          <w:rPr>
            <w:noProof/>
          </w:rPr>
          <w:t>2</w:t>
        </w:r>
        <w:r w:rsidRPr="00A77250">
          <w:fldChar w:fldCharType="end"/>
        </w:r>
        <w:r w:rsidRPr="00A77250">
          <w:t xml:space="preserve"> of </w:t>
        </w:r>
        <w:r>
          <w:fldChar w:fldCharType="begin"/>
        </w:r>
        <w:r>
          <w:instrText xml:space="preserve"> NUMPAGES  </w:instrText>
        </w:r>
        <w:r>
          <w:fldChar w:fldCharType="separate"/>
        </w:r>
        <w:r w:rsidRPr="00A77250">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0BE9"/>
    <w:multiLevelType w:val="multilevel"/>
    <w:tmpl w:val="260AA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C56076"/>
    <w:multiLevelType w:val="hybridMultilevel"/>
    <w:tmpl w:val="AF500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5469A"/>
    <w:multiLevelType w:val="multilevel"/>
    <w:tmpl w:val="6946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9B76D1"/>
    <w:multiLevelType w:val="multilevel"/>
    <w:tmpl w:val="18E0C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98786E"/>
    <w:multiLevelType w:val="hybridMultilevel"/>
    <w:tmpl w:val="46C6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9113126">
    <w:abstractNumId w:val="2"/>
  </w:num>
  <w:num w:numId="2" w16cid:durableId="1755392646">
    <w:abstractNumId w:val="1"/>
  </w:num>
  <w:num w:numId="3" w16cid:durableId="1383335478">
    <w:abstractNumId w:val="4"/>
  </w:num>
  <w:num w:numId="4" w16cid:durableId="116726611">
    <w:abstractNumId w:val="3"/>
  </w:num>
  <w:num w:numId="5" w16cid:durableId="1239095585">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01527"/>
    <w:rsid w:val="000037ED"/>
    <w:rsid w:val="00007596"/>
    <w:rsid w:val="0002692A"/>
    <w:rsid w:val="000316BF"/>
    <w:rsid w:val="00044727"/>
    <w:rsid w:val="0004711E"/>
    <w:rsid w:val="00052A32"/>
    <w:rsid w:val="00053B2A"/>
    <w:rsid w:val="00057A96"/>
    <w:rsid w:val="00063289"/>
    <w:rsid w:val="00064082"/>
    <w:rsid w:val="000654F2"/>
    <w:rsid w:val="00077927"/>
    <w:rsid w:val="00080739"/>
    <w:rsid w:val="000A2381"/>
    <w:rsid w:val="000B1571"/>
    <w:rsid w:val="000B201F"/>
    <w:rsid w:val="000C139F"/>
    <w:rsid w:val="000D1B8D"/>
    <w:rsid w:val="000D607F"/>
    <w:rsid w:val="000F71E6"/>
    <w:rsid w:val="001214FC"/>
    <w:rsid w:val="00130FCB"/>
    <w:rsid w:val="001615C8"/>
    <w:rsid w:val="0016173B"/>
    <w:rsid w:val="001648E9"/>
    <w:rsid w:val="0017327B"/>
    <w:rsid w:val="001756FA"/>
    <w:rsid w:val="00184DEF"/>
    <w:rsid w:val="00185A1A"/>
    <w:rsid w:val="00190652"/>
    <w:rsid w:val="001978D9"/>
    <w:rsid w:val="001A28CE"/>
    <w:rsid w:val="001C26DD"/>
    <w:rsid w:val="001D1DDB"/>
    <w:rsid w:val="001D4A5B"/>
    <w:rsid w:val="001D566E"/>
    <w:rsid w:val="001E1A51"/>
    <w:rsid w:val="001F1D3E"/>
    <w:rsid w:val="001F3281"/>
    <w:rsid w:val="00207010"/>
    <w:rsid w:val="002172E2"/>
    <w:rsid w:val="00234373"/>
    <w:rsid w:val="002408E4"/>
    <w:rsid w:val="00251378"/>
    <w:rsid w:val="00252EAF"/>
    <w:rsid w:val="00264270"/>
    <w:rsid w:val="002674C7"/>
    <w:rsid w:val="0028296B"/>
    <w:rsid w:val="00285635"/>
    <w:rsid w:val="00290D2F"/>
    <w:rsid w:val="0029286A"/>
    <w:rsid w:val="00297A39"/>
    <w:rsid w:val="002A02B1"/>
    <w:rsid w:val="002E0B48"/>
    <w:rsid w:val="002E6D9D"/>
    <w:rsid w:val="00302797"/>
    <w:rsid w:val="00303695"/>
    <w:rsid w:val="00321D49"/>
    <w:rsid w:val="00322C00"/>
    <w:rsid w:val="003246C4"/>
    <w:rsid w:val="00325EAA"/>
    <w:rsid w:val="00331119"/>
    <w:rsid w:val="0033616F"/>
    <w:rsid w:val="00350578"/>
    <w:rsid w:val="00355B4D"/>
    <w:rsid w:val="00364C1F"/>
    <w:rsid w:val="00367AF1"/>
    <w:rsid w:val="003B0D17"/>
    <w:rsid w:val="003B3EEC"/>
    <w:rsid w:val="003D5103"/>
    <w:rsid w:val="003D62BD"/>
    <w:rsid w:val="003D726F"/>
    <w:rsid w:val="003D79CD"/>
    <w:rsid w:val="003E12F5"/>
    <w:rsid w:val="003E330F"/>
    <w:rsid w:val="003E3B94"/>
    <w:rsid w:val="003E3FC4"/>
    <w:rsid w:val="003F50BC"/>
    <w:rsid w:val="004040E2"/>
    <w:rsid w:val="0040732D"/>
    <w:rsid w:val="004239B8"/>
    <w:rsid w:val="0043221A"/>
    <w:rsid w:val="00432756"/>
    <w:rsid w:val="00433BA8"/>
    <w:rsid w:val="00446738"/>
    <w:rsid w:val="0045496F"/>
    <w:rsid w:val="004569BA"/>
    <w:rsid w:val="0046661A"/>
    <w:rsid w:val="004667D1"/>
    <w:rsid w:val="00467C66"/>
    <w:rsid w:val="004721F3"/>
    <w:rsid w:val="00474A2F"/>
    <w:rsid w:val="00483FEF"/>
    <w:rsid w:val="004A2722"/>
    <w:rsid w:val="004D6C18"/>
    <w:rsid w:val="004E121C"/>
    <w:rsid w:val="004E4DB7"/>
    <w:rsid w:val="004F344A"/>
    <w:rsid w:val="004F4764"/>
    <w:rsid w:val="004F7F02"/>
    <w:rsid w:val="00504532"/>
    <w:rsid w:val="00513463"/>
    <w:rsid w:val="0051479B"/>
    <w:rsid w:val="00520EDD"/>
    <w:rsid w:val="005431FC"/>
    <w:rsid w:val="0054334A"/>
    <w:rsid w:val="00544C8E"/>
    <w:rsid w:val="00545EDF"/>
    <w:rsid w:val="005663EE"/>
    <w:rsid w:val="00566EA0"/>
    <w:rsid w:val="0056743E"/>
    <w:rsid w:val="0058081F"/>
    <w:rsid w:val="00582472"/>
    <w:rsid w:val="00586315"/>
    <w:rsid w:val="00597CBE"/>
    <w:rsid w:val="005A1B3B"/>
    <w:rsid w:val="005B1068"/>
    <w:rsid w:val="005B1325"/>
    <w:rsid w:val="005D600A"/>
    <w:rsid w:val="005E5348"/>
    <w:rsid w:val="005F20A0"/>
    <w:rsid w:val="005F3769"/>
    <w:rsid w:val="00605B37"/>
    <w:rsid w:val="00606C11"/>
    <w:rsid w:val="006327B4"/>
    <w:rsid w:val="006332BB"/>
    <w:rsid w:val="00643C46"/>
    <w:rsid w:val="0065120F"/>
    <w:rsid w:val="006545EF"/>
    <w:rsid w:val="006546F0"/>
    <w:rsid w:val="00656F97"/>
    <w:rsid w:val="00667D3D"/>
    <w:rsid w:val="0067244B"/>
    <w:rsid w:val="00673B74"/>
    <w:rsid w:val="00681207"/>
    <w:rsid w:val="0068256A"/>
    <w:rsid w:val="0068268C"/>
    <w:rsid w:val="0069600A"/>
    <w:rsid w:val="006A2178"/>
    <w:rsid w:val="006F49D2"/>
    <w:rsid w:val="00713E7E"/>
    <w:rsid w:val="00714F2E"/>
    <w:rsid w:val="007409C1"/>
    <w:rsid w:val="00740AC4"/>
    <w:rsid w:val="00752250"/>
    <w:rsid w:val="007544C7"/>
    <w:rsid w:val="00773179"/>
    <w:rsid w:val="00780FFC"/>
    <w:rsid w:val="00793A9D"/>
    <w:rsid w:val="007A0E35"/>
    <w:rsid w:val="007A2653"/>
    <w:rsid w:val="007A5D73"/>
    <w:rsid w:val="007C79E3"/>
    <w:rsid w:val="007D5F5A"/>
    <w:rsid w:val="007E4674"/>
    <w:rsid w:val="007E50D9"/>
    <w:rsid w:val="007E6302"/>
    <w:rsid w:val="007F5911"/>
    <w:rsid w:val="007F5D47"/>
    <w:rsid w:val="00805537"/>
    <w:rsid w:val="008213F2"/>
    <w:rsid w:val="008301B0"/>
    <w:rsid w:val="0083175B"/>
    <w:rsid w:val="00837DF1"/>
    <w:rsid w:val="008455E4"/>
    <w:rsid w:val="00845781"/>
    <w:rsid w:val="008479CC"/>
    <w:rsid w:val="00866A3E"/>
    <w:rsid w:val="0089261F"/>
    <w:rsid w:val="008A2710"/>
    <w:rsid w:val="008A40D7"/>
    <w:rsid w:val="008B1135"/>
    <w:rsid w:val="008B530C"/>
    <w:rsid w:val="008D2B05"/>
    <w:rsid w:val="008D329B"/>
    <w:rsid w:val="008E70B0"/>
    <w:rsid w:val="008F6CA0"/>
    <w:rsid w:val="008F7210"/>
    <w:rsid w:val="00906F91"/>
    <w:rsid w:val="00910657"/>
    <w:rsid w:val="00915031"/>
    <w:rsid w:val="009167A9"/>
    <w:rsid w:val="00944145"/>
    <w:rsid w:val="00953DF4"/>
    <w:rsid w:val="0095554F"/>
    <w:rsid w:val="00962F4F"/>
    <w:rsid w:val="00963290"/>
    <w:rsid w:val="00982A10"/>
    <w:rsid w:val="00996D48"/>
    <w:rsid w:val="009B70C4"/>
    <w:rsid w:val="009C0C1F"/>
    <w:rsid w:val="009D0BDE"/>
    <w:rsid w:val="009D79AE"/>
    <w:rsid w:val="009E17BD"/>
    <w:rsid w:val="009E1A03"/>
    <w:rsid w:val="009F355C"/>
    <w:rsid w:val="00A11875"/>
    <w:rsid w:val="00A20515"/>
    <w:rsid w:val="00A30B08"/>
    <w:rsid w:val="00A35C73"/>
    <w:rsid w:val="00A5208B"/>
    <w:rsid w:val="00A570AE"/>
    <w:rsid w:val="00A77250"/>
    <w:rsid w:val="00A93C97"/>
    <w:rsid w:val="00AA22AE"/>
    <w:rsid w:val="00AB41DF"/>
    <w:rsid w:val="00AB4C92"/>
    <w:rsid w:val="00AB5C40"/>
    <w:rsid w:val="00AB77E9"/>
    <w:rsid w:val="00AC18C9"/>
    <w:rsid w:val="00B17237"/>
    <w:rsid w:val="00B21766"/>
    <w:rsid w:val="00B25530"/>
    <w:rsid w:val="00B273CC"/>
    <w:rsid w:val="00B305B8"/>
    <w:rsid w:val="00B37077"/>
    <w:rsid w:val="00B62D75"/>
    <w:rsid w:val="00B642BD"/>
    <w:rsid w:val="00B67475"/>
    <w:rsid w:val="00B738ED"/>
    <w:rsid w:val="00B762B0"/>
    <w:rsid w:val="00B818C1"/>
    <w:rsid w:val="00B85869"/>
    <w:rsid w:val="00B9002E"/>
    <w:rsid w:val="00B9207C"/>
    <w:rsid w:val="00B92324"/>
    <w:rsid w:val="00B950BA"/>
    <w:rsid w:val="00BA4FEE"/>
    <w:rsid w:val="00BA59AE"/>
    <w:rsid w:val="00BB0BCF"/>
    <w:rsid w:val="00BB7D5A"/>
    <w:rsid w:val="00BC2C3F"/>
    <w:rsid w:val="00BC3667"/>
    <w:rsid w:val="00BC376B"/>
    <w:rsid w:val="00BD639B"/>
    <w:rsid w:val="00BE59C4"/>
    <w:rsid w:val="00BE714D"/>
    <w:rsid w:val="00BF7F32"/>
    <w:rsid w:val="00C14098"/>
    <w:rsid w:val="00C31651"/>
    <w:rsid w:val="00C420BB"/>
    <w:rsid w:val="00C50F16"/>
    <w:rsid w:val="00C60CE7"/>
    <w:rsid w:val="00C61F78"/>
    <w:rsid w:val="00C819B9"/>
    <w:rsid w:val="00C86756"/>
    <w:rsid w:val="00C944EE"/>
    <w:rsid w:val="00C945B6"/>
    <w:rsid w:val="00CA2238"/>
    <w:rsid w:val="00CA2751"/>
    <w:rsid w:val="00CB1491"/>
    <w:rsid w:val="00CB23E8"/>
    <w:rsid w:val="00CC5474"/>
    <w:rsid w:val="00CD3406"/>
    <w:rsid w:val="00CD4545"/>
    <w:rsid w:val="00CD7F0C"/>
    <w:rsid w:val="00CE1403"/>
    <w:rsid w:val="00CE1AE9"/>
    <w:rsid w:val="00CE2412"/>
    <w:rsid w:val="00CF3644"/>
    <w:rsid w:val="00D012E2"/>
    <w:rsid w:val="00D02AD1"/>
    <w:rsid w:val="00D07579"/>
    <w:rsid w:val="00D204CC"/>
    <w:rsid w:val="00D26A93"/>
    <w:rsid w:val="00D35ADA"/>
    <w:rsid w:val="00D41BAD"/>
    <w:rsid w:val="00D5184B"/>
    <w:rsid w:val="00D569B3"/>
    <w:rsid w:val="00D81D92"/>
    <w:rsid w:val="00D81E7D"/>
    <w:rsid w:val="00D96184"/>
    <w:rsid w:val="00DA1B7E"/>
    <w:rsid w:val="00DA302B"/>
    <w:rsid w:val="00DA3E3F"/>
    <w:rsid w:val="00DB4485"/>
    <w:rsid w:val="00DB48EE"/>
    <w:rsid w:val="00DC5FAA"/>
    <w:rsid w:val="00DE0002"/>
    <w:rsid w:val="00DE36A5"/>
    <w:rsid w:val="00DE3948"/>
    <w:rsid w:val="00DF21E3"/>
    <w:rsid w:val="00DF3C1C"/>
    <w:rsid w:val="00DF4289"/>
    <w:rsid w:val="00E04C9E"/>
    <w:rsid w:val="00E32FDC"/>
    <w:rsid w:val="00E35D44"/>
    <w:rsid w:val="00E54AEA"/>
    <w:rsid w:val="00E64D91"/>
    <w:rsid w:val="00E76873"/>
    <w:rsid w:val="00E94A03"/>
    <w:rsid w:val="00EA184C"/>
    <w:rsid w:val="00EA1F43"/>
    <w:rsid w:val="00EA56DF"/>
    <w:rsid w:val="00EA6886"/>
    <w:rsid w:val="00EB6D1D"/>
    <w:rsid w:val="00EC3FF1"/>
    <w:rsid w:val="00EC488D"/>
    <w:rsid w:val="00ED4FA4"/>
    <w:rsid w:val="00ED5232"/>
    <w:rsid w:val="00EF16D4"/>
    <w:rsid w:val="00EF6352"/>
    <w:rsid w:val="00F005FB"/>
    <w:rsid w:val="00F06887"/>
    <w:rsid w:val="00F13B12"/>
    <w:rsid w:val="00F236F2"/>
    <w:rsid w:val="00F37CA7"/>
    <w:rsid w:val="00FA5B62"/>
    <w:rsid w:val="00FB115E"/>
    <w:rsid w:val="00FB6E44"/>
    <w:rsid w:val="00FC44D9"/>
    <w:rsid w:val="00FC746A"/>
    <w:rsid w:val="00FE2882"/>
    <w:rsid w:val="00FF21B3"/>
    <w:rsid w:val="00FF420C"/>
    <w:rsid w:val="0593E802"/>
    <w:rsid w:val="20222974"/>
    <w:rsid w:val="4564E60A"/>
    <w:rsid w:val="46A2BB53"/>
    <w:rsid w:val="58259A20"/>
    <w:rsid w:val="58A1574E"/>
    <w:rsid w:val="677ADCF8"/>
    <w:rsid w:val="7B759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0BC39"/>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544C7"/>
    <w:pPr>
      <w:keepNext/>
      <w:keepLines/>
      <w:spacing w:before="24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B67475"/>
    <w:pPr>
      <w:keepNext/>
      <w:keepLines/>
      <w:spacing w:before="240" w:after="24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B67475"/>
    <w:pPr>
      <w:keepNext/>
      <w:keepLines/>
      <w:spacing w:before="240" w:after="240"/>
      <w:outlineLvl w:val="2"/>
    </w:pPr>
    <w:rPr>
      <w:rFonts w:eastAsiaTheme="majorEastAsia" w:cstheme="majorBidi"/>
      <w:b/>
      <w:sz w:val="32"/>
    </w:rPr>
  </w:style>
  <w:style w:type="paragraph" w:styleId="Heading4">
    <w:name w:val="heading 4"/>
    <w:basedOn w:val="Normal"/>
    <w:next w:val="Normal"/>
    <w:link w:val="Heading4Char"/>
    <w:uiPriority w:val="9"/>
    <w:unhideWhenUsed/>
    <w:qFormat/>
    <w:rsid w:val="00915031"/>
    <w:pPr>
      <w:keepNext/>
      <w:keepLines/>
      <w:spacing w:before="240" w:after="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1409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B67475"/>
    <w:rPr>
      <w:rFonts w:ascii="Arial" w:eastAsiaTheme="majorEastAsia" w:hAnsi="Arial" w:cstheme="majorBidi"/>
      <w:b/>
      <w:sz w:val="3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7544C7"/>
    <w:rPr>
      <w:rFonts w:ascii="Arial" w:eastAsiaTheme="majorEastAsia" w:hAnsi="Arial" w:cstheme="majorBidi"/>
      <w:b/>
      <w:sz w:val="40"/>
      <w:szCs w:val="32"/>
    </w:rPr>
  </w:style>
  <w:style w:type="character" w:customStyle="1" w:styleId="Heading3Char">
    <w:name w:val="Heading 3 Char"/>
    <w:basedOn w:val="DefaultParagraphFont"/>
    <w:link w:val="Heading3"/>
    <w:uiPriority w:val="9"/>
    <w:rsid w:val="00B67475"/>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915031"/>
    <w:rPr>
      <w:rFonts w:ascii="Arial" w:eastAsiaTheme="majorEastAsia" w:hAnsi="Arial" w:cstheme="majorBidi"/>
      <w:b/>
      <w:iCs/>
      <w:sz w:val="28"/>
      <w:szCs w:val="24"/>
    </w:rPr>
  </w:style>
  <w:style w:type="character" w:customStyle="1" w:styleId="Heading5Char">
    <w:name w:val="Heading 5 Char"/>
    <w:basedOn w:val="DefaultParagraphFont"/>
    <w:link w:val="Heading5"/>
    <w:uiPriority w:val="9"/>
    <w:rsid w:val="00C14098"/>
    <w:rPr>
      <w:rFonts w:asciiTheme="majorHAnsi" w:eastAsiaTheme="majorEastAsia" w:hAnsiTheme="majorHAnsi" w:cstheme="majorBidi"/>
      <w:color w:val="2E74B5" w:themeColor="accent1" w:themeShade="BF"/>
      <w:sz w:val="24"/>
      <w:szCs w:val="24"/>
    </w:rPr>
  </w:style>
  <w:style w:type="paragraph" w:styleId="NormalWeb">
    <w:name w:val="Normal (Web)"/>
    <w:basedOn w:val="Normal"/>
    <w:uiPriority w:val="99"/>
    <w:unhideWhenUsed/>
    <w:rsid w:val="003F50BC"/>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3F50BC"/>
    <w:rPr>
      <w:color w:val="0000FF"/>
      <w:u w:val="single"/>
    </w:rPr>
  </w:style>
  <w:style w:type="paragraph" w:styleId="ListParagraph">
    <w:name w:val="List Paragraph"/>
    <w:basedOn w:val="Normal"/>
    <w:uiPriority w:val="34"/>
    <w:qFormat/>
    <w:rsid w:val="003F50BC"/>
    <w:pPr>
      <w:spacing w:before="240" w:after="240"/>
      <w:ind w:left="720"/>
      <w:contextualSpacing/>
    </w:pPr>
    <w:rPr>
      <w:rFonts w:ascii="Times New Roman" w:hAnsi="Times New Roman"/>
    </w:rPr>
  </w:style>
  <w:style w:type="table" w:styleId="TableGrid">
    <w:name w:val="Table Grid"/>
    <w:basedOn w:val="TableNormal"/>
    <w:uiPriority w:val="39"/>
    <w:rsid w:val="003F5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Normal"/>
    <w:link w:val="MessageHeaderChar"/>
    <w:uiPriority w:val="99"/>
    <w:unhideWhenUsed/>
    <w:rsid w:val="003F50BC"/>
    <w:pPr>
      <w:spacing w:before="240"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3F50BC"/>
    <w:rPr>
      <w:rFonts w:ascii="Arial" w:eastAsiaTheme="majorEastAsia" w:hAnsi="Arial" w:cstheme="majorBidi"/>
      <w:sz w:val="24"/>
      <w:szCs w:val="24"/>
    </w:rPr>
  </w:style>
  <w:style w:type="paragraph" w:styleId="Header">
    <w:name w:val="header"/>
    <w:basedOn w:val="Normal"/>
    <w:link w:val="HeaderChar"/>
    <w:uiPriority w:val="99"/>
    <w:unhideWhenUsed/>
    <w:rsid w:val="007544C7"/>
    <w:pPr>
      <w:tabs>
        <w:tab w:val="center" w:pos="4680"/>
        <w:tab w:val="right" w:pos="9360"/>
      </w:tabs>
    </w:pPr>
  </w:style>
  <w:style w:type="character" w:customStyle="1" w:styleId="HeaderChar">
    <w:name w:val="Header Char"/>
    <w:basedOn w:val="DefaultParagraphFont"/>
    <w:link w:val="Header"/>
    <w:uiPriority w:val="99"/>
    <w:rsid w:val="007544C7"/>
    <w:rPr>
      <w:rFonts w:ascii="Arial" w:eastAsia="Times New Roman" w:hAnsi="Arial" w:cs="Times New Roman"/>
      <w:sz w:val="24"/>
      <w:szCs w:val="24"/>
    </w:rPr>
  </w:style>
  <w:style w:type="paragraph" w:styleId="Footer">
    <w:name w:val="footer"/>
    <w:basedOn w:val="Normal"/>
    <w:link w:val="FooterChar"/>
    <w:uiPriority w:val="99"/>
    <w:unhideWhenUsed/>
    <w:rsid w:val="007544C7"/>
    <w:pPr>
      <w:tabs>
        <w:tab w:val="center" w:pos="4680"/>
        <w:tab w:val="right" w:pos="9360"/>
      </w:tabs>
    </w:pPr>
  </w:style>
  <w:style w:type="character" w:customStyle="1" w:styleId="FooterChar">
    <w:name w:val="Footer Char"/>
    <w:basedOn w:val="DefaultParagraphFont"/>
    <w:link w:val="Footer"/>
    <w:uiPriority w:val="99"/>
    <w:rsid w:val="007544C7"/>
    <w:rPr>
      <w:rFonts w:ascii="Arial" w:eastAsia="Times New Roman" w:hAnsi="Arial" w:cs="Times New Roman"/>
      <w:sz w:val="24"/>
      <w:szCs w:val="24"/>
    </w:rPr>
  </w:style>
  <w:style w:type="paragraph" w:styleId="Revision">
    <w:name w:val="Revision"/>
    <w:hidden/>
    <w:uiPriority w:val="99"/>
    <w:semiHidden/>
    <w:rsid w:val="00BE59C4"/>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063289"/>
    <w:rPr>
      <w:sz w:val="16"/>
      <w:szCs w:val="16"/>
    </w:rPr>
  </w:style>
  <w:style w:type="paragraph" w:styleId="CommentText">
    <w:name w:val="annotation text"/>
    <w:basedOn w:val="Normal"/>
    <w:link w:val="CommentTextChar"/>
    <w:uiPriority w:val="99"/>
    <w:unhideWhenUsed/>
    <w:rsid w:val="00063289"/>
    <w:rPr>
      <w:sz w:val="20"/>
      <w:szCs w:val="20"/>
    </w:rPr>
  </w:style>
  <w:style w:type="character" w:customStyle="1" w:styleId="CommentTextChar">
    <w:name w:val="Comment Text Char"/>
    <w:basedOn w:val="DefaultParagraphFont"/>
    <w:link w:val="CommentText"/>
    <w:uiPriority w:val="99"/>
    <w:rsid w:val="0006328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63289"/>
    <w:rPr>
      <w:b/>
      <w:bCs/>
    </w:rPr>
  </w:style>
  <w:style w:type="character" w:customStyle="1" w:styleId="CommentSubjectChar">
    <w:name w:val="Comment Subject Char"/>
    <w:basedOn w:val="CommentTextChar"/>
    <w:link w:val="CommentSubject"/>
    <w:uiPriority w:val="99"/>
    <w:semiHidden/>
    <w:rsid w:val="00063289"/>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DA1B7E"/>
    <w:rPr>
      <w:color w:val="605E5C"/>
      <w:shd w:val="clear" w:color="auto" w:fill="E1DFDD"/>
    </w:rPr>
  </w:style>
  <w:style w:type="character" w:styleId="FollowedHyperlink">
    <w:name w:val="FollowedHyperlink"/>
    <w:basedOn w:val="DefaultParagraphFont"/>
    <w:uiPriority w:val="99"/>
    <w:semiHidden/>
    <w:unhideWhenUsed/>
    <w:rsid w:val="00BA4F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e.ca.gov/ci/pl/peat.as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e.ca.gov/ci/pl/teacherequitydefinitions.asp"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7FB08BB543C04E917AF9A5E93AD566" ma:contentTypeVersion="8" ma:contentTypeDescription="Create a new document." ma:contentTypeScope="" ma:versionID="b1364627748d339e0b0b6cbe76656c70">
  <xsd:schema xmlns:xsd="http://www.w3.org/2001/XMLSchema" xmlns:xs="http://www.w3.org/2001/XMLSchema" xmlns:p="http://schemas.microsoft.com/office/2006/metadata/properties" xmlns:ns2="4751af9f-9f44-4a81-861d-3b06ff358078" xmlns:ns3="8bbcf04e-7272-4d94-b2b6-1d96d8c23fe2" targetNamespace="http://schemas.microsoft.com/office/2006/metadata/properties" ma:root="true" ma:fieldsID="b2cbcbe9c96be48a5b1a1a9eb28b0abc" ns2:_="" ns3:_="">
    <xsd:import namespace="4751af9f-9f44-4a81-861d-3b06ff358078"/>
    <xsd:import namespace="8bbcf04e-7272-4d94-b2b6-1d96d8c23f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1af9f-9f44-4a81-861d-3b06ff358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bcf04e-7272-4d94-b2b6-1d96d8c23f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04068F-38E8-4FBE-BAA0-41BAF3839C58}">
  <ds:schemaRefs>
    <ds:schemaRef ds:uri="http://purl.org/dc/elements/1.1/"/>
    <ds:schemaRef ds:uri="http://schemas.microsoft.com/office/2006/metadata/properties"/>
    <ds:schemaRef ds:uri="http://purl.org/dc/terms/"/>
    <ds:schemaRef ds:uri="4751af9f-9f44-4a81-861d-3b06ff358078"/>
    <ds:schemaRef ds:uri="http://schemas.microsoft.com/office/2006/documentManagement/types"/>
    <ds:schemaRef ds:uri="http://schemas.microsoft.com/office/infopath/2007/PartnerControls"/>
    <ds:schemaRef ds:uri="http://schemas.openxmlformats.org/package/2006/metadata/core-properties"/>
    <ds:schemaRef ds:uri="8bbcf04e-7272-4d94-b2b6-1d96d8c23fe2"/>
    <ds:schemaRef ds:uri="http://www.w3.org/XML/1998/namespace"/>
    <ds:schemaRef ds:uri="http://purl.org/dc/dcmitype/"/>
  </ds:schemaRefs>
</ds:datastoreItem>
</file>

<file path=customXml/itemProps2.xml><?xml version="1.0" encoding="utf-8"?>
<ds:datastoreItem xmlns:ds="http://schemas.openxmlformats.org/officeDocument/2006/customXml" ds:itemID="{EED663EC-CA12-486E-8035-18B11D4C98ED}">
  <ds:schemaRefs>
    <ds:schemaRef ds:uri="http://schemas.microsoft.com/sharepoint/v3/contenttype/forms"/>
  </ds:schemaRefs>
</ds:datastoreItem>
</file>

<file path=customXml/itemProps3.xml><?xml version="1.0" encoding="utf-8"?>
<ds:datastoreItem xmlns:ds="http://schemas.openxmlformats.org/officeDocument/2006/customXml" ds:itemID="{4E584927-7BE2-4E84-9C46-6E99A96D1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1af9f-9f44-4a81-861d-3b06ff358078"/>
    <ds:schemaRef ds:uri="8bbcf04e-7272-4d94-b2b6-1d96d8c23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13</Pages>
  <Words>3800</Words>
  <Characters>21665</Characters>
  <DocSecurity>0</DocSecurity>
  <Lines>180</Lines>
  <Paragraphs>50</Paragraphs>
  <ScaleCrop>false</ScaleCrop>
  <HeadingPairs>
    <vt:vector size="2" baseType="variant">
      <vt:variant>
        <vt:lpstr>Title</vt:lpstr>
      </vt:variant>
      <vt:variant>
        <vt:i4>1</vt:i4>
      </vt:variant>
    </vt:vector>
  </HeadingPairs>
  <TitlesOfParts>
    <vt:vector size="1" baseType="lpstr">
      <vt:lpstr>August 2024 Memo IMAB PLSD Item XX - Information Memorandum (CA State Board of Education)</vt:lpstr>
    </vt:vector>
  </TitlesOfParts>
  <Company>California State Board of Education</Company>
  <LinksUpToDate>false</LinksUpToDate>
  <CharactersWithSpaces>25415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2024 Memo IMAB PLSD Item 01 - Information Memorandum (CA State Board of Education)</dc:title>
  <dc:subject>2021-22 Educator Equity Data. August 2024 Information Memoranda.</dc:subject>
  <cp:keywords/>
  <dc:description/>
  <cp:lastPrinted>2017-10-30T18:36:00Z</cp:lastPrinted>
  <dcterms:created xsi:type="dcterms:W3CDTF">2024-07-20T01:15:00Z</dcterms:created>
  <dcterms:modified xsi:type="dcterms:W3CDTF">2024-08-14T14:55:00Z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0x010100457FB08BB543C04E917AF9A5E93AD566</vt:lpwstr>
  </property>
  <property fmtid="{D5CDD505-2E9C-101B-9397-08002B2CF9AE}" pid="3" name="MediaServiceImageTags">
    <vt:lpwstr/>
  </property>
</Properties>
</file>