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92FD" w14:textId="77777777" w:rsidR="00A70529" w:rsidRPr="003B0CF6" w:rsidRDefault="00A70529" w:rsidP="00F13761">
      <w:pPr>
        <w:pBdr>
          <w:top w:val="single" w:sz="24" w:space="1" w:color="auto"/>
          <w:left w:val="single" w:sz="24" w:space="4" w:color="auto"/>
          <w:bottom w:val="single" w:sz="24" w:space="1" w:color="auto"/>
          <w:right w:val="single" w:sz="24" w:space="4" w:color="auto"/>
        </w:pBdr>
        <w:spacing w:after="480"/>
        <w:jc w:val="center"/>
        <w:rPr>
          <w:rFonts w:cs="Arial"/>
          <w:b/>
          <w:bCs/>
          <w:sz w:val="28"/>
          <w:szCs w:val="28"/>
        </w:rPr>
      </w:pPr>
      <w:r w:rsidRPr="003B0CF6">
        <w:rPr>
          <w:rFonts w:cs="Arial"/>
          <w:b/>
          <w:bCs/>
          <w:sz w:val="28"/>
          <w:szCs w:val="28"/>
        </w:rPr>
        <w:t>California Department of Education</w:t>
      </w:r>
    </w:p>
    <w:p w14:paraId="575D9A7F" w14:textId="772CE6AE" w:rsidR="00A70529" w:rsidRPr="003B0CF6" w:rsidRDefault="00A70529" w:rsidP="002126AE">
      <w:pPr>
        <w:pStyle w:val="Heading1"/>
        <w:spacing w:after="0"/>
      </w:pPr>
      <w:bookmarkStart w:id="0" w:name="_Toc158883503"/>
      <w:bookmarkStart w:id="1" w:name="_Toc56495081"/>
      <w:bookmarkStart w:id="2" w:name="_Toc56500266"/>
      <w:bookmarkStart w:id="3" w:name="_Toc97291337"/>
      <w:bookmarkStart w:id="4" w:name="_Toc97511080"/>
      <w:bookmarkStart w:id="5" w:name="_Toc97676853"/>
      <w:bookmarkStart w:id="6" w:name="_Toc116282048"/>
      <w:bookmarkStart w:id="7" w:name="_Toc149596250"/>
      <w:bookmarkStart w:id="8" w:name="_Toc155706000"/>
      <w:bookmarkStart w:id="9" w:name="_Toc155706838"/>
      <w:bookmarkStart w:id="10" w:name="_Toc156291810"/>
      <w:bookmarkStart w:id="11" w:name="_Toc156291961"/>
      <w:bookmarkStart w:id="12" w:name="_Toc156488338"/>
      <w:bookmarkStart w:id="13" w:name="_Toc156488535"/>
      <w:bookmarkStart w:id="14" w:name="_Toc156489393"/>
      <w:bookmarkStart w:id="15" w:name="_Toc156495238"/>
      <w:bookmarkStart w:id="16" w:name="_Toc156623261"/>
      <w:bookmarkStart w:id="17" w:name="_Toc156864776"/>
      <w:bookmarkStart w:id="18" w:name="_Toc156864794"/>
      <w:bookmarkStart w:id="19" w:name="_Toc156867210"/>
      <w:bookmarkStart w:id="20" w:name="_Toc156935186"/>
      <w:bookmarkStart w:id="21" w:name="_Toc156967826"/>
      <w:r w:rsidRPr="003B0CF6">
        <w:t>Report to the</w:t>
      </w:r>
      <w:r w:rsidR="00892278" w:rsidRPr="003B0CF6">
        <w:t xml:space="preserve"> Governor, </w:t>
      </w:r>
      <w:r w:rsidR="003C5FE6">
        <w:t xml:space="preserve">the </w:t>
      </w:r>
      <w:r w:rsidRPr="003B0CF6">
        <w:t>Legislature</w:t>
      </w:r>
      <w:r w:rsidR="00643414" w:rsidRPr="003B0CF6">
        <w:t>, and the</w:t>
      </w:r>
      <w:r w:rsidR="00892278" w:rsidRPr="003B0CF6">
        <w:t xml:space="preserve"> </w:t>
      </w:r>
      <w:r w:rsidR="003D53AC" w:rsidRPr="003B0CF6">
        <w:t>Department of Finance</w:t>
      </w:r>
      <w:r w:rsidRPr="003B0CF6">
        <w:t xml:space="preserve">: </w:t>
      </w:r>
      <w:r w:rsidR="00AE5688">
        <w:t>202</w:t>
      </w:r>
      <w:r w:rsidR="00AF4A4D">
        <w:t>4</w:t>
      </w:r>
      <w:r w:rsidR="00AE5688">
        <w:t xml:space="preserve"> </w:t>
      </w:r>
      <w:r w:rsidR="003D53AC" w:rsidRPr="003B0CF6">
        <w:t>Career Technical Education Incentive Grant</w:t>
      </w:r>
      <w:bookmarkStart w:id="22" w:name="_Toc158883504"/>
      <w:bookmarkEnd w:id="0"/>
      <w:r w:rsidR="002126AE">
        <w:t xml:space="preserve"> </w:t>
      </w:r>
      <w:r w:rsidR="009D1FBC">
        <w:t>Five</w:t>
      </w:r>
      <w:r w:rsidR="00FC56B0">
        <w:t>-</w:t>
      </w:r>
      <w:r w:rsidR="009D1FBC">
        <w:t xml:space="preserve">Year </w:t>
      </w:r>
      <w:r w:rsidR="0074764A">
        <w:t xml:space="preserve">Legislative </w:t>
      </w:r>
      <w:r w:rsidR="00FC56B0">
        <w:t xml:space="preserve">Progress </w:t>
      </w:r>
      <w:r w:rsidR="003D53AC" w:rsidRPr="003B0CF6">
        <w:t>Report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CFCE8E2" w14:textId="77777777" w:rsidR="00A70529" w:rsidRPr="003B0CF6" w:rsidRDefault="00155C30" w:rsidP="009C6230">
      <w:pPr>
        <w:pBdr>
          <w:top w:val="single" w:sz="24" w:space="1" w:color="auto"/>
          <w:left w:val="single" w:sz="24" w:space="4" w:color="auto"/>
          <w:bottom w:val="single" w:sz="24" w:space="1" w:color="auto"/>
          <w:right w:val="single" w:sz="24" w:space="4" w:color="auto"/>
        </w:pBdr>
        <w:spacing w:after="720"/>
        <w:jc w:val="center"/>
        <w:rPr>
          <w:rFonts w:cs="Arial"/>
          <w:b/>
          <w:bCs/>
        </w:rPr>
      </w:pPr>
      <w:r w:rsidRPr="003B0CF6">
        <w:rPr>
          <w:rFonts w:cs="Arial"/>
          <w:color w:val="C0C0C0"/>
        </w:rPr>
        <w:object w:dxaOrig="5999" w:dyaOrig="5999" w14:anchorId="2B444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te of California Department of Education Seal" style="width:179.5pt;height:179.5pt" o:ole="">
            <v:imagedata r:id="rId8" o:title=""/>
          </v:shape>
          <o:OLEObject Type="Embed" ProgID="MSPhotoEd.3" ShapeID="_x0000_i1025" DrawAspect="Content" ObjectID="_1794893925" r:id="rId9"/>
        </w:object>
      </w:r>
    </w:p>
    <w:p w14:paraId="4D7EEB69" w14:textId="77777777" w:rsidR="00A70529" w:rsidRPr="003B0CF6" w:rsidRDefault="00A70529" w:rsidP="009C6230">
      <w:pPr>
        <w:pBdr>
          <w:top w:val="single" w:sz="24" w:space="1" w:color="auto"/>
          <w:left w:val="single" w:sz="24" w:space="4" w:color="auto"/>
          <w:bottom w:val="single" w:sz="24" w:space="1" w:color="auto"/>
          <w:right w:val="single" w:sz="24" w:space="4" w:color="auto"/>
        </w:pBdr>
        <w:spacing w:after="240"/>
        <w:jc w:val="center"/>
        <w:rPr>
          <w:rFonts w:cs="Arial"/>
          <w:b/>
          <w:bCs/>
        </w:rPr>
      </w:pPr>
      <w:r w:rsidRPr="003B0CF6">
        <w:rPr>
          <w:rFonts w:cs="Arial"/>
          <w:b/>
          <w:bCs/>
          <w:iCs/>
        </w:rPr>
        <w:t>Prepared by:</w:t>
      </w:r>
    </w:p>
    <w:p w14:paraId="1919F5A9" w14:textId="77777777" w:rsidR="00A70529" w:rsidRPr="003B0CF6" w:rsidRDefault="003D53AC" w:rsidP="00A70529">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3B0CF6">
        <w:rPr>
          <w:rFonts w:cs="Arial"/>
          <w:b/>
          <w:bCs/>
          <w:sz w:val="28"/>
          <w:szCs w:val="28"/>
        </w:rPr>
        <w:t>Career and College Transition Division</w:t>
      </w:r>
    </w:p>
    <w:p w14:paraId="13F2180F" w14:textId="5D1E1821" w:rsidR="00A70529" w:rsidRPr="003B0CF6" w:rsidRDefault="00B73E36" w:rsidP="009C6230">
      <w:pPr>
        <w:pBdr>
          <w:top w:val="single" w:sz="24" w:space="1" w:color="auto"/>
          <w:left w:val="single" w:sz="24" w:space="4" w:color="auto"/>
          <w:bottom w:val="single" w:sz="24" w:space="1" w:color="auto"/>
          <w:right w:val="single" w:sz="24" w:space="4" w:color="auto"/>
        </w:pBdr>
        <w:spacing w:after="240"/>
        <w:jc w:val="center"/>
        <w:rPr>
          <w:rFonts w:cs="Arial"/>
          <w:b/>
          <w:bCs/>
        </w:rPr>
      </w:pPr>
      <w:r w:rsidRPr="00B73E36">
        <w:rPr>
          <w:rFonts w:cs="Arial"/>
          <w:b/>
          <w:bCs/>
          <w:sz w:val="28"/>
          <w:szCs w:val="28"/>
        </w:rPr>
        <w:t>Student Support Services</w:t>
      </w:r>
      <w:r w:rsidR="00A70529" w:rsidRPr="00B73E36">
        <w:rPr>
          <w:rFonts w:cs="Arial"/>
          <w:b/>
          <w:bCs/>
          <w:sz w:val="28"/>
          <w:szCs w:val="28"/>
        </w:rPr>
        <w:t xml:space="preserve"> Branch</w:t>
      </w:r>
    </w:p>
    <w:p w14:paraId="4991ABC0" w14:textId="3C20908E" w:rsidR="00A70529" w:rsidRPr="00903EEA" w:rsidRDefault="00F44C0D" w:rsidP="009C6230">
      <w:pPr>
        <w:pBdr>
          <w:top w:val="single" w:sz="24" w:space="1" w:color="auto"/>
          <w:left w:val="single" w:sz="24" w:space="4" w:color="auto"/>
          <w:bottom w:val="single" w:sz="24" w:space="1" w:color="auto"/>
          <w:right w:val="single" w:sz="24" w:space="4" w:color="auto"/>
        </w:pBdr>
        <w:spacing w:after="480"/>
        <w:jc w:val="center"/>
        <w:rPr>
          <w:rFonts w:cs="Arial"/>
          <w:iCs/>
        </w:rPr>
      </w:pPr>
      <w:r w:rsidRPr="00903EEA">
        <w:rPr>
          <w:rFonts w:cs="Arial"/>
          <w:iCs/>
        </w:rPr>
        <w:t>January</w:t>
      </w:r>
      <w:r w:rsidR="003D53AC" w:rsidRPr="00903EEA">
        <w:rPr>
          <w:rFonts w:cs="Arial"/>
          <w:iCs/>
        </w:rPr>
        <w:t xml:space="preserve"> 202</w:t>
      </w:r>
      <w:r w:rsidR="00763BB5">
        <w:rPr>
          <w:rFonts w:cs="Arial"/>
          <w:iCs/>
        </w:rPr>
        <w:t>4</w:t>
      </w:r>
    </w:p>
    <w:p w14:paraId="7476B658" w14:textId="2F8A59FD" w:rsidR="00A70529" w:rsidRPr="00C54D7A" w:rsidRDefault="00A70529" w:rsidP="00E72647">
      <w:pPr>
        <w:pBdr>
          <w:top w:val="single" w:sz="24" w:space="1" w:color="auto"/>
          <w:left w:val="single" w:sz="24" w:space="4" w:color="auto"/>
          <w:bottom w:val="single" w:sz="24" w:space="1" w:color="auto"/>
          <w:right w:val="single" w:sz="24" w:space="4" w:color="auto"/>
        </w:pBdr>
        <w:spacing w:after="240"/>
        <w:rPr>
          <w:rFonts w:cs="Arial"/>
          <w:i/>
          <w:lang w:bidi="en-US"/>
        </w:rPr>
      </w:pPr>
      <w:r w:rsidRPr="00C54D7A">
        <w:rPr>
          <w:rFonts w:cs="Arial"/>
          <w:i/>
          <w:lang w:bidi="en-US"/>
        </w:rPr>
        <w:t>Description</w:t>
      </w:r>
      <w:r w:rsidRPr="00C54D7A">
        <w:rPr>
          <w:rFonts w:cs="Arial"/>
          <w:lang w:bidi="en-US"/>
        </w:rPr>
        <w:t xml:space="preserve">: </w:t>
      </w:r>
      <w:r w:rsidR="00522622" w:rsidRPr="00C54D7A">
        <w:rPr>
          <w:rFonts w:cs="Arial"/>
          <w:lang w:bidi="en-US"/>
        </w:rPr>
        <w:t>202</w:t>
      </w:r>
      <w:r w:rsidR="00763BB5">
        <w:rPr>
          <w:rFonts w:cs="Arial"/>
          <w:lang w:bidi="en-US"/>
        </w:rPr>
        <w:t>4</w:t>
      </w:r>
      <w:r w:rsidR="00522622" w:rsidRPr="00C54D7A">
        <w:rPr>
          <w:rFonts w:cs="Arial"/>
          <w:lang w:bidi="en-US"/>
        </w:rPr>
        <w:t xml:space="preserve"> </w:t>
      </w:r>
      <w:r w:rsidR="003D53AC" w:rsidRPr="00C54D7A">
        <w:rPr>
          <w:rFonts w:cs="Arial"/>
          <w:lang w:bidi="en-US"/>
        </w:rPr>
        <w:t>C</w:t>
      </w:r>
      <w:r w:rsidR="00732CE8" w:rsidRPr="00C54D7A">
        <w:rPr>
          <w:rFonts w:cs="Arial"/>
          <w:lang w:bidi="en-US"/>
        </w:rPr>
        <w:t xml:space="preserve">areer Technical Education Incentive Grant </w:t>
      </w:r>
      <w:r w:rsidR="009D1FBC">
        <w:rPr>
          <w:rFonts w:cs="Arial"/>
          <w:lang w:bidi="en-US"/>
        </w:rPr>
        <w:t>Five</w:t>
      </w:r>
      <w:r w:rsidR="00224B94">
        <w:rPr>
          <w:rFonts w:cs="Arial"/>
          <w:lang w:bidi="en-US"/>
        </w:rPr>
        <w:t>-</w:t>
      </w:r>
      <w:r w:rsidR="009D1FBC">
        <w:rPr>
          <w:rFonts w:cs="Arial"/>
          <w:lang w:bidi="en-US"/>
        </w:rPr>
        <w:t xml:space="preserve">Year </w:t>
      </w:r>
      <w:r w:rsidR="0074764A">
        <w:rPr>
          <w:rFonts w:cs="Arial"/>
          <w:lang w:bidi="en-US"/>
        </w:rPr>
        <w:t>Legislative</w:t>
      </w:r>
      <w:r w:rsidR="003D53AC" w:rsidRPr="00C54D7A">
        <w:rPr>
          <w:rFonts w:cs="Arial"/>
          <w:lang w:bidi="en-US"/>
        </w:rPr>
        <w:t xml:space="preserve"> </w:t>
      </w:r>
      <w:r w:rsidR="009941D9" w:rsidRPr="00C54D7A">
        <w:rPr>
          <w:rFonts w:cs="Arial"/>
          <w:lang w:bidi="en-US"/>
        </w:rPr>
        <w:t>Report</w:t>
      </w:r>
    </w:p>
    <w:p w14:paraId="093E46C2" w14:textId="2ACC14F1" w:rsidR="00A70529" w:rsidRPr="00C54D7A" w:rsidRDefault="00A70529" w:rsidP="00E72647">
      <w:pPr>
        <w:pBdr>
          <w:top w:val="single" w:sz="24" w:space="1" w:color="auto"/>
          <w:left w:val="single" w:sz="24" w:space="4" w:color="auto"/>
          <w:bottom w:val="single" w:sz="24" w:space="1" w:color="auto"/>
          <w:right w:val="single" w:sz="24" w:space="4" w:color="auto"/>
        </w:pBdr>
        <w:spacing w:after="240"/>
        <w:rPr>
          <w:rFonts w:cs="Arial"/>
          <w:i/>
          <w:lang w:bidi="en-US"/>
        </w:rPr>
      </w:pPr>
      <w:r w:rsidRPr="00C54D7A">
        <w:rPr>
          <w:rFonts w:cs="Arial"/>
          <w:i/>
          <w:lang w:bidi="en-US"/>
        </w:rPr>
        <w:t>Authority</w:t>
      </w:r>
      <w:r w:rsidRPr="00C54D7A">
        <w:rPr>
          <w:rFonts w:cs="Arial"/>
          <w:lang w:bidi="en-US"/>
        </w:rPr>
        <w:t xml:space="preserve">: </w:t>
      </w:r>
      <w:r w:rsidR="00626E22">
        <w:rPr>
          <w:rFonts w:cs="Arial"/>
          <w:lang w:bidi="en-US"/>
        </w:rPr>
        <w:t xml:space="preserve">California </w:t>
      </w:r>
      <w:r w:rsidR="003D53AC" w:rsidRPr="00C54D7A">
        <w:rPr>
          <w:rFonts w:cs="Arial"/>
          <w:i/>
          <w:lang w:bidi="en-US"/>
        </w:rPr>
        <w:t>Education Code</w:t>
      </w:r>
      <w:r w:rsidR="003D53AC" w:rsidRPr="00C54D7A">
        <w:rPr>
          <w:rFonts w:cs="Arial"/>
          <w:lang w:bidi="en-US"/>
        </w:rPr>
        <w:t xml:space="preserve"> </w:t>
      </w:r>
      <w:r w:rsidR="003C5FE6">
        <w:rPr>
          <w:rFonts w:cs="Arial"/>
          <w:lang w:bidi="en-US"/>
        </w:rPr>
        <w:t>S</w:t>
      </w:r>
      <w:r w:rsidR="003D53AC" w:rsidRPr="00C54D7A">
        <w:rPr>
          <w:rFonts w:cs="Arial"/>
          <w:lang w:bidi="en-US"/>
        </w:rPr>
        <w:t xml:space="preserve">ection </w:t>
      </w:r>
      <w:bookmarkStart w:id="23" w:name="_Hlk54284710"/>
      <w:r w:rsidR="003D53AC" w:rsidRPr="00C54D7A">
        <w:rPr>
          <w:rFonts w:cs="Arial"/>
          <w:lang w:bidi="en-US"/>
        </w:rPr>
        <w:t>5307</w:t>
      </w:r>
      <w:bookmarkEnd w:id="23"/>
      <w:r w:rsidR="009D1FBC">
        <w:rPr>
          <w:rFonts w:cs="Arial"/>
          <w:lang w:bidi="en-US"/>
        </w:rPr>
        <w:t>6.2</w:t>
      </w:r>
    </w:p>
    <w:p w14:paraId="352D2C76" w14:textId="383B7B97" w:rsidR="00A70529" w:rsidRPr="00C54D7A" w:rsidRDefault="00A70529" w:rsidP="00E72647">
      <w:pPr>
        <w:pBdr>
          <w:top w:val="single" w:sz="24" w:space="1" w:color="auto"/>
          <w:left w:val="single" w:sz="24" w:space="4" w:color="auto"/>
          <w:bottom w:val="single" w:sz="24" w:space="1" w:color="auto"/>
          <w:right w:val="single" w:sz="24" w:space="4" w:color="auto"/>
        </w:pBdr>
        <w:spacing w:after="240"/>
        <w:rPr>
          <w:rFonts w:cs="Arial"/>
          <w:i/>
          <w:lang w:bidi="en-US"/>
        </w:rPr>
      </w:pPr>
      <w:r w:rsidRPr="00C54D7A">
        <w:rPr>
          <w:rFonts w:cs="Arial"/>
          <w:i/>
          <w:lang w:bidi="en-US"/>
        </w:rPr>
        <w:t>Recipient</w:t>
      </w:r>
      <w:r w:rsidRPr="00C54D7A">
        <w:rPr>
          <w:rFonts w:cs="Arial"/>
          <w:lang w:bidi="en-US"/>
        </w:rPr>
        <w:t xml:space="preserve">: </w:t>
      </w:r>
      <w:r w:rsidR="005B5FB8">
        <w:rPr>
          <w:rFonts w:cs="Arial"/>
          <w:lang w:bidi="en-US"/>
        </w:rPr>
        <w:t xml:space="preserve">The </w:t>
      </w:r>
      <w:r w:rsidR="003D53AC" w:rsidRPr="00C54D7A">
        <w:rPr>
          <w:rFonts w:cs="Arial"/>
          <w:lang w:bidi="en-US"/>
        </w:rPr>
        <w:t xml:space="preserve">Governor, </w:t>
      </w:r>
      <w:r w:rsidR="00D502A0">
        <w:rPr>
          <w:rFonts w:cs="Arial"/>
          <w:lang w:bidi="en-US"/>
        </w:rPr>
        <w:t xml:space="preserve">the </w:t>
      </w:r>
      <w:r w:rsidR="003D53AC" w:rsidRPr="00C54D7A">
        <w:rPr>
          <w:rFonts w:cs="Arial"/>
          <w:lang w:bidi="en-US"/>
        </w:rPr>
        <w:t xml:space="preserve">Legislature, and </w:t>
      </w:r>
      <w:r w:rsidR="00D502A0">
        <w:rPr>
          <w:rFonts w:cs="Arial"/>
          <w:lang w:bidi="en-US"/>
        </w:rPr>
        <w:t xml:space="preserve">the </w:t>
      </w:r>
      <w:r w:rsidR="003D53AC" w:rsidRPr="00C54D7A">
        <w:rPr>
          <w:rFonts w:cs="Arial"/>
          <w:lang w:bidi="en-US"/>
        </w:rPr>
        <w:t>Department of Finance</w:t>
      </w:r>
    </w:p>
    <w:p w14:paraId="210F763F" w14:textId="62AF9E50" w:rsidR="00A70529" w:rsidRPr="00C54D7A" w:rsidRDefault="00A70529" w:rsidP="00E72647">
      <w:pPr>
        <w:pBdr>
          <w:top w:val="single" w:sz="24" w:space="1" w:color="auto"/>
          <w:left w:val="single" w:sz="24" w:space="4" w:color="auto"/>
          <w:bottom w:val="single" w:sz="24" w:space="1" w:color="auto"/>
          <w:right w:val="single" w:sz="24" w:space="4" w:color="auto"/>
        </w:pBdr>
        <w:spacing w:after="240"/>
        <w:rPr>
          <w:rFonts w:cs="Arial"/>
          <w:lang w:bidi="en-US"/>
        </w:rPr>
      </w:pPr>
      <w:r w:rsidRPr="00C54D7A">
        <w:rPr>
          <w:rFonts w:cs="Arial"/>
          <w:i/>
          <w:lang w:bidi="en-US"/>
        </w:rPr>
        <w:t>Due Date</w:t>
      </w:r>
      <w:r w:rsidRPr="00C54D7A">
        <w:rPr>
          <w:rFonts w:cs="Arial"/>
          <w:lang w:bidi="en-US"/>
        </w:rPr>
        <w:t xml:space="preserve">: </w:t>
      </w:r>
      <w:r w:rsidR="00763BB5">
        <w:rPr>
          <w:rFonts w:cs="Arial"/>
          <w:b/>
          <w:lang w:bidi="en-US"/>
        </w:rPr>
        <w:t>January</w:t>
      </w:r>
      <w:r w:rsidR="00903EEA" w:rsidRPr="00903EEA">
        <w:rPr>
          <w:rFonts w:cs="Arial"/>
          <w:b/>
          <w:lang w:bidi="en-US"/>
        </w:rPr>
        <w:t xml:space="preserve"> </w:t>
      </w:r>
      <w:r w:rsidR="009D1FBC">
        <w:rPr>
          <w:rFonts w:cs="Arial"/>
          <w:b/>
          <w:lang w:bidi="en-US"/>
        </w:rPr>
        <w:t>31</w:t>
      </w:r>
      <w:r w:rsidR="002737A4" w:rsidRPr="00903EEA">
        <w:rPr>
          <w:rFonts w:cs="Arial"/>
          <w:b/>
          <w:lang w:bidi="en-US"/>
        </w:rPr>
        <w:t>, 202</w:t>
      </w:r>
      <w:r w:rsidR="00763BB5">
        <w:rPr>
          <w:rFonts w:cs="Arial"/>
          <w:b/>
          <w:lang w:bidi="en-US"/>
        </w:rPr>
        <w:t>4</w:t>
      </w:r>
    </w:p>
    <w:p w14:paraId="69381E62" w14:textId="77777777" w:rsidR="00F614E3" w:rsidRPr="003B0CF6" w:rsidRDefault="00F614E3" w:rsidP="00A70529">
      <w:pPr>
        <w:rPr>
          <w:rFonts w:cs="Arial"/>
        </w:rPr>
      </w:pPr>
    </w:p>
    <w:p w14:paraId="28F28B17" w14:textId="77777777" w:rsidR="00315109" w:rsidRPr="003B0CF6" w:rsidRDefault="00315109" w:rsidP="00A70529">
      <w:pPr>
        <w:rPr>
          <w:rFonts w:cs="Arial"/>
        </w:rPr>
        <w:sectPr w:rsidR="00315109" w:rsidRPr="003B0CF6" w:rsidSect="00A0487A">
          <w:footerReference w:type="default" r:id="rId10"/>
          <w:footerReference w:type="first" r:id="rId11"/>
          <w:pgSz w:w="12240" w:h="15840"/>
          <w:pgMar w:top="1440" w:right="1440" w:bottom="1440" w:left="1800" w:header="720" w:footer="720" w:gutter="0"/>
          <w:cols w:space="720"/>
          <w:titlePg/>
          <w:docGrid w:linePitch="360"/>
        </w:sectPr>
      </w:pPr>
    </w:p>
    <w:p w14:paraId="7BCEC400" w14:textId="77777777" w:rsidR="004C6741" w:rsidRPr="003B0CF6" w:rsidRDefault="004C6741" w:rsidP="00BD7B6A">
      <w:pPr>
        <w:spacing w:after="240"/>
        <w:contextualSpacing/>
        <w:jc w:val="center"/>
        <w:rPr>
          <w:rFonts w:cs="Arial"/>
          <w:b/>
        </w:rPr>
      </w:pPr>
      <w:r w:rsidRPr="003B0CF6">
        <w:rPr>
          <w:rFonts w:cs="Arial"/>
          <w:b/>
        </w:rPr>
        <w:lastRenderedPageBreak/>
        <w:t>California Department of Education</w:t>
      </w:r>
    </w:p>
    <w:p w14:paraId="46421B40" w14:textId="5021738E" w:rsidR="004C6741" w:rsidRPr="003B0CF6" w:rsidRDefault="004C6741" w:rsidP="00BD7B6A">
      <w:pPr>
        <w:spacing w:after="240"/>
        <w:contextualSpacing/>
        <w:jc w:val="center"/>
        <w:rPr>
          <w:rFonts w:cs="Arial"/>
          <w:b/>
        </w:rPr>
      </w:pPr>
      <w:r w:rsidRPr="003B0CF6">
        <w:rPr>
          <w:rFonts w:cs="Arial"/>
          <w:b/>
        </w:rPr>
        <w:t xml:space="preserve">Report to the Governor, </w:t>
      </w:r>
      <w:r w:rsidR="003C5FE6">
        <w:rPr>
          <w:rFonts w:cs="Arial"/>
          <w:b/>
        </w:rPr>
        <w:t xml:space="preserve">the </w:t>
      </w:r>
      <w:r w:rsidRPr="003B0CF6">
        <w:rPr>
          <w:rFonts w:cs="Arial"/>
          <w:b/>
        </w:rPr>
        <w:t>Legislature, and the Department of Finance:</w:t>
      </w:r>
    </w:p>
    <w:p w14:paraId="711C4BC6" w14:textId="6221DDCD" w:rsidR="004C6741" w:rsidRPr="003B0CF6" w:rsidRDefault="00AE5688" w:rsidP="00BD7B6A">
      <w:pPr>
        <w:spacing w:after="240"/>
        <w:contextualSpacing/>
        <w:jc w:val="center"/>
        <w:rPr>
          <w:rFonts w:cs="Arial"/>
        </w:rPr>
      </w:pPr>
      <w:r>
        <w:rPr>
          <w:rFonts w:cs="Arial"/>
          <w:b/>
        </w:rPr>
        <w:t>202</w:t>
      </w:r>
      <w:r w:rsidR="00763BB5">
        <w:rPr>
          <w:rFonts w:cs="Arial"/>
          <w:b/>
        </w:rPr>
        <w:t>4</w:t>
      </w:r>
      <w:r>
        <w:rPr>
          <w:rFonts w:cs="Arial"/>
          <w:b/>
        </w:rPr>
        <w:t xml:space="preserve"> </w:t>
      </w:r>
      <w:r w:rsidR="004C6741" w:rsidRPr="003B0CF6">
        <w:rPr>
          <w:rFonts w:cs="Arial"/>
          <w:b/>
        </w:rPr>
        <w:t xml:space="preserve">Career Technical Education Incentive Grant </w:t>
      </w:r>
      <w:r w:rsidR="0074764A">
        <w:rPr>
          <w:rFonts w:cs="Arial"/>
          <w:b/>
        </w:rPr>
        <w:t>Five</w:t>
      </w:r>
      <w:r w:rsidR="007406FD">
        <w:rPr>
          <w:rFonts w:cs="Arial"/>
          <w:b/>
        </w:rPr>
        <w:t>-</w:t>
      </w:r>
      <w:r w:rsidR="0074764A">
        <w:rPr>
          <w:rFonts w:cs="Arial"/>
          <w:b/>
        </w:rPr>
        <w:t>Year Legislative</w:t>
      </w:r>
      <w:r w:rsidR="009941D9">
        <w:rPr>
          <w:rFonts w:cs="Arial"/>
          <w:b/>
        </w:rPr>
        <w:t xml:space="preserve"> </w:t>
      </w:r>
      <w:r w:rsidR="004C6741" w:rsidRPr="003B0CF6">
        <w:rPr>
          <w:rFonts w:cs="Arial"/>
          <w:b/>
        </w:rPr>
        <w:t>Report</w:t>
      </w:r>
    </w:p>
    <w:p w14:paraId="0F4F8DBC" w14:textId="2E31C1C3" w:rsidR="00910312" w:rsidRPr="00910312" w:rsidRDefault="004C6741" w:rsidP="00910312">
      <w:pPr>
        <w:pStyle w:val="Heading2"/>
        <w:rPr>
          <w:noProof/>
        </w:rPr>
      </w:pPr>
      <w:bookmarkStart w:id="24" w:name="_Toc158883505"/>
      <w:r w:rsidRPr="00271C6A">
        <w:t>Table of Contents</w:t>
      </w:r>
      <w:bookmarkStart w:id="25" w:name="_Hlk56517331"/>
      <w:bookmarkEnd w:id="24"/>
      <w:r w:rsidR="00B67FE3" w:rsidRPr="00271C6A">
        <w:rPr>
          <w:noProof/>
        </w:rPr>
        <w:fldChar w:fldCharType="begin"/>
      </w:r>
      <w:r w:rsidR="00B67FE3" w:rsidRPr="00271C6A">
        <w:instrText xml:space="preserve"> TOC \o "1-2" \h \z \u </w:instrText>
      </w:r>
      <w:r w:rsidR="00B67FE3" w:rsidRPr="00271C6A">
        <w:rPr>
          <w:noProof/>
        </w:rPr>
        <w:fldChar w:fldCharType="separate"/>
      </w:r>
    </w:p>
    <w:p w14:paraId="79FD2C67" w14:textId="633AF1F2" w:rsidR="00910312" w:rsidRDefault="00910312" w:rsidP="00560D91">
      <w:pPr>
        <w:pStyle w:val="TOC2"/>
        <w:rPr>
          <w:rFonts w:asciiTheme="minorHAnsi" w:eastAsiaTheme="minorEastAsia" w:hAnsiTheme="minorHAnsi" w:cstheme="minorBidi"/>
          <w:noProof/>
          <w:kern w:val="2"/>
          <w14:ligatures w14:val="standardContextual"/>
        </w:rPr>
      </w:pPr>
      <w:hyperlink w:anchor="_Toc158883505" w:history="1">
        <w:r w:rsidRPr="00E00A64">
          <w:rPr>
            <w:rStyle w:val="Hyperlink"/>
            <w:noProof/>
          </w:rPr>
          <w:t>Table of Contents</w:t>
        </w:r>
        <w:r>
          <w:rPr>
            <w:noProof/>
            <w:webHidden/>
          </w:rPr>
          <w:tab/>
        </w:r>
        <w:r>
          <w:rPr>
            <w:noProof/>
            <w:webHidden/>
          </w:rPr>
          <w:fldChar w:fldCharType="begin"/>
        </w:r>
        <w:r>
          <w:rPr>
            <w:noProof/>
            <w:webHidden/>
          </w:rPr>
          <w:instrText xml:space="preserve"> PAGEREF _Toc158883505 \h </w:instrText>
        </w:r>
        <w:r>
          <w:rPr>
            <w:noProof/>
            <w:webHidden/>
          </w:rPr>
        </w:r>
        <w:r>
          <w:rPr>
            <w:noProof/>
            <w:webHidden/>
          </w:rPr>
          <w:fldChar w:fldCharType="separate"/>
        </w:r>
        <w:r w:rsidR="005B5FB8">
          <w:rPr>
            <w:noProof/>
            <w:webHidden/>
          </w:rPr>
          <w:t>1</w:t>
        </w:r>
        <w:r>
          <w:rPr>
            <w:noProof/>
            <w:webHidden/>
          </w:rPr>
          <w:fldChar w:fldCharType="end"/>
        </w:r>
      </w:hyperlink>
    </w:p>
    <w:p w14:paraId="009D53B9" w14:textId="6B5564C2" w:rsidR="00910312" w:rsidRDefault="00910312" w:rsidP="00560D91">
      <w:pPr>
        <w:pStyle w:val="TOC2"/>
        <w:rPr>
          <w:rFonts w:asciiTheme="minorHAnsi" w:eastAsiaTheme="minorEastAsia" w:hAnsiTheme="minorHAnsi" w:cstheme="minorBidi"/>
          <w:noProof/>
          <w:kern w:val="2"/>
          <w14:ligatures w14:val="standardContextual"/>
        </w:rPr>
      </w:pPr>
      <w:hyperlink w:anchor="_Toc158883506" w:history="1">
        <w:r w:rsidRPr="00E00A64">
          <w:rPr>
            <w:rStyle w:val="Hyperlink"/>
            <w:noProof/>
          </w:rPr>
          <w:t>Executive Summary</w:t>
        </w:r>
        <w:r>
          <w:rPr>
            <w:noProof/>
            <w:webHidden/>
          </w:rPr>
          <w:tab/>
        </w:r>
        <w:r>
          <w:rPr>
            <w:noProof/>
            <w:webHidden/>
          </w:rPr>
          <w:fldChar w:fldCharType="begin"/>
        </w:r>
        <w:r>
          <w:rPr>
            <w:noProof/>
            <w:webHidden/>
          </w:rPr>
          <w:instrText xml:space="preserve"> PAGEREF _Toc158883506 \h </w:instrText>
        </w:r>
        <w:r>
          <w:rPr>
            <w:noProof/>
            <w:webHidden/>
          </w:rPr>
        </w:r>
        <w:r>
          <w:rPr>
            <w:noProof/>
            <w:webHidden/>
          </w:rPr>
          <w:fldChar w:fldCharType="separate"/>
        </w:r>
        <w:r w:rsidR="005B5FB8">
          <w:rPr>
            <w:noProof/>
            <w:webHidden/>
          </w:rPr>
          <w:t>3</w:t>
        </w:r>
        <w:r>
          <w:rPr>
            <w:noProof/>
            <w:webHidden/>
          </w:rPr>
          <w:fldChar w:fldCharType="end"/>
        </w:r>
      </w:hyperlink>
    </w:p>
    <w:p w14:paraId="2EA18DB1" w14:textId="2070B5AD" w:rsidR="00910312" w:rsidRDefault="00910312" w:rsidP="00560D91">
      <w:pPr>
        <w:pStyle w:val="TOC2"/>
        <w:rPr>
          <w:rFonts w:asciiTheme="minorHAnsi" w:eastAsiaTheme="minorEastAsia" w:hAnsiTheme="minorHAnsi" w:cstheme="minorBidi"/>
          <w:noProof/>
          <w:kern w:val="2"/>
          <w14:ligatures w14:val="standardContextual"/>
        </w:rPr>
      </w:pPr>
      <w:hyperlink w:anchor="_Toc158883507" w:history="1">
        <w:r w:rsidRPr="00E00A64">
          <w:rPr>
            <w:rStyle w:val="Hyperlink"/>
            <w:noProof/>
          </w:rPr>
          <w:t>Introduction</w:t>
        </w:r>
        <w:r>
          <w:rPr>
            <w:noProof/>
            <w:webHidden/>
          </w:rPr>
          <w:tab/>
        </w:r>
        <w:r>
          <w:rPr>
            <w:noProof/>
            <w:webHidden/>
          </w:rPr>
          <w:fldChar w:fldCharType="begin"/>
        </w:r>
        <w:r>
          <w:rPr>
            <w:noProof/>
            <w:webHidden/>
          </w:rPr>
          <w:instrText xml:space="preserve"> PAGEREF _Toc158883507 \h </w:instrText>
        </w:r>
        <w:r>
          <w:rPr>
            <w:noProof/>
            <w:webHidden/>
          </w:rPr>
        </w:r>
        <w:r>
          <w:rPr>
            <w:noProof/>
            <w:webHidden/>
          </w:rPr>
          <w:fldChar w:fldCharType="separate"/>
        </w:r>
        <w:r w:rsidR="005B5FB8">
          <w:rPr>
            <w:noProof/>
            <w:webHidden/>
          </w:rPr>
          <w:t>4</w:t>
        </w:r>
        <w:r>
          <w:rPr>
            <w:noProof/>
            <w:webHidden/>
          </w:rPr>
          <w:fldChar w:fldCharType="end"/>
        </w:r>
      </w:hyperlink>
    </w:p>
    <w:p w14:paraId="06C57C99" w14:textId="4EF1FE4B" w:rsidR="00910312" w:rsidRDefault="00910312" w:rsidP="00560D91">
      <w:pPr>
        <w:pStyle w:val="TOC2"/>
        <w:rPr>
          <w:rFonts w:asciiTheme="minorHAnsi" w:eastAsiaTheme="minorEastAsia" w:hAnsiTheme="minorHAnsi" w:cstheme="minorBidi"/>
          <w:noProof/>
          <w:kern w:val="2"/>
          <w14:ligatures w14:val="standardContextual"/>
        </w:rPr>
      </w:pPr>
      <w:hyperlink w:anchor="_Toc158883508" w:history="1">
        <w:r w:rsidRPr="00E00A64">
          <w:rPr>
            <w:rStyle w:val="Hyperlink"/>
            <w:noProof/>
          </w:rPr>
          <w:t>Background</w:t>
        </w:r>
        <w:r>
          <w:rPr>
            <w:noProof/>
            <w:webHidden/>
          </w:rPr>
          <w:tab/>
        </w:r>
        <w:r>
          <w:rPr>
            <w:noProof/>
            <w:webHidden/>
          </w:rPr>
          <w:fldChar w:fldCharType="begin"/>
        </w:r>
        <w:r>
          <w:rPr>
            <w:noProof/>
            <w:webHidden/>
          </w:rPr>
          <w:instrText xml:space="preserve"> PAGEREF _Toc158883508 \h </w:instrText>
        </w:r>
        <w:r>
          <w:rPr>
            <w:noProof/>
            <w:webHidden/>
          </w:rPr>
        </w:r>
        <w:r>
          <w:rPr>
            <w:noProof/>
            <w:webHidden/>
          </w:rPr>
          <w:fldChar w:fldCharType="separate"/>
        </w:r>
        <w:r w:rsidR="005B5FB8">
          <w:rPr>
            <w:noProof/>
            <w:webHidden/>
          </w:rPr>
          <w:t>5</w:t>
        </w:r>
        <w:r>
          <w:rPr>
            <w:noProof/>
            <w:webHidden/>
          </w:rPr>
          <w:fldChar w:fldCharType="end"/>
        </w:r>
      </w:hyperlink>
    </w:p>
    <w:p w14:paraId="6149A886" w14:textId="6B0AF5CD" w:rsidR="00910312" w:rsidRDefault="00910312" w:rsidP="00560D91">
      <w:pPr>
        <w:pStyle w:val="TOC2"/>
        <w:rPr>
          <w:rFonts w:asciiTheme="minorHAnsi" w:eastAsiaTheme="minorEastAsia" w:hAnsiTheme="minorHAnsi" w:cstheme="minorBidi"/>
          <w:noProof/>
          <w:kern w:val="2"/>
          <w14:ligatures w14:val="standardContextual"/>
        </w:rPr>
      </w:pPr>
      <w:hyperlink w:anchor="_Toc158883509" w:history="1">
        <w:r w:rsidRPr="00E00A64">
          <w:rPr>
            <w:rStyle w:val="Hyperlink"/>
            <w:noProof/>
          </w:rPr>
          <w:t>CTEIG Progress Report</w:t>
        </w:r>
        <w:r>
          <w:rPr>
            <w:noProof/>
            <w:webHidden/>
          </w:rPr>
          <w:tab/>
        </w:r>
        <w:r>
          <w:rPr>
            <w:noProof/>
            <w:webHidden/>
          </w:rPr>
          <w:fldChar w:fldCharType="begin"/>
        </w:r>
        <w:r>
          <w:rPr>
            <w:noProof/>
            <w:webHidden/>
          </w:rPr>
          <w:instrText xml:space="preserve"> PAGEREF _Toc158883509 \h </w:instrText>
        </w:r>
        <w:r>
          <w:rPr>
            <w:noProof/>
            <w:webHidden/>
          </w:rPr>
        </w:r>
        <w:r>
          <w:rPr>
            <w:noProof/>
            <w:webHidden/>
          </w:rPr>
          <w:fldChar w:fldCharType="separate"/>
        </w:r>
        <w:r w:rsidR="005B5FB8">
          <w:rPr>
            <w:noProof/>
            <w:webHidden/>
          </w:rPr>
          <w:t>6</w:t>
        </w:r>
        <w:r>
          <w:rPr>
            <w:noProof/>
            <w:webHidden/>
          </w:rPr>
          <w:fldChar w:fldCharType="end"/>
        </w:r>
      </w:hyperlink>
    </w:p>
    <w:p w14:paraId="61D301F2" w14:textId="3CF62692" w:rsidR="00910312" w:rsidRDefault="00910312" w:rsidP="00560D91">
      <w:pPr>
        <w:pStyle w:val="TOC2"/>
        <w:rPr>
          <w:rFonts w:asciiTheme="minorHAnsi" w:eastAsiaTheme="minorEastAsia" w:hAnsiTheme="minorHAnsi" w:cstheme="minorBidi"/>
          <w:noProof/>
          <w:kern w:val="2"/>
          <w14:ligatures w14:val="standardContextual"/>
        </w:rPr>
      </w:pPr>
      <w:hyperlink w:anchor="_Toc158883510" w:history="1">
        <w:r w:rsidRPr="00E00A64">
          <w:rPr>
            <w:rStyle w:val="Hyperlink"/>
            <w:noProof/>
          </w:rPr>
          <w:t>High-Quality Career Technical Education and Workforce Development</w:t>
        </w:r>
        <w:r>
          <w:rPr>
            <w:noProof/>
            <w:webHidden/>
          </w:rPr>
          <w:tab/>
        </w:r>
        <w:r>
          <w:rPr>
            <w:noProof/>
            <w:webHidden/>
          </w:rPr>
          <w:fldChar w:fldCharType="begin"/>
        </w:r>
        <w:r>
          <w:rPr>
            <w:noProof/>
            <w:webHidden/>
          </w:rPr>
          <w:instrText xml:space="preserve"> PAGEREF _Toc158883510 \h </w:instrText>
        </w:r>
        <w:r>
          <w:rPr>
            <w:noProof/>
            <w:webHidden/>
          </w:rPr>
        </w:r>
        <w:r>
          <w:rPr>
            <w:noProof/>
            <w:webHidden/>
          </w:rPr>
          <w:fldChar w:fldCharType="separate"/>
        </w:r>
        <w:r w:rsidR="005B5FB8">
          <w:rPr>
            <w:noProof/>
            <w:webHidden/>
          </w:rPr>
          <w:t>7</w:t>
        </w:r>
        <w:r>
          <w:rPr>
            <w:noProof/>
            <w:webHidden/>
          </w:rPr>
          <w:fldChar w:fldCharType="end"/>
        </w:r>
      </w:hyperlink>
    </w:p>
    <w:p w14:paraId="76FE7A3A" w14:textId="48803A85" w:rsidR="00910312" w:rsidRDefault="00910312" w:rsidP="00560D91">
      <w:pPr>
        <w:pStyle w:val="TOC2"/>
        <w:rPr>
          <w:rFonts w:asciiTheme="minorHAnsi" w:eastAsiaTheme="minorEastAsia" w:hAnsiTheme="minorHAnsi" w:cstheme="minorBidi"/>
          <w:noProof/>
          <w:kern w:val="2"/>
          <w14:ligatures w14:val="standardContextual"/>
        </w:rPr>
      </w:pPr>
      <w:hyperlink w:anchor="_Toc158883511" w:history="1">
        <w:r w:rsidRPr="00E00A64">
          <w:rPr>
            <w:rStyle w:val="Hyperlink"/>
            <w:noProof/>
          </w:rPr>
          <w:t>Alignment with Postsecondary Institutions and Workforce Agencies</w:t>
        </w:r>
        <w:r>
          <w:rPr>
            <w:noProof/>
            <w:webHidden/>
          </w:rPr>
          <w:tab/>
        </w:r>
        <w:r>
          <w:rPr>
            <w:noProof/>
            <w:webHidden/>
          </w:rPr>
          <w:fldChar w:fldCharType="begin"/>
        </w:r>
        <w:r>
          <w:rPr>
            <w:noProof/>
            <w:webHidden/>
          </w:rPr>
          <w:instrText xml:space="preserve"> PAGEREF _Toc158883511 \h </w:instrText>
        </w:r>
        <w:r>
          <w:rPr>
            <w:noProof/>
            <w:webHidden/>
          </w:rPr>
        </w:r>
        <w:r>
          <w:rPr>
            <w:noProof/>
            <w:webHidden/>
          </w:rPr>
          <w:fldChar w:fldCharType="separate"/>
        </w:r>
        <w:r w:rsidR="005B5FB8">
          <w:rPr>
            <w:noProof/>
            <w:webHidden/>
          </w:rPr>
          <w:t>10</w:t>
        </w:r>
        <w:r>
          <w:rPr>
            <w:noProof/>
            <w:webHidden/>
          </w:rPr>
          <w:fldChar w:fldCharType="end"/>
        </w:r>
      </w:hyperlink>
    </w:p>
    <w:p w14:paraId="1BA3F0B1" w14:textId="172E79D0" w:rsidR="00910312" w:rsidRDefault="00910312" w:rsidP="00560D91">
      <w:pPr>
        <w:pStyle w:val="TOC2"/>
        <w:rPr>
          <w:rFonts w:asciiTheme="minorHAnsi" w:eastAsiaTheme="minorEastAsia" w:hAnsiTheme="minorHAnsi" w:cstheme="minorBidi"/>
          <w:noProof/>
          <w:kern w:val="2"/>
          <w14:ligatures w14:val="standardContextual"/>
        </w:rPr>
      </w:pPr>
      <w:hyperlink w:anchor="_Toc158883512" w:history="1">
        <w:r w:rsidRPr="00E00A64">
          <w:rPr>
            <w:rStyle w:val="Hyperlink"/>
            <w:noProof/>
          </w:rPr>
          <w:t>Equity Gaps to Program Access and Completion</w:t>
        </w:r>
        <w:r>
          <w:rPr>
            <w:noProof/>
            <w:webHidden/>
          </w:rPr>
          <w:tab/>
        </w:r>
        <w:r>
          <w:rPr>
            <w:noProof/>
            <w:webHidden/>
          </w:rPr>
          <w:fldChar w:fldCharType="begin"/>
        </w:r>
        <w:r>
          <w:rPr>
            <w:noProof/>
            <w:webHidden/>
          </w:rPr>
          <w:instrText xml:space="preserve"> PAGEREF _Toc158883512 \h </w:instrText>
        </w:r>
        <w:r>
          <w:rPr>
            <w:noProof/>
            <w:webHidden/>
          </w:rPr>
        </w:r>
        <w:r>
          <w:rPr>
            <w:noProof/>
            <w:webHidden/>
          </w:rPr>
          <w:fldChar w:fldCharType="separate"/>
        </w:r>
        <w:r w:rsidR="005B5FB8">
          <w:rPr>
            <w:noProof/>
            <w:webHidden/>
          </w:rPr>
          <w:t>11</w:t>
        </w:r>
        <w:r>
          <w:rPr>
            <w:noProof/>
            <w:webHidden/>
          </w:rPr>
          <w:fldChar w:fldCharType="end"/>
        </w:r>
      </w:hyperlink>
    </w:p>
    <w:p w14:paraId="7B55863F" w14:textId="1FDD2E36" w:rsidR="00910312" w:rsidRDefault="00910312" w:rsidP="00560D91">
      <w:pPr>
        <w:pStyle w:val="TOC2"/>
        <w:rPr>
          <w:rFonts w:asciiTheme="minorHAnsi" w:eastAsiaTheme="minorEastAsia" w:hAnsiTheme="minorHAnsi" w:cstheme="minorBidi"/>
          <w:noProof/>
          <w:kern w:val="2"/>
          <w14:ligatures w14:val="standardContextual"/>
        </w:rPr>
      </w:pPr>
      <w:hyperlink w:anchor="_Toc158883513" w:history="1">
        <w:r w:rsidRPr="00E00A64">
          <w:rPr>
            <w:rStyle w:val="Hyperlink"/>
            <w:noProof/>
          </w:rPr>
          <w:t>Conclusion</w:t>
        </w:r>
        <w:r>
          <w:rPr>
            <w:noProof/>
            <w:webHidden/>
          </w:rPr>
          <w:tab/>
        </w:r>
        <w:r>
          <w:rPr>
            <w:noProof/>
            <w:webHidden/>
          </w:rPr>
          <w:fldChar w:fldCharType="begin"/>
        </w:r>
        <w:r>
          <w:rPr>
            <w:noProof/>
            <w:webHidden/>
          </w:rPr>
          <w:instrText xml:space="preserve"> PAGEREF _Toc158883513 \h </w:instrText>
        </w:r>
        <w:r>
          <w:rPr>
            <w:noProof/>
            <w:webHidden/>
          </w:rPr>
        </w:r>
        <w:r>
          <w:rPr>
            <w:noProof/>
            <w:webHidden/>
          </w:rPr>
          <w:fldChar w:fldCharType="separate"/>
        </w:r>
        <w:r w:rsidR="005B5FB8">
          <w:rPr>
            <w:noProof/>
            <w:webHidden/>
          </w:rPr>
          <w:t>13</w:t>
        </w:r>
        <w:r>
          <w:rPr>
            <w:noProof/>
            <w:webHidden/>
          </w:rPr>
          <w:fldChar w:fldCharType="end"/>
        </w:r>
      </w:hyperlink>
    </w:p>
    <w:p w14:paraId="1B0C17D3" w14:textId="13DF11B3" w:rsidR="00910312" w:rsidRDefault="00910312" w:rsidP="00560D91">
      <w:pPr>
        <w:pStyle w:val="TOC2"/>
        <w:rPr>
          <w:rFonts w:asciiTheme="minorHAnsi" w:eastAsiaTheme="minorEastAsia" w:hAnsiTheme="minorHAnsi" w:cstheme="minorBidi"/>
          <w:noProof/>
          <w:kern w:val="2"/>
          <w14:ligatures w14:val="standardContextual"/>
        </w:rPr>
      </w:pPr>
      <w:hyperlink w:anchor="_Toc158883514" w:history="1">
        <w:r w:rsidRPr="00E00A64">
          <w:rPr>
            <w:rStyle w:val="Hyperlink"/>
            <w:rFonts w:eastAsia="Calibri"/>
            <w:noProof/>
          </w:rPr>
          <w:t>Appendix A: 2021–22 Academic Year (AY) Cohort Attendance Rates by Race</w:t>
        </w:r>
        <w:r>
          <w:rPr>
            <w:noProof/>
            <w:webHidden/>
          </w:rPr>
          <w:tab/>
        </w:r>
        <w:r>
          <w:rPr>
            <w:noProof/>
            <w:webHidden/>
          </w:rPr>
          <w:fldChar w:fldCharType="begin"/>
        </w:r>
        <w:r>
          <w:rPr>
            <w:noProof/>
            <w:webHidden/>
          </w:rPr>
          <w:instrText xml:space="preserve"> PAGEREF _Toc158883514 \h </w:instrText>
        </w:r>
        <w:r>
          <w:rPr>
            <w:noProof/>
            <w:webHidden/>
          </w:rPr>
        </w:r>
        <w:r>
          <w:rPr>
            <w:noProof/>
            <w:webHidden/>
          </w:rPr>
          <w:fldChar w:fldCharType="separate"/>
        </w:r>
        <w:r w:rsidR="005B5FB8">
          <w:rPr>
            <w:noProof/>
            <w:webHidden/>
          </w:rPr>
          <w:t>15</w:t>
        </w:r>
        <w:r>
          <w:rPr>
            <w:noProof/>
            <w:webHidden/>
          </w:rPr>
          <w:fldChar w:fldCharType="end"/>
        </w:r>
      </w:hyperlink>
    </w:p>
    <w:p w14:paraId="39FAB3B9" w14:textId="1430E28B" w:rsidR="00910312" w:rsidRDefault="00910312" w:rsidP="00560D91">
      <w:pPr>
        <w:pStyle w:val="TOC2"/>
        <w:rPr>
          <w:rFonts w:asciiTheme="minorHAnsi" w:eastAsiaTheme="minorEastAsia" w:hAnsiTheme="minorHAnsi" w:cstheme="minorBidi"/>
          <w:noProof/>
          <w:kern w:val="2"/>
          <w14:ligatures w14:val="standardContextual"/>
        </w:rPr>
      </w:pPr>
      <w:hyperlink w:anchor="_Toc158883515" w:history="1">
        <w:r w:rsidRPr="00E00A64">
          <w:rPr>
            <w:rStyle w:val="Hyperlink"/>
            <w:rFonts w:eastAsia="Calibri"/>
            <w:noProof/>
          </w:rPr>
          <w:t>Appendix B: 2021–22 Academic Year (AY) Career Technical Education Incentive Grant (CTEIG) Attendance Rates by Race</w:t>
        </w:r>
        <w:r>
          <w:rPr>
            <w:noProof/>
            <w:webHidden/>
          </w:rPr>
          <w:tab/>
        </w:r>
        <w:r>
          <w:rPr>
            <w:noProof/>
            <w:webHidden/>
          </w:rPr>
          <w:fldChar w:fldCharType="begin"/>
        </w:r>
        <w:r>
          <w:rPr>
            <w:noProof/>
            <w:webHidden/>
          </w:rPr>
          <w:instrText xml:space="preserve"> PAGEREF _Toc158883515 \h </w:instrText>
        </w:r>
        <w:r>
          <w:rPr>
            <w:noProof/>
            <w:webHidden/>
          </w:rPr>
        </w:r>
        <w:r>
          <w:rPr>
            <w:noProof/>
            <w:webHidden/>
          </w:rPr>
          <w:fldChar w:fldCharType="separate"/>
        </w:r>
        <w:r w:rsidR="005B5FB8">
          <w:rPr>
            <w:noProof/>
            <w:webHidden/>
          </w:rPr>
          <w:t>16</w:t>
        </w:r>
        <w:r>
          <w:rPr>
            <w:noProof/>
            <w:webHidden/>
          </w:rPr>
          <w:fldChar w:fldCharType="end"/>
        </w:r>
      </w:hyperlink>
    </w:p>
    <w:p w14:paraId="61CD9147" w14:textId="68A580F7" w:rsidR="00910312" w:rsidRDefault="00910312" w:rsidP="00560D91">
      <w:pPr>
        <w:pStyle w:val="TOC2"/>
        <w:rPr>
          <w:rFonts w:asciiTheme="minorHAnsi" w:eastAsiaTheme="minorEastAsia" w:hAnsiTheme="minorHAnsi" w:cstheme="minorBidi"/>
          <w:noProof/>
          <w:kern w:val="2"/>
          <w14:ligatures w14:val="standardContextual"/>
        </w:rPr>
      </w:pPr>
      <w:hyperlink w:anchor="_Toc158883516" w:history="1">
        <w:r w:rsidRPr="00E00A64">
          <w:rPr>
            <w:rStyle w:val="Hyperlink"/>
            <w:rFonts w:eastAsia="Calibri"/>
            <w:noProof/>
          </w:rPr>
          <w:t>Appendix C: 2021–22 Academic Year (AY) Non-Career Technical Education Incentive Grant (CTEIG) Attendance Rates by Race</w:t>
        </w:r>
        <w:r>
          <w:rPr>
            <w:noProof/>
            <w:webHidden/>
          </w:rPr>
          <w:tab/>
        </w:r>
        <w:r>
          <w:rPr>
            <w:noProof/>
            <w:webHidden/>
          </w:rPr>
          <w:fldChar w:fldCharType="begin"/>
        </w:r>
        <w:r>
          <w:rPr>
            <w:noProof/>
            <w:webHidden/>
          </w:rPr>
          <w:instrText xml:space="preserve"> PAGEREF _Toc158883516 \h </w:instrText>
        </w:r>
        <w:r>
          <w:rPr>
            <w:noProof/>
            <w:webHidden/>
          </w:rPr>
        </w:r>
        <w:r>
          <w:rPr>
            <w:noProof/>
            <w:webHidden/>
          </w:rPr>
          <w:fldChar w:fldCharType="separate"/>
        </w:r>
        <w:r w:rsidR="005B5FB8">
          <w:rPr>
            <w:noProof/>
            <w:webHidden/>
          </w:rPr>
          <w:t>17</w:t>
        </w:r>
        <w:r>
          <w:rPr>
            <w:noProof/>
            <w:webHidden/>
          </w:rPr>
          <w:fldChar w:fldCharType="end"/>
        </w:r>
      </w:hyperlink>
    </w:p>
    <w:p w14:paraId="264B3F2A" w14:textId="266943F8" w:rsidR="00910312" w:rsidRDefault="00910312" w:rsidP="00560D91">
      <w:pPr>
        <w:pStyle w:val="TOC2"/>
        <w:rPr>
          <w:rFonts w:asciiTheme="minorHAnsi" w:eastAsiaTheme="minorEastAsia" w:hAnsiTheme="minorHAnsi" w:cstheme="minorBidi"/>
          <w:noProof/>
          <w:kern w:val="2"/>
          <w14:ligatures w14:val="standardContextual"/>
        </w:rPr>
      </w:pPr>
      <w:hyperlink w:anchor="_Toc158883517" w:history="1">
        <w:r w:rsidRPr="00E00A64">
          <w:rPr>
            <w:rStyle w:val="Hyperlink"/>
            <w:rFonts w:eastAsia="Calibri"/>
            <w:noProof/>
          </w:rPr>
          <w:t>Appendix D: 2021–22 Academic Year (AY) Cohort Graduation Rates by Race</w:t>
        </w:r>
        <w:r>
          <w:rPr>
            <w:noProof/>
            <w:webHidden/>
          </w:rPr>
          <w:tab/>
        </w:r>
        <w:r>
          <w:rPr>
            <w:noProof/>
            <w:webHidden/>
          </w:rPr>
          <w:fldChar w:fldCharType="begin"/>
        </w:r>
        <w:r>
          <w:rPr>
            <w:noProof/>
            <w:webHidden/>
          </w:rPr>
          <w:instrText xml:space="preserve"> PAGEREF _Toc158883517 \h </w:instrText>
        </w:r>
        <w:r>
          <w:rPr>
            <w:noProof/>
            <w:webHidden/>
          </w:rPr>
        </w:r>
        <w:r>
          <w:rPr>
            <w:noProof/>
            <w:webHidden/>
          </w:rPr>
          <w:fldChar w:fldCharType="separate"/>
        </w:r>
        <w:r w:rsidR="005B5FB8">
          <w:rPr>
            <w:noProof/>
            <w:webHidden/>
          </w:rPr>
          <w:t>18</w:t>
        </w:r>
        <w:r>
          <w:rPr>
            <w:noProof/>
            <w:webHidden/>
          </w:rPr>
          <w:fldChar w:fldCharType="end"/>
        </w:r>
      </w:hyperlink>
    </w:p>
    <w:p w14:paraId="2FC2F717" w14:textId="0858DB78" w:rsidR="00910312" w:rsidRDefault="00910312" w:rsidP="00560D91">
      <w:pPr>
        <w:pStyle w:val="TOC2"/>
        <w:rPr>
          <w:rFonts w:asciiTheme="minorHAnsi" w:eastAsiaTheme="minorEastAsia" w:hAnsiTheme="minorHAnsi" w:cstheme="minorBidi"/>
          <w:noProof/>
          <w:kern w:val="2"/>
          <w14:ligatures w14:val="standardContextual"/>
        </w:rPr>
      </w:pPr>
      <w:hyperlink w:anchor="_Toc158883518" w:history="1">
        <w:r w:rsidRPr="00E00A64">
          <w:rPr>
            <w:rStyle w:val="Hyperlink"/>
            <w:rFonts w:eastAsia="Calibri"/>
            <w:noProof/>
          </w:rPr>
          <w:t>Appendix E: 2021–22 Academic Year (AY) Career Technical Education Incentive Grant (CTEIG) Graduation Rates by Race</w:t>
        </w:r>
        <w:r>
          <w:rPr>
            <w:noProof/>
            <w:webHidden/>
          </w:rPr>
          <w:tab/>
        </w:r>
        <w:r>
          <w:rPr>
            <w:noProof/>
            <w:webHidden/>
          </w:rPr>
          <w:fldChar w:fldCharType="begin"/>
        </w:r>
        <w:r>
          <w:rPr>
            <w:noProof/>
            <w:webHidden/>
          </w:rPr>
          <w:instrText xml:space="preserve"> PAGEREF _Toc158883518 \h </w:instrText>
        </w:r>
        <w:r>
          <w:rPr>
            <w:noProof/>
            <w:webHidden/>
          </w:rPr>
        </w:r>
        <w:r>
          <w:rPr>
            <w:noProof/>
            <w:webHidden/>
          </w:rPr>
          <w:fldChar w:fldCharType="separate"/>
        </w:r>
        <w:r w:rsidR="005B5FB8">
          <w:rPr>
            <w:noProof/>
            <w:webHidden/>
          </w:rPr>
          <w:t>19</w:t>
        </w:r>
        <w:r>
          <w:rPr>
            <w:noProof/>
            <w:webHidden/>
          </w:rPr>
          <w:fldChar w:fldCharType="end"/>
        </w:r>
      </w:hyperlink>
    </w:p>
    <w:p w14:paraId="658DF61C" w14:textId="225064D4" w:rsidR="00910312" w:rsidRDefault="00910312" w:rsidP="00560D91">
      <w:pPr>
        <w:pStyle w:val="TOC2"/>
        <w:rPr>
          <w:rFonts w:asciiTheme="minorHAnsi" w:eastAsiaTheme="minorEastAsia" w:hAnsiTheme="minorHAnsi" w:cstheme="minorBidi"/>
          <w:noProof/>
          <w:kern w:val="2"/>
          <w14:ligatures w14:val="standardContextual"/>
        </w:rPr>
      </w:pPr>
      <w:hyperlink w:anchor="_Toc158883519" w:history="1">
        <w:r w:rsidRPr="00E00A64">
          <w:rPr>
            <w:rStyle w:val="Hyperlink"/>
            <w:rFonts w:eastAsia="Calibri"/>
            <w:noProof/>
          </w:rPr>
          <w:t>Appendix F: 2021–22 Academic Year (AY) Non–Career Technical Education Incentive Grant (CTEIG) Graduation Rates by Race</w:t>
        </w:r>
        <w:r>
          <w:rPr>
            <w:noProof/>
            <w:webHidden/>
          </w:rPr>
          <w:tab/>
        </w:r>
        <w:r>
          <w:rPr>
            <w:noProof/>
            <w:webHidden/>
          </w:rPr>
          <w:fldChar w:fldCharType="begin"/>
        </w:r>
        <w:r>
          <w:rPr>
            <w:noProof/>
            <w:webHidden/>
          </w:rPr>
          <w:instrText xml:space="preserve"> PAGEREF _Toc158883519 \h </w:instrText>
        </w:r>
        <w:r>
          <w:rPr>
            <w:noProof/>
            <w:webHidden/>
          </w:rPr>
        </w:r>
        <w:r>
          <w:rPr>
            <w:noProof/>
            <w:webHidden/>
          </w:rPr>
          <w:fldChar w:fldCharType="separate"/>
        </w:r>
        <w:r w:rsidR="005B5FB8">
          <w:rPr>
            <w:noProof/>
            <w:webHidden/>
          </w:rPr>
          <w:t>21</w:t>
        </w:r>
        <w:r>
          <w:rPr>
            <w:noProof/>
            <w:webHidden/>
          </w:rPr>
          <w:fldChar w:fldCharType="end"/>
        </w:r>
      </w:hyperlink>
    </w:p>
    <w:p w14:paraId="12277853" w14:textId="40AD0D45" w:rsidR="00910312" w:rsidRDefault="00910312" w:rsidP="00560D91">
      <w:pPr>
        <w:pStyle w:val="TOC2"/>
        <w:rPr>
          <w:rFonts w:asciiTheme="minorHAnsi" w:eastAsiaTheme="minorEastAsia" w:hAnsiTheme="minorHAnsi" w:cstheme="minorBidi"/>
          <w:noProof/>
          <w:kern w:val="2"/>
          <w14:ligatures w14:val="standardContextual"/>
        </w:rPr>
      </w:pPr>
      <w:hyperlink w:anchor="_Toc158883520" w:history="1">
        <w:r w:rsidRPr="00E00A64">
          <w:rPr>
            <w:rStyle w:val="Hyperlink"/>
            <w:rFonts w:eastAsia="Calibri"/>
            <w:noProof/>
          </w:rPr>
          <w:t xml:space="preserve">Appendix G: 2021–22 Academic Year (AY) </w:t>
        </w:r>
        <w:r w:rsidRPr="00E00A64">
          <w:rPr>
            <w:rStyle w:val="Hyperlink"/>
            <w:noProof/>
          </w:rPr>
          <w:t>Cohort Graduation Rates by Career Technical Education Incentive Grant (CTEIG) Region</w:t>
        </w:r>
        <w:r>
          <w:rPr>
            <w:noProof/>
            <w:webHidden/>
          </w:rPr>
          <w:tab/>
        </w:r>
        <w:r>
          <w:rPr>
            <w:noProof/>
            <w:webHidden/>
          </w:rPr>
          <w:fldChar w:fldCharType="begin"/>
        </w:r>
        <w:r>
          <w:rPr>
            <w:noProof/>
            <w:webHidden/>
          </w:rPr>
          <w:instrText xml:space="preserve"> PAGEREF _Toc158883520 \h </w:instrText>
        </w:r>
        <w:r>
          <w:rPr>
            <w:noProof/>
            <w:webHidden/>
          </w:rPr>
        </w:r>
        <w:r>
          <w:rPr>
            <w:noProof/>
            <w:webHidden/>
          </w:rPr>
          <w:fldChar w:fldCharType="separate"/>
        </w:r>
        <w:r w:rsidR="005B5FB8">
          <w:rPr>
            <w:noProof/>
            <w:webHidden/>
          </w:rPr>
          <w:t>22</w:t>
        </w:r>
        <w:r>
          <w:rPr>
            <w:noProof/>
            <w:webHidden/>
          </w:rPr>
          <w:fldChar w:fldCharType="end"/>
        </w:r>
      </w:hyperlink>
    </w:p>
    <w:p w14:paraId="0F3FCE10" w14:textId="158A0AB8" w:rsidR="00910312" w:rsidRDefault="00910312" w:rsidP="00560D91">
      <w:pPr>
        <w:pStyle w:val="TOC2"/>
        <w:rPr>
          <w:rFonts w:asciiTheme="minorHAnsi" w:eastAsiaTheme="minorEastAsia" w:hAnsiTheme="minorHAnsi" w:cstheme="minorBidi"/>
          <w:noProof/>
          <w:kern w:val="2"/>
          <w14:ligatures w14:val="standardContextual"/>
        </w:rPr>
      </w:pPr>
      <w:hyperlink w:anchor="_Toc158883521" w:history="1">
        <w:r w:rsidRPr="00E00A64">
          <w:rPr>
            <w:rStyle w:val="Hyperlink"/>
            <w:rFonts w:eastAsia="Calibri"/>
            <w:noProof/>
          </w:rPr>
          <w:t>Appendix H: 2021–22 Academic Year (AY) Cohort Attendance Rates by Career Technical Education Incentive Grant (CTEIG) Region</w:t>
        </w:r>
        <w:r>
          <w:rPr>
            <w:noProof/>
            <w:webHidden/>
          </w:rPr>
          <w:tab/>
        </w:r>
        <w:r>
          <w:rPr>
            <w:noProof/>
            <w:webHidden/>
          </w:rPr>
          <w:fldChar w:fldCharType="begin"/>
        </w:r>
        <w:r>
          <w:rPr>
            <w:noProof/>
            <w:webHidden/>
          </w:rPr>
          <w:instrText xml:space="preserve"> PAGEREF _Toc158883521 \h </w:instrText>
        </w:r>
        <w:r>
          <w:rPr>
            <w:noProof/>
            <w:webHidden/>
          </w:rPr>
        </w:r>
        <w:r>
          <w:rPr>
            <w:noProof/>
            <w:webHidden/>
          </w:rPr>
          <w:fldChar w:fldCharType="separate"/>
        </w:r>
        <w:r w:rsidR="005B5FB8">
          <w:rPr>
            <w:noProof/>
            <w:webHidden/>
          </w:rPr>
          <w:t>23</w:t>
        </w:r>
        <w:r>
          <w:rPr>
            <w:noProof/>
            <w:webHidden/>
          </w:rPr>
          <w:fldChar w:fldCharType="end"/>
        </w:r>
      </w:hyperlink>
    </w:p>
    <w:p w14:paraId="1DD10159" w14:textId="30D91728" w:rsidR="00910312" w:rsidRDefault="00910312" w:rsidP="00560D91">
      <w:pPr>
        <w:pStyle w:val="TOC2"/>
        <w:rPr>
          <w:rFonts w:asciiTheme="minorHAnsi" w:eastAsiaTheme="minorEastAsia" w:hAnsiTheme="minorHAnsi" w:cstheme="minorBidi"/>
          <w:noProof/>
          <w:kern w:val="2"/>
          <w14:ligatures w14:val="standardContextual"/>
        </w:rPr>
      </w:pPr>
      <w:hyperlink w:anchor="_Toc158883522" w:history="1">
        <w:r w:rsidRPr="00E00A64">
          <w:rPr>
            <w:rStyle w:val="Hyperlink"/>
            <w:noProof/>
          </w:rPr>
          <w:t>Appendix I: Career Technical Education Incentive Grant Regions by County – Key</w:t>
        </w:r>
        <w:r>
          <w:rPr>
            <w:noProof/>
            <w:webHidden/>
          </w:rPr>
          <w:tab/>
        </w:r>
        <w:r>
          <w:rPr>
            <w:noProof/>
            <w:webHidden/>
          </w:rPr>
          <w:fldChar w:fldCharType="begin"/>
        </w:r>
        <w:r>
          <w:rPr>
            <w:noProof/>
            <w:webHidden/>
          </w:rPr>
          <w:instrText xml:space="preserve"> PAGEREF _Toc158883522 \h </w:instrText>
        </w:r>
        <w:r>
          <w:rPr>
            <w:noProof/>
            <w:webHidden/>
          </w:rPr>
        </w:r>
        <w:r>
          <w:rPr>
            <w:noProof/>
            <w:webHidden/>
          </w:rPr>
          <w:fldChar w:fldCharType="separate"/>
        </w:r>
        <w:r w:rsidR="005B5FB8">
          <w:rPr>
            <w:noProof/>
            <w:webHidden/>
          </w:rPr>
          <w:t>24</w:t>
        </w:r>
        <w:r>
          <w:rPr>
            <w:noProof/>
            <w:webHidden/>
          </w:rPr>
          <w:fldChar w:fldCharType="end"/>
        </w:r>
      </w:hyperlink>
    </w:p>
    <w:p w14:paraId="762D7C62" w14:textId="7FB7A50B" w:rsidR="00910312" w:rsidRDefault="00910312" w:rsidP="00560D91">
      <w:pPr>
        <w:pStyle w:val="TOC2"/>
        <w:rPr>
          <w:rFonts w:asciiTheme="minorHAnsi" w:eastAsiaTheme="minorEastAsia" w:hAnsiTheme="minorHAnsi" w:cstheme="minorBidi"/>
          <w:noProof/>
          <w:kern w:val="2"/>
          <w14:ligatures w14:val="standardContextual"/>
        </w:rPr>
      </w:pPr>
      <w:hyperlink w:anchor="_Toc158883523" w:history="1">
        <w:r w:rsidRPr="00E00A64">
          <w:rPr>
            <w:rStyle w:val="Hyperlink"/>
            <w:noProof/>
          </w:rPr>
          <w:t xml:space="preserve">Appendix J: </w:t>
        </w:r>
        <w:r w:rsidRPr="00E00A64">
          <w:rPr>
            <w:rStyle w:val="Hyperlink"/>
            <w:rFonts w:eastAsia="Calibri"/>
            <w:noProof/>
          </w:rPr>
          <w:t xml:space="preserve">2021–22 Academic Year (AY) Cohort Statewide Rates by Gender </w:t>
        </w:r>
        <w:r>
          <w:rPr>
            <w:noProof/>
            <w:webHidden/>
          </w:rPr>
          <w:tab/>
        </w:r>
        <w:r>
          <w:rPr>
            <w:noProof/>
            <w:webHidden/>
          </w:rPr>
          <w:fldChar w:fldCharType="begin"/>
        </w:r>
        <w:r>
          <w:rPr>
            <w:noProof/>
            <w:webHidden/>
          </w:rPr>
          <w:instrText xml:space="preserve"> PAGEREF _Toc158883523 \h </w:instrText>
        </w:r>
        <w:r>
          <w:rPr>
            <w:noProof/>
            <w:webHidden/>
          </w:rPr>
        </w:r>
        <w:r>
          <w:rPr>
            <w:noProof/>
            <w:webHidden/>
          </w:rPr>
          <w:fldChar w:fldCharType="separate"/>
        </w:r>
        <w:r w:rsidR="005B5FB8">
          <w:rPr>
            <w:noProof/>
            <w:webHidden/>
          </w:rPr>
          <w:t>25</w:t>
        </w:r>
        <w:r>
          <w:rPr>
            <w:noProof/>
            <w:webHidden/>
          </w:rPr>
          <w:fldChar w:fldCharType="end"/>
        </w:r>
      </w:hyperlink>
    </w:p>
    <w:p w14:paraId="231DB899" w14:textId="313A438D" w:rsidR="0028140F" w:rsidRPr="00AC4CCB" w:rsidRDefault="00B67FE3" w:rsidP="00B67FE3">
      <w:pPr>
        <w:rPr>
          <w:rFonts w:cs="Arial"/>
          <w:b/>
        </w:rPr>
      </w:pPr>
      <w:r w:rsidRPr="00271C6A">
        <w:rPr>
          <w:rFonts w:cs="Arial"/>
          <w:b/>
        </w:rPr>
        <w:fldChar w:fldCharType="end"/>
      </w:r>
      <w:r w:rsidR="0028140F" w:rsidRPr="00AC4CCB">
        <w:rPr>
          <w:rFonts w:cs="Arial"/>
        </w:rPr>
        <w:br w:type="page"/>
      </w:r>
    </w:p>
    <w:p w14:paraId="463F8B6A" w14:textId="77777777" w:rsidR="005B7D3D" w:rsidRPr="00425845" w:rsidRDefault="005B7D3D" w:rsidP="00271C6A">
      <w:pPr>
        <w:pStyle w:val="Heading2"/>
      </w:pPr>
      <w:bookmarkStart w:id="26" w:name="_Toc158883506"/>
      <w:bookmarkEnd w:id="25"/>
      <w:r w:rsidRPr="00425845">
        <w:lastRenderedPageBreak/>
        <w:t>Executive Summary</w:t>
      </w:r>
      <w:bookmarkEnd w:id="26"/>
    </w:p>
    <w:p w14:paraId="1ACDEB59" w14:textId="41587373" w:rsidR="00E85AE1" w:rsidRDefault="00667A43" w:rsidP="00996084">
      <w:pPr>
        <w:tabs>
          <w:tab w:val="right" w:pos="9360"/>
        </w:tabs>
        <w:autoSpaceDE w:val="0"/>
        <w:autoSpaceDN w:val="0"/>
        <w:adjustRightInd w:val="0"/>
        <w:spacing w:after="240"/>
        <w:rPr>
          <w:rFonts w:cs="Arial"/>
          <w:color w:val="333333"/>
        </w:rPr>
      </w:pPr>
      <w:r w:rsidRPr="00425845">
        <w:rPr>
          <w:rFonts w:cs="Arial"/>
        </w:rPr>
        <w:t xml:space="preserve">This </w:t>
      </w:r>
      <w:r w:rsidR="00FB69A9">
        <w:rPr>
          <w:rFonts w:cs="Arial"/>
        </w:rPr>
        <w:t xml:space="preserve">summary </w:t>
      </w:r>
      <w:r w:rsidRPr="00425845">
        <w:rPr>
          <w:rFonts w:cs="Arial"/>
        </w:rPr>
        <w:t xml:space="preserve">report is required by </w:t>
      </w:r>
      <w:r w:rsidR="00365462" w:rsidRPr="00425845">
        <w:rPr>
          <w:rFonts w:cs="Arial"/>
        </w:rPr>
        <w:t xml:space="preserve">California </w:t>
      </w:r>
      <w:r w:rsidR="00365462" w:rsidRPr="00425845">
        <w:rPr>
          <w:rFonts w:cs="Arial"/>
          <w:i/>
        </w:rPr>
        <w:t>Education Code</w:t>
      </w:r>
      <w:r w:rsidR="00365462" w:rsidRPr="00425845">
        <w:rPr>
          <w:rFonts w:cs="Arial"/>
        </w:rPr>
        <w:t xml:space="preserve"> </w:t>
      </w:r>
      <w:r w:rsidR="009A57AC" w:rsidRPr="00425845">
        <w:rPr>
          <w:rFonts w:cs="Arial"/>
        </w:rPr>
        <w:t>Section</w:t>
      </w:r>
      <w:r w:rsidR="001F07EC" w:rsidRPr="00425845">
        <w:rPr>
          <w:rFonts w:cs="Arial"/>
        </w:rPr>
        <w:t xml:space="preserve"> </w:t>
      </w:r>
      <w:r w:rsidR="00365462" w:rsidRPr="00425845">
        <w:rPr>
          <w:rFonts w:cs="Arial"/>
          <w:lang w:bidi="en-US"/>
        </w:rPr>
        <w:t>5307</w:t>
      </w:r>
      <w:r w:rsidR="001C4ADB">
        <w:rPr>
          <w:rFonts w:cs="Arial"/>
          <w:lang w:bidi="en-US"/>
        </w:rPr>
        <w:t>6</w:t>
      </w:r>
      <w:r w:rsidR="00B44830" w:rsidRPr="00425845">
        <w:rPr>
          <w:rFonts w:cs="Arial"/>
          <w:lang w:bidi="en-US"/>
        </w:rPr>
        <w:t>.</w:t>
      </w:r>
      <w:r w:rsidR="001C4ADB">
        <w:rPr>
          <w:rFonts w:cs="Arial"/>
          <w:lang w:bidi="en-US"/>
        </w:rPr>
        <w:t>2</w:t>
      </w:r>
      <w:r w:rsidR="001F07EC" w:rsidRPr="00425845">
        <w:rPr>
          <w:rFonts w:cs="Arial"/>
          <w:lang w:bidi="en-US"/>
        </w:rPr>
        <w:t>,</w:t>
      </w:r>
      <w:r w:rsidR="00365462" w:rsidRPr="00425845">
        <w:rPr>
          <w:rFonts w:cs="Arial"/>
          <w:lang w:bidi="en-US"/>
        </w:rPr>
        <w:t xml:space="preserve"> as </w:t>
      </w:r>
      <w:r w:rsidR="00FC56B0">
        <w:rPr>
          <w:rFonts w:cs="Arial"/>
          <w:lang w:bidi="en-US"/>
        </w:rPr>
        <w:t>written,</w:t>
      </w:r>
      <w:r w:rsidR="004C33EA">
        <w:rPr>
          <w:rFonts w:cs="Arial"/>
          <w:lang w:bidi="en-US"/>
        </w:rPr>
        <w:t xml:space="preserve"> and </w:t>
      </w:r>
      <w:r w:rsidR="00365462" w:rsidRPr="00293FFC">
        <w:rPr>
          <w:rFonts w:cs="Arial"/>
          <w:lang w:bidi="en-US"/>
        </w:rPr>
        <w:t xml:space="preserve">established by </w:t>
      </w:r>
      <w:r w:rsidR="00B44830" w:rsidRPr="00293FFC">
        <w:rPr>
          <w:rFonts w:cs="Arial"/>
          <w:lang w:bidi="en-US"/>
        </w:rPr>
        <w:t>Assembly</w:t>
      </w:r>
      <w:r w:rsidR="0075112F" w:rsidRPr="00293FFC">
        <w:rPr>
          <w:rFonts w:cs="Arial"/>
          <w:lang w:bidi="en-US"/>
        </w:rPr>
        <w:t xml:space="preserve"> </w:t>
      </w:r>
      <w:r w:rsidR="00365462" w:rsidRPr="00293FFC">
        <w:rPr>
          <w:rFonts w:cs="Arial"/>
          <w:lang w:bidi="en-US"/>
        </w:rPr>
        <w:t>B</w:t>
      </w:r>
      <w:r w:rsidR="0081568C" w:rsidRPr="00293FFC">
        <w:rPr>
          <w:rFonts w:cs="Arial"/>
          <w:lang w:bidi="en-US"/>
        </w:rPr>
        <w:t>ill</w:t>
      </w:r>
      <w:r w:rsidR="0075112F" w:rsidRPr="00293FFC">
        <w:rPr>
          <w:rFonts w:cs="Arial"/>
          <w:lang w:bidi="en-US"/>
        </w:rPr>
        <w:t xml:space="preserve"> </w:t>
      </w:r>
      <w:r w:rsidR="00B44830" w:rsidRPr="00293FFC">
        <w:rPr>
          <w:rFonts w:cs="Arial"/>
          <w:lang w:bidi="en-US"/>
        </w:rPr>
        <w:t>130</w:t>
      </w:r>
      <w:r w:rsidR="00365462" w:rsidRPr="00293FFC">
        <w:rPr>
          <w:rFonts w:cs="Arial"/>
          <w:lang w:bidi="en-US"/>
        </w:rPr>
        <w:t xml:space="preserve"> (</w:t>
      </w:r>
      <w:r w:rsidR="002E7AFB" w:rsidRPr="00293FFC">
        <w:rPr>
          <w:rFonts w:cs="Arial"/>
          <w:lang w:bidi="en-US"/>
        </w:rPr>
        <w:t xml:space="preserve">Chapter </w:t>
      </w:r>
      <w:r w:rsidR="00B44830" w:rsidRPr="00293FFC">
        <w:rPr>
          <w:rFonts w:cs="Arial"/>
          <w:lang w:bidi="en-US"/>
        </w:rPr>
        <w:t>44</w:t>
      </w:r>
      <w:r w:rsidR="002E7AFB" w:rsidRPr="00293FFC">
        <w:rPr>
          <w:rFonts w:cs="Arial"/>
          <w:lang w:bidi="en-US"/>
        </w:rPr>
        <w:t>, Statutes of 20</w:t>
      </w:r>
      <w:r w:rsidR="00B44830" w:rsidRPr="00293FFC">
        <w:rPr>
          <w:rFonts w:cs="Arial"/>
          <w:lang w:bidi="en-US"/>
        </w:rPr>
        <w:t>21</w:t>
      </w:r>
      <w:r w:rsidR="002E7AFB" w:rsidRPr="00293FFC">
        <w:rPr>
          <w:rFonts w:cs="Arial"/>
          <w:lang w:bidi="en-US"/>
        </w:rPr>
        <w:t>)</w:t>
      </w:r>
      <w:r w:rsidR="00F11429" w:rsidRPr="00293FFC">
        <w:rPr>
          <w:rFonts w:cs="Arial"/>
          <w:lang w:bidi="en-US"/>
        </w:rPr>
        <w:t xml:space="preserve">. </w:t>
      </w:r>
      <w:r w:rsidR="003639F3">
        <w:rPr>
          <w:rFonts w:cs="Arial"/>
        </w:rPr>
        <w:t xml:space="preserve">Within this </w:t>
      </w:r>
      <w:r w:rsidR="004C33EA">
        <w:rPr>
          <w:rFonts w:cs="Arial"/>
        </w:rPr>
        <w:t>document</w:t>
      </w:r>
      <w:r w:rsidR="00F11429" w:rsidRPr="00293FFC">
        <w:rPr>
          <w:rFonts w:cs="Arial"/>
        </w:rPr>
        <w:t xml:space="preserve"> </w:t>
      </w:r>
      <w:r w:rsidR="003639F3">
        <w:rPr>
          <w:rFonts w:cs="Arial"/>
        </w:rPr>
        <w:t xml:space="preserve">is </w:t>
      </w:r>
      <w:r w:rsidR="00FC2EF8" w:rsidRPr="00293FFC">
        <w:rPr>
          <w:rFonts w:cs="Arial"/>
        </w:rPr>
        <w:t>a</w:t>
      </w:r>
      <w:r w:rsidR="003639F3">
        <w:rPr>
          <w:rFonts w:cs="Arial"/>
        </w:rPr>
        <w:t xml:space="preserve"> </w:t>
      </w:r>
      <w:r w:rsidR="003639F3" w:rsidRPr="001E7145">
        <w:rPr>
          <w:rFonts w:cs="Arial"/>
        </w:rPr>
        <w:t>quantitative</w:t>
      </w:r>
      <w:r w:rsidR="009A30D6" w:rsidRPr="001E7145">
        <w:rPr>
          <w:rFonts w:cs="Arial"/>
        </w:rPr>
        <w:t xml:space="preserve"> </w:t>
      </w:r>
      <w:r w:rsidR="00FC2EF8" w:rsidRPr="001E7145">
        <w:rPr>
          <w:rFonts w:cs="Arial"/>
        </w:rPr>
        <w:t>overview of</w:t>
      </w:r>
      <w:r w:rsidR="00992281" w:rsidRPr="001E7145">
        <w:rPr>
          <w:rFonts w:cs="Arial"/>
        </w:rPr>
        <w:t xml:space="preserve"> </w:t>
      </w:r>
      <w:r w:rsidR="00293FFC" w:rsidRPr="001E7145">
        <w:rPr>
          <w:rFonts w:cs="Arial"/>
        </w:rPr>
        <w:t xml:space="preserve">the progress </w:t>
      </w:r>
      <w:r w:rsidR="009A30D6" w:rsidRPr="001E7145">
        <w:rPr>
          <w:rFonts w:cs="Arial"/>
        </w:rPr>
        <w:t>made by</w:t>
      </w:r>
      <w:r w:rsidR="00293FFC" w:rsidRPr="001E7145">
        <w:rPr>
          <w:rFonts w:cs="Arial"/>
        </w:rPr>
        <w:t xml:space="preserve"> local educational agencies</w:t>
      </w:r>
      <w:r w:rsidR="009A30D6" w:rsidRPr="001E7145">
        <w:rPr>
          <w:rFonts w:cs="Arial"/>
        </w:rPr>
        <w:t xml:space="preserve"> receiving Career Technical Education Incentive Grant (CTEIG) funds t</w:t>
      </w:r>
      <w:r w:rsidR="00FE2495" w:rsidRPr="001E7145">
        <w:rPr>
          <w:rFonts w:cs="Arial"/>
        </w:rPr>
        <w:t xml:space="preserve">owards the three </w:t>
      </w:r>
      <w:r w:rsidR="003639F3" w:rsidRPr="001E7145">
        <w:rPr>
          <w:rFonts w:cs="Arial"/>
        </w:rPr>
        <w:t>listed</w:t>
      </w:r>
      <w:r w:rsidR="00FE2495" w:rsidRPr="001E7145">
        <w:rPr>
          <w:rFonts w:cs="Arial"/>
        </w:rPr>
        <w:t xml:space="preserve"> objectives in the aforementioned statute: the </w:t>
      </w:r>
      <w:r w:rsidR="009A30D6" w:rsidRPr="001E7145">
        <w:rPr>
          <w:rFonts w:cs="Arial"/>
        </w:rPr>
        <w:t>expan</w:t>
      </w:r>
      <w:r w:rsidR="00FE2495" w:rsidRPr="001E7145">
        <w:rPr>
          <w:rFonts w:cs="Arial"/>
        </w:rPr>
        <w:t>sion</w:t>
      </w:r>
      <w:r w:rsidR="009A30D6" w:rsidRPr="001E7145">
        <w:rPr>
          <w:rFonts w:cs="Arial"/>
        </w:rPr>
        <w:t xml:space="preserve"> and support </w:t>
      </w:r>
      <w:r w:rsidR="00FE2495" w:rsidRPr="001E7145">
        <w:rPr>
          <w:rFonts w:cs="Arial"/>
        </w:rPr>
        <w:t xml:space="preserve">of </w:t>
      </w:r>
      <w:r w:rsidR="00293FFC" w:rsidRPr="001E7145">
        <w:rPr>
          <w:rFonts w:cs="Arial"/>
        </w:rPr>
        <w:t>high-quality, industry-valued career technical education and workforce development opportunities</w:t>
      </w:r>
      <w:r w:rsidR="009A30D6" w:rsidRPr="001E7145">
        <w:rPr>
          <w:rFonts w:cs="Arial"/>
        </w:rPr>
        <w:t>;</w:t>
      </w:r>
      <w:r w:rsidR="00FE2495" w:rsidRPr="001E7145">
        <w:rPr>
          <w:rFonts w:cs="Arial"/>
        </w:rPr>
        <w:t xml:space="preserve"> </w:t>
      </w:r>
      <w:r w:rsidR="009A30D6" w:rsidRPr="001E7145">
        <w:rPr>
          <w:rFonts w:cs="Arial"/>
        </w:rPr>
        <w:t>improv</w:t>
      </w:r>
      <w:r w:rsidR="001E7145">
        <w:rPr>
          <w:rFonts w:cs="Arial"/>
        </w:rPr>
        <w:t>ing</w:t>
      </w:r>
      <w:r w:rsidR="009A30D6" w:rsidRPr="001E7145">
        <w:rPr>
          <w:rFonts w:cs="Arial"/>
        </w:rPr>
        <w:t xml:space="preserve"> </w:t>
      </w:r>
      <w:r w:rsidR="00293FFC" w:rsidRPr="001E7145">
        <w:rPr>
          <w:rFonts w:cs="Arial"/>
        </w:rPr>
        <w:t>coordination and alignment with postsecondary educational institutions and workforce agencies and programs</w:t>
      </w:r>
      <w:r w:rsidR="00FE2495" w:rsidRPr="001E7145">
        <w:rPr>
          <w:rFonts w:cs="Arial"/>
        </w:rPr>
        <w:t>;</w:t>
      </w:r>
      <w:r w:rsidR="009A30D6" w:rsidRPr="001E7145">
        <w:rPr>
          <w:rFonts w:cs="Arial"/>
        </w:rPr>
        <w:t xml:space="preserve"> and mitigat</w:t>
      </w:r>
      <w:r w:rsidR="001E7145">
        <w:rPr>
          <w:rFonts w:cs="Arial"/>
        </w:rPr>
        <w:t>ing</w:t>
      </w:r>
      <w:r w:rsidR="00293FFC" w:rsidRPr="001E7145">
        <w:rPr>
          <w:rFonts w:cs="Arial"/>
        </w:rPr>
        <w:t xml:space="preserve"> equity gaps in program access</w:t>
      </w:r>
      <w:r w:rsidR="009A30D6" w:rsidRPr="001E7145">
        <w:rPr>
          <w:rFonts w:cs="Arial"/>
        </w:rPr>
        <w:t xml:space="preserve"> and </w:t>
      </w:r>
      <w:r w:rsidR="00D3288B" w:rsidRPr="001E7145">
        <w:rPr>
          <w:rFonts w:cs="Arial"/>
        </w:rPr>
        <w:t xml:space="preserve">pathway </w:t>
      </w:r>
      <w:r w:rsidR="009A30D6" w:rsidRPr="001E7145">
        <w:rPr>
          <w:rFonts w:cs="Arial"/>
        </w:rPr>
        <w:t xml:space="preserve">completion. </w:t>
      </w:r>
    </w:p>
    <w:p w14:paraId="52EE3296" w14:textId="21548D31" w:rsidR="00FB69A9" w:rsidRPr="003639F3" w:rsidRDefault="00CC426F" w:rsidP="00996084">
      <w:pPr>
        <w:tabs>
          <w:tab w:val="right" w:pos="9360"/>
        </w:tabs>
        <w:autoSpaceDE w:val="0"/>
        <w:autoSpaceDN w:val="0"/>
        <w:adjustRightInd w:val="0"/>
        <w:spacing w:after="240"/>
        <w:rPr>
          <w:rFonts w:cs="Arial"/>
        </w:rPr>
      </w:pPr>
      <w:r>
        <w:rPr>
          <w:rFonts w:cs="Arial"/>
        </w:rPr>
        <w:t>The q</w:t>
      </w:r>
      <w:r w:rsidR="00FB69A9">
        <w:rPr>
          <w:rFonts w:cs="Arial"/>
        </w:rPr>
        <w:t>uantitative data from the 2023 data collection period affirms the effica</w:t>
      </w:r>
      <w:r w:rsidR="00577509">
        <w:rPr>
          <w:rFonts w:cs="Arial"/>
        </w:rPr>
        <w:t>c</w:t>
      </w:r>
      <w:r w:rsidR="00FB69A9">
        <w:rPr>
          <w:rFonts w:cs="Arial"/>
        </w:rPr>
        <w:t xml:space="preserve">y of </w:t>
      </w:r>
      <w:r w:rsidR="00CB5BCF">
        <w:rPr>
          <w:rFonts w:cs="Arial"/>
        </w:rPr>
        <w:t>c</w:t>
      </w:r>
      <w:r>
        <w:rPr>
          <w:rFonts w:cs="Arial"/>
        </w:rPr>
        <w:t xml:space="preserve">areer </w:t>
      </w:r>
      <w:r w:rsidR="00CB5BCF">
        <w:rPr>
          <w:rFonts w:cs="Arial"/>
        </w:rPr>
        <w:t>t</w:t>
      </w:r>
      <w:r>
        <w:rPr>
          <w:rFonts w:cs="Arial"/>
        </w:rPr>
        <w:t xml:space="preserve">echnical </w:t>
      </w:r>
      <w:r w:rsidR="00CB5BCF">
        <w:rPr>
          <w:rFonts w:cs="Arial"/>
        </w:rPr>
        <w:t>e</w:t>
      </w:r>
      <w:r>
        <w:rPr>
          <w:rFonts w:cs="Arial"/>
        </w:rPr>
        <w:t>ducation (CTE)</w:t>
      </w:r>
      <w:r w:rsidR="00FB69A9">
        <w:rPr>
          <w:rFonts w:cs="Arial"/>
        </w:rPr>
        <w:t xml:space="preserve"> courses and pathway completion in </w:t>
      </w:r>
      <w:r>
        <w:rPr>
          <w:rFonts w:cs="Arial"/>
        </w:rPr>
        <w:t xml:space="preserve">direct </w:t>
      </w:r>
      <w:r w:rsidR="00FB69A9">
        <w:rPr>
          <w:rFonts w:cs="Arial"/>
        </w:rPr>
        <w:t xml:space="preserve">relation to positive academic outcomes. </w:t>
      </w:r>
      <w:r>
        <w:rPr>
          <w:rFonts w:cs="Arial"/>
        </w:rPr>
        <w:t>S</w:t>
      </w:r>
      <w:r w:rsidR="00E85AE1">
        <w:rPr>
          <w:rFonts w:cs="Arial"/>
        </w:rPr>
        <w:t>pecial student</w:t>
      </w:r>
      <w:r>
        <w:rPr>
          <w:rFonts w:cs="Arial"/>
        </w:rPr>
        <w:t xml:space="preserve"> </w:t>
      </w:r>
      <w:r w:rsidR="00FB69A9">
        <w:rPr>
          <w:rFonts w:cs="Arial"/>
        </w:rPr>
        <w:t xml:space="preserve">populations </w:t>
      </w:r>
      <w:r>
        <w:rPr>
          <w:rFonts w:cs="Arial"/>
        </w:rPr>
        <w:t xml:space="preserve">traditionally marginalized </w:t>
      </w:r>
      <w:r w:rsidR="00E85AE1">
        <w:rPr>
          <w:rFonts w:cs="Arial"/>
        </w:rPr>
        <w:t>with</w:t>
      </w:r>
      <w:r>
        <w:rPr>
          <w:rFonts w:cs="Arial"/>
        </w:rPr>
        <w:t>in public education are thriving in the</w:t>
      </w:r>
      <w:r w:rsidR="00E85AE1">
        <w:rPr>
          <w:rFonts w:cs="Arial"/>
        </w:rPr>
        <w:t xml:space="preserve"> </w:t>
      </w:r>
      <w:r>
        <w:rPr>
          <w:rFonts w:cs="Arial"/>
        </w:rPr>
        <w:t xml:space="preserve">enhanced learning environments afforded </w:t>
      </w:r>
      <w:r w:rsidR="00E85AE1">
        <w:rPr>
          <w:rFonts w:cs="Arial"/>
        </w:rPr>
        <w:t xml:space="preserve">to them </w:t>
      </w:r>
      <w:r>
        <w:rPr>
          <w:rFonts w:cs="Arial"/>
        </w:rPr>
        <w:t>by CTE programming</w:t>
      </w:r>
      <w:r w:rsidR="003639F3">
        <w:rPr>
          <w:rFonts w:cs="Arial"/>
        </w:rPr>
        <w:t xml:space="preserve">, and the </w:t>
      </w:r>
      <w:r w:rsidR="00E85AE1">
        <w:rPr>
          <w:rFonts w:cs="Arial"/>
        </w:rPr>
        <w:t xml:space="preserve">CTEIG </w:t>
      </w:r>
      <w:r w:rsidR="003639F3">
        <w:rPr>
          <w:rFonts w:cs="Arial"/>
        </w:rPr>
        <w:t>serves as an</w:t>
      </w:r>
      <w:r w:rsidR="00E85AE1">
        <w:rPr>
          <w:rFonts w:cs="Arial"/>
        </w:rPr>
        <w:t xml:space="preserve"> exemplar </w:t>
      </w:r>
      <w:r w:rsidR="003639F3">
        <w:rPr>
          <w:rFonts w:cs="Arial"/>
        </w:rPr>
        <w:t>vehicle of</w:t>
      </w:r>
      <w:r w:rsidR="00E85AE1">
        <w:rPr>
          <w:rFonts w:cs="Arial"/>
        </w:rPr>
        <w:t xml:space="preserve"> effective pub</w:t>
      </w:r>
      <w:r w:rsidR="003639F3">
        <w:rPr>
          <w:rFonts w:cs="Arial"/>
        </w:rPr>
        <w:t>l</w:t>
      </w:r>
      <w:r w:rsidR="00E85AE1">
        <w:rPr>
          <w:rFonts w:cs="Arial"/>
        </w:rPr>
        <w:t>ic policy implementation</w:t>
      </w:r>
      <w:r w:rsidR="00A80E89">
        <w:rPr>
          <w:rFonts w:cs="Arial"/>
        </w:rPr>
        <w:t>, regional workforce development, and educational intervention</w:t>
      </w:r>
      <w:r w:rsidR="003639F3">
        <w:rPr>
          <w:rFonts w:cs="Arial"/>
        </w:rPr>
        <w:t>ism.</w:t>
      </w:r>
    </w:p>
    <w:p w14:paraId="2644EE19" w14:textId="27C8EF1E" w:rsidR="00293FFC" w:rsidRPr="00AD123B" w:rsidRDefault="00FB69A9" w:rsidP="00996084">
      <w:pPr>
        <w:tabs>
          <w:tab w:val="right" w:pos="9360"/>
        </w:tabs>
        <w:autoSpaceDE w:val="0"/>
        <w:autoSpaceDN w:val="0"/>
        <w:adjustRightInd w:val="0"/>
        <w:spacing w:after="240"/>
        <w:rPr>
          <w:rFonts w:cs="Arial"/>
        </w:rPr>
      </w:pPr>
      <w:r>
        <w:rPr>
          <w:rFonts w:cs="Arial"/>
        </w:rPr>
        <w:t>T</w:t>
      </w:r>
      <w:r w:rsidR="008A4672">
        <w:rPr>
          <w:rFonts w:cs="Arial"/>
        </w:rPr>
        <w:t xml:space="preserve">his report </w:t>
      </w:r>
      <w:r w:rsidR="003639F3">
        <w:rPr>
          <w:rFonts w:cs="Arial"/>
        </w:rPr>
        <w:t xml:space="preserve">further </w:t>
      </w:r>
      <w:r w:rsidR="008A4672" w:rsidRPr="004D4C65">
        <w:rPr>
          <w:rFonts w:cs="Arial"/>
        </w:rPr>
        <w:t>validat</w:t>
      </w:r>
      <w:r w:rsidR="008A4672">
        <w:rPr>
          <w:rFonts w:cs="Arial"/>
        </w:rPr>
        <w:t>es the</w:t>
      </w:r>
      <w:r w:rsidR="00A80E89">
        <w:rPr>
          <w:rFonts w:cs="Arial"/>
        </w:rPr>
        <w:t xml:space="preserve"> </w:t>
      </w:r>
      <w:r w:rsidR="008A4672">
        <w:rPr>
          <w:rFonts w:cs="Arial"/>
        </w:rPr>
        <w:t>California Department of Education</w:t>
      </w:r>
      <w:r w:rsidR="00A80E89">
        <w:rPr>
          <w:rFonts w:cs="Arial"/>
        </w:rPr>
        <w:t>’s</w:t>
      </w:r>
      <w:r w:rsidR="004C33EA">
        <w:rPr>
          <w:rFonts w:cs="Arial"/>
        </w:rPr>
        <w:t xml:space="preserve"> (CDE</w:t>
      </w:r>
      <w:r w:rsidR="001E7145">
        <w:rPr>
          <w:rFonts w:cs="Arial"/>
        </w:rPr>
        <w:t>’s</w:t>
      </w:r>
      <w:r w:rsidR="004C33EA">
        <w:rPr>
          <w:rFonts w:cs="Arial"/>
        </w:rPr>
        <w:t>)</w:t>
      </w:r>
      <w:r w:rsidR="003639F3">
        <w:rPr>
          <w:rFonts w:cs="Arial"/>
        </w:rPr>
        <w:t xml:space="preserve"> informed and longstanding </w:t>
      </w:r>
      <w:r w:rsidR="00A80E89">
        <w:rPr>
          <w:rFonts w:cs="Arial"/>
        </w:rPr>
        <w:t>contention</w:t>
      </w:r>
      <w:r w:rsidR="008A4672">
        <w:rPr>
          <w:rFonts w:cs="Arial"/>
        </w:rPr>
        <w:t xml:space="preserve"> –</w:t>
      </w:r>
      <w:r w:rsidR="007C0B05">
        <w:rPr>
          <w:rFonts w:cs="Arial"/>
        </w:rPr>
        <w:t xml:space="preserve"> </w:t>
      </w:r>
      <w:r w:rsidR="00AD123B">
        <w:rPr>
          <w:rFonts w:cs="Arial"/>
        </w:rPr>
        <w:t>CTE</w:t>
      </w:r>
      <w:r w:rsidR="008A4672">
        <w:rPr>
          <w:rFonts w:cs="Arial"/>
        </w:rPr>
        <w:t xml:space="preserve"> courses </w:t>
      </w:r>
      <w:r w:rsidR="004C33EA">
        <w:rPr>
          <w:rFonts w:cs="Arial"/>
        </w:rPr>
        <w:t>augment</w:t>
      </w:r>
      <w:r w:rsidR="00AD123B">
        <w:rPr>
          <w:rFonts w:cs="Arial"/>
        </w:rPr>
        <w:t xml:space="preserve"> pupil </w:t>
      </w:r>
      <w:r w:rsidR="00FC1D26">
        <w:rPr>
          <w:rFonts w:cs="Arial"/>
        </w:rPr>
        <w:t>engagement</w:t>
      </w:r>
      <w:r w:rsidR="003639F3">
        <w:rPr>
          <w:rFonts w:cs="Arial"/>
        </w:rPr>
        <w:t>,</w:t>
      </w:r>
      <w:r w:rsidR="004C33EA">
        <w:rPr>
          <w:rFonts w:cs="Arial"/>
        </w:rPr>
        <w:t xml:space="preserve"> and </w:t>
      </w:r>
      <w:r w:rsidR="007C0B05">
        <w:rPr>
          <w:rFonts w:cs="Arial"/>
        </w:rPr>
        <w:t xml:space="preserve">pathway completion </w:t>
      </w:r>
      <w:r w:rsidR="00E85AE1">
        <w:rPr>
          <w:rFonts w:cs="Arial"/>
        </w:rPr>
        <w:t>proliferate</w:t>
      </w:r>
      <w:r w:rsidR="003639F3">
        <w:rPr>
          <w:rFonts w:cs="Arial"/>
        </w:rPr>
        <w:t>s</w:t>
      </w:r>
      <w:r w:rsidR="004C33EA">
        <w:rPr>
          <w:rFonts w:cs="Arial"/>
        </w:rPr>
        <w:t xml:space="preserve"> </w:t>
      </w:r>
      <w:r w:rsidR="00D35819">
        <w:rPr>
          <w:rFonts w:cs="Arial"/>
        </w:rPr>
        <w:t xml:space="preserve">formidably </w:t>
      </w:r>
      <w:r w:rsidR="004C33EA">
        <w:rPr>
          <w:rFonts w:cs="Arial"/>
        </w:rPr>
        <w:t>higher attendance and graduation rates</w:t>
      </w:r>
      <w:r w:rsidR="003639F3">
        <w:rPr>
          <w:rFonts w:cs="Arial"/>
        </w:rPr>
        <w:t>,</w:t>
      </w:r>
      <w:r w:rsidR="007C0B05">
        <w:rPr>
          <w:rFonts w:cs="Arial"/>
        </w:rPr>
        <w:t xml:space="preserve"> </w:t>
      </w:r>
      <w:r w:rsidR="004C33EA">
        <w:rPr>
          <w:rFonts w:cs="Arial"/>
        </w:rPr>
        <w:t xml:space="preserve">observed across all disaggregated </w:t>
      </w:r>
      <w:r w:rsidR="00496624">
        <w:rPr>
          <w:rFonts w:cs="Arial"/>
        </w:rPr>
        <w:t>racial</w:t>
      </w:r>
      <w:r w:rsidR="00443042">
        <w:rPr>
          <w:rFonts w:cs="Arial"/>
        </w:rPr>
        <w:t xml:space="preserve">, </w:t>
      </w:r>
      <w:r w:rsidR="00496624">
        <w:rPr>
          <w:rFonts w:cs="Arial"/>
        </w:rPr>
        <w:t>gender</w:t>
      </w:r>
      <w:r w:rsidR="00443042">
        <w:rPr>
          <w:rFonts w:cs="Arial"/>
        </w:rPr>
        <w:t>, and CTEIG region</w:t>
      </w:r>
      <w:r w:rsidR="00496624">
        <w:rPr>
          <w:rFonts w:cs="Arial"/>
        </w:rPr>
        <w:t xml:space="preserve"> </w:t>
      </w:r>
      <w:r w:rsidR="00443042">
        <w:rPr>
          <w:rFonts w:cs="Arial"/>
        </w:rPr>
        <w:t>subgroups</w:t>
      </w:r>
      <w:r w:rsidR="007C0B05">
        <w:rPr>
          <w:rFonts w:cs="Arial"/>
        </w:rPr>
        <w:t>.</w:t>
      </w:r>
      <w:r w:rsidR="00A63545">
        <w:rPr>
          <w:rFonts w:cs="Arial"/>
        </w:rPr>
        <w:t xml:space="preserve"> </w:t>
      </w:r>
    </w:p>
    <w:p w14:paraId="64161F82" w14:textId="0A843608" w:rsidR="000838F2" w:rsidRPr="00CA7EFC" w:rsidRDefault="00DD65DB" w:rsidP="00996084">
      <w:pPr>
        <w:tabs>
          <w:tab w:val="right" w:pos="9360"/>
        </w:tabs>
        <w:autoSpaceDE w:val="0"/>
        <w:autoSpaceDN w:val="0"/>
        <w:adjustRightInd w:val="0"/>
        <w:spacing w:after="240"/>
        <w:rPr>
          <w:rFonts w:cs="Arial"/>
        </w:rPr>
      </w:pPr>
      <w:bookmarkStart w:id="27" w:name="_Hlk183509949"/>
      <w:bookmarkStart w:id="28" w:name="_Hlk56427694"/>
      <w:r w:rsidRPr="00E156CE">
        <w:rPr>
          <w:rFonts w:cs="Arial"/>
          <w:bCs/>
        </w:rPr>
        <w:t>T</w:t>
      </w:r>
      <w:r w:rsidR="007E46D5" w:rsidRPr="00E156CE">
        <w:rPr>
          <w:rFonts w:cs="Arial"/>
          <w:bCs/>
        </w:rPr>
        <w:t xml:space="preserve">his report </w:t>
      </w:r>
      <w:r w:rsidR="003C5FE6" w:rsidRPr="00E156CE">
        <w:rPr>
          <w:rFonts w:cs="Arial"/>
          <w:bCs/>
        </w:rPr>
        <w:t>is available</w:t>
      </w:r>
      <w:r w:rsidRPr="00E156CE">
        <w:rPr>
          <w:rFonts w:cs="Arial"/>
          <w:bCs/>
        </w:rPr>
        <w:t xml:space="preserve"> </w:t>
      </w:r>
      <w:r w:rsidR="001F07EC" w:rsidRPr="00E156CE">
        <w:rPr>
          <w:rFonts w:cs="Arial"/>
          <w:bCs/>
        </w:rPr>
        <w:t>on</w:t>
      </w:r>
      <w:r w:rsidR="007E46D5" w:rsidRPr="00E156CE">
        <w:rPr>
          <w:rFonts w:cs="Arial"/>
          <w:bCs/>
        </w:rPr>
        <w:t xml:space="preserve"> the </w:t>
      </w:r>
      <w:r w:rsidR="001A4B9C" w:rsidRPr="00E156CE">
        <w:rPr>
          <w:rFonts w:cs="Arial"/>
          <w:bCs/>
        </w:rPr>
        <w:t>CDE</w:t>
      </w:r>
      <w:r w:rsidR="007E46D5" w:rsidRPr="00E156CE">
        <w:rPr>
          <w:rFonts w:cs="Arial"/>
          <w:bCs/>
        </w:rPr>
        <w:t xml:space="preserve"> </w:t>
      </w:r>
      <w:r w:rsidR="00BD490A" w:rsidRPr="00E156CE">
        <w:rPr>
          <w:rFonts w:cs="Arial"/>
          <w:bCs/>
        </w:rPr>
        <w:t xml:space="preserve">CTEIG </w:t>
      </w:r>
      <w:r w:rsidR="00FA6CD8" w:rsidRPr="00E156CE">
        <w:rPr>
          <w:rFonts w:cs="Arial"/>
          <w:bCs/>
        </w:rPr>
        <w:t>w</w:t>
      </w:r>
      <w:r w:rsidR="007E46D5" w:rsidRPr="00E156CE">
        <w:rPr>
          <w:rFonts w:cs="Arial"/>
          <w:bCs/>
        </w:rPr>
        <w:t xml:space="preserve">eb page </w:t>
      </w:r>
      <w:r w:rsidR="00CA7EFC" w:rsidRPr="00E156CE">
        <w:rPr>
          <w:rFonts w:cs="Arial"/>
          <w:bCs/>
        </w:rPr>
        <w:t>at</w:t>
      </w:r>
      <w:r w:rsidR="00E156CE" w:rsidRPr="00E156CE">
        <w:rPr>
          <w:rFonts w:cs="Arial"/>
        </w:rPr>
        <w:t xml:space="preserve"> </w:t>
      </w:r>
      <w:hyperlink r:id="rId12" w:tooltip="CTEIG Legislative Report" w:history="1">
        <w:r w:rsidR="00560D91">
          <w:rPr>
            <w:rStyle w:val="Hyperlink"/>
          </w:rPr>
          <w:t>https://www.cde.ca.gov/ci/ct/ig/cteigexecsummary.asp</w:t>
        </w:r>
      </w:hyperlink>
      <w:r w:rsidR="00CA7EFC" w:rsidRPr="00E156CE">
        <w:rPr>
          <w:rFonts w:cs="Arial"/>
        </w:rPr>
        <w:t xml:space="preserve">. </w:t>
      </w:r>
      <w:bookmarkStart w:id="29" w:name="_Hlk156381195"/>
      <w:r w:rsidR="007E46D5" w:rsidRPr="00E156CE">
        <w:rPr>
          <w:rFonts w:cs="Arial"/>
          <w:bCs/>
        </w:rPr>
        <w:t>If you</w:t>
      </w:r>
      <w:r w:rsidR="007E46D5" w:rsidRPr="00425845">
        <w:rPr>
          <w:rFonts w:cs="Arial"/>
          <w:bCs/>
        </w:rPr>
        <w:t xml:space="preserve"> </w:t>
      </w:r>
      <w:r w:rsidR="007F18E4">
        <w:rPr>
          <w:rFonts w:cs="Arial"/>
          <w:bCs/>
        </w:rPr>
        <w:t>wou</w:t>
      </w:r>
      <w:r w:rsidR="007C0B05">
        <w:rPr>
          <w:rFonts w:cs="Arial"/>
          <w:bCs/>
        </w:rPr>
        <w:t xml:space="preserve">ld like to request a copy </w:t>
      </w:r>
      <w:r w:rsidR="00751D35">
        <w:rPr>
          <w:rFonts w:cs="Arial"/>
          <w:bCs/>
        </w:rPr>
        <w:t>or have any questions</w:t>
      </w:r>
      <w:r w:rsidR="007F18E4">
        <w:rPr>
          <w:rFonts w:cs="Arial"/>
          <w:bCs/>
        </w:rPr>
        <w:t xml:space="preserve"> regarding this report</w:t>
      </w:r>
      <w:r w:rsidR="007B738C">
        <w:rPr>
          <w:rFonts w:cs="Arial"/>
          <w:bCs/>
        </w:rPr>
        <w:t xml:space="preserve">, </w:t>
      </w:r>
      <w:r w:rsidR="007E46D5" w:rsidRPr="00425845">
        <w:rPr>
          <w:rFonts w:cs="Arial"/>
          <w:bCs/>
        </w:rPr>
        <w:t xml:space="preserve">please contact </w:t>
      </w:r>
      <w:r w:rsidR="00AD0E52" w:rsidRPr="00425845">
        <w:rPr>
          <w:rFonts w:cs="Arial"/>
          <w:bCs/>
        </w:rPr>
        <w:t>Colby Franklin</w:t>
      </w:r>
      <w:r w:rsidR="007E46D5" w:rsidRPr="00425845">
        <w:rPr>
          <w:rFonts w:cs="Arial"/>
          <w:bCs/>
        </w:rPr>
        <w:t>, Education Administrator</w:t>
      </w:r>
      <w:r w:rsidR="00B04D44" w:rsidRPr="00425845">
        <w:rPr>
          <w:rFonts w:cs="Arial"/>
          <w:bCs/>
        </w:rPr>
        <w:t xml:space="preserve"> I</w:t>
      </w:r>
      <w:r w:rsidR="007E46D5" w:rsidRPr="00425845">
        <w:rPr>
          <w:rFonts w:cs="Arial"/>
          <w:bCs/>
        </w:rPr>
        <w:t>, Career and College Transition Division, at</w:t>
      </w:r>
      <w:r w:rsidR="00AD0E52" w:rsidRPr="00425845">
        <w:rPr>
          <w:rFonts w:cs="Arial"/>
          <w:bCs/>
        </w:rPr>
        <w:t xml:space="preserve"> </w:t>
      </w:r>
      <w:hyperlink r:id="rId13" w:history="1">
        <w:r w:rsidR="00AD0E52" w:rsidRPr="00425845">
          <w:rPr>
            <w:rStyle w:val="Hyperlink"/>
            <w:rFonts w:cs="Arial"/>
            <w:bCs/>
          </w:rPr>
          <w:t>cfranklin@cde.ca.gov</w:t>
        </w:r>
      </w:hyperlink>
      <w:r w:rsidR="00155C30" w:rsidRPr="00425845">
        <w:rPr>
          <w:rFonts w:cs="Arial"/>
          <w:bCs/>
        </w:rPr>
        <w:t>.</w:t>
      </w:r>
    </w:p>
    <w:bookmarkEnd w:id="27"/>
    <w:bookmarkEnd w:id="29"/>
    <w:p w14:paraId="3FC39CB6" w14:textId="77777777" w:rsidR="00710481" w:rsidRPr="00425845" w:rsidRDefault="00710481" w:rsidP="00996084">
      <w:pPr>
        <w:rPr>
          <w:rFonts w:cs="Arial"/>
          <w:iCs/>
        </w:rPr>
      </w:pPr>
      <w:r w:rsidRPr="00425845">
        <w:rPr>
          <w:rFonts w:cs="Arial"/>
          <w:b/>
          <w:iCs/>
        </w:rPr>
        <w:br w:type="page"/>
      </w:r>
    </w:p>
    <w:p w14:paraId="4C682471" w14:textId="77777777" w:rsidR="004D71AB" w:rsidRPr="00271C6A" w:rsidRDefault="00873A57" w:rsidP="00996084">
      <w:pPr>
        <w:pStyle w:val="Heading2"/>
      </w:pPr>
      <w:bookmarkStart w:id="30" w:name="_Toc158883507"/>
      <w:bookmarkEnd w:id="28"/>
      <w:r w:rsidRPr="00271C6A">
        <w:lastRenderedPageBreak/>
        <w:t>Introduction</w:t>
      </w:r>
      <w:bookmarkEnd w:id="30"/>
    </w:p>
    <w:p w14:paraId="7CDD42F6" w14:textId="7951EA06" w:rsidR="00FB69A9" w:rsidRDefault="005E6DB8" w:rsidP="00996084">
      <w:pPr>
        <w:spacing w:after="240"/>
        <w:rPr>
          <w:rFonts w:cs="Arial"/>
        </w:rPr>
      </w:pPr>
      <w:r>
        <w:rPr>
          <w:rFonts w:cs="Arial"/>
          <w:lang w:val="en"/>
        </w:rPr>
        <w:t>In 2015, the</w:t>
      </w:r>
      <w:r w:rsidR="003C644B" w:rsidRPr="00425845">
        <w:rPr>
          <w:rFonts w:cs="Arial"/>
          <w:lang w:val="en"/>
        </w:rPr>
        <w:t xml:space="preserve"> C</w:t>
      </w:r>
      <w:r w:rsidR="00271C6A">
        <w:rPr>
          <w:rFonts w:cs="Arial"/>
          <w:lang w:val="en"/>
        </w:rPr>
        <w:t>areer Technical Education Incentive Grant (C</w:t>
      </w:r>
      <w:r w:rsidR="003C644B" w:rsidRPr="00425845">
        <w:rPr>
          <w:rFonts w:cs="Arial"/>
          <w:lang w:val="en"/>
        </w:rPr>
        <w:t>TEIG</w:t>
      </w:r>
      <w:r w:rsidR="00271C6A">
        <w:rPr>
          <w:rFonts w:cs="Arial"/>
          <w:lang w:val="en"/>
        </w:rPr>
        <w:t>)</w:t>
      </w:r>
      <w:r w:rsidR="003C644B" w:rsidRPr="00425845">
        <w:rPr>
          <w:rFonts w:cs="Arial"/>
          <w:lang w:val="en"/>
        </w:rPr>
        <w:t xml:space="preserve"> </w:t>
      </w:r>
      <w:r w:rsidR="00EE0FD6">
        <w:rPr>
          <w:rFonts w:cs="Arial"/>
          <w:lang w:val="en"/>
        </w:rPr>
        <w:t xml:space="preserve">program </w:t>
      </w:r>
      <w:r w:rsidR="003C644B" w:rsidRPr="00425845">
        <w:rPr>
          <w:rFonts w:cs="Arial"/>
          <w:lang w:val="en"/>
        </w:rPr>
        <w:t xml:space="preserve">was created as a state education, economic, and workforce development initiative </w:t>
      </w:r>
      <w:r w:rsidR="00CD454E">
        <w:rPr>
          <w:rFonts w:cs="Arial"/>
          <w:lang w:val="en"/>
        </w:rPr>
        <w:t xml:space="preserve">with a </w:t>
      </w:r>
      <w:r>
        <w:rPr>
          <w:rFonts w:cs="Arial"/>
          <w:lang w:val="en"/>
        </w:rPr>
        <w:t xml:space="preserve">sustaining </w:t>
      </w:r>
      <w:r w:rsidR="003C644B" w:rsidRPr="00425845">
        <w:rPr>
          <w:rFonts w:cs="Arial"/>
          <w:lang w:val="en"/>
        </w:rPr>
        <w:t xml:space="preserve">purpose to encourage, maintain, and strengthen the delivery </w:t>
      </w:r>
      <w:r w:rsidR="004C6E83" w:rsidRPr="00425845">
        <w:rPr>
          <w:rFonts w:cs="Arial"/>
          <w:lang w:val="en"/>
        </w:rPr>
        <w:t xml:space="preserve">and administration </w:t>
      </w:r>
      <w:r w:rsidR="003C644B" w:rsidRPr="00425845">
        <w:rPr>
          <w:rFonts w:cs="Arial"/>
          <w:lang w:val="en"/>
        </w:rPr>
        <w:t xml:space="preserve">of high-quality </w:t>
      </w:r>
      <w:r w:rsidR="00271C6A">
        <w:rPr>
          <w:rFonts w:cs="Arial"/>
          <w:lang w:val="en"/>
        </w:rPr>
        <w:t>career technical education (</w:t>
      </w:r>
      <w:r w:rsidR="003C644B" w:rsidRPr="00425845">
        <w:rPr>
          <w:rFonts w:cs="Arial"/>
          <w:lang w:val="en"/>
        </w:rPr>
        <w:t>CTE</w:t>
      </w:r>
      <w:r w:rsidR="00271C6A">
        <w:rPr>
          <w:rFonts w:cs="Arial"/>
          <w:lang w:val="en"/>
        </w:rPr>
        <w:t>)</w:t>
      </w:r>
      <w:r w:rsidR="003C644B" w:rsidRPr="00425845">
        <w:rPr>
          <w:rFonts w:cs="Arial"/>
          <w:lang w:val="en"/>
        </w:rPr>
        <w:t xml:space="preserve"> programs </w:t>
      </w:r>
      <w:r w:rsidR="003C644B" w:rsidRPr="00237575">
        <w:rPr>
          <w:rFonts w:cs="Arial"/>
          <w:lang w:val="en"/>
        </w:rPr>
        <w:t>by</w:t>
      </w:r>
      <w:r w:rsidR="00723488">
        <w:rPr>
          <w:rFonts w:cs="Arial"/>
          <w:lang w:val="en"/>
        </w:rPr>
        <w:t xml:space="preserve"> kindergarten through grade </w:t>
      </w:r>
      <w:r w:rsidR="001E7145">
        <w:rPr>
          <w:rFonts w:cs="Arial"/>
          <w:lang w:val="en"/>
        </w:rPr>
        <w:t xml:space="preserve">twelve </w:t>
      </w:r>
      <w:r w:rsidR="00723488" w:rsidRPr="00E07FCC">
        <w:rPr>
          <w:rFonts w:cs="Arial"/>
          <w:lang w:val="en"/>
        </w:rPr>
        <w:t>(</w:t>
      </w:r>
      <w:r w:rsidR="003C644B" w:rsidRPr="00E07FCC">
        <w:rPr>
          <w:rFonts w:cs="Arial"/>
          <w:lang w:val="en"/>
        </w:rPr>
        <w:t>K–12</w:t>
      </w:r>
      <w:r w:rsidR="00723488">
        <w:rPr>
          <w:rFonts w:cs="Arial"/>
          <w:lang w:val="en"/>
        </w:rPr>
        <w:t>)</w:t>
      </w:r>
      <w:r w:rsidR="003C644B" w:rsidRPr="00425845">
        <w:rPr>
          <w:rFonts w:cs="Arial"/>
          <w:lang w:val="en"/>
        </w:rPr>
        <w:t xml:space="preserve"> </w:t>
      </w:r>
      <w:r w:rsidR="007B738C">
        <w:rPr>
          <w:rFonts w:cs="Arial"/>
          <w:lang w:val="en"/>
        </w:rPr>
        <w:t>l</w:t>
      </w:r>
      <w:r w:rsidR="00C30A0A">
        <w:rPr>
          <w:rFonts w:cs="Arial"/>
          <w:lang w:val="en"/>
        </w:rPr>
        <w:t xml:space="preserve">ocal </w:t>
      </w:r>
      <w:r w:rsidR="007B738C">
        <w:rPr>
          <w:rFonts w:cs="Arial"/>
          <w:lang w:val="en"/>
        </w:rPr>
        <w:t>e</w:t>
      </w:r>
      <w:r w:rsidR="00C30A0A">
        <w:rPr>
          <w:rFonts w:cs="Arial"/>
          <w:lang w:val="en"/>
        </w:rPr>
        <w:t>ducation</w:t>
      </w:r>
      <w:r w:rsidR="00271C6A">
        <w:rPr>
          <w:rFonts w:cs="Arial"/>
          <w:lang w:val="en"/>
        </w:rPr>
        <w:t>al</w:t>
      </w:r>
      <w:r w:rsidR="00C30A0A">
        <w:rPr>
          <w:rFonts w:cs="Arial"/>
          <w:lang w:val="en"/>
        </w:rPr>
        <w:t xml:space="preserve"> </w:t>
      </w:r>
      <w:r w:rsidR="007B738C">
        <w:rPr>
          <w:rFonts w:cs="Arial"/>
          <w:lang w:val="en"/>
        </w:rPr>
        <w:t>a</w:t>
      </w:r>
      <w:r w:rsidR="00C30A0A">
        <w:rPr>
          <w:rFonts w:cs="Arial"/>
          <w:lang w:val="en"/>
        </w:rPr>
        <w:t>gencies (LEA</w:t>
      </w:r>
      <w:r w:rsidR="007B738C">
        <w:rPr>
          <w:rFonts w:cs="Arial"/>
          <w:lang w:val="en"/>
        </w:rPr>
        <w:t>s</w:t>
      </w:r>
      <w:r w:rsidR="00C30A0A">
        <w:rPr>
          <w:rFonts w:cs="Arial"/>
          <w:lang w:val="en"/>
        </w:rPr>
        <w:t>)</w:t>
      </w:r>
      <w:r w:rsidR="00CD454E">
        <w:rPr>
          <w:rFonts w:cs="Arial"/>
          <w:lang w:val="en"/>
        </w:rPr>
        <w:t xml:space="preserve"> in California</w:t>
      </w:r>
      <w:r w:rsidR="00C30A0A">
        <w:rPr>
          <w:rFonts w:cs="Arial"/>
          <w:lang w:val="en"/>
        </w:rPr>
        <w:t>.</w:t>
      </w:r>
      <w:r w:rsidR="00CD454E">
        <w:rPr>
          <w:rFonts w:cs="Arial"/>
          <w:lang w:val="en"/>
        </w:rPr>
        <w:t xml:space="preserve"> </w:t>
      </w:r>
      <w:r w:rsidR="00E81494" w:rsidRPr="00425845">
        <w:rPr>
          <w:rFonts w:cs="Arial"/>
        </w:rPr>
        <w:t xml:space="preserve">Five years removed from the </w:t>
      </w:r>
      <w:r w:rsidR="007B738C" w:rsidRPr="00425845">
        <w:rPr>
          <w:rFonts w:cs="Arial"/>
        </w:rPr>
        <w:t>loss of categorial CTE funds</w:t>
      </w:r>
      <w:r w:rsidR="00CD454E">
        <w:rPr>
          <w:rFonts w:cs="Arial"/>
        </w:rPr>
        <w:t>,</w:t>
      </w:r>
      <w:r w:rsidR="007B738C" w:rsidRPr="00425845">
        <w:rPr>
          <w:rFonts w:cs="Arial"/>
        </w:rPr>
        <w:t xml:space="preserve"> </w:t>
      </w:r>
      <w:r w:rsidR="007B738C">
        <w:rPr>
          <w:rFonts w:cs="Arial"/>
        </w:rPr>
        <w:t xml:space="preserve">and two years after the </w:t>
      </w:r>
      <w:r w:rsidR="00E81494" w:rsidRPr="00425845">
        <w:rPr>
          <w:rFonts w:cs="Arial"/>
        </w:rPr>
        <w:t>implementation of the Local Control Funding Formula, A</w:t>
      </w:r>
      <w:r w:rsidR="00FA6CD8">
        <w:rPr>
          <w:rFonts w:cs="Arial"/>
        </w:rPr>
        <w:t xml:space="preserve">ssembly </w:t>
      </w:r>
      <w:r w:rsidR="00C54D7A">
        <w:rPr>
          <w:rFonts w:cs="Arial"/>
        </w:rPr>
        <w:t>B</w:t>
      </w:r>
      <w:r w:rsidR="00FA6CD8">
        <w:rPr>
          <w:rFonts w:cs="Arial"/>
        </w:rPr>
        <w:t>ill</w:t>
      </w:r>
      <w:r w:rsidR="003C5FE6">
        <w:rPr>
          <w:rFonts w:cs="Arial"/>
        </w:rPr>
        <w:t xml:space="preserve"> (AB)</w:t>
      </w:r>
      <w:r w:rsidR="00C54D7A">
        <w:rPr>
          <w:rFonts w:cs="Arial"/>
        </w:rPr>
        <w:t xml:space="preserve"> </w:t>
      </w:r>
      <w:r w:rsidR="00E81494" w:rsidRPr="00425845">
        <w:rPr>
          <w:rFonts w:cs="Arial"/>
        </w:rPr>
        <w:t>104 (</w:t>
      </w:r>
      <w:r w:rsidR="009E0C70" w:rsidRPr="00425845">
        <w:rPr>
          <w:rFonts w:cs="Arial"/>
        </w:rPr>
        <w:t xml:space="preserve">Chapter 13, </w:t>
      </w:r>
      <w:r w:rsidR="00E81494" w:rsidRPr="00425845">
        <w:rPr>
          <w:rFonts w:cs="Arial"/>
        </w:rPr>
        <w:t xml:space="preserve">Statutes of 2015) created the CTEIG program as a three-year infusion of grant funds solely dedicated </w:t>
      </w:r>
      <w:r w:rsidR="003C5FE6">
        <w:rPr>
          <w:rFonts w:cs="Arial"/>
        </w:rPr>
        <w:t>to</w:t>
      </w:r>
      <w:r w:rsidR="00E81494" w:rsidRPr="00425845">
        <w:rPr>
          <w:rFonts w:cs="Arial"/>
        </w:rPr>
        <w:t xml:space="preserve"> CTE programs in California. </w:t>
      </w:r>
    </w:p>
    <w:p w14:paraId="570427C8" w14:textId="7B6BB610" w:rsidR="00293FFC" w:rsidRPr="00CD454E" w:rsidRDefault="00744ADD" w:rsidP="00996084">
      <w:pPr>
        <w:spacing w:after="240"/>
        <w:rPr>
          <w:rFonts w:cs="Arial"/>
          <w:lang w:val="en"/>
        </w:rPr>
      </w:pPr>
      <w:r>
        <w:rPr>
          <w:rFonts w:cs="Arial"/>
        </w:rPr>
        <w:t xml:space="preserve">The CTEIG </w:t>
      </w:r>
      <w:r w:rsidR="00E81494" w:rsidRPr="00425845">
        <w:rPr>
          <w:rFonts w:cs="Arial"/>
        </w:rPr>
        <w:t>funds were distributed sequentially by grant year (2015–16 through 2017–18)</w:t>
      </w:r>
      <w:r w:rsidR="00FF257F">
        <w:rPr>
          <w:rFonts w:cs="Arial"/>
        </w:rPr>
        <w:t>; and i</w:t>
      </w:r>
      <w:r w:rsidR="00E81494" w:rsidRPr="00425845">
        <w:rPr>
          <w:rFonts w:cs="Arial"/>
        </w:rPr>
        <w:t>n 2018–19, the</w:t>
      </w:r>
      <w:r w:rsidR="003C5FE6">
        <w:rPr>
          <w:rFonts w:cs="Arial"/>
        </w:rPr>
        <w:t xml:space="preserve"> California State</w:t>
      </w:r>
      <w:r w:rsidR="00E81494" w:rsidRPr="00425845">
        <w:rPr>
          <w:rFonts w:cs="Arial"/>
        </w:rPr>
        <w:t xml:space="preserve"> Legislature established the CTEIG program as an annual appropriation in the K–12 education trailer bill, AB 1808 (Chapter 32, Statutes of 2018).</w:t>
      </w:r>
      <w:r w:rsidR="00CD454E">
        <w:rPr>
          <w:rFonts w:cs="Arial"/>
          <w:lang w:val="en"/>
        </w:rPr>
        <w:t xml:space="preserve"> </w:t>
      </w:r>
      <w:r w:rsidR="00E81494" w:rsidRPr="00425845">
        <w:rPr>
          <w:rFonts w:cs="Arial"/>
        </w:rPr>
        <w:t xml:space="preserve">In addition to </w:t>
      </w:r>
      <w:r w:rsidR="00FF257F">
        <w:rPr>
          <w:rFonts w:cs="Arial"/>
        </w:rPr>
        <w:t>revising the</w:t>
      </w:r>
      <w:r w:rsidR="00E81494" w:rsidRPr="00425845">
        <w:rPr>
          <w:rFonts w:cs="Arial"/>
        </w:rPr>
        <w:t xml:space="preserve"> CTEIG </w:t>
      </w:r>
      <w:r w:rsidR="00FF257F">
        <w:rPr>
          <w:rFonts w:cs="Arial"/>
        </w:rPr>
        <w:t>statutes</w:t>
      </w:r>
      <w:r w:rsidR="00FF257F">
        <w:rPr>
          <w:rStyle w:val="FootnoteReference"/>
          <w:rFonts w:cs="Arial"/>
        </w:rPr>
        <w:footnoteReference w:id="1"/>
      </w:r>
      <w:r w:rsidR="00E81494" w:rsidRPr="00425845">
        <w:rPr>
          <w:rFonts w:cs="Arial"/>
        </w:rPr>
        <w:t xml:space="preserve">, AB 1808 (Chapter 32, Statutes of 2018) required the </w:t>
      </w:r>
      <w:r w:rsidR="00271C6A">
        <w:rPr>
          <w:rFonts w:cs="Arial"/>
        </w:rPr>
        <w:t>C</w:t>
      </w:r>
      <w:r w:rsidR="00FA6CD8">
        <w:rPr>
          <w:rFonts w:cs="Arial"/>
        </w:rPr>
        <w:t xml:space="preserve">alifornia </w:t>
      </w:r>
      <w:r w:rsidR="00E81494" w:rsidRPr="00425845">
        <w:rPr>
          <w:rFonts w:cs="Arial"/>
        </w:rPr>
        <w:t>D</w:t>
      </w:r>
      <w:r w:rsidR="00FA6CD8">
        <w:rPr>
          <w:rFonts w:cs="Arial"/>
        </w:rPr>
        <w:t xml:space="preserve">epartment of </w:t>
      </w:r>
      <w:r w:rsidR="00E81494" w:rsidRPr="00425845">
        <w:rPr>
          <w:rFonts w:cs="Arial"/>
        </w:rPr>
        <w:t>E</w:t>
      </w:r>
      <w:r w:rsidR="00FA6CD8">
        <w:rPr>
          <w:rFonts w:cs="Arial"/>
        </w:rPr>
        <w:t>ducation (CDE)</w:t>
      </w:r>
      <w:r w:rsidR="00E81494" w:rsidRPr="00425845">
        <w:rPr>
          <w:rFonts w:cs="Arial"/>
        </w:rPr>
        <w:t xml:space="preserve"> to </w:t>
      </w:r>
      <w:r w:rsidR="0066583A">
        <w:rPr>
          <w:rFonts w:cs="Arial"/>
        </w:rPr>
        <w:t>submit</w:t>
      </w:r>
      <w:r w:rsidR="00E81494" w:rsidRPr="00425845">
        <w:rPr>
          <w:rFonts w:cs="Arial"/>
        </w:rPr>
        <w:t xml:space="preserve"> a </w:t>
      </w:r>
      <w:r w:rsidR="0066583A">
        <w:rPr>
          <w:rFonts w:cs="Arial"/>
        </w:rPr>
        <w:t xml:space="preserve">five-year evaluative </w:t>
      </w:r>
      <w:r w:rsidR="00E81494" w:rsidRPr="00425845">
        <w:rPr>
          <w:rFonts w:cs="Arial"/>
        </w:rPr>
        <w:t xml:space="preserve">report regarding </w:t>
      </w:r>
      <w:r w:rsidR="00293FFC" w:rsidRPr="00293FFC">
        <w:rPr>
          <w:rFonts w:cs="Arial"/>
        </w:rPr>
        <w:t xml:space="preserve">the progress </w:t>
      </w:r>
      <w:r w:rsidR="00714895">
        <w:rPr>
          <w:rFonts w:cs="Arial"/>
        </w:rPr>
        <w:t xml:space="preserve">made by LEAs receiving CTEIG funds </w:t>
      </w:r>
      <w:r w:rsidR="00293FFC" w:rsidRPr="00293FFC">
        <w:rPr>
          <w:rFonts w:cs="Arial"/>
        </w:rPr>
        <w:t xml:space="preserve">with respect to </w:t>
      </w:r>
      <w:r w:rsidR="00BB20C1" w:rsidRPr="00293FFC">
        <w:rPr>
          <w:rFonts w:cs="Arial"/>
        </w:rPr>
        <w:t>all</w:t>
      </w:r>
      <w:r w:rsidR="00293FFC" w:rsidRPr="00293FFC">
        <w:rPr>
          <w:rFonts w:cs="Arial"/>
        </w:rPr>
        <w:t xml:space="preserve"> the following</w:t>
      </w:r>
      <w:r w:rsidR="00C42AA8">
        <w:rPr>
          <w:rStyle w:val="FootnoteReference"/>
          <w:rFonts w:cs="Arial"/>
        </w:rPr>
        <w:footnoteReference w:id="2"/>
      </w:r>
      <w:r w:rsidR="00293FFC" w:rsidRPr="00293FFC">
        <w:rPr>
          <w:rFonts w:cs="Arial"/>
        </w:rPr>
        <w:t>:</w:t>
      </w:r>
    </w:p>
    <w:p w14:paraId="55770A62" w14:textId="568D0DC2" w:rsidR="00293FFC" w:rsidRDefault="00293FFC" w:rsidP="00FC6309">
      <w:pPr>
        <w:pStyle w:val="ListParagraph"/>
        <w:numPr>
          <w:ilvl w:val="0"/>
          <w:numId w:val="43"/>
        </w:numPr>
        <w:spacing w:after="240" w:line="240" w:lineRule="auto"/>
        <w:ind w:left="1080" w:right="720"/>
        <w:rPr>
          <w:rFonts w:cs="Arial"/>
        </w:rPr>
      </w:pPr>
      <w:r w:rsidRPr="008D3624">
        <w:rPr>
          <w:rFonts w:cs="Arial"/>
        </w:rPr>
        <w:t>Expanding the availability, and supporting the ongoing provision, of high-quality, industry-valued career technical education and workforce development opportunities.</w:t>
      </w:r>
    </w:p>
    <w:p w14:paraId="487E8E91" w14:textId="14F56FFA" w:rsidR="00AE2B54" w:rsidRPr="00AE2B54" w:rsidRDefault="00293FFC" w:rsidP="00FC6309">
      <w:pPr>
        <w:pStyle w:val="ListParagraph"/>
        <w:numPr>
          <w:ilvl w:val="0"/>
          <w:numId w:val="43"/>
        </w:numPr>
        <w:spacing w:after="240" w:line="240" w:lineRule="auto"/>
        <w:ind w:left="1080" w:right="720"/>
        <w:rPr>
          <w:rFonts w:cs="Arial"/>
        </w:rPr>
      </w:pPr>
      <w:r w:rsidRPr="00AE2B54">
        <w:rPr>
          <w:rFonts w:cs="Arial"/>
        </w:rPr>
        <w:t>Improving coordination and alignment with postsecondary educational</w:t>
      </w:r>
      <w:r w:rsidR="00BB20C1" w:rsidRPr="00AE2B54">
        <w:rPr>
          <w:rFonts w:cs="Arial"/>
        </w:rPr>
        <w:t xml:space="preserve"> </w:t>
      </w:r>
      <w:r w:rsidRPr="00AE2B54">
        <w:rPr>
          <w:rFonts w:cs="Arial"/>
        </w:rPr>
        <w:t>institutions and workforce agencies and programs</w:t>
      </w:r>
      <w:r w:rsidR="00AE2B54">
        <w:rPr>
          <w:rFonts w:cs="Arial"/>
        </w:rPr>
        <w:t>.</w:t>
      </w:r>
    </w:p>
    <w:p w14:paraId="65FB085F" w14:textId="3F11272C" w:rsidR="0066583A" w:rsidRPr="008D3624" w:rsidRDefault="00293FFC" w:rsidP="00FC6309">
      <w:pPr>
        <w:pStyle w:val="ListParagraph"/>
        <w:numPr>
          <w:ilvl w:val="0"/>
          <w:numId w:val="43"/>
        </w:numPr>
        <w:spacing w:after="240" w:line="240" w:lineRule="auto"/>
        <w:ind w:left="1080" w:right="720"/>
        <w:rPr>
          <w:rFonts w:cs="Arial"/>
        </w:rPr>
      </w:pPr>
      <w:r w:rsidRPr="008D3624">
        <w:rPr>
          <w:rFonts w:cs="Arial"/>
        </w:rPr>
        <w:t>Closing equity gaps in program access and completion, to the extent possible.</w:t>
      </w:r>
    </w:p>
    <w:p w14:paraId="5EF5DF64" w14:textId="4E743BBF" w:rsidR="00E07B7A" w:rsidRDefault="00AC6FB5" w:rsidP="00560D91">
      <w:pPr>
        <w:spacing w:after="240"/>
        <w:rPr>
          <w:rFonts w:cs="Arial"/>
          <w:color w:val="000000"/>
          <w:shd w:val="clear" w:color="auto" w:fill="FFFFFF"/>
        </w:rPr>
      </w:pPr>
      <w:r>
        <w:rPr>
          <w:rFonts w:cs="Arial"/>
        </w:rPr>
        <w:t>The compulsory and inalterabl</w:t>
      </w:r>
      <w:r w:rsidR="0032224B">
        <w:rPr>
          <w:rFonts w:cs="Arial"/>
        </w:rPr>
        <w:t>e</w:t>
      </w:r>
      <w:r>
        <w:rPr>
          <w:rFonts w:cs="Arial"/>
        </w:rPr>
        <w:t xml:space="preserve"> changes</w:t>
      </w:r>
      <w:r w:rsidR="0032224B">
        <w:rPr>
          <w:rFonts w:cs="Arial"/>
        </w:rPr>
        <w:t xml:space="preserve"> </w:t>
      </w:r>
      <w:r>
        <w:rPr>
          <w:rFonts w:cs="Arial"/>
        </w:rPr>
        <w:t>to CTE</w:t>
      </w:r>
      <w:r w:rsidR="00996084">
        <w:rPr>
          <w:rFonts w:cs="Arial"/>
        </w:rPr>
        <w:t xml:space="preserve"> programming</w:t>
      </w:r>
      <w:r w:rsidR="0032224B">
        <w:rPr>
          <w:rFonts w:cs="Arial"/>
        </w:rPr>
        <w:t xml:space="preserve"> brought by the</w:t>
      </w:r>
      <w:r w:rsidR="00A3563E" w:rsidRPr="00A3563E">
        <w:rPr>
          <w:rFonts w:cs="Arial"/>
          <w:color w:val="000000"/>
          <w:shd w:val="clear" w:color="auto" w:fill="FFFFFF"/>
        </w:rPr>
        <w:t xml:space="preserve"> </w:t>
      </w:r>
      <w:r w:rsidR="00A3563E">
        <w:rPr>
          <w:rFonts w:cs="Arial"/>
          <w:color w:val="000000"/>
          <w:shd w:val="clear" w:color="auto" w:fill="FFFFFF"/>
        </w:rPr>
        <w:t>Coronavirus disease of 2019</w:t>
      </w:r>
      <w:r w:rsidR="0032224B">
        <w:rPr>
          <w:rFonts w:cs="Arial"/>
        </w:rPr>
        <w:t xml:space="preserve"> </w:t>
      </w:r>
      <w:r w:rsidR="00A3563E">
        <w:rPr>
          <w:rFonts w:cs="Arial"/>
        </w:rPr>
        <w:t>(</w:t>
      </w:r>
      <w:r w:rsidR="0032224B">
        <w:rPr>
          <w:rFonts w:cs="Arial"/>
        </w:rPr>
        <w:t>COVID</w:t>
      </w:r>
      <w:r w:rsidR="00A3563E">
        <w:rPr>
          <w:rFonts w:cs="Arial"/>
        </w:rPr>
        <w:t>-19)</w:t>
      </w:r>
      <w:r>
        <w:rPr>
          <w:rFonts w:cs="Arial"/>
        </w:rPr>
        <w:t>,</w:t>
      </w:r>
      <w:r w:rsidR="000D59F0">
        <w:rPr>
          <w:rFonts w:cs="Arial"/>
        </w:rPr>
        <w:t xml:space="preserve"> </w:t>
      </w:r>
      <w:r w:rsidR="006C7A58">
        <w:rPr>
          <w:rFonts w:cs="Arial"/>
        </w:rPr>
        <w:t>combined with</w:t>
      </w:r>
      <w:r w:rsidR="000D59F0">
        <w:rPr>
          <w:rFonts w:cs="Arial"/>
        </w:rPr>
        <w:t xml:space="preserve"> </w:t>
      </w:r>
      <w:r w:rsidR="006C7A58">
        <w:rPr>
          <w:rFonts w:cs="Arial"/>
        </w:rPr>
        <w:t xml:space="preserve">dubious </w:t>
      </w:r>
      <w:r w:rsidR="000D59F0">
        <w:rPr>
          <w:rFonts w:cs="Arial"/>
        </w:rPr>
        <w:t xml:space="preserve">data modeling </w:t>
      </w:r>
      <w:r w:rsidR="006C7A58">
        <w:rPr>
          <w:rFonts w:cs="Arial"/>
        </w:rPr>
        <w:t>during early CTEIG years</w:t>
      </w:r>
      <w:r w:rsidR="0032224B">
        <w:rPr>
          <w:rFonts w:cs="Arial"/>
        </w:rPr>
        <w:t>,</w:t>
      </w:r>
      <w:r>
        <w:rPr>
          <w:rFonts w:cs="Arial"/>
        </w:rPr>
        <w:t xml:space="preserve"> </w:t>
      </w:r>
      <w:r w:rsidR="009E33BE">
        <w:rPr>
          <w:rFonts w:cs="Arial"/>
        </w:rPr>
        <w:t xml:space="preserve">inhibited the efficacy of conducting a </w:t>
      </w:r>
      <w:r w:rsidR="0032224B">
        <w:rPr>
          <w:rFonts w:cs="Arial"/>
        </w:rPr>
        <w:t xml:space="preserve">comprehensive </w:t>
      </w:r>
      <w:r w:rsidR="009E33BE">
        <w:rPr>
          <w:rFonts w:cs="Arial"/>
        </w:rPr>
        <w:t>five-year</w:t>
      </w:r>
      <w:r w:rsidR="0032224B">
        <w:rPr>
          <w:rFonts w:cs="Arial"/>
        </w:rPr>
        <w:t xml:space="preserve"> analysis of CTE </w:t>
      </w:r>
      <w:r w:rsidR="0056602C">
        <w:rPr>
          <w:rFonts w:cs="Arial"/>
        </w:rPr>
        <w:t xml:space="preserve">completer </w:t>
      </w:r>
      <w:r w:rsidR="0032224B">
        <w:rPr>
          <w:rFonts w:cs="Arial"/>
        </w:rPr>
        <w:t xml:space="preserve">data. </w:t>
      </w:r>
      <w:r w:rsidR="00157DF3">
        <w:rPr>
          <w:rFonts w:cs="Arial"/>
        </w:rPr>
        <w:t xml:space="preserve">To present a quantifiable five-year </w:t>
      </w:r>
      <w:r w:rsidR="00A635DD">
        <w:rPr>
          <w:rFonts w:cs="Arial"/>
        </w:rPr>
        <w:t xml:space="preserve">longitudinal analysis </w:t>
      </w:r>
      <w:r w:rsidR="00157DF3">
        <w:rPr>
          <w:rFonts w:cs="Arial"/>
        </w:rPr>
        <w:t xml:space="preserve">as actionable information </w:t>
      </w:r>
      <w:r w:rsidR="002D6AFE">
        <w:rPr>
          <w:rFonts w:cs="Arial"/>
        </w:rPr>
        <w:t>and</w:t>
      </w:r>
      <w:r w:rsidR="00157DF3">
        <w:rPr>
          <w:rFonts w:cs="Arial"/>
        </w:rPr>
        <w:t xml:space="preserve"> assign causality </w:t>
      </w:r>
      <w:r w:rsidR="0056602C">
        <w:rPr>
          <w:rFonts w:cs="Arial"/>
        </w:rPr>
        <w:t xml:space="preserve">to </w:t>
      </w:r>
      <w:r w:rsidR="006C7A58">
        <w:rPr>
          <w:rFonts w:cs="Arial"/>
        </w:rPr>
        <w:t>the</w:t>
      </w:r>
      <w:r w:rsidR="00157DF3">
        <w:rPr>
          <w:rFonts w:cs="Arial"/>
        </w:rPr>
        <w:t xml:space="preserve"> correlation</w:t>
      </w:r>
      <w:r w:rsidR="006C7A58">
        <w:rPr>
          <w:rFonts w:cs="Arial"/>
        </w:rPr>
        <w:t>s</w:t>
      </w:r>
      <w:r w:rsidR="00157DF3">
        <w:rPr>
          <w:rFonts w:cs="Arial"/>
        </w:rPr>
        <w:t xml:space="preserve"> between </w:t>
      </w:r>
      <w:r>
        <w:rPr>
          <w:rFonts w:cs="Arial"/>
        </w:rPr>
        <w:t xml:space="preserve">the </w:t>
      </w:r>
      <w:r w:rsidR="00157DF3">
        <w:rPr>
          <w:rFonts w:cs="Arial"/>
        </w:rPr>
        <w:t xml:space="preserve">aforementioned areas of interest listed in subdivisions (a), (b), and (c) of California </w:t>
      </w:r>
      <w:r w:rsidR="00723488" w:rsidRPr="00FD3A2C">
        <w:rPr>
          <w:rFonts w:cs="Arial"/>
          <w:i/>
          <w:iCs/>
        </w:rPr>
        <w:t>Education Code</w:t>
      </w:r>
      <w:r w:rsidR="00723488">
        <w:rPr>
          <w:rFonts w:cs="Arial"/>
        </w:rPr>
        <w:t xml:space="preserve"> (</w:t>
      </w:r>
      <w:r w:rsidR="00157DF3" w:rsidRPr="00E07FCC">
        <w:rPr>
          <w:rFonts w:cs="Arial"/>
          <w:i/>
          <w:iCs/>
        </w:rPr>
        <w:t>EC</w:t>
      </w:r>
      <w:r w:rsidR="00723488">
        <w:rPr>
          <w:rFonts w:cs="Arial"/>
        </w:rPr>
        <w:t>)</w:t>
      </w:r>
      <w:r w:rsidR="00157DF3">
        <w:rPr>
          <w:rFonts w:cs="Arial"/>
        </w:rPr>
        <w:t xml:space="preserve"> Section 53076.2 and </w:t>
      </w:r>
      <w:r w:rsidR="000D59F0">
        <w:rPr>
          <w:rFonts w:cs="Arial"/>
        </w:rPr>
        <w:t xml:space="preserve">the </w:t>
      </w:r>
      <w:r w:rsidR="00157DF3">
        <w:rPr>
          <w:rFonts w:cs="Arial"/>
        </w:rPr>
        <w:t xml:space="preserve">data presented would be </w:t>
      </w:r>
      <w:r w:rsidR="00FA3961">
        <w:rPr>
          <w:rFonts w:cs="Arial"/>
        </w:rPr>
        <w:t xml:space="preserve">premature and </w:t>
      </w:r>
      <w:r w:rsidR="006C7A58">
        <w:rPr>
          <w:rFonts w:cs="Arial"/>
        </w:rPr>
        <w:t>i</w:t>
      </w:r>
      <w:r w:rsidR="00FA3961">
        <w:rPr>
          <w:rFonts w:cs="Arial"/>
        </w:rPr>
        <w:t>mpractical</w:t>
      </w:r>
      <w:r w:rsidR="00157DF3">
        <w:rPr>
          <w:rFonts w:cs="Arial"/>
        </w:rPr>
        <w:t>.</w:t>
      </w:r>
      <w:r w:rsidR="00744ADD">
        <w:rPr>
          <w:rFonts w:cs="Arial"/>
        </w:rPr>
        <w:t xml:space="preserve"> </w:t>
      </w:r>
      <w:r w:rsidR="00FC6C50">
        <w:rPr>
          <w:rFonts w:cs="Arial"/>
          <w:color w:val="000000"/>
          <w:shd w:val="clear" w:color="auto" w:fill="FFFFFF"/>
        </w:rPr>
        <w:t xml:space="preserve">The </w:t>
      </w:r>
      <w:r w:rsidR="00FA3961">
        <w:rPr>
          <w:rFonts w:cs="Arial"/>
          <w:color w:val="000000"/>
          <w:shd w:val="clear" w:color="auto" w:fill="FFFFFF"/>
        </w:rPr>
        <w:t>analysis</w:t>
      </w:r>
      <w:r w:rsidR="001E3C80">
        <w:rPr>
          <w:rFonts w:cs="Arial"/>
          <w:color w:val="000000"/>
          <w:shd w:val="clear" w:color="auto" w:fill="FFFFFF"/>
        </w:rPr>
        <w:t xml:space="preserve"> </w:t>
      </w:r>
      <w:r w:rsidR="00FC6C50">
        <w:rPr>
          <w:rFonts w:cs="Arial"/>
          <w:color w:val="000000"/>
          <w:shd w:val="clear" w:color="auto" w:fill="FFFFFF"/>
        </w:rPr>
        <w:t>in this rep</w:t>
      </w:r>
      <w:r w:rsidR="00DE0C34">
        <w:rPr>
          <w:rFonts w:cs="Arial"/>
          <w:color w:val="000000"/>
          <w:shd w:val="clear" w:color="auto" w:fill="FFFFFF"/>
        </w:rPr>
        <w:t>ort was d</w:t>
      </w:r>
      <w:r w:rsidR="00FC6C50">
        <w:rPr>
          <w:rFonts w:cs="Arial"/>
          <w:color w:val="000000"/>
          <w:shd w:val="clear" w:color="auto" w:fill="FFFFFF"/>
        </w:rPr>
        <w:t>erived</w:t>
      </w:r>
      <w:r w:rsidR="001E3C80">
        <w:rPr>
          <w:rFonts w:cs="Arial"/>
          <w:color w:val="000000"/>
          <w:shd w:val="clear" w:color="auto" w:fill="FFFFFF"/>
        </w:rPr>
        <w:t xml:space="preserve"> </w:t>
      </w:r>
      <w:r w:rsidR="00B1199C">
        <w:rPr>
          <w:rFonts w:cs="Arial"/>
          <w:color w:val="000000"/>
          <w:shd w:val="clear" w:color="auto" w:fill="FFFFFF"/>
        </w:rPr>
        <w:t xml:space="preserve">exclusively </w:t>
      </w:r>
      <w:r w:rsidR="001E3C80">
        <w:rPr>
          <w:rFonts w:cs="Arial"/>
          <w:color w:val="000000"/>
          <w:shd w:val="clear" w:color="auto" w:fill="FFFFFF"/>
        </w:rPr>
        <w:t xml:space="preserve">from CTE </w:t>
      </w:r>
      <w:r w:rsidR="00B1199C">
        <w:rPr>
          <w:rFonts w:cs="Arial"/>
          <w:color w:val="000000"/>
          <w:shd w:val="clear" w:color="auto" w:fill="FFFFFF"/>
        </w:rPr>
        <w:t xml:space="preserve">completer data submitted </w:t>
      </w:r>
      <w:r w:rsidR="003C7CF3">
        <w:rPr>
          <w:rFonts w:cs="Arial"/>
          <w:color w:val="000000"/>
          <w:shd w:val="clear" w:color="auto" w:fill="FFFFFF"/>
        </w:rPr>
        <w:t xml:space="preserve">in </w:t>
      </w:r>
      <w:r w:rsidR="008E0A7A">
        <w:rPr>
          <w:rFonts w:cs="Arial"/>
          <w:color w:val="000000"/>
          <w:shd w:val="clear" w:color="auto" w:fill="FFFFFF"/>
        </w:rPr>
        <w:t xml:space="preserve">spring </w:t>
      </w:r>
      <w:r w:rsidR="003C7CF3">
        <w:rPr>
          <w:rFonts w:cs="Arial"/>
          <w:color w:val="000000"/>
          <w:shd w:val="clear" w:color="auto" w:fill="FFFFFF"/>
        </w:rPr>
        <w:t xml:space="preserve">2023 </w:t>
      </w:r>
      <w:r w:rsidR="00B1199C">
        <w:rPr>
          <w:rFonts w:cs="Arial"/>
          <w:color w:val="000000"/>
          <w:shd w:val="clear" w:color="auto" w:fill="FFFFFF"/>
        </w:rPr>
        <w:t xml:space="preserve">for </w:t>
      </w:r>
      <w:r w:rsidR="00192324">
        <w:rPr>
          <w:rFonts w:cs="Arial"/>
          <w:color w:val="000000"/>
          <w:shd w:val="clear" w:color="auto" w:fill="FFFFFF"/>
        </w:rPr>
        <w:t xml:space="preserve">the </w:t>
      </w:r>
      <w:r w:rsidR="00FC6C50">
        <w:rPr>
          <w:rFonts w:cs="Arial"/>
          <w:color w:val="000000"/>
          <w:shd w:val="clear" w:color="auto" w:fill="FFFFFF"/>
        </w:rPr>
        <w:t>academic year (AY) 2021–22</w:t>
      </w:r>
      <w:r w:rsidR="00431BEC">
        <w:rPr>
          <w:rFonts w:cs="Arial"/>
          <w:color w:val="000000"/>
          <w:shd w:val="clear" w:color="auto" w:fill="FFFFFF"/>
        </w:rPr>
        <w:t xml:space="preserve">, because it </w:t>
      </w:r>
      <w:r w:rsidR="003C7CF3">
        <w:rPr>
          <w:rFonts w:cs="Arial"/>
          <w:color w:val="000000"/>
          <w:shd w:val="clear" w:color="auto" w:fill="FFFFFF"/>
        </w:rPr>
        <w:t xml:space="preserve">is the most </w:t>
      </w:r>
      <w:r w:rsidR="00FA3961">
        <w:rPr>
          <w:rFonts w:cs="Arial"/>
          <w:color w:val="000000"/>
          <w:shd w:val="clear" w:color="auto" w:fill="FFFFFF"/>
        </w:rPr>
        <w:t>current</w:t>
      </w:r>
      <w:r w:rsidR="003C7CF3">
        <w:rPr>
          <w:rFonts w:cs="Arial"/>
          <w:color w:val="000000"/>
          <w:shd w:val="clear" w:color="auto" w:fill="FFFFFF"/>
        </w:rPr>
        <w:t xml:space="preserve"> and comprehensive AY</w:t>
      </w:r>
      <w:r w:rsidR="009A176A">
        <w:rPr>
          <w:rFonts w:cs="Arial"/>
          <w:color w:val="000000"/>
          <w:shd w:val="clear" w:color="auto" w:fill="FFFFFF"/>
        </w:rPr>
        <w:t>, post</w:t>
      </w:r>
      <w:r w:rsidR="00A3563E">
        <w:rPr>
          <w:rFonts w:cs="Arial"/>
          <w:color w:val="000000"/>
          <w:shd w:val="clear" w:color="auto" w:fill="FFFFFF"/>
        </w:rPr>
        <w:t xml:space="preserve"> COVID-19</w:t>
      </w:r>
      <w:r w:rsidR="009A176A">
        <w:rPr>
          <w:rFonts w:cs="Arial"/>
          <w:color w:val="000000"/>
          <w:shd w:val="clear" w:color="auto" w:fill="FFFFFF"/>
        </w:rPr>
        <w:t xml:space="preserve">, </w:t>
      </w:r>
      <w:r w:rsidR="003C7CF3">
        <w:rPr>
          <w:rFonts w:cs="Arial"/>
          <w:color w:val="000000"/>
          <w:shd w:val="clear" w:color="auto" w:fill="FFFFFF"/>
        </w:rPr>
        <w:t xml:space="preserve">of CTE data collected and </w:t>
      </w:r>
      <w:r w:rsidR="000D59F0">
        <w:rPr>
          <w:rFonts w:cs="Arial"/>
          <w:color w:val="000000"/>
          <w:shd w:val="clear" w:color="auto" w:fill="FFFFFF"/>
        </w:rPr>
        <w:t>analyzed by</w:t>
      </w:r>
      <w:r w:rsidR="00560D91">
        <w:rPr>
          <w:rFonts w:cs="Arial"/>
          <w:color w:val="000000"/>
          <w:shd w:val="clear" w:color="auto" w:fill="FFFFFF"/>
        </w:rPr>
        <w:t xml:space="preserve"> </w:t>
      </w:r>
      <w:r w:rsidR="003C7CF3">
        <w:rPr>
          <w:rFonts w:cs="Arial"/>
          <w:color w:val="000000"/>
          <w:shd w:val="clear" w:color="auto" w:fill="FFFFFF"/>
        </w:rPr>
        <w:t xml:space="preserve">the CDE. </w:t>
      </w:r>
      <w:r w:rsidR="00E07B7A">
        <w:rPr>
          <w:rFonts w:cs="Arial"/>
          <w:color w:val="000000"/>
          <w:shd w:val="clear" w:color="auto" w:fill="FFFFFF"/>
        </w:rPr>
        <w:t>This report primarily juxtaposes cohort, CTEIG, and non CTEIG attendance and</w:t>
      </w:r>
      <w:r w:rsidR="00052FDA">
        <w:rPr>
          <w:rFonts w:cs="Arial"/>
          <w:color w:val="000000"/>
          <w:shd w:val="clear" w:color="auto" w:fill="FFFFFF"/>
        </w:rPr>
        <w:t xml:space="preserve"> </w:t>
      </w:r>
      <w:r w:rsidR="00E07B7A">
        <w:rPr>
          <w:rFonts w:cs="Arial"/>
          <w:color w:val="000000"/>
          <w:shd w:val="clear" w:color="auto" w:fill="FFFFFF"/>
        </w:rPr>
        <w:t>graduation rates for CTE participants and pathway completers disaggregated by race, gender</w:t>
      </w:r>
      <w:r w:rsidR="00C00724">
        <w:rPr>
          <w:rFonts w:cs="Arial"/>
          <w:color w:val="000000"/>
          <w:shd w:val="clear" w:color="auto" w:fill="FFFFFF"/>
        </w:rPr>
        <w:t>,</w:t>
      </w:r>
      <w:r w:rsidR="00E07B7A">
        <w:rPr>
          <w:rFonts w:cs="Arial"/>
          <w:color w:val="000000"/>
          <w:shd w:val="clear" w:color="auto" w:fill="FFFFFF"/>
        </w:rPr>
        <w:t xml:space="preserve"> and CTEIG region.</w:t>
      </w:r>
    </w:p>
    <w:p w14:paraId="0E347075" w14:textId="28E79DEF" w:rsidR="002769ED" w:rsidRPr="00271C6A" w:rsidRDefault="00B165E1" w:rsidP="0032224B">
      <w:pPr>
        <w:pStyle w:val="Heading2"/>
      </w:pPr>
      <w:bookmarkStart w:id="31" w:name="_Toc158883508"/>
      <w:r w:rsidRPr="00271C6A">
        <w:lastRenderedPageBreak/>
        <w:t>Backgroun</w:t>
      </w:r>
      <w:r w:rsidR="00DC3011">
        <w:t>d</w:t>
      </w:r>
      <w:bookmarkEnd w:id="31"/>
    </w:p>
    <w:p w14:paraId="2D62EED0" w14:textId="16B4FD1E" w:rsidR="00290AD8" w:rsidRPr="005147E0" w:rsidRDefault="00E32F7E" w:rsidP="005147E0">
      <w:pPr>
        <w:spacing w:after="240"/>
        <w:rPr>
          <w:rFonts w:cs="Arial"/>
          <w:b/>
          <w:bCs/>
        </w:rPr>
      </w:pPr>
      <w:r>
        <w:rPr>
          <w:rFonts w:cs="Arial"/>
        </w:rPr>
        <w:t>T</w:t>
      </w:r>
      <w:r w:rsidR="00DC3011">
        <w:rPr>
          <w:rFonts w:cs="Arial"/>
        </w:rPr>
        <w:t>h</w:t>
      </w:r>
      <w:r>
        <w:rPr>
          <w:rFonts w:cs="Arial"/>
        </w:rPr>
        <w:t>is</w:t>
      </w:r>
      <w:r w:rsidR="00DC3011">
        <w:rPr>
          <w:rFonts w:cs="Arial"/>
        </w:rPr>
        <w:t xml:space="preserve"> </w:t>
      </w:r>
      <w:r>
        <w:rPr>
          <w:rFonts w:cs="Arial"/>
        </w:rPr>
        <w:t xml:space="preserve">CTEIG </w:t>
      </w:r>
      <w:r w:rsidR="00DC3011">
        <w:rPr>
          <w:rFonts w:cs="Arial"/>
        </w:rPr>
        <w:t xml:space="preserve">Five-Year </w:t>
      </w:r>
      <w:r>
        <w:rPr>
          <w:rFonts w:cs="Arial"/>
        </w:rPr>
        <w:t xml:space="preserve">Progress </w:t>
      </w:r>
      <w:r w:rsidR="00DC3011" w:rsidRPr="00425845">
        <w:rPr>
          <w:rFonts w:cs="Arial"/>
        </w:rPr>
        <w:t>report</w:t>
      </w:r>
      <w:r w:rsidR="00DC3011">
        <w:rPr>
          <w:rFonts w:cs="Arial"/>
        </w:rPr>
        <w:t xml:space="preserve"> contains three primary areas of </w:t>
      </w:r>
      <w:r>
        <w:rPr>
          <w:rFonts w:cs="Arial"/>
        </w:rPr>
        <w:t>analysis and discernment</w:t>
      </w:r>
      <w:r w:rsidR="00C019F0">
        <w:rPr>
          <w:rFonts w:cs="Arial"/>
        </w:rPr>
        <w:t xml:space="preserve">: (1) expansion and support of high-quality CTE, (2) alignment with post-secondary and workforce development entities, and (3) mitigate equity </w:t>
      </w:r>
      <w:r w:rsidR="00994B3B">
        <w:rPr>
          <w:rFonts w:cs="Arial"/>
        </w:rPr>
        <w:t>g</w:t>
      </w:r>
      <w:r w:rsidR="00C019F0">
        <w:rPr>
          <w:rFonts w:cs="Arial"/>
        </w:rPr>
        <w:t>aps in program access and completion. As previously stated,</w:t>
      </w:r>
      <w:r w:rsidR="00C019F0" w:rsidRPr="003627F4">
        <w:rPr>
          <w:rFonts w:cs="Arial"/>
          <w:b/>
          <w:bCs/>
        </w:rPr>
        <w:t xml:space="preserve"> </w:t>
      </w:r>
      <w:r w:rsidR="00C019F0">
        <w:rPr>
          <w:rFonts w:cs="Arial"/>
        </w:rPr>
        <w:t>t</w:t>
      </w:r>
      <w:r w:rsidR="00FC6C50">
        <w:rPr>
          <w:rFonts w:cs="Arial"/>
          <w:color w:val="000000"/>
          <w:shd w:val="clear" w:color="auto" w:fill="FFFFFF"/>
        </w:rPr>
        <w:t>he availability of quantitative CTE data has</w:t>
      </w:r>
      <w:r w:rsidR="00FC6C50" w:rsidRPr="009B708F">
        <w:rPr>
          <w:rFonts w:cs="Arial"/>
          <w:color w:val="000000"/>
          <w:shd w:val="clear" w:color="auto" w:fill="FFFFFF"/>
        </w:rPr>
        <w:t xml:space="preserve"> </w:t>
      </w:r>
      <w:r w:rsidR="00FC6C50">
        <w:rPr>
          <w:rFonts w:cs="Arial"/>
          <w:color w:val="000000"/>
          <w:shd w:val="clear" w:color="auto" w:fill="FFFFFF"/>
        </w:rPr>
        <w:t xml:space="preserve">historically </w:t>
      </w:r>
      <w:r w:rsidR="00FC6C50" w:rsidRPr="009B708F">
        <w:rPr>
          <w:rFonts w:cs="Arial"/>
          <w:color w:val="000000"/>
          <w:shd w:val="clear" w:color="auto" w:fill="FFFFFF"/>
        </w:rPr>
        <w:t xml:space="preserve">been </w:t>
      </w:r>
      <w:r w:rsidR="00C019F0">
        <w:rPr>
          <w:rFonts w:cs="Arial"/>
          <w:color w:val="000000"/>
          <w:shd w:val="clear" w:color="auto" w:fill="FFFFFF"/>
        </w:rPr>
        <w:t xml:space="preserve">limited; </w:t>
      </w:r>
      <w:r w:rsidR="005E5762">
        <w:rPr>
          <w:rFonts w:cs="Arial"/>
          <w:color w:val="000000"/>
          <w:shd w:val="clear" w:color="auto" w:fill="FFFFFF"/>
        </w:rPr>
        <w:t>however</w:t>
      </w:r>
      <w:r w:rsidR="00C019F0">
        <w:rPr>
          <w:rFonts w:cs="Arial"/>
          <w:color w:val="000000"/>
          <w:shd w:val="clear" w:color="auto" w:fill="FFFFFF"/>
        </w:rPr>
        <w:t xml:space="preserve">, the collection </w:t>
      </w:r>
      <w:r w:rsidR="005E5762">
        <w:rPr>
          <w:rFonts w:cs="Arial"/>
          <w:color w:val="000000"/>
          <w:shd w:val="clear" w:color="auto" w:fill="FFFFFF"/>
        </w:rPr>
        <w:t xml:space="preserve">and analysis </w:t>
      </w:r>
      <w:r w:rsidR="00C019F0">
        <w:rPr>
          <w:rFonts w:cs="Arial"/>
          <w:color w:val="000000"/>
          <w:shd w:val="clear" w:color="auto" w:fill="FFFFFF"/>
        </w:rPr>
        <w:t>of CTE data has</w:t>
      </w:r>
      <w:r w:rsidR="00C366BC">
        <w:rPr>
          <w:rFonts w:cs="Arial"/>
          <w:color w:val="000000"/>
          <w:shd w:val="clear" w:color="auto" w:fill="FFFFFF"/>
        </w:rPr>
        <w:t xml:space="preserve"> improved</w:t>
      </w:r>
      <w:r w:rsidR="00C019F0">
        <w:rPr>
          <w:rFonts w:cs="Arial"/>
          <w:color w:val="000000"/>
          <w:shd w:val="clear" w:color="auto" w:fill="FFFFFF"/>
        </w:rPr>
        <w:t xml:space="preserve"> </w:t>
      </w:r>
      <w:r w:rsidR="00C366BC">
        <w:rPr>
          <w:rFonts w:cs="Arial"/>
          <w:color w:val="000000"/>
          <w:shd w:val="clear" w:color="auto" w:fill="FFFFFF"/>
        </w:rPr>
        <w:t>due</w:t>
      </w:r>
      <w:r w:rsidR="00C019F0">
        <w:rPr>
          <w:rFonts w:cs="Arial"/>
          <w:color w:val="000000"/>
          <w:shd w:val="clear" w:color="auto" w:fill="FFFFFF"/>
        </w:rPr>
        <w:t xml:space="preserve"> in large part to the CDE staff within the Accountability, Measurements, and Research Division (AMARD).</w:t>
      </w:r>
      <w:r w:rsidR="005E5762">
        <w:rPr>
          <w:rFonts w:cs="Arial"/>
          <w:color w:val="000000"/>
          <w:shd w:val="clear" w:color="auto" w:fill="FFFFFF"/>
        </w:rPr>
        <w:t xml:space="preserve"> </w:t>
      </w:r>
      <w:r w:rsidR="005E5762" w:rsidRPr="009B708F">
        <w:rPr>
          <w:rFonts w:cs="Arial"/>
        </w:rPr>
        <w:t>The starting point of any consistent CTE data collection was the 202</w:t>
      </w:r>
      <w:r w:rsidR="00CA5AD9">
        <w:rPr>
          <w:rFonts w:cs="Arial"/>
        </w:rPr>
        <w:t>1</w:t>
      </w:r>
      <w:r w:rsidR="005E5762" w:rsidRPr="009B708F">
        <w:rPr>
          <w:rFonts w:cs="Arial"/>
        </w:rPr>
        <w:t xml:space="preserve"> data collection period of the AY 20</w:t>
      </w:r>
      <w:r w:rsidR="00CA5AD9">
        <w:rPr>
          <w:rFonts w:cs="Arial"/>
        </w:rPr>
        <w:t>19</w:t>
      </w:r>
      <w:r w:rsidR="005E5762" w:rsidRPr="009B708F">
        <w:rPr>
          <w:rFonts w:cs="Arial"/>
        </w:rPr>
        <w:t>–2</w:t>
      </w:r>
      <w:r w:rsidR="00CA5AD9">
        <w:rPr>
          <w:rFonts w:cs="Arial"/>
        </w:rPr>
        <w:t>0, and the CDE’s</w:t>
      </w:r>
      <w:r w:rsidR="00C1406B">
        <w:rPr>
          <w:rFonts w:cs="Arial"/>
        </w:rPr>
        <w:t xml:space="preserve"> continuous refinement of its </w:t>
      </w:r>
      <w:r w:rsidR="00CA5AD9">
        <w:rPr>
          <w:rFonts w:cs="Arial"/>
        </w:rPr>
        <w:t>collection and analytical methodology</w:t>
      </w:r>
      <w:r w:rsidR="00C1406B">
        <w:rPr>
          <w:rFonts w:cs="Arial"/>
        </w:rPr>
        <w:t xml:space="preserve"> is reflected in the 2021–22 AY CTE </w:t>
      </w:r>
      <w:r w:rsidR="00CA5AD9" w:rsidRPr="009B708F">
        <w:rPr>
          <w:rFonts w:cs="Arial"/>
        </w:rPr>
        <w:t>data</w:t>
      </w:r>
      <w:r w:rsidR="00C1406B">
        <w:rPr>
          <w:rFonts w:cs="Arial"/>
        </w:rPr>
        <w:t xml:space="preserve"> featured</w:t>
      </w:r>
      <w:r w:rsidR="00CA5AD9">
        <w:rPr>
          <w:rFonts w:cs="Arial"/>
        </w:rPr>
        <w:t xml:space="preserve"> in this </w:t>
      </w:r>
      <w:r w:rsidR="00CA5AD9" w:rsidRPr="009B708F">
        <w:rPr>
          <w:rFonts w:cs="Arial"/>
        </w:rPr>
        <w:t>report.</w:t>
      </w:r>
    </w:p>
    <w:p w14:paraId="63D4030E" w14:textId="3685DABA" w:rsidR="00290AD8" w:rsidRDefault="00E25868" w:rsidP="005147E0">
      <w:pPr>
        <w:spacing w:after="240"/>
        <w:rPr>
          <w:rFonts w:cs="Arial"/>
        </w:rPr>
      </w:pPr>
      <w:r w:rsidRPr="00E25868">
        <w:rPr>
          <w:rFonts w:cs="Arial"/>
        </w:rPr>
        <w:t>Between 2015 and 2018, the collection of CTE data was in its infancy and structured utilizing data from the California Longitudinal Pupil Achievement Data System (CALPADS) to obtain limited CTE participation and completer information</w:t>
      </w:r>
      <w:r w:rsidR="00B20D00">
        <w:rPr>
          <w:rFonts w:cs="Arial"/>
        </w:rPr>
        <w:t>. A</w:t>
      </w:r>
      <w:r w:rsidRPr="00E25868">
        <w:rPr>
          <w:rFonts w:cs="Arial"/>
        </w:rPr>
        <w:t xml:space="preserve"> survey </w:t>
      </w:r>
      <w:r w:rsidR="00B20D00">
        <w:rPr>
          <w:rFonts w:cs="Arial"/>
        </w:rPr>
        <w:t>is used to</w:t>
      </w:r>
      <w:r w:rsidRPr="00E25868">
        <w:rPr>
          <w:rFonts w:cs="Arial"/>
        </w:rPr>
        <w:t xml:space="preserve"> obtain postsecondary data for CTE completers.</w:t>
      </w:r>
      <w:r>
        <w:rPr>
          <w:rFonts w:cs="Arial"/>
        </w:rPr>
        <w:t xml:space="preserve"> </w:t>
      </w:r>
      <w:r w:rsidR="00290AD8" w:rsidRPr="0041359B">
        <w:rPr>
          <w:rFonts w:cs="Arial"/>
        </w:rPr>
        <w:t xml:space="preserve">Up until the 2021 data collection period </w:t>
      </w:r>
      <w:r w:rsidR="008C7525">
        <w:rPr>
          <w:rFonts w:cs="Arial"/>
        </w:rPr>
        <w:t>(</w:t>
      </w:r>
      <w:r w:rsidR="00290AD8" w:rsidRPr="0041359B">
        <w:rPr>
          <w:rFonts w:cs="Arial"/>
        </w:rPr>
        <w:t>2019–20 AY</w:t>
      </w:r>
      <w:r w:rsidR="008C7525">
        <w:rPr>
          <w:rFonts w:cs="Arial"/>
        </w:rPr>
        <w:t>)</w:t>
      </w:r>
      <w:r w:rsidR="00290AD8" w:rsidRPr="0041359B">
        <w:rPr>
          <w:rFonts w:cs="Arial"/>
        </w:rPr>
        <w:t xml:space="preserve">, CTE data </w:t>
      </w:r>
      <w:r>
        <w:rPr>
          <w:rFonts w:cs="Arial"/>
        </w:rPr>
        <w:t xml:space="preserve">was collected </w:t>
      </w:r>
      <w:r w:rsidR="00290AD8" w:rsidRPr="0041359B">
        <w:rPr>
          <w:rFonts w:cs="Arial"/>
        </w:rPr>
        <w:t>through multiple methods and sources. Through the collaborative work of staff from the AMARD and C</w:t>
      </w:r>
      <w:r w:rsidR="00290AD8">
        <w:rPr>
          <w:rFonts w:cs="Arial"/>
        </w:rPr>
        <w:t>areer and College Transition Division (C</w:t>
      </w:r>
      <w:r w:rsidR="00290AD8" w:rsidRPr="0041359B">
        <w:rPr>
          <w:rFonts w:cs="Arial"/>
        </w:rPr>
        <w:t>CTD</w:t>
      </w:r>
      <w:r w:rsidR="00290AD8">
        <w:rPr>
          <w:rFonts w:cs="Arial"/>
        </w:rPr>
        <w:t>)</w:t>
      </w:r>
      <w:r w:rsidR="00290AD8" w:rsidRPr="0041359B">
        <w:rPr>
          <w:rFonts w:cs="Arial"/>
        </w:rPr>
        <w:t xml:space="preserve">, the CDE </w:t>
      </w:r>
      <w:r w:rsidR="00352375">
        <w:rPr>
          <w:rFonts w:cs="Arial"/>
        </w:rPr>
        <w:t xml:space="preserve">has established </w:t>
      </w:r>
      <w:r w:rsidR="00290AD8" w:rsidRPr="0041359B">
        <w:rPr>
          <w:rFonts w:cs="Arial"/>
        </w:rPr>
        <w:t>a single point of data collection for CTE in CALPADS, which not only allow</w:t>
      </w:r>
      <w:r w:rsidR="008C7525">
        <w:rPr>
          <w:rFonts w:cs="Arial"/>
        </w:rPr>
        <w:t>s</w:t>
      </w:r>
      <w:r w:rsidR="00290AD8" w:rsidRPr="0041359B">
        <w:rPr>
          <w:rFonts w:cs="Arial"/>
        </w:rPr>
        <w:t xml:space="preserve"> </w:t>
      </w:r>
      <w:r w:rsidR="008C7525">
        <w:rPr>
          <w:rFonts w:cs="Arial"/>
        </w:rPr>
        <w:t xml:space="preserve">the </w:t>
      </w:r>
      <w:r w:rsidR="00290AD8" w:rsidRPr="0041359B">
        <w:rPr>
          <w:rFonts w:cs="Arial"/>
        </w:rPr>
        <w:t>CDE to flag and track CTE data, but it also allow</w:t>
      </w:r>
      <w:r w:rsidR="008C7525">
        <w:rPr>
          <w:rFonts w:cs="Arial"/>
        </w:rPr>
        <w:t>s</w:t>
      </w:r>
      <w:r w:rsidR="00290AD8" w:rsidRPr="0041359B">
        <w:rPr>
          <w:rFonts w:cs="Arial"/>
        </w:rPr>
        <w:t xml:space="preserve"> for future trend analysis of CTE</w:t>
      </w:r>
      <w:r w:rsidR="00352375">
        <w:rPr>
          <w:rFonts w:cs="Arial"/>
        </w:rPr>
        <w:t xml:space="preserve"> programs</w:t>
      </w:r>
      <w:r w:rsidR="00290AD8" w:rsidRPr="0041359B">
        <w:rPr>
          <w:rFonts w:cs="Arial"/>
        </w:rPr>
        <w:t xml:space="preserve">. </w:t>
      </w:r>
      <w:r w:rsidR="00352375">
        <w:rPr>
          <w:rFonts w:cs="Arial"/>
        </w:rPr>
        <w:t xml:space="preserve">Moreover, with a </w:t>
      </w:r>
      <w:r w:rsidR="00366DFC">
        <w:rPr>
          <w:rFonts w:cs="Arial"/>
        </w:rPr>
        <w:t xml:space="preserve">matured collection process </w:t>
      </w:r>
      <w:r w:rsidR="00352375">
        <w:rPr>
          <w:rFonts w:cs="Arial"/>
        </w:rPr>
        <w:t xml:space="preserve">firmly established, the CDE operationalized an </w:t>
      </w:r>
      <w:r w:rsidR="00290AD8" w:rsidRPr="0041359B">
        <w:rPr>
          <w:rFonts w:cs="Arial"/>
        </w:rPr>
        <w:t>annual CTE data collection</w:t>
      </w:r>
      <w:r w:rsidR="008C7525">
        <w:rPr>
          <w:rFonts w:cs="Arial"/>
        </w:rPr>
        <w:t>, analysis,</w:t>
      </w:r>
      <w:r w:rsidR="00290AD8" w:rsidRPr="0041359B">
        <w:rPr>
          <w:rFonts w:cs="Arial"/>
        </w:rPr>
        <w:t xml:space="preserve"> and reporting timeline for federal and state reporting </w:t>
      </w:r>
      <w:r w:rsidR="00352375" w:rsidRPr="0041359B">
        <w:rPr>
          <w:rFonts w:cs="Arial"/>
        </w:rPr>
        <w:t>purposes</w:t>
      </w:r>
      <w:r w:rsidR="00352375">
        <w:rPr>
          <w:rFonts w:cs="Arial"/>
        </w:rPr>
        <w:t>,</w:t>
      </w:r>
      <w:r w:rsidR="00290AD8" w:rsidRPr="0041359B">
        <w:rPr>
          <w:rFonts w:cs="Arial"/>
        </w:rPr>
        <w:t xml:space="preserve"> including the reporting of CTE data for </w:t>
      </w:r>
      <w:r w:rsidR="00290AD8">
        <w:rPr>
          <w:rFonts w:cs="Arial"/>
        </w:rPr>
        <w:t xml:space="preserve">succeeding </w:t>
      </w:r>
      <w:r w:rsidR="008C7525">
        <w:rPr>
          <w:rFonts w:cs="Arial"/>
        </w:rPr>
        <w:t xml:space="preserve">annual and </w:t>
      </w:r>
      <w:r w:rsidR="00290AD8">
        <w:rPr>
          <w:rFonts w:cs="Arial"/>
        </w:rPr>
        <w:t>Five-Year Progress Reports</w:t>
      </w:r>
      <w:r w:rsidR="00290AD8" w:rsidRPr="0041359B">
        <w:rPr>
          <w:rFonts w:cs="Arial"/>
        </w:rPr>
        <w:t>.</w:t>
      </w:r>
    </w:p>
    <w:p w14:paraId="228F65D0" w14:textId="66598CEE" w:rsidR="008C7525" w:rsidRDefault="008C7525" w:rsidP="005147E0">
      <w:pPr>
        <w:pStyle w:val="Heading3"/>
        <w:jc w:val="left"/>
      </w:pPr>
      <w:r>
        <w:t>CTEIG Data Metrics</w:t>
      </w:r>
      <w:r w:rsidR="000F382F">
        <w:t xml:space="preserve"> Collection Cycle (Two Parts)</w:t>
      </w:r>
    </w:p>
    <w:p w14:paraId="3B6598D8" w14:textId="385F28A3" w:rsidR="00111D80" w:rsidRDefault="00290AD8" w:rsidP="005147E0">
      <w:pPr>
        <w:spacing w:after="240"/>
        <w:rPr>
          <w:rFonts w:ascii="Helvetica" w:hAnsi="Helvetica" w:cs="Helvetica"/>
          <w:color w:val="000000"/>
          <w:shd w:val="clear" w:color="auto" w:fill="FFFFFF"/>
        </w:rPr>
      </w:pPr>
      <w:r w:rsidRPr="0041359B">
        <w:rPr>
          <w:rFonts w:cs="Arial"/>
        </w:rPr>
        <w:t xml:space="preserve">The </w:t>
      </w:r>
      <w:r w:rsidR="00E25868">
        <w:rPr>
          <w:rFonts w:cs="Arial"/>
        </w:rPr>
        <w:t xml:space="preserve">current </w:t>
      </w:r>
      <w:r w:rsidRPr="0041359B">
        <w:rPr>
          <w:rFonts w:cs="Arial"/>
        </w:rPr>
        <w:t xml:space="preserve">annual CTE data collection process includes a two-part collection cycle </w:t>
      </w:r>
      <w:r w:rsidR="00E25868">
        <w:rPr>
          <w:rFonts w:cs="Arial"/>
        </w:rPr>
        <w:t>of CTEIG metrics</w:t>
      </w:r>
      <w:r w:rsidR="00E25868">
        <w:rPr>
          <w:rStyle w:val="FootnoteReference"/>
          <w:rFonts w:cs="Arial"/>
        </w:rPr>
        <w:footnoteReference w:id="3"/>
      </w:r>
      <w:r w:rsidR="00E25868">
        <w:rPr>
          <w:rFonts w:cs="Arial"/>
        </w:rPr>
        <w:t xml:space="preserve"> </w:t>
      </w:r>
      <w:r w:rsidRPr="0041359B">
        <w:rPr>
          <w:rFonts w:cs="Arial"/>
        </w:rPr>
        <w:t>for each CTE data year reported. This collection includes (1)</w:t>
      </w:r>
      <w:r w:rsidR="00E25868">
        <w:rPr>
          <w:rFonts w:cs="Arial"/>
        </w:rPr>
        <w:t xml:space="preserve"> </w:t>
      </w:r>
      <w:r w:rsidRPr="0041359B">
        <w:rPr>
          <w:rFonts w:cs="Arial"/>
        </w:rPr>
        <w:t xml:space="preserve">Metrics 1–4 which </w:t>
      </w:r>
      <w:r w:rsidR="00E25868">
        <w:rPr>
          <w:rFonts w:cs="Arial"/>
        </w:rPr>
        <w:t>are</w:t>
      </w:r>
      <w:r w:rsidRPr="0041359B">
        <w:rPr>
          <w:rFonts w:cs="Arial"/>
        </w:rPr>
        <w:t xml:space="preserve"> collected during the regular End of Year Submission for LEAs, and (2)</w:t>
      </w:r>
      <w:r w:rsidR="00E25868">
        <w:rPr>
          <w:rFonts w:cs="Arial"/>
        </w:rPr>
        <w:t xml:space="preserve"> </w:t>
      </w:r>
      <w:r w:rsidRPr="0041359B">
        <w:rPr>
          <w:rFonts w:cs="Arial"/>
        </w:rPr>
        <w:t xml:space="preserve">Metrics </w:t>
      </w:r>
      <w:r w:rsidR="00A7136A">
        <w:rPr>
          <w:rFonts w:cs="Arial"/>
        </w:rPr>
        <w:t>4</w:t>
      </w:r>
      <w:bookmarkStart w:id="32" w:name="_Hlk157673821"/>
      <w:r w:rsidRPr="0041359B">
        <w:rPr>
          <w:rFonts w:cs="Arial"/>
        </w:rPr>
        <w:t>–</w:t>
      </w:r>
      <w:bookmarkEnd w:id="32"/>
      <w:r w:rsidRPr="0041359B">
        <w:rPr>
          <w:rFonts w:cs="Arial"/>
        </w:rPr>
        <w:t xml:space="preserve">6 which </w:t>
      </w:r>
      <w:r w:rsidR="00DB03D6">
        <w:rPr>
          <w:rFonts w:cs="Arial"/>
        </w:rPr>
        <w:t xml:space="preserve">are </w:t>
      </w:r>
      <w:r w:rsidRPr="0041359B">
        <w:rPr>
          <w:rFonts w:cs="Arial"/>
        </w:rPr>
        <w:t xml:space="preserve">collected in the following </w:t>
      </w:r>
      <w:r w:rsidR="004C5059">
        <w:rPr>
          <w:rFonts w:cs="Arial"/>
        </w:rPr>
        <w:t>s</w:t>
      </w:r>
      <w:r w:rsidRPr="0041359B">
        <w:rPr>
          <w:rFonts w:cs="Arial"/>
        </w:rPr>
        <w:t>pring of each year.</w:t>
      </w:r>
      <w:r w:rsidR="00B65A59">
        <w:rPr>
          <w:rFonts w:cs="Arial"/>
        </w:rPr>
        <w:t xml:space="preserve"> </w:t>
      </w:r>
      <w:r w:rsidR="00B65A59">
        <w:rPr>
          <w:rFonts w:ascii="Helvetica" w:hAnsi="Helvetica" w:cs="Helvetica"/>
          <w:color w:val="000000"/>
          <w:shd w:val="clear" w:color="auto" w:fill="FFFFFF"/>
        </w:rPr>
        <w:t xml:space="preserve">To </w:t>
      </w:r>
      <w:r w:rsidR="00370EC4">
        <w:rPr>
          <w:rFonts w:ascii="Helvetica" w:hAnsi="Helvetica" w:cs="Helvetica"/>
          <w:color w:val="000000"/>
          <w:shd w:val="clear" w:color="auto" w:fill="FFFFFF"/>
        </w:rPr>
        <w:t>diminish</w:t>
      </w:r>
      <w:r w:rsidR="00B65A59">
        <w:rPr>
          <w:rFonts w:ascii="Helvetica" w:hAnsi="Helvetica" w:cs="Helvetica"/>
          <w:color w:val="000000"/>
          <w:shd w:val="clear" w:color="auto" w:fill="FFFFFF"/>
        </w:rPr>
        <w:t xml:space="preserve"> the administrative burden of annually collecting CTE Completer data for separate federal and state programs, the CDE created the CTE Completer Postsecondary Status Survey template</w:t>
      </w:r>
      <w:r w:rsidR="00A573FD">
        <w:rPr>
          <w:rFonts w:ascii="Helvetica" w:hAnsi="Helvetica" w:cs="Helvetica"/>
          <w:color w:val="000000"/>
          <w:shd w:val="clear" w:color="auto" w:fill="FFFFFF"/>
        </w:rPr>
        <w:t>, which includes</w:t>
      </w:r>
      <w:r w:rsidR="00712D6F">
        <w:rPr>
          <w:rFonts w:ascii="Helvetica" w:hAnsi="Helvetica" w:cs="Helvetica"/>
          <w:color w:val="000000"/>
          <w:shd w:val="clear" w:color="auto" w:fill="FFFFFF"/>
        </w:rPr>
        <w:t xml:space="preserve"> Metrics 5</w:t>
      </w:r>
      <w:r w:rsidR="00ED687C" w:rsidRPr="0041359B">
        <w:rPr>
          <w:rFonts w:cs="Arial"/>
        </w:rPr>
        <w:t>–</w:t>
      </w:r>
      <w:r w:rsidR="00712D6F">
        <w:rPr>
          <w:rFonts w:ascii="Helvetica" w:hAnsi="Helvetica" w:cs="Helvetica"/>
          <w:color w:val="000000"/>
          <w:shd w:val="clear" w:color="auto" w:fill="FFFFFF"/>
        </w:rPr>
        <w:t>6</w:t>
      </w:r>
      <w:r w:rsidR="00B65A59">
        <w:rPr>
          <w:rFonts w:ascii="Helvetica" w:hAnsi="Helvetica" w:cs="Helvetica"/>
          <w:color w:val="000000"/>
          <w:shd w:val="clear" w:color="auto" w:fill="FFFFFF"/>
        </w:rPr>
        <w:t xml:space="preserve">. Once all student-level data has been compiled by the LEA, </w:t>
      </w:r>
      <w:r w:rsidR="00712D6F">
        <w:rPr>
          <w:rFonts w:ascii="Helvetica" w:hAnsi="Helvetica" w:cs="Helvetica"/>
          <w:color w:val="000000"/>
          <w:shd w:val="clear" w:color="auto" w:fill="FFFFFF"/>
        </w:rPr>
        <w:t xml:space="preserve">the data </w:t>
      </w:r>
      <w:r w:rsidR="00111D80">
        <w:rPr>
          <w:rFonts w:ascii="Helvetica" w:hAnsi="Helvetica" w:cs="Helvetica"/>
          <w:color w:val="000000"/>
          <w:shd w:val="clear" w:color="auto" w:fill="FFFFFF"/>
        </w:rPr>
        <w:t xml:space="preserve">is </w:t>
      </w:r>
      <w:r w:rsidR="00B65A59">
        <w:rPr>
          <w:rFonts w:ascii="Helvetica" w:hAnsi="Helvetica" w:cs="Helvetica"/>
          <w:color w:val="000000"/>
          <w:shd w:val="clear" w:color="auto" w:fill="FFFFFF"/>
        </w:rPr>
        <w:t>uploaded into their Student Information System and then exported into the CALPADS through the Postsecondary Status (PSTS) file.</w:t>
      </w:r>
      <w:r w:rsidR="00712D6F">
        <w:rPr>
          <w:rStyle w:val="FootnoteReference"/>
          <w:rFonts w:ascii="Helvetica" w:hAnsi="Helvetica" w:cs="Helvetica"/>
          <w:color w:val="000000"/>
          <w:shd w:val="clear" w:color="auto" w:fill="FFFFFF"/>
        </w:rPr>
        <w:footnoteReference w:id="4"/>
      </w:r>
      <w:r w:rsidR="00E85F9C">
        <w:rPr>
          <w:rFonts w:ascii="Helvetica" w:hAnsi="Helvetica" w:cs="Helvetica"/>
          <w:color w:val="000000"/>
          <w:shd w:val="clear" w:color="auto" w:fill="FFFFFF"/>
        </w:rPr>
        <w:t xml:space="preserve"> It is worth</w:t>
      </w:r>
      <w:r w:rsidR="00111D80">
        <w:rPr>
          <w:rFonts w:ascii="Helvetica" w:hAnsi="Helvetica" w:cs="Helvetica"/>
          <w:color w:val="000000"/>
          <w:shd w:val="clear" w:color="auto" w:fill="FFFFFF"/>
        </w:rPr>
        <w:t xml:space="preserve"> </w:t>
      </w:r>
      <w:r w:rsidR="00E85F9C">
        <w:rPr>
          <w:rFonts w:ascii="Helvetica" w:hAnsi="Helvetica" w:cs="Helvetica"/>
          <w:color w:val="000000"/>
          <w:shd w:val="clear" w:color="auto" w:fill="FFFFFF"/>
        </w:rPr>
        <w:t xml:space="preserve">noting, the data submitted through the PSTS file is solely reliant on former </w:t>
      </w:r>
      <w:r w:rsidR="002E7AC7">
        <w:rPr>
          <w:rFonts w:ascii="Helvetica" w:hAnsi="Helvetica" w:cs="Helvetica"/>
          <w:color w:val="000000"/>
          <w:shd w:val="clear" w:color="auto" w:fill="FFFFFF"/>
        </w:rPr>
        <w:t>grade twelve</w:t>
      </w:r>
      <w:r w:rsidR="00E85F9C">
        <w:rPr>
          <w:rFonts w:ascii="Helvetica" w:hAnsi="Helvetica" w:cs="Helvetica"/>
          <w:color w:val="000000"/>
          <w:shd w:val="clear" w:color="auto" w:fill="FFFFFF"/>
        </w:rPr>
        <w:t xml:space="preserve"> students voluntarily responding to a survey six months after exiting </w:t>
      </w:r>
      <w:r w:rsidR="00E10270">
        <w:rPr>
          <w:rFonts w:ascii="Helvetica" w:hAnsi="Helvetica" w:cs="Helvetica"/>
          <w:color w:val="000000"/>
          <w:shd w:val="clear" w:color="auto" w:fill="FFFFFF"/>
        </w:rPr>
        <w:t>secondary</w:t>
      </w:r>
      <w:r w:rsidR="00E85F9C">
        <w:rPr>
          <w:rFonts w:ascii="Helvetica" w:hAnsi="Helvetica" w:cs="Helvetica"/>
          <w:color w:val="000000"/>
          <w:shd w:val="clear" w:color="auto" w:fill="FFFFFF"/>
        </w:rPr>
        <w:t xml:space="preserve"> school.</w:t>
      </w:r>
      <w:r w:rsidR="00E85F9C">
        <w:rPr>
          <w:rStyle w:val="FootnoteReference"/>
          <w:rFonts w:ascii="Helvetica" w:hAnsi="Helvetica" w:cs="Helvetica"/>
          <w:color w:val="000000"/>
          <w:shd w:val="clear" w:color="auto" w:fill="FFFFFF"/>
        </w:rPr>
        <w:footnoteReference w:id="5"/>
      </w:r>
      <w:r w:rsidR="00111D80">
        <w:rPr>
          <w:rFonts w:ascii="Helvetica" w:hAnsi="Helvetica" w:cs="Helvetica"/>
          <w:color w:val="000000"/>
          <w:shd w:val="clear" w:color="auto" w:fill="FFFFFF"/>
        </w:rPr>
        <w:t xml:space="preserve"> </w:t>
      </w:r>
    </w:p>
    <w:p w14:paraId="668294AC" w14:textId="32FE667B" w:rsidR="00853BCE" w:rsidRPr="00111D80" w:rsidRDefault="00111D80" w:rsidP="005147E0">
      <w:pPr>
        <w:pStyle w:val="Heading3"/>
        <w:jc w:val="left"/>
      </w:pPr>
      <w:r w:rsidRPr="00111D80">
        <w:lastRenderedPageBreak/>
        <w:t>Logic for use of the Four-Year Adjusted Cohort Graduation Rate</w:t>
      </w:r>
    </w:p>
    <w:p w14:paraId="46E5F07A" w14:textId="21137D2F" w:rsidR="00041F48" w:rsidRDefault="00C1406B" w:rsidP="005147E0">
      <w:pPr>
        <w:spacing w:after="240"/>
        <w:rPr>
          <w:rFonts w:cs="Arial"/>
        </w:rPr>
      </w:pPr>
      <w:r>
        <w:rPr>
          <w:rFonts w:cs="Arial"/>
        </w:rPr>
        <w:t>Beginning with the 2021 data collection period, s</w:t>
      </w:r>
      <w:r w:rsidR="00096589" w:rsidRPr="00013366">
        <w:rPr>
          <w:rFonts w:cs="Arial"/>
        </w:rPr>
        <w:t>taff of the CCTD, in consultation with</w:t>
      </w:r>
      <w:r w:rsidR="00096589">
        <w:rPr>
          <w:rFonts w:cs="Arial"/>
        </w:rPr>
        <w:t xml:space="preserve"> </w:t>
      </w:r>
      <w:r w:rsidR="00096589" w:rsidRPr="00013366">
        <w:rPr>
          <w:rFonts w:cs="Arial"/>
        </w:rPr>
        <w:t>AMARD</w:t>
      </w:r>
      <w:r w:rsidR="00096589">
        <w:rPr>
          <w:rFonts w:cs="Arial"/>
        </w:rPr>
        <w:t xml:space="preserve"> staff</w:t>
      </w:r>
      <w:r w:rsidR="00096589" w:rsidRPr="00013366">
        <w:rPr>
          <w:rFonts w:cs="Arial"/>
        </w:rPr>
        <w:t xml:space="preserve">, </w:t>
      </w:r>
      <w:r w:rsidR="0075634E">
        <w:rPr>
          <w:rFonts w:cs="Arial"/>
        </w:rPr>
        <w:t>decided to</w:t>
      </w:r>
      <w:r w:rsidR="00096589" w:rsidRPr="00013366">
        <w:rPr>
          <w:rFonts w:cs="Arial"/>
        </w:rPr>
        <w:t xml:space="preserve"> us</w:t>
      </w:r>
      <w:r w:rsidR="0075634E">
        <w:rPr>
          <w:rFonts w:cs="Arial"/>
        </w:rPr>
        <w:t>e</w:t>
      </w:r>
      <w:r w:rsidR="00096589" w:rsidRPr="00013366">
        <w:rPr>
          <w:rFonts w:cs="Arial"/>
        </w:rPr>
        <w:t xml:space="preserve"> the Four-Year Adjusted Cohort Graduation Rate (ACGR) as the basis of measurement to maintain consistency within the CTE data that needs to be reported to the U.S. Department of Education and state entities including the</w:t>
      </w:r>
      <w:r w:rsidR="00096589">
        <w:rPr>
          <w:rFonts w:cs="Arial"/>
        </w:rPr>
        <w:t xml:space="preserve"> State Board of Education,</w:t>
      </w:r>
      <w:r w:rsidR="00096589" w:rsidRPr="00013366">
        <w:rPr>
          <w:rFonts w:cs="Arial"/>
        </w:rPr>
        <w:t xml:space="preserve"> </w:t>
      </w:r>
      <w:r w:rsidR="00382266" w:rsidRPr="00EB26F5">
        <w:rPr>
          <w:rFonts w:cs="Arial"/>
        </w:rPr>
        <w:t>California Workforce Pathways Joint Advisory Committee (</w:t>
      </w:r>
      <w:r w:rsidR="00096589" w:rsidRPr="00EB26F5">
        <w:rPr>
          <w:rFonts w:cs="Arial"/>
        </w:rPr>
        <w:t>CWPJAC</w:t>
      </w:r>
      <w:r w:rsidR="00382266" w:rsidRPr="00EB26F5">
        <w:rPr>
          <w:rFonts w:cs="Arial"/>
        </w:rPr>
        <w:t>)</w:t>
      </w:r>
      <w:r w:rsidR="00096589" w:rsidRPr="00EB26F5">
        <w:rPr>
          <w:rFonts w:cs="Arial"/>
        </w:rPr>
        <w:t>,</w:t>
      </w:r>
      <w:r w:rsidR="00096589" w:rsidRPr="00013366">
        <w:rPr>
          <w:rFonts w:cs="Arial"/>
        </w:rPr>
        <w:t xml:space="preserve"> the Legislature, the Governor’s Office, and the Department of Finance, as appropriate. </w:t>
      </w:r>
      <w:r w:rsidR="00041F48">
        <w:rPr>
          <w:rFonts w:cs="Arial"/>
        </w:rPr>
        <w:t xml:space="preserve">The ACGR </w:t>
      </w:r>
      <w:r w:rsidR="004D0341">
        <w:rPr>
          <w:rFonts w:cs="Arial"/>
        </w:rPr>
        <w:t>was used</w:t>
      </w:r>
      <w:r w:rsidR="00041F48">
        <w:rPr>
          <w:rFonts w:cs="Arial"/>
        </w:rPr>
        <w:t xml:space="preserve"> to </w:t>
      </w:r>
      <w:r w:rsidR="004D0341">
        <w:rPr>
          <w:rFonts w:cs="Arial"/>
        </w:rPr>
        <w:t>determine</w:t>
      </w:r>
      <w:r w:rsidR="00041F48">
        <w:rPr>
          <w:rFonts w:cs="Arial"/>
        </w:rPr>
        <w:t xml:space="preserve"> the universe </w:t>
      </w:r>
      <w:r w:rsidR="004D0341">
        <w:rPr>
          <w:rFonts w:cs="Arial"/>
        </w:rPr>
        <w:t xml:space="preserve">size for the </w:t>
      </w:r>
      <w:r w:rsidR="00041F48">
        <w:rPr>
          <w:rFonts w:cs="Arial"/>
        </w:rPr>
        <w:t xml:space="preserve">analysis </w:t>
      </w:r>
      <w:r w:rsidR="004D0341">
        <w:rPr>
          <w:rFonts w:cs="Arial"/>
        </w:rPr>
        <w:t>of CTEIG data metrics contained</w:t>
      </w:r>
      <w:r w:rsidR="00041F48">
        <w:rPr>
          <w:rFonts w:cs="Arial"/>
        </w:rPr>
        <w:t xml:space="preserve"> in this report.</w:t>
      </w:r>
    </w:p>
    <w:p w14:paraId="04F4CCCD" w14:textId="7C49407C" w:rsidR="007C4125" w:rsidRDefault="00096589" w:rsidP="005147E0">
      <w:pPr>
        <w:spacing w:after="240"/>
        <w:rPr>
          <w:rFonts w:cs="Arial"/>
        </w:rPr>
      </w:pPr>
      <w:r w:rsidRPr="00013366">
        <w:rPr>
          <w:rFonts w:cs="Arial"/>
        </w:rPr>
        <w:t>The data currently collected and used to calculate the Four-Year ACGR is based on the number of students who enter grade nine for the first time, adjusted by adding into the cohort any student who transfers in later during grade nine, or during the next three years, and subtracting any student from the cohort who transfers out, emigrates to another country, transfers to a prison or juvenile facility, or dies during that same period.</w:t>
      </w:r>
      <w:r w:rsidR="00435279">
        <w:rPr>
          <w:rFonts w:cs="Arial"/>
        </w:rPr>
        <w:t xml:space="preserve"> </w:t>
      </w:r>
      <w:r w:rsidR="005F7A75">
        <w:rPr>
          <w:rFonts w:cs="Arial"/>
        </w:rPr>
        <w:t xml:space="preserve">The one exception contained in this report </w:t>
      </w:r>
      <w:r w:rsidR="005F7A75" w:rsidRPr="00E34766">
        <w:rPr>
          <w:rFonts w:cs="Arial"/>
        </w:rPr>
        <w:t xml:space="preserve">– Appendix </w:t>
      </w:r>
      <w:r w:rsidR="00E34766" w:rsidRPr="00E34766">
        <w:rPr>
          <w:rFonts w:cs="Arial"/>
        </w:rPr>
        <w:t>G</w:t>
      </w:r>
      <w:r w:rsidR="005F7A75" w:rsidRPr="00E34766">
        <w:rPr>
          <w:rFonts w:cs="Arial"/>
        </w:rPr>
        <w:t xml:space="preserve">: </w:t>
      </w:r>
      <w:r w:rsidR="00E34766" w:rsidRPr="00E34766">
        <w:rPr>
          <w:rFonts w:eastAsia="Calibri" w:cs="Arial"/>
        </w:rPr>
        <w:t xml:space="preserve">2021–22 </w:t>
      </w:r>
      <w:r w:rsidR="00E34766">
        <w:rPr>
          <w:rFonts w:eastAsia="Calibri" w:cs="Arial"/>
        </w:rPr>
        <w:t xml:space="preserve">AY </w:t>
      </w:r>
      <w:r w:rsidR="00E34766" w:rsidRPr="00E34766">
        <w:rPr>
          <w:rFonts w:cs="Arial"/>
        </w:rPr>
        <w:t>CTE Dual Enrollment Percentage Table</w:t>
      </w:r>
      <w:r w:rsidR="005F7A75" w:rsidRPr="003627F4">
        <w:rPr>
          <w:rFonts w:cs="Arial"/>
        </w:rPr>
        <w:t xml:space="preserve"> </w:t>
      </w:r>
      <w:r w:rsidR="005F7A75" w:rsidRPr="00E34766">
        <w:rPr>
          <w:rFonts w:cs="Arial"/>
        </w:rPr>
        <w:t xml:space="preserve">– </w:t>
      </w:r>
      <w:r w:rsidR="00435279" w:rsidRPr="00E34766">
        <w:rPr>
          <w:rFonts w:cs="Arial"/>
        </w:rPr>
        <w:t xml:space="preserve">was </w:t>
      </w:r>
      <w:r w:rsidR="00041F48" w:rsidRPr="00E34766">
        <w:rPr>
          <w:rFonts w:cs="Arial"/>
        </w:rPr>
        <w:t>derived from previous analysis conduct</w:t>
      </w:r>
      <w:r w:rsidR="00041F48">
        <w:rPr>
          <w:rFonts w:cs="Arial"/>
        </w:rPr>
        <w:t>ed using</w:t>
      </w:r>
      <w:r w:rsidR="00435279">
        <w:rPr>
          <w:rFonts w:cs="Arial"/>
        </w:rPr>
        <w:t xml:space="preserve"> the College and Career Indicator (CCI)</w:t>
      </w:r>
      <w:r w:rsidR="00041F48">
        <w:rPr>
          <w:rFonts w:cs="Arial"/>
        </w:rPr>
        <w:t>, per CTEIG statutes</w:t>
      </w:r>
      <w:r w:rsidR="00435279">
        <w:rPr>
          <w:rFonts w:cs="Arial"/>
        </w:rPr>
        <w:t>.</w:t>
      </w:r>
      <w:r w:rsidR="00041F48">
        <w:rPr>
          <w:rStyle w:val="FootnoteReference"/>
          <w:rFonts w:cs="Arial"/>
        </w:rPr>
        <w:footnoteReference w:id="6"/>
      </w:r>
      <w:r w:rsidR="00435279">
        <w:rPr>
          <w:rFonts w:cs="Arial"/>
        </w:rPr>
        <w:t xml:space="preserve"> </w:t>
      </w:r>
      <w:r w:rsidR="00435279" w:rsidRPr="005F7A75">
        <w:rPr>
          <w:rFonts w:cs="Arial"/>
        </w:rPr>
        <w:t xml:space="preserve">The CCI is calculated using the ACGR, </w:t>
      </w:r>
      <w:r w:rsidR="00C00724">
        <w:rPr>
          <w:rFonts w:cs="Arial"/>
        </w:rPr>
        <w:t xml:space="preserve">and </w:t>
      </w:r>
      <w:r w:rsidR="00435279" w:rsidRPr="005F7A75">
        <w:rPr>
          <w:rFonts w:cs="Arial"/>
        </w:rPr>
        <w:t xml:space="preserve">then filtered </w:t>
      </w:r>
      <w:r w:rsidR="005F7A75" w:rsidRPr="005F7A75">
        <w:rPr>
          <w:rFonts w:cs="Arial"/>
        </w:rPr>
        <w:t xml:space="preserve">using additional </w:t>
      </w:r>
      <w:r w:rsidR="00435279" w:rsidRPr="005F7A75">
        <w:rPr>
          <w:rFonts w:cs="Arial"/>
        </w:rPr>
        <w:t>criteria to identify “Prepared” and “Approaching Prepared” students within the ACGR.</w:t>
      </w:r>
      <w:r w:rsidR="00435279" w:rsidRPr="003627F4">
        <w:rPr>
          <w:rFonts w:cs="Arial"/>
        </w:rPr>
        <w:t xml:space="preserve"> </w:t>
      </w:r>
    </w:p>
    <w:p w14:paraId="1AACB191" w14:textId="262FD78A" w:rsidR="00E07B7A" w:rsidRDefault="003809D1" w:rsidP="005147E0">
      <w:pPr>
        <w:spacing w:after="240"/>
      </w:pPr>
      <w:r>
        <w:rPr>
          <w:rFonts w:cs="Arial"/>
        </w:rPr>
        <w:t>The decision to utilize the ACGR, along with t</w:t>
      </w:r>
      <w:r w:rsidR="009219A0" w:rsidRPr="00853BCE">
        <w:rPr>
          <w:rFonts w:cs="Arial"/>
        </w:rPr>
        <w:t xml:space="preserve">he </w:t>
      </w:r>
      <w:r>
        <w:rPr>
          <w:rFonts w:cs="Arial"/>
        </w:rPr>
        <w:t xml:space="preserve">implementation of the </w:t>
      </w:r>
      <w:r w:rsidR="009219A0" w:rsidRPr="00853BCE">
        <w:rPr>
          <w:rFonts w:cs="Arial"/>
        </w:rPr>
        <w:t xml:space="preserve">annual </w:t>
      </w:r>
      <w:r w:rsidR="009219A0">
        <w:rPr>
          <w:rFonts w:cs="Arial"/>
        </w:rPr>
        <w:t xml:space="preserve">two-part CTE </w:t>
      </w:r>
      <w:r w:rsidR="009219A0" w:rsidRPr="00853BCE">
        <w:rPr>
          <w:rFonts w:cs="Arial"/>
        </w:rPr>
        <w:t>data collection process</w:t>
      </w:r>
      <w:r w:rsidR="00BA5C64">
        <w:rPr>
          <w:rFonts w:cs="Arial"/>
        </w:rPr>
        <w:t xml:space="preserve"> </w:t>
      </w:r>
      <w:r w:rsidR="00B20D00">
        <w:rPr>
          <w:rFonts w:cs="Arial"/>
        </w:rPr>
        <w:t>allows</w:t>
      </w:r>
      <w:r w:rsidR="009219A0" w:rsidRPr="00853BCE">
        <w:rPr>
          <w:rFonts w:cs="Arial"/>
        </w:rPr>
        <w:t xml:space="preserve"> the CDE to present a full set of data each reporting year to the </w:t>
      </w:r>
      <w:r w:rsidR="009219A0" w:rsidRPr="00EB26F5">
        <w:rPr>
          <w:rFonts w:cs="Arial"/>
        </w:rPr>
        <w:t>CWPJAC</w:t>
      </w:r>
      <w:r w:rsidR="009219A0">
        <w:rPr>
          <w:rStyle w:val="FootnoteReference"/>
          <w:rFonts w:cs="Arial"/>
        </w:rPr>
        <w:footnoteReference w:id="7"/>
      </w:r>
      <w:r w:rsidR="009219A0">
        <w:rPr>
          <w:rFonts w:cs="Arial"/>
        </w:rPr>
        <w:t xml:space="preserve"> </w:t>
      </w:r>
      <w:r w:rsidR="009219A0" w:rsidRPr="00853BCE">
        <w:rPr>
          <w:rFonts w:cs="Arial"/>
        </w:rPr>
        <w:t xml:space="preserve">in the </w:t>
      </w:r>
      <w:r w:rsidR="00F10794">
        <w:rPr>
          <w:rFonts w:cs="Arial"/>
        </w:rPr>
        <w:t>f</w:t>
      </w:r>
      <w:r w:rsidR="009219A0" w:rsidRPr="00853BCE">
        <w:rPr>
          <w:rFonts w:cs="Arial"/>
        </w:rPr>
        <w:t xml:space="preserve">all </w:t>
      </w:r>
      <w:r w:rsidR="009219A0">
        <w:rPr>
          <w:rFonts w:cs="Arial"/>
        </w:rPr>
        <w:t xml:space="preserve">of </w:t>
      </w:r>
      <w:r w:rsidR="009219A0" w:rsidRPr="00853BCE">
        <w:rPr>
          <w:rFonts w:cs="Arial"/>
        </w:rPr>
        <w:t xml:space="preserve">the </w:t>
      </w:r>
      <w:r w:rsidR="00F10794">
        <w:rPr>
          <w:rFonts w:cs="Arial"/>
        </w:rPr>
        <w:t>s</w:t>
      </w:r>
      <w:r w:rsidR="009219A0" w:rsidRPr="00853BCE">
        <w:rPr>
          <w:rFonts w:cs="Arial"/>
        </w:rPr>
        <w:t xml:space="preserve">pring data collection period. </w:t>
      </w:r>
      <w:r>
        <w:rPr>
          <w:rFonts w:cs="Arial"/>
        </w:rPr>
        <w:t xml:space="preserve">Moreover, these strategic decisions, in concert with the CDE’s </w:t>
      </w:r>
      <w:r w:rsidR="00315C62">
        <w:rPr>
          <w:rFonts w:cs="Arial"/>
        </w:rPr>
        <w:t xml:space="preserve">perpetual </w:t>
      </w:r>
      <w:r>
        <w:rPr>
          <w:rFonts w:cs="Arial"/>
        </w:rPr>
        <w:t xml:space="preserve">commitment to continuous improvement, </w:t>
      </w:r>
      <w:r w:rsidR="009219A0" w:rsidRPr="00853BCE">
        <w:rPr>
          <w:rFonts w:cs="Arial"/>
        </w:rPr>
        <w:t>ensure</w:t>
      </w:r>
      <w:r w:rsidR="00BA5C64">
        <w:rPr>
          <w:rFonts w:cs="Arial"/>
        </w:rPr>
        <w:t>s</w:t>
      </w:r>
      <w:r w:rsidR="009219A0">
        <w:rPr>
          <w:rFonts w:cs="Arial"/>
        </w:rPr>
        <w:t xml:space="preserve"> the future </w:t>
      </w:r>
      <w:r w:rsidR="009219A0" w:rsidRPr="00853BCE">
        <w:rPr>
          <w:rFonts w:cs="Arial"/>
        </w:rPr>
        <w:t>normalization and consistency in</w:t>
      </w:r>
      <w:r w:rsidR="00315C62">
        <w:rPr>
          <w:rFonts w:cs="Arial"/>
        </w:rPr>
        <w:t xml:space="preserve"> CTE </w:t>
      </w:r>
      <w:r w:rsidR="009219A0">
        <w:rPr>
          <w:rFonts w:cs="Arial"/>
        </w:rPr>
        <w:t xml:space="preserve">data </w:t>
      </w:r>
      <w:r w:rsidR="00BA5C64">
        <w:rPr>
          <w:rFonts w:cs="Arial"/>
        </w:rPr>
        <w:t>collection,</w:t>
      </w:r>
      <w:r w:rsidR="00D71B7F">
        <w:rPr>
          <w:rFonts w:cs="Arial"/>
        </w:rPr>
        <w:t xml:space="preserve"> reporting,</w:t>
      </w:r>
      <w:r w:rsidR="009219A0" w:rsidRPr="00853BCE">
        <w:rPr>
          <w:rFonts w:cs="Arial"/>
        </w:rPr>
        <w:t xml:space="preserve"> </w:t>
      </w:r>
      <w:r w:rsidR="009219A0">
        <w:rPr>
          <w:rFonts w:cs="Arial"/>
        </w:rPr>
        <w:t xml:space="preserve">and analysis </w:t>
      </w:r>
      <w:r w:rsidR="009219A0" w:rsidRPr="00853BCE">
        <w:rPr>
          <w:rFonts w:cs="Arial"/>
        </w:rPr>
        <w:t>across all state and federal programs.</w:t>
      </w:r>
      <w:r w:rsidR="009219A0">
        <w:rPr>
          <w:rStyle w:val="FootnoteReference"/>
          <w:rFonts w:cs="Arial"/>
        </w:rPr>
        <w:footnoteReference w:id="8"/>
      </w:r>
    </w:p>
    <w:p w14:paraId="58B81CB0" w14:textId="08774099" w:rsidR="00373FF4" w:rsidRPr="00373FF4" w:rsidRDefault="004D0341" w:rsidP="0032224B">
      <w:pPr>
        <w:pStyle w:val="Heading2"/>
      </w:pPr>
      <w:bookmarkStart w:id="33" w:name="_Toc158883509"/>
      <w:r>
        <w:t>CTEIG Progress Report</w:t>
      </w:r>
      <w:bookmarkEnd w:id="33"/>
    </w:p>
    <w:p w14:paraId="0D0A3342" w14:textId="2E0CB5F5" w:rsidR="00FC44DF" w:rsidRDefault="00D208DA" w:rsidP="005147E0">
      <w:pPr>
        <w:spacing w:after="240"/>
        <w:rPr>
          <w:rFonts w:cs="Arial"/>
        </w:rPr>
      </w:pPr>
      <w:r w:rsidRPr="00E32F7E">
        <w:rPr>
          <w:rFonts w:cs="Arial"/>
        </w:rPr>
        <w:t>The data metrics</w:t>
      </w:r>
      <w:r w:rsidR="004D4C65" w:rsidRPr="00E32F7E">
        <w:rPr>
          <w:rStyle w:val="FootnoteReference"/>
          <w:rFonts w:cs="Arial"/>
        </w:rPr>
        <w:footnoteReference w:id="9"/>
      </w:r>
      <w:r w:rsidR="00706A94" w:rsidRPr="00E32F7E">
        <w:rPr>
          <w:rFonts w:cs="Arial"/>
        </w:rPr>
        <w:t xml:space="preserve"> </w:t>
      </w:r>
      <w:r w:rsidRPr="00E32F7E">
        <w:rPr>
          <w:rFonts w:cs="Arial"/>
        </w:rPr>
        <w:t xml:space="preserve">collected for </w:t>
      </w:r>
      <w:r w:rsidR="009219A0" w:rsidRPr="00E32F7E">
        <w:rPr>
          <w:rFonts w:cs="Arial"/>
        </w:rPr>
        <w:t xml:space="preserve">the </w:t>
      </w:r>
      <w:r w:rsidR="00A26E7B" w:rsidRPr="00E32F7E">
        <w:rPr>
          <w:rFonts w:cs="Arial"/>
        </w:rPr>
        <w:t>CTEIG w</w:t>
      </w:r>
      <w:r w:rsidR="00391E89" w:rsidRPr="00E32F7E">
        <w:rPr>
          <w:rFonts w:cs="Arial"/>
        </w:rPr>
        <w:t>ere</w:t>
      </w:r>
      <w:r w:rsidR="00A26E7B" w:rsidRPr="00E32F7E">
        <w:rPr>
          <w:rFonts w:cs="Arial"/>
        </w:rPr>
        <w:t xml:space="preserve"> </w:t>
      </w:r>
      <w:r w:rsidRPr="00E32F7E">
        <w:rPr>
          <w:rFonts w:cs="Arial"/>
        </w:rPr>
        <w:t>most recently updated in Senate Bill 75 (Chapter 51, Statutes of 2019)</w:t>
      </w:r>
      <w:r w:rsidR="009219A0" w:rsidRPr="00E32F7E">
        <w:rPr>
          <w:rFonts w:cs="Arial"/>
        </w:rPr>
        <w:t>;</w:t>
      </w:r>
      <w:r w:rsidR="009219A0">
        <w:rPr>
          <w:rFonts w:cs="Arial"/>
        </w:rPr>
        <w:t xml:space="preserve"> and </w:t>
      </w:r>
      <w:r w:rsidR="00F859E9">
        <w:rPr>
          <w:rFonts w:cs="Arial"/>
        </w:rPr>
        <w:t xml:space="preserve">intended to provide </w:t>
      </w:r>
      <w:r w:rsidR="004D0341">
        <w:rPr>
          <w:rFonts w:cs="Arial"/>
        </w:rPr>
        <w:t>discernable</w:t>
      </w:r>
      <w:r w:rsidR="004D4C65">
        <w:rPr>
          <w:rFonts w:cs="Arial"/>
        </w:rPr>
        <w:t xml:space="preserve"> and quantifiable</w:t>
      </w:r>
      <w:r w:rsidR="004D0341">
        <w:rPr>
          <w:rFonts w:cs="Arial"/>
        </w:rPr>
        <w:t xml:space="preserve"> </w:t>
      </w:r>
      <w:r w:rsidR="00F859E9">
        <w:rPr>
          <w:rFonts w:cs="Arial"/>
        </w:rPr>
        <w:t>assessment</w:t>
      </w:r>
      <w:r w:rsidR="004D0341">
        <w:rPr>
          <w:rFonts w:cs="Arial"/>
        </w:rPr>
        <w:t>s</w:t>
      </w:r>
      <w:r w:rsidR="00F859E9">
        <w:rPr>
          <w:rFonts w:cs="Arial"/>
        </w:rPr>
        <w:t xml:space="preserve"> regarding</w:t>
      </w:r>
      <w:r w:rsidR="009151A1" w:rsidRPr="003B0CF6">
        <w:rPr>
          <w:rFonts w:cs="Arial"/>
        </w:rPr>
        <w:t xml:space="preserve"> </w:t>
      </w:r>
      <w:r w:rsidR="00F859E9">
        <w:rPr>
          <w:rFonts w:cs="Arial"/>
        </w:rPr>
        <w:t>the</w:t>
      </w:r>
      <w:r w:rsidR="009151A1" w:rsidRPr="003B0CF6">
        <w:rPr>
          <w:rFonts w:cs="Arial"/>
        </w:rPr>
        <w:t xml:space="preserve"> engagement, achievement, and transition of CTE students in grades seven through twelve and beyond.</w:t>
      </w:r>
      <w:r w:rsidR="00FC44DF">
        <w:rPr>
          <w:rFonts w:cs="Arial"/>
        </w:rPr>
        <w:t xml:space="preserve"> T</w:t>
      </w:r>
      <w:r w:rsidR="001D590A">
        <w:rPr>
          <w:rFonts w:cs="Arial"/>
        </w:rPr>
        <w:t xml:space="preserve">he </w:t>
      </w:r>
      <w:r w:rsidR="00FC44DF">
        <w:rPr>
          <w:rFonts w:cs="Arial"/>
        </w:rPr>
        <w:t xml:space="preserve">quantitative </w:t>
      </w:r>
      <w:r w:rsidR="006C2A75">
        <w:rPr>
          <w:rFonts w:cs="Arial"/>
        </w:rPr>
        <w:t xml:space="preserve">evidence </w:t>
      </w:r>
      <w:r w:rsidR="00DF167C">
        <w:rPr>
          <w:rFonts w:cs="Arial"/>
        </w:rPr>
        <w:t>contained herein</w:t>
      </w:r>
      <w:r w:rsidR="006C2A75">
        <w:rPr>
          <w:rFonts w:cs="Arial"/>
        </w:rPr>
        <w:t xml:space="preserve"> is the natural </w:t>
      </w:r>
      <w:r w:rsidR="00DF167C">
        <w:rPr>
          <w:rFonts w:cs="Arial"/>
        </w:rPr>
        <w:t xml:space="preserve">byproduct of </w:t>
      </w:r>
      <w:r w:rsidR="00A9185D">
        <w:rPr>
          <w:rFonts w:cs="Arial"/>
        </w:rPr>
        <w:t xml:space="preserve">intentional </w:t>
      </w:r>
      <w:r w:rsidR="00DF167C">
        <w:rPr>
          <w:rFonts w:cs="Arial"/>
        </w:rPr>
        <w:t>policy alignment between the CTEIG data metrics</w:t>
      </w:r>
      <w:r w:rsidR="00A9185D">
        <w:rPr>
          <w:rFonts w:cs="Arial"/>
        </w:rPr>
        <w:t xml:space="preserve"> </w:t>
      </w:r>
      <w:r w:rsidR="00DF167C">
        <w:rPr>
          <w:rFonts w:cs="Arial"/>
        </w:rPr>
        <w:t xml:space="preserve">and </w:t>
      </w:r>
      <w:r w:rsidR="00A9185D">
        <w:rPr>
          <w:rFonts w:cs="Arial"/>
        </w:rPr>
        <w:t xml:space="preserve">the </w:t>
      </w:r>
      <w:r w:rsidR="006C2A75">
        <w:rPr>
          <w:rFonts w:cs="Arial"/>
        </w:rPr>
        <w:t xml:space="preserve">requisite components of this </w:t>
      </w:r>
      <w:r w:rsidR="00A9185D">
        <w:rPr>
          <w:rFonts w:cs="Arial"/>
        </w:rPr>
        <w:t xml:space="preserve">Five–Year Progress </w:t>
      </w:r>
      <w:r w:rsidR="006C2A75">
        <w:rPr>
          <w:rFonts w:cs="Arial"/>
        </w:rPr>
        <w:t xml:space="preserve">report </w:t>
      </w:r>
      <w:r w:rsidR="00DF167C">
        <w:rPr>
          <w:rFonts w:cs="Arial"/>
        </w:rPr>
        <w:t xml:space="preserve">– </w:t>
      </w:r>
      <w:r w:rsidR="006C2A75">
        <w:rPr>
          <w:rFonts w:cs="Arial"/>
        </w:rPr>
        <w:t>H</w:t>
      </w:r>
      <w:r w:rsidR="00F5665D">
        <w:rPr>
          <w:rFonts w:cs="Arial"/>
        </w:rPr>
        <w:t>igh–</w:t>
      </w:r>
      <w:r w:rsidR="006C2A75">
        <w:rPr>
          <w:rFonts w:cs="Arial"/>
        </w:rPr>
        <w:t>Q</w:t>
      </w:r>
      <w:r w:rsidR="00F5665D">
        <w:rPr>
          <w:rFonts w:cs="Arial"/>
        </w:rPr>
        <w:t>uality CTE</w:t>
      </w:r>
      <w:r w:rsidR="006C2A75">
        <w:rPr>
          <w:rFonts w:cs="Arial"/>
        </w:rPr>
        <w:t xml:space="preserve"> </w:t>
      </w:r>
      <w:r w:rsidR="006C2A75">
        <w:rPr>
          <w:rFonts w:cs="Arial"/>
        </w:rPr>
        <w:lastRenderedPageBreak/>
        <w:t>and</w:t>
      </w:r>
      <w:r w:rsidR="00A9185D">
        <w:rPr>
          <w:rFonts w:cs="Arial"/>
        </w:rPr>
        <w:t xml:space="preserve"> workforce development</w:t>
      </w:r>
      <w:r w:rsidR="006C2A75">
        <w:rPr>
          <w:rFonts w:cs="Arial"/>
        </w:rPr>
        <w:t>;</w:t>
      </w:r>
      <w:r w:rsidR="00F5665D">
        <w:rPr>
          <w:rFonts w:cs="Arial"/>
        </w:rPr>
        <w:t xml:space="preserve"> </w:t>
      </w:r>
      <w:r w:rsidR="00A9185D">
        <w:rPr>
          <w:rFonts w:cs="Arial"/>
        </w:rPr>
        <w:t>p</w:t>
      </w:r>
      <w:r w:rsidR="00F5665D">
        <w:rPr>
          <w:rFonts w:cs="Arial"/>
        </w:rPr>
        <w:t>ost-</w:t>
      </w:r>
      <w:r w:rsidR="00A9185D">
        <w:rPr>
          <w:rFonts w:cs="Arial"/>
        </w:rPr>
        <w:t>s</w:t>
      </w:r>
      <w:r w:rsidR="00F5665D">
        <w:rPr>
          <w:rFonts w:cs="Arial"/>
        </w:rPr>
        <w:t xml:space="preserve">econdary and workforce </w:t>
      </w:r>
      <w:r w:rsidR="00A9185D">
        <w:rPr>
          <w:rFonts w:cs="Arial"/>
        </w:rPr>
        <w:t xml:space="preserve">agency </w:t>
      </w:r>
      <w:r w:rsidR="00F5665D">
        <w:rPr>
          <w:rFonts w:cs="Arial"/>
        </w:rPr>
        <w:t>alignment</w:t>
      </w:r>
      <w:r w:rsidR="006C2A75">
        <w:rPr>
          <w:rFonts w:cs="Arial"/>
        </w:rPr>
        <w:t>;</w:t>
      </w:r>
      <w:r w:rsidR="00F5665D">
        <w:rPr>
          <w:rFonts w:cs="Arial"/>
        </w:rPr>
        <w:t xml:space="preserve"> and mitigating equity gaps</w:t>
      </w:r>
      <w:r w:rsidR="00FC44DF">
        <w:rPr>
          <w:rFonts w:cs="Arial"/>
        </w:rPr>
        <w:t xml:space="preserve"> </w:t>
      </w:r>
      <w:r w:rsidR="006C2A75">
        <w:rPr>
          <w:rFonts w:cs="Arial"/>
        </w:rPr>
        <w:t>to program access and completion.</w:t>
      </w:r>
    </w:p>
    <w:p w14:paraId="467B4143" w14:textId="35A6CCA8" w:rsidR="00410B87" w:rsidRDefault="009219A0" w:rsidP="005147E0">
      <w:pPr>
        <w:spacing w:after="240"/>
        <w:rPr>
          <w:rFonts w:cs="Arial"/>
        </w:rPr>
      </w:pPr>
      <w:r>
        <w:rPr>
          <w:rFonts w:cs="Arial"/>
        </w:rPr>
        <w:t>To satisfy the reporting requirements of th</w:t>
      </w:r>
      <w:r w:rsidR="00FC44DF">
        <w:rPr>
          <w:rFonts w:cs="Arial"/>
        </w:rPr>
        <w:t xml:space="preserve">is </w:t>
      </w:r>
      <w:r w:rsidR="006C2A75">
        <w:rPr>
          <w:rFonts w:cs="Arial"/>
        </w:rPr>
        <w:t>report</w:t>
      </w:r>
      <w:r>
        <w:rPr>
          <w:rFonts w:cs="Arial"/>
        </w:rPr>
        <w:t xml:space="preserve">, </w:t>
      </w:r>
      <w:r w:rsidR="00F5665D">
        <w:rPr>
          <w:rFonts w:cs="Arial"/>
        </w:rPr>
        <w:t xml:space="preserve">the </w:t>
      </w:r>
      <w:r w:rsidR="008312D7">
        <w:rPr>
          <w:rFonts w:cs="Arial"/>
        </w:rPr>
        <w:t xml:space="preserve">AMARD </w:t>
      </w:r>
      <w:r w:rsidR="006C2A75">
        <w:rPr>
          <w:rFonts w:cs="Arial"/>
        </w:rPr>
        <w:t xml:space="preserve">and CCTD </w:t>
      </w:r>
      <w:r w:rsidR="008312D7">
        <w:rPr>
          <w:rFonts w:cs="Arial"/>
        </w:rPr>
        <w:t xml:space="preserve">staff </w:t>
      </w:r>
      <w:r w:rsidR="006C2A75">
        <w:rPr>
          <w:rFonts w:cs="Arial"/>
        </w:rPr>
        <w:t>at</w:t>
      </w:r>
      <w:r w:rsidR="008312D7">
        <w:rPr>
          <w:rFonts w:cs="Arial"/>
        </w:rPr>
        <w:t xml:space="preserve"> </w:t>
      </w:r>
      <w:r w:rsidR="006C2A75">
        <w:rPr>
          <w:rFonts w:cs="Arial"/>
        </w:rPr>
        <w:t xml:space="preserve">the </w:t>
      </w:r>
      <w:r w:rsidR="008312D7">
        <w:rPr>
          <w:rFonts w:cs="Arial"/>
        </w:rPr>
        <w:t xml:space="preserve">CDE conducted </w:t>
      </w:r>
      <w:r w:rsidRPr="00391E89">
        <w:rPr>
          <w:rFonts w:cs="Arial"/>
        </w:rPr>
        <w:t>quantitative and qua</w:t>
      </w:r>
      <w:r w:rsidR="008312D7" w:rsidRPr="008312D7">
        <w:rPr>
          <w:rFonts w:cs="Arial"/>
        </w:rPr>
        <w:t xml:space="preserve">litative </w:t>
      </w:r>
      <w:r w:rsidRPr="00391E89">
        <w:rPr>
          <w:rFonts w:cs="Arial"/>
        </w:rPr>
        <w:t xml:space="preserve">data </w:t>
      </w:r>
      <w:r w:rsidR="00F5665D" w:rsidRPr="008312D7">
        <w:rPr>
          <w:rFonts w:cs="Arial"/>
        </w:rPr>
        <w:t xml:space="preserve">analysis and </w:t>
      </w:r>
      <w:r w:rsidRPr="00391E89">
        <w:rPr>
          <w:rFonts w:cs="Arial"/>
        </w:rPr>
        <w:t xml:space="preserve">compiled </w:t>
      </w:r>
      <w:r w:rsidR="00F5665D" w:rsidRPr="008312D7">
        <w:rPr>
          <w:rFonts w:cs="Arial"/>
        </w:rPr>
        <w:t>this</w:t>
      </w:r>
      <w:r w:rsidRPr="00391E89">
        <w:rPr>
          <w:rFonts w:cs="Arial"/>
        </w:rPr>
        <w:t xml:space="preserve"> summary </w:t>
      </w:r>
      <w:r w:rsidR="00124792">
        <w:rPr>
          <w:rFonts w:cs="Arial"/>
        </w:rPr>
        <w:t xml:space="preserve">CTE </w:t>
      </w:r>
      <w:r w:rsidRPr="00391E89">
        <w:rPr>
          <w:rFonts w:cs="Arial"/>
        </w:rPr>
        <w:t xml:space="preserve">report using 2021–22 </w:t>
      </w:r>
      <w:r w:rsidR="00F5665D" w:rsidRPr="008312D7">
        <w:rPr>
          <w:rFonts w:cs="Arial"/>
        </w:rPr>
        <w:t xml:space="preserve">AY </w:t>
      </w:r>
      <w:r w:rsidR="00124792">
        <w:rPr>
          <w:rFonts w:cs="Arial"/>
        </w:rPr>
        <w:t xml:space="preserve">data </w:t>
      </w:r>
      <w:r w:rsidR="00AA7EB1">
        <w:rPr>
          <w:rFonts w:cs="Arial"/>
        </w:rPr>
        <w:t>includ</w:t>
      </w:r>
      <w:r w:rsidR="00410B87">
        <w:rPr>
          <w:rFonts w:cs="Arial"/>
        </w:rPr>
        <w:t>ing</w:t>
      </w:r>
      <w:r w:rsidR="00AA7EB1">
        <w:rPr>
          <w:rFonts w:cs="Arial"/>
        </w:rPr>
        <w:t xml:space="preserve"> – </w:t>
      </w:r>
      <w:r w:rsidR="008312D7" w:rsidRPr="008312D7">
        <w:t xml:space="preserve">CTE </w:t>
      </w:r>
      <w:r w:rsidR="00DF5BB2">
        <w:t xml:space="preserve">cohort, </w:t>
      </w:r>
      <w:r w:rsidR="008312D7" w:rsidRPr="008312D7">
        <w:t>participant</w:t>
      </w:r>
      <w:r w:rsidR="00DF5BB2">
        <w:t>,</w:t>
      </w:r>
      <w:r w:rsidR="008312D7" w:rsidRPr="008312D7">
        <w:rPr>
          <w:rFonts w:cs="Arial"/>
          <w:vertAlign w:val="superscript"/>
        </w:rPr>
        <w:footnoteReference w:id="10"/>
      </w:r>
      <w:r w:rsidR="008312D7" w:rsidRPr="008312D7">
        <w:t xml:space="preserve"> </w:t>
      </w:r>
      <w:r w:rsidR="00582C45">
        <w:t>dabbler,</w:t>
      </w:r>
      <w:r w:rsidR="00582C45" w:rsidRPr="00582C45">
        <w:rPr>
          <w:rFonts w:cs="Arial"/>
          <w:vertAlign w:val="superscript"/>
        </w:rPr>
        <w:t xml:space="preserve"> </w:t>
      </w:r>
      <w:r w:rsidR="00582C45" w:rsidRPr="008312D7">
        <w:rPr>
          <w:rFonts w:cs="Arial"/>
          <w:vertAlign w:val="superscript"/>
        </w:rPr>
        <w:footnoteReference w:id="11"/>
      </w:r>
      <w:r w:rsidR="00582C45">
        <w:t xml:space="preserve"> </w:t>
      </w:r>
      <w:r w:rsidR="008312D7" w:rsidRPr="008312D7">
        <w:t>and completer</w:t>
      </w:r>
      <w:r w:rsidR="008312D7" w:rsidRPr="008312D7">
        <w:rPr>
          <w:rFonts w:cs="Arial"/>
          <w:vertAlign w:val="superscript"/>
        </w:rPr>
        <w:footnoteReference w:id="12"/>
      </w:r>
      <w:r w:rsidR="00706A94">
        <w:t xml:space="preserve"> </w:t>
      </w:r>
      <w:r w:rsidR="008312D7" w:rsidRPr="008312D7">
        <w:t>counts</w:t>
      </w:r>
      <w:r w:rsidR="00410B87">
        <w:t>;</w:t>
      </w:r>
      <w:r w:rsidR="008312D7" w:rsidRPr="008312D7">
        <w:t xml:space="preserve"> </w:t>
      </w:r>
      <w:r w:rsidR="00410B87">
        <w:t>worked</w:t>
      </w:r>
      <w:r w:rsidR="00E836FC">
        <w:t>-</w:t>
      </w:r>
      <w:r w:rsidR="00410B87">
        <w:t>based learning (WBL) counts</w:t>
      </w:r>
      <w:r w:rsidR="0019726D">
        <w:t>;</w:t>
      </w:r>
      <w:r w:rsidR="00410B87">
        <w:t xml:space="preserve"> dual enrollment percentages</w:t>
      </w:r>
      <w:r w:rsidR="0019726D">
        <w:t>;</w:t>
      </w:r>
      <w:r w:rsidR="00410B87">
        <w:t xml:space="preserve"> </w:t>
      </w:r>
      <w:r w:rsidR="008312D7" w:rsidRPr="008312D7">
        <w:t>attendance and graduation rates</w:t>
      </w:r>
      <w:r w:rsidR="00410B87">
        <w:t xml:space="preserve"> – </w:t>
      </w:r>
      <w:r w:rsidR="00AA7EB1">
        <w:t xml:space="preserve">disaggregated by </w:t>
      </w:r>
      <w:r w:rsidR="008312D7" w:rsidRPr="008312D7">
        <w:t>Cohort, CTEIG, Non-CTEIG</w:t>
      </w:r>
      <w:r w:rsidR="00AA7EB1">
        <w:t xml:space="preserve">, </w:t>
      </w:r>
      <w:r w:rsidR="00410B87">
        <w:t xml:space="preserve">race, gender, </w:t>
      </w:r>
      <w:r w:rsidR="008312D7" w:rsidRPr="008312D7">
        <w:t>and</w:t>
      </w:r>
      <w:r w:rsidR="00410B87">
        <w:t xml:space="preserve"> </w:t>
      </w:r>
      <w:r w:rsidR="008312D7" w:rsidRPr="008312D7">
        <w:t>region</w:t>
      </w:r>
      <w:r w:rsidRPr="00391E89">
        <w:rPr>
          <w:rFonts w:cs="Arial"/>
        </w:rPr>
        <w:t>, as available and appropriate.</w:t>
      </w:r>
      <w:r w:rsidRPr="008312D7">
        <w:rPr>
          <w:rFonts w:cs="Arial"/>
        </w:rPr>
        <w:t xml:space="preserve"> </w:t>
      </w:r>
      <w:r w:rsidR="00410901">
        <w:rPr>
          <w:rFonts w:cs="Arial"/>
        </w:rPr>
        <w:t xml:space="preserve">Complimentary to </w:t>
      </w:r>
      <w:r w:rsidR="00410B87">
        <w:rPr>
          <w:rFonts w:cs="Arial"/>
        </w:rPr>
        <w:t>the quantitative evidence</w:t>
      </w:r>
      <w:r w:rsidR="00994B3B">
        <w:rPr>
          <w:rFonts w:cs="Arial"/>
        </w:rPr>
        <w:t xml:space="preserve"> within this report</w:t>
      </w:r>
      <w:r w:rsidR="00410B87">
        <w:rPr>
          <w:rFonts w:cs="Arial"/>
        </w:rPr>
        <w:t xml:space="preserve">, </w:t>
      </w:r>
      <w:r w:rsidR="00994B3B">
        <w:rPr>
          <w:rFonts w:cs="Arial"/>
        </w:rPr>
        <w:t xml:space="preserve">the </w:t>
      </w:r>
      <w:r w:rsidR="00410901">
        <w:rPr>
          <w:rFonts w:cs="Arial"/>
        </w:rPr>
        <w:t>LEAs</w:t>
      </w:r>
      <w:r w:rsidR="009B5158">
        <w:rPr>
          <w:rFonts w:cs="Arial"/>
        </w:rPr>
        <w:t xml:space="preserve"> </w:t>
      </w:r>
      <w:r w:rsidR="00994B3B">
        <w:rPr>
          <w:rFonts w:cs="Arial"/>
        </w:rPr>
        <w:t>highlighted in</w:t>
      </w:r>
      <w:r w:rsidR="001D2051">
        <w:rPr>
          <w:rFonts w:cs="Arial"/>
        </w:rPr>
        <w:t xml:space="preserve"> each section</w:t>
      </w:r>
      <w:r w:rsidR="00994B3B">
        <w:rPr>
          <w:rFonts w:cs="Arial"/>
        </w:rPr>
        <w:t xml:space="preserve"> </w:t>
      </w:r>
      <w:r w:rsidR="001D2051">
        <w:rPr>
          <w:rFonts w:cs="Arial"/>
        </w:rPr>
        <w:t xml:space="preserve">are </w:t>
      </w:r>
      <w:r w:rsidR="00703173">
        <w:rPr>
          <w:rFonts w:cs="Arial"/>
        </w:rPr>
        <w:t>exemplars</w:t>
      </w:r>
      <w:r w:rsidR="001D2051">
        <w:rPr>
          <w:rFonts w:cs="Arial"/>
        </w:rPr>
        <w:t xml:space="preserve"> of H</w:t>
      </w:r>
      <w:r w:rsidR="00994B3B">
        <w:rPr>
          <w:rFonts w:cs="Arial"/>
        </w:rPr>
        <w:t>igh-Quality CTE</w:t>
      </w:r>
      <w:r w:rsidR="001D2051">
        <w:rPr>
          <w:rFonts w:cs="Arial"/>
        </w:rPr>
        <w:t>, post-secondary and workforce development alignment, and mitigation of equity gaps to program access and completion.</w:t>
      </w:r>
    </w:p>
    <w:p w14:paraId="4C8FFF2C" w14:textId="2521C52E" w:rsidR="00EC45FE" w:rsidRPr="00F81913" w:rsidRDefault="00EC45FE" w:rsidP="005147E0">
      <w:pPr>
        <w:spacing w:after="240"/>
        <w:rPr>
          <w:rFonts w:cs="Arial"/>
          <w:bCs/>
        </w:rPr>
      </w:pPr>
      <w:r>
        <w:rPr>
          <w:rFonts w:cs="Arial"/>
          <w:bCs/>
        </w:rPr>
        <w:t>A cursory review of the data yield</w:t>
      </w:r>
      <w:r w:rsidR="00FA3961">
        <w:rPr>
          <w:rFonts w:cs="Arial"/>
          <w:bCs/>
        </w:rPr>
        <w:t>s</w:t>
      </w:r>
      <w:r>
        <w:rPr>
          <w:rFonts w:cs="Arial"/>
          <w:bCs/>
        </w:rPr>
        <w:t xml:space="preserve"> encouraging results pertaining to graduation and attendance rates a</w:t>
      </w:r>
      <w:r w:rsidR="000850DE">
        <w:rPr>
          <w:rFonts w:cs="Arial"/>
          <w:bCs/>
        </w:rPr>
        <w:t>mong all disaggregated subgroups</w:t>
      </w:r>
      <w:r w:rsidR="00A63545">
        <w:rPr>
          <w:rFonts w:cs="Arial"/>
          <w:bCs/>
        </w:rPr>
        <w:t>. The cohor</w:t>
      </w:r>
      <w:r w:rsidR="00E020AF">
        <w:rPr>
          <w:rFonts w:cs="Arial"/>
          <w:bCs/>
        </w:rPr>
        <w:t xml:space="preserve">t </w:t>
      </w:r>
      <w:r w:rsidR="00FB37E3">
        <w:rPr>
          <w:rFonts w:cs="Arial"/>
          <w:bCs/>
        </w:rPr>
        <w:t>was</w:t>
      </w:r>
      <w:r w:rsidR="00A63545">
        <w:rPr>
          <w:rFonts w:cs="Arial"/>
          <w:bCs/>
        </w:rPr>
        <w:t xml:space="preserve"> </w:t>
      </w:r>
      <w:r w:rsidR="004878B9">
        <w:rPr>
          <w:rFonts w:cs="Arial"/>
          <w:bCs/>
        </w:rPr>
        <w:t>comprised of 497,495 students</w:t>
      </w:r>
      <w:r w:rsidR="00FB37E3">
        <w:rPr>
          <w:rFonts w:cs="Arial"/>
          <w:bCs/>
        </w:rPr>
        <w:t xml:space="preserve">; </w:t>
      </w:r>
      <w:r w:rsidR="006A5C11">
        <w:rPr>
          <w:rFonts w:cs="Arial"/>
          <w:bCs/>
        </w:rPr>
        <w:t>70</w:t>
      </w:r>
      <w:r w:rsidR="000850DE">
        <w:rPr>
          <w:rFonts w:cs="Arial"/>
          <w:bCs/>
        </w:rPr>
        <w:t xml:space="preserve"> percent</w:t>
      </w:r>
      <w:r w:rsidR="00E020AF">
        <w:rPr>
          <w:rFonts w:cs="Arial"/>
          <w:bCs/>
        </w:rPr>
        <w:t xml:space="preserve"> (</w:t>
      </w:r>
      <w:r w:rsidR="00A63545">
        <w:rPr>
          <w:rFonts w:cs="Arial"/>
          <w:bCs/>
        </w:rPr>
        <w:t>34</w:t>
      </w:r>
      <w:r w:rsidR="00E020AF">
        <w:rPr>
          <w:rFonts w:cs="Arial"/>
          <w:bCs/>
        </w:rPr>
        <w:t>1,636)</w:t>
      </w:r>
      <w:r w:rsidR="00FB37E3">
        <w:rPr>
          <w:rFonts w:cs="Arial"/>
          <w:bCs/>
        </w:rPr>
        <w:t xml:space="preserve"> </w:t>
      </w:r>
      <w:r w:rsidR="00E020AF">
        <w:rPr>
          <w:rFonts w:cs="Arial"/>
          <w:bCs/>
        </w:rPr>
        <w:t>completed at least one CTE course</w:t>
      </w:r>
      <w:r w:rsidR="00FB37E3">
        <w:rPr>
          <w:rFonts w:cs="Arial"/>
          <w:bCs/>
        </w:rPr>
        <w:t xml:space="preserve">, </w:t>
      </w:r>
      <w:r w:rsidR="000850DE">
        <w:rPr>
          <w:rFonts w:cs="Arial"/>
          <w:bCs/>
        </w:rPr>
        <w:t>and</w:t>
      </w:r>
      <w:r w:rsidR="00E32F7E">
        <w:rPr>
          <w:rFonts w:cs="Arial"/>
          <w:bCs/>
        </w:rPr>
        <w:t xml:space="preserve"> of those students, over 90 percent (310,660) were CTEIG students</w:t>
      </w:r>
      <w:r w:rsidR="000850DE">
        <w:rPr>
          <w:rFonts w:cs="Arial"/>
          <w:bCs/>
        </w:rPr>
        <w:t xml:space="preserve">. </w:t>
      </w:r>
      <w:r w:rsidR="00066B6E">
        <w:rPr>
          <w:rFonts w:cs="Arial"/>
          <w:bCs/>
        </w:rPr>
        <w:t>In the 2021–22 AY cohort</w:t>
      </w:r>
      <w:r w:rsidR="00EA42FF">
        <w:rPr>
          <w:rFonts w:cs="Arial"/>
          <w:bCs/>
        </w:rPr>
        <w:t xml:space="preserve"> </w:t>
      </w:r>
      <w:r w:rsidR="006A5C11">
        <w:rPr>
          <w:rFonts w:cs="Arial"/>
          <w:bCs/>
        </w:rPr>
        <w:t>95</w:t>
      </w:r>
      <w:r w:rsidR="000951E3">
        <w:rPr>
          <w:rFonts w:cs="Arial"/>
          <w:bCs/>
        </w:rPr>
        <w:t xml:space="preserve"> percent of pathway completer</w:t>
      </w:r>
      <w:r w:rsidR="000850DE">
        <w:rPr>
          <w:rFonts w:cs="Arial"/>
          <w:bCs/>
        </w:rPr>
        <w:t>s</w:t>
      </w:r>
      <w:r w:rsidR="00EA42FF">
        <w:rPr>
          <w:rFonts w:cs="Arial"/>
          <w:bCs/>
        </w:rPr>
        <w:t xml:space="preserve"> </w:t>
      </w:r>
      <w:r w:rsidR="000850DE">
        <w:rPr>
          <w:rFonts w:cs="Arial"/>
          <w:bCs/>
        </w:rPr>
        <w:t xml:space="preserve">and CTE </w:t>
      </w:r>
      <w:r w:rsidR="008B19D5">
        <w:rPr>
          <w:rFonts w:cs="Arial"/>
          <w:bCs/>
        </w:rPr>
        <w:t xml:space="preserve">students obtaining </w:t>
      </w:r>
      <w:r w:rsidR="00C00724">
        <w:rPr>
          <w:rFonts w:cs="Arial"/>
          <w:bCs/>
        </w:rPr>
        <w:t>industry-recognized</w:t>
      </w:r>
      <w:r w:rsidR="008B19D5">
        <w:rPr>
          <w:rFonts w:cs="Arial"/>
          <w:bCs/>
        </w:rPr>
        <w:t xml:space="preserve"> certifications </w:t>
      </w:r>
      <w:r w:rsidR="00720EBE">
        <w:rPr>
          <w:rFonts w:cs="Arial"/>
          <w:bCs/>
        </w:rPr>
        <w:t>were CTEIG students.</w:t>
      </w:r>
    </w:p>
    <w:p w14:paraId="077ED6F4" w14:textId="78A80C9C" w:rsidR="00DB0BD4" w:rsidRPr="002C5205" w:rsidRDefault="00F72E2D" w:rsidP="005147E0">
      <w:pPr>
        <w:spacing w:after="240"/>
        <w:rPr>
          <w:rFonts w:cs="Arial"/>
        </w:rPr>
      </w:pPr>
      <w:r>
        <w:rPr>
          <w:rFonts w:cs="Arial"/>
          <w:bCs/>
        </w:rPr>
        <w:t>G</w:t>
      </w:r>
      <w:r w:rsidR="004758BF">
        <w:rPr>
          <w:rFonts w:cs="Arial"/>
          <w:bCs/>
        </w:rPr>
        <w:t xml:space="preserve">raduation </w:t>
      </w:r>
      <w:r w:rsidR="0075103A">
        <w:rPr>
          <w:rFonts w:cs="Arial"/>
          <w:bCs/>
        </w:rPr>
        <w:t xml:space="preserve">and attendance </w:t>
      </w:r>
      <w:r w:rsidR="004758BF">
        <w:rPr>
          <w:rFonts w:cs="Arial"/>
          <w:bCs/>
        </w:rPr>
        <w:t xml:space="preserve">rates observed across disaggregated racial subgroups coalesced around a single summary conclusion – CTE participants and pathway completers rates were markedly higher than rates for students who refrained from CTE entirely. This overall point was indicative </w:t>
      </w:r>
      <w:r w:rsidR="0075103A">
        <w:rPr>
          <w:rFonts w:cs="Arial"/>
          <w:bCs/>
        </w:rPr>
        <w:t>of</w:t>
      </w:r>
      <w:r w:rsidR="004758BF">
        <w:rPr>
          <w:rFonts w:cs="Arial"/>
          <w:bCs/>
        </w:rPr>
        <w:t xml:space="preserve"> virtually all </w:t>
      </w:r>
      <w:r w:rsidR="0075103A">
        <w:rPr>
          <w:rFonts w:cs="Arial"/>
          <w:bCs/>
        </w:rPr>
        <w:t xml:space="preserve">aggregated and </w:t>
      </w:r>
      <w:r w:rsidR="004758BF">
        <w:rPr>
          <w:rFonts w:cs="Arial"/>
          <w:bCs/>
        </w:rPr>
        <w:t xml:space="preserve">disaggregated </w:t>
      </w:r>
      <w:r w:rsidR="00706A94">
        <w:rPr>
          <w:rFonts w:cs="Arial"/>
          <w:bCs/>
        </w:rPr>
        <w:t>subgroup</w:t>
      </w:r>
      <w:r w:rsidR="0075103A">
        <w:rPr>
          <w:rFonts w:cs="Arial"/>
          <w:bCs/>
        </w:rPr>
        <w:t>s</w:t>
      </w:r>
      <w:r w:rsidR="00706A94">
        <w:rPr>
          <w:rFonts w:cs="Arial"/>
          <w:bCs/>
        </w:rPr>
        <w:t>,</w:t>
      </w:r>
      <w:r w:rsidR="004758BF">
        <w:rPr>
          <w:rFonts w:cs="Arial"/>
          <w:bCs/>
        </w:rPr>
        <w:t xml:space="preserve"> including, </w:t>
      </w:r>
      <w:r w:rsidR="00071390">
        <w:rPr>
          <w:rFonts w:cs="Arial"/>
          <w:bCs/>
        </w:rPr>
        <w:t xml:space="preserve">all </w:t>
      </w:r>
      <w:r w:rsidR="004758BF">
        <w:rPr>
          <w:rFonts w:cs="Arial"/>
          <w:bCs/>
        </w:rPr>
        <w:t>gender</w:t>
      </w:r>
      <w:r w:rsidR="00071390">
        <w:rPr>
          <w:rFonts w:cs="Arial"/>
          <w:bCs/>
        </w:rPr>
        <w:t xml:space="preserve"> identification</w:t>
      </w:r>
      <w:r w:rsidR="00706A94">
        <w:rPr>
          <w:rFonts w:cs="Arial"/>
          <w:bCs/>
        </w:rPr>
        <w:t>.</w:t>
      </w:r>
      <w:r w:rsidR="003D555E">
        <w:rPr>
          <w:rStyle w:val="FootnoteReference"/>
          <w:rFonts w:cs="Arial"/>
          <w:bCs/>
        </w:rPr>
        <w:footnoteReference w:id="13"/>
      </w:r>
      <w:r w:rsidR="0075103A">
        <w:rPr>
          <w:rFonts w:cs="Arial"/>
          <w:bCs/>
        </w:rPr>
        <w:t xml:space="preserve"> </w:t>
      </w:r>
      <w:r w:rsidR="000320DE">
        <w:rPr>
          <w:rFonts w:cs="Arial"/>
          <w:bCs/>
        </w:rPr>
        <w:t xml:space="preserve">Regional </w:t>
      </w:r>
      <w:r w:rsidR="00071390">
        <w:rPr>
          <w:rFonts w:cs="Arial"/>
          <w:bCs/>
        </w:rPr>
        <w:t>CTEIG</w:t>
      </w:r>
      <w:r w:rsidR="00E07B7A">
        <w:rPr>
          <w:rStyle w:val="FootnoteReference"/>
          <w:rFonts w:cs="Arial"/>
          <w:color w:val="000000"/>
          <w:shd w:val="clear" w:color="auto" w:fill="FFFFFF"/>
        </w:rPr>
        <w:footnoteReference w:id="14"/>
      </w:r>
      <w:r w:rsidR="00071390">
        <w:rPr>
          <w:rFonts w:cs="Arial"/>
          <w:bCs/>
        </w:rPr>
        <w:t xml:space="preserve"> </w:t>
      </w:r>
      <w:r w:rsidR="000320DE">
        <w:rPr>
          <w:rFonts w:cs="Arial"/>
          <w:bCs/>
        </w:rPr>
        <w:t>trends were similarly</w:t>
      </w:r>
      <w:r w:rsidR="00071390">
        <w:rPr>
          <w:rFonts w:cs="Arial"/>
          <w:bCs/>
        </w:rPr>
        <w:t xml:space="preserve"> </w:t>
      </w:r>
      <w:r w:rsidR="000320DE">
        <w:rPr>
          <w:rFonts w:cs="Arial"/>
          <w:bCs/>
        </w:rPr>
        <w:t>identified for both attendance</w:t>
      </w:r>
      <w:r w:rsidR="000320DE">
        <w:rPr>
          <w:rStyle w:val="FootnoteReference"/>
          <w:rFonts w:cs="Arial"/>
          <w:bCs/>
        </w:rPr>
        <w:footnoteReference w:id="15"/>
      </w:r>
      <w:r w:rsidR="000320DE">
        <w:rPr>
          <w:rFonts w:cs="Arial"/>
          <w:bCs/>
        </w:rPr>
        <w:t xml:space="preserve"> and graduation.</w:t>
      </w:r>
      <w:r w:rsidR="000320DE">
        <w:rPr>
          <w:rStyle w:val="FootnoteReference"/>
          <w:rFonts w:cs="Arial"/>
          <w:bCs/>
        </w:rPr>
        <w:footnoteReference w:id="16"/>
      </w:r>
      <w:r w:rsidR="000320DE">
        <w:rPr>
          <w:rFonts w:cs="Arial"/>
          <w:bCs/>
        </w:rPr>
        <w:t xml:space="preserve"> </w:t>
      </w:r>
    </w:p>
    <w:p w14:paraId="1F6B4C8A" w14:textId="2806C389" w:rsidR="008B463E" w:rsidRPr="004D4C65" w:rsidRDefault="004D4C65" w:rsidP="005147E0">
      <w:pPr>
        <w:pStyle w:val="Heading2"/>
      </w:pPr>
      <w:bookmarkStart w:id="34" w:name="_Toc158883510"/>
      <w:r>
        <w:t>High-Quality C</w:t>
      </w:r>
      <w:r w:rsidR="00DB0BD4">
        <w:t>areer Technical Education</w:t>
      </w:r>
      <w:r>
        <w:t xml:space="preserve"> and Workforce Development</w:t>
      </w:r>
      <w:bookmarkEnd w:id="34"/>
    </w:p>
    <w:p w14:paraId="6E56E397" w14:textId="193B81C7" w:rsidR="000E2912" w:rsidRDefault="00E07196" w:rsidP="005147E0">
      <w:pPr>
        <w:spacing w:after="240"/>
        <w:rPr>
          <w:rFonts w:cs="Arial"/>
          <w:color w:val="1C252D"/>
          <w:shd w:val="clear" w:color="auto" w:fill="FFFFFF"/>
        </w:rPr>
      </w:pPr>
      <w:r>
        <w:rPr>
          <w:rFonts w:cs="Arial"/>
          <w:bCs/>
          <w:color w:val="000000" w:themeColor="text1"/>
        </w:rPr>
        <w:t xml:space="preserve">Sustainable and effective </w:t>
      </w:r>
      <w:r w:rsidR="00043716">
        <w:rPr>
          <w:rFonts w:cs="Arial"/>
          <w:bCs/>
          <w:color w:val="000000" w:themeColor="text1"/>
        </w:rPr>
        <w:t xml:space="preserve">High-Quality </w:t>
      </w:r>
      <w:r w:rsidR="00043716" w:rsidRPr="00043716">
        <w:rPr>
          <w:rFonts w:cs="Arial"/>
          <w:bCs/>
          <w:color w:val="000000" w:themeColor="text1"/>
        </w:rPr>
        <w:t xml:space="preserve">CTE </w:t>
      </w:r>
      <w:r>
        <w:rPr>
          <w:rFonts w:cs="Arial"/>
          <w:bCs/>
          <w:color w:val="000000" w:themeColor="text1"/>
        </w:rPr>
        <w:t xml:space="preserve">and </w:t>
      </w:r>
      <w:r w:rsidR="00043716" w:rsidRPr="00043716">
        <w:rPr>
          <w:rFonts w:cs="Arial"/>
          <w:bCs/>
          <w:color w:val="000000" w:themeColor="text1"/>
        </w:rPr>
        <w:t xml:space="preserve">workforce development </w:t>
      </w:r>
      <w:r>
        <w:rPr>
          <w:rFonts w:cs="Arial"/>
          <w:bCs/>
          <w:color w:val="000000" w:themeColor="text1"/>
        </w:rPr>
        <w:t xml:space="preserve">programs </w:t>
      </w:r>
      <w:r w:rsidR="00DB52F3">
        <w:rPr>
          <w:rFonts w:cs="Arial"/>
          <w:bCs/>
          <w:color w:val="000000" w:themeColor="text1"/>
        </w:rPr>
        <w:t xml:space="preserve">must be </w:t>
      </w:r>
      <w:r w:rsidR="00043716" w:rsidRPr="00043716">
        <w:rPr>
          <w:rFonts w:cs="Arial"/>
          <w:bCs/>
          <w:color w:val="000000" w:themeColor="text1"/>
        </w:rPr>
        <w:t xml:space="preserve">specific to </w:t>
      </w:r>
      <w:r w:rsidR="00F81FAB">
        <w:rPr>
          <w:rFonts w:cs="Arial"/>
          <w:bCs/>
          <w:color w:val="000000" w:themeColor="text1"/>
        </w:rPr>
        <w:t>regional workforce demands</w:t>
      </w:r>
      <w:r>
        <w:rPr>
          <w:rFonts w:cs="Arial"/>
          <w:bCs/>
          <w:color w:val="000000" w:themeColor="text1"/>
        </w:rPr>
        <w:t xml:space="preserve"> and informed by </w:t>
      </w:r>
      <w:r w:rsidR="00043716">
        <w:rPr>
          <w:rFonts w:cs="Arial"/>
          <w:bCs/>
          <w:color w:val="000000" w:themeColor="text1"/>
        </w:rPr>
        <w:t>b</w:t>
      </w:r>
      <w:r w:rsidR="00043716" w:rsidRPr="00043716">
        <w:rPr>
          <w:rFonts w:cs="Arial"/>
          <w:bCs/>
          <w:color w:val="000000" w:themeColor="text1"/>
        </w:rPr>
        <w:t xml:space="preserve">usiness and community partnerships </w:t>
      </w:r>
      <w:r w:rsidR="00043716" w:rsidRPr="00043716">
        <w:rPr>
          <w:rFonts w:cs="Arial"/>
          <w:color w:val="000000" w:themeColor="text1"/>
          <w:shd w:val="clear" w:color="auto" w:fill="FFFFFF"/>
        </w:rPr>
        <w:t xml:space="preserve">closely aligned with the surrounding </w:t>
      </w:r>
      <w:r w:rsidR="00043716" w:rsidRPr="00A03C99">
        <w:rPr>
          <w:rFonts w:cs="Arial"/>
          <w:color w:val="000000" w:themeColor="text1"/>
          <w:shd w:val="clear" w:color="auto" w:fill="FFFFFF"/>
        </w:rPr>
        <w:t>community to prepare students with re</w:t>
      </w:r>
      <w:r w:rsidR="00DB52F3" w:rsidRPr="00A03C99">
        <w:rPr>
          <w:rFonts w:cs="Arial"/>
          <w:color w:val="000000" w:themeColor="text1"/>
          <w:shd w:val="clear" w:color="auto" w:fill="FFFFFF"/>
        </w:rPr>
        <w:t>levant</w:t>
      </w:r>
      <w:r w:rsidR="00043716" w:rsidRPr="00A03C99">
        <w:rPr>
          <w:rFonts w:cs="Arial"/>
          <w:color w:val="000000" w:themeColor="text1"/>
          <w:shd w:val="clear" w:color="auto" w:fill="FFFFFF"/>
        </w:rPr>
        <w:t xml:space="preserve"> </w:t>
      </w:r>
      <w:r w:rsidR="00F81FAB" w:rsidRPr="00A03C99">
        <w:rPr>
          <w:rFonts w:cs="Arial"/>
          <w:color w:val="000000" w:themeColor="text1"/>
          <w:shd w:val="clear" w:color="auto" w:fill="FFFFFF"/>
        </w:rPr>
        <w:t>and marketable skills</w:t>
      </w:r>
      <w:r w:rsidR="00043716" w:rsidRPr="00A03C99">
        <w:rPr>
          <w:rFonts w:cs="Arial"/>
          <w:color w:val="000000" w:themeColor="text1"/>
          <w:shd w:val="clear" w:color="auto" w:fill="FFFFFF"/>
        </w:rPr>
        <w:t xml:space="preserve"> </w:t>
      </w:r>
      <w:r w:rsidR="00DB52F3" w:rsidRPr="00A03C99">
        <w:rPr>
          <w:rFonts w:cs="Arial"/>
          <w:color w:val="000000" w:themeColor="text1"/>
          <w:shd w:val="clear" w:color="auto" w:fill="FFFFFF"/>
        </w:rPr>
        <w:t xml:space="preserve">as they transition into the workforce. </w:t>
      </w:r>
      <w:r w:rsidR="00A03C99" w:rsidRPr="00A03C99">
        <w:rPr>
          <w:rFonts w:cs="Arial"/>
          <w:color w:val="000000" w:themeColor="text1"/>
          <w:shd w:val="clear" w:color="auto" w:fill="FFFFFF"/>
        </w:rPr>
        <w:t>Inherently</w:t>
      </w:r>
      <w:r w:rsidR="00A03C99">
        <w:rPr>
          <w:rFonts w:cs="Arial"/>
          <w:color w:val="000000" w:themeColor="text1"/>
          <w:shd w:val="clear" w:color="auto" w:fill="FFFFFF"/>
        </w:rPr>
        <w:t xml:space="preserve">, </w:t>
      </w:r>
      <w:r w:rsidR="00C34351">
        <w:rPr>
          <w:rFonts w:cs="Arial"/>
          <w:color w:val="000000" w:themeColor="text1"/>
          <w:shd w:val="clear" w:color="auto" w:fill="FFFFFF"/>
        </w:rPr>
        <w:t xml:space="preserve">relevant </w:t>
      </w:r>
      <w:r w:rsidR="00A03C99" w:rsidRPr="00A03C99">
        <w:rPr>
          <w:rFonts w:cs="Arial"/>
          <w:color w:val="000000"/>
          <w:shd w:val="clear" w:color="auto" w:fill="FFFFFF"/>
        </w:rPr>
        <w:lastRenderedPageBreak/>
        <w:t>s</w:t>
      </w:r>
      <w:r w:rsidR="007B08DB" w:rsidRPr="00A03C99">
        <w:rPr>
          <w:rFonts w:cs="Arial"/>
          <w:color w:val="000000"/>
          <w:shd w:val="clear" w:color="auto" w:fill="FFFFFF"/>
        </w:rPr>
        <w:t>kill</w:t>
      </w:r>
      <w:r w:rsidR="00A03C99" w:rsidRPr="00A03C99">
        <w:rPr>
          <w:rFonts w:cs="Arial"/>
          <w:color w:val="000000"/>
          <w:shd w:val="clear" w:color="auto" w:fill="FFFFFF"/>
        </w:rPr>
        <w:t xml:space="preserve"> attainment and</w:t>
      </w:r>
      <w:r w:rsidR="007B08DB" w:rsidRPr="00A03C99">
        <w:rPr>
          <w:rFonts w:cs="Arial"/>
          <w:color w:val="000000"/>
          <w:shd w:val="clear" w:color="auto" w:fill="FFFFFF"/>
        </w:rPr>
        <w:t xml:space="preserve"> </w:t>
      </w:r>
      <w:r w:rsidR="00C34351">
        <w:rPr>
          <w:rFonts w:cs="Arial"/>
          <w:color w:val="000000"/>
          <w:shd w:val="clear" w:color="auto" w:fill="FFFFFF"/>
        </w:rPr>
        <w:t xml:space="preserve">career development </w:t>
      </w:r>
      <w:r w:rsidR="007B08DB" w:rsidRPr="00A03C99">
        <w:rPr>
          <w:rFonts w:cs="Arial"/>
          <w:color w:val="000000"/>
          <w:shd w:val="clear" w:color="auto" w:fill="FFFFFF"/>
        </w:rPr>
        <w:t xml:space="preserve">are </w:t>
      </w:r>
      <w:r w:rsidR="00C34351">
        <w:rPr>
          <w:rFonts w:cs="Arial"/>
          <w:color w:val="000000"/>
          <w:shd w:val="clear" w:color="auto" w:fill="FFFFFF"/>
        </w:rPr>
        <w:t>indelibly linked</w:t>
      </w:r>
      <w:r w:rsidR="00720EBE">
        <w:rPr>
          <w:rFonts w:cs="Arial"/>
          <w:color w:val="000000"/>
          <w:shd w:val="clear" w:color="auto" w:fill="FFFFFF"/>
        </w:rPr>
        <w:t xml:space="preserve"> </w:t>
      </w:r>
      <w:r w:rsidR="00C34351">
        <w:rPr>
          <w:rFonts w:cs="Arial"/>
          <w:color w:val="000000"/>
          <w:shd w:val="clear" w:color="auto" w:fill="FFFFFF"/>
        </w:rPr>
        <w:t>to</w:t>
      </w:r>
      <w:r w:rsidR="00A03C99">
        <w:rPr>
          <w:rFonts w:cs="Arial"/>
          <w:color w:val="000000"/>
          <w:shd w:val="clear" w:color="auto" w:fill="FFFFFF"/>
        </w:rPr>
        <w:t xml:space="preserve"> </w:t>
      </w:r>
      <w:r w:rsidR="007B08DB" w:rsidRPr="00A03C99">
        <w:rPr>
          <w:rFonts w:cs="Arial"/>
          <w:color w:val="000000"/>
          <w:shd w:val="clear" w:color="auto" w:fill="FFFFFF"/>
        </w:rPr>
        <w:t xml:space="preserve">the </w:t>
      </w:r>
      <w:r w:rsidR="00C34351">
        <w:rPr>
          <w:rFonts w:cs="Arial"/>
          <w:color w:val="000000"/>
          <w:shd w:val="clear" w:color="auto" w:fill="FFFFFF"/>
        </w:rPr>
        <w:t>financial</w:t>
      </w:r>
      <w:r w:rsidR="007B08DB" w:rsidRPr="00A03C99">
        <w:rPr>
          <w:rFonts w:cs="Arial"/>
          <w:color w:val="000000"/>
          <w:shd w:val="clear" w:color="auto" w:fill="FFFFFF"/>
        </w:rPr>
        <w:t xml:space="preserve"> </w:t>
      </w:r>
      <w:r w:rsidR="00C34351">
        <w:rPr>
          <w:rFonts w:cs="Arial"/>
          <w:color w:val="000000"/>
          <w:shd w:val="clear" w:color="auto" w:fill="FFFFFF"/>
        </w:rPr>
        <w:t>benefit</w:t>
      </w:r>
      <w:r w:rsidR="007B08DB" w:rsidRPr="00A03C99">
        <w:rPr>
          <w:rFonts w:cs="Arial"/>
          <w:color w:val="000000"/>
          <w:shd w:val="clear" w:color="auto" w:fill="FFFFFF"/>
        </w:rPr>
        <w:t xml:space="preserve"> of individuals</w:t>
      </w:r>
      <w:r w:rsidR="00C34351">
        <w:rPr>
          <w:rFonts w:cs="Arial"/>
          <w:color w:val="000000"/>
          <w:shd w:val="clear" w:color="auto" w:fill="FFFFFF"/>
        </w:rPr>
        <w:t xml:space="preserve"> </w:t>
      </w:r>
      <w:r w:rsidR="005647CB">
        <w:rPr>
          <w:rFonts w:cs="Arial"/>
          <w:color w:val="000000"/>
          <w:shd w:val="clear" w:color="auto" w:fill="FFFFFF"/>
        </w:rPr>
        <w:t xml:space="preserve">and </w:t>
      </w:r>
      <w:r w:rsidR="00C21C4A">
        <w:rPr>
          <w:rFonts w:cs="Arial"/>
          <w:color w:val="000000"/>
          <w:shd w:val="clear" w:color="auto" w:fill="FFFFFF"/>
        </w:rPr>
        <w:t xml:space="preserve">the </w:t>
      </w:r>
      <w:r w:rsidR="00720EBE">
        <w:rPr>
          <w:rFonts w:cs="Arial"/>
          <w:color w:val="000000"/>
          <w:shd w:val="clear" w:color="auto" w:fill="FFFFFF"/>
        </w:rPr>
        <w:t xml:space="preserve">requisite </w:t>
      </w:r>
      <w:r w:rsidR="00C21C4A">
        <w:rPr>
          <w:rFonts w:cs="Arial"/>
          <w:color w:val="000000"/>
          <w:shd w:val="clear" w:color="auto" w:fill="FFFFFF"/>
        </w:rPr>
        <w:t xml:space="preserve">economic permanence compulsory to a </w:t>
      </w:r>
      <w:r w:rsidR="00720EBE">
        <w:rPr>
          <w:rFonts w:cs="Arial"/>
          <w:color w:val="000000"/>
          <w:shd w:val="clear" w:color="auto" w:fill="FFFFFF"/>
        </w:rPr>
        <w:t>prosperous</w:t>
      </w:r>
      <w:r w:rsidR="00C21C4A">
        <w:rPr>
          <w:rFonts w:cs="Arial"/>
          <w:color w:val="000000"/>
          <w:shd w:val="clear" w:color="auto" w:fill="FFFFFF"/>
        </w:rPr>
        <w:t xml:space="preserve"> </w:t>
      </w:r>
      <w:r w:rsidR="00720EBE">
        <w:rPr>
          <w:rFonts w:cs="Arial"/>
          <w:color w:val="000000"/>
          <w:shd w:val="clear" w:color="auto" w:fill="FFFFFF"/>
        </w:rPr>
        <w:t xml:space="preserve">and progressive </w:t>
      </w:r>
      <w:r w:rsidR="00C21C4A">
        <w:rPr>
          <w:rFonts w:cs="Arial"/>
          <w:color w:val="000000"/>
          <w:shd w:val="clear" w:color="auto" w:fill="FFFFFF"/>
        </w:rPr>
        <w:t>California</w:t>
      </w:r>
      <w:r w:rsidR="00C34351">
        <w:rPr>
          <w:rFonts w:cs="Arial"/>
          <w:color w:val="000000"/>
          <w:shd w:val="clear" w:color="auto" w:fill="FFFFFF"/>
        </w:rPr>
        <w:t xml:space="preserve">. </w:t>
      </w:r>
      <w:r w:rsidR="00720EBE">
        <w:rPr>
          <w:rFonts w:cs="Arial"/>
          <w:color w:val="000000"/>
          <w:shd w:val="clear" w:color="auto" w:fill="FFFFFF"/>
        </w:rPr>
        <w:t>An i</w:t>
      </w:r>
      <w:r w:rsidR="005647CB" w:rsidRPr="00453B7A">
        <w:rPr>
          <w:rFonts w:cs="Arial"/>
        </w:rPr>
        <w:t xml:space="preserve">ntegral </w:t>
      </w:r>
      <w:r w:rsidR="009F113C">
        <w:rPr>
          <w:rFonts w:cs="Arial"/>
        </w:rPr>
        <w:t>component</w:t>
      </w:r>
      <w:r w:rsidR="005647CB" w:rsidRPr="00453B7A">
        <w:rPr>
          <w:rFonts w:cs="Arial"/>
        </w:rPr>
        <w:t xml:space="preserve"> </w:t>
      </w:r>
      <w:r w:rsidR="009F113C">
        <w:rPr>
          <w:rFonts w:cs="Arial"/>
        </w:rPr>
        <w:t xml:space="preserve">of High-Quality CTE, WBL empowers students to </w:t>
      </w:r>
      <w:r w:rsidR="005647CB">
        <w:rPr>
          <w:rFonts w:cs="Arial"/>
        </w:rPr>
        <w:t>leverag</w:t>
      </w:r>
      <w:r w:rsidR="009F113C">
        <w:rPr>
          <w:rFonts w:cs="Arial"/>
        </w:rPr>
        <w:t>e</w:t>
      </w:r>
      <w:r w:rsidR="005647CB">
        <w:rPr>
          <w:rFonts w:cs="Arial"/>
        </w:rPr>
        <w:t xml:space="preserve"> </w:t>
      </w:r>
      <w:r w:rsidR="005647CB" w:rsidRPr="00453B7A">
        <w:rPr>
          <w:rFonts w:cs="Arial"/>
        </w:rPr>
        <w:t>relevant technical, academic</w:t>
      </w:r>
      <w:r w:rsidR="002E7AC7">
        <w:rPr>
          <w:rFonts w:cs="Arial"/>
        </w:rPr>
        <w:t>,</w:t>
      </w:r>
      <w:r w:rsidR="005647CB" w:rsidRPr="00453B7A">
        <w:rPr>
          <w:rFonts w:cs="Arial"/>
        </w:rPr>
        <w:t xml:space="preserve"> and employability skills obtained in the classroo</w:t>
      </w:r>
      <w:r w:rsidR="009F113C">
        <w:rPr>
          <w:rFonts w:cs="Arial"/>
        </w:rPr>
        <w:t xml:space="preserve">m – </w:t>
      </w:r>
      <w:r w:rsidR="009F113C" w:rsidRPr="009F113C">
        <w:rPr>
          <w:rFonts w:cs="Arial"/>
          <w:color w:val="1C252D"/>
          <w:shd w:val="clear" w:color="auto" w:fill="FFFFFF"/>
        </w:rPr>
        <w:t xml:space="preserve">inclusive of race, gender, ability, socioeconomic </w:t>
      </w:r>
      <w:r w:rsidR="00610B0F" w:rsidRPr="009F113C">
        <w:rPr>
          <w:rFonts w:cs="Arial"/>
          <w:color w:val="1C252D"/>
          <w:shd w:val="clear" w:color="auto" w:fill="FFFFFF"/>
        </w:rPr>
        <w:t>status,</w:t>
      </w:r>
      <w:r w:rsidR="00610B0F">
        <w:rPr>
          <w:rFonts w:cs="Arial"/>
          <w:color w:val="1C252D"/>
          <w:shd w:val="clear" w:color="auto" w:fill="FFFFFF"/>
        </w:rPr>
        <w:t xml:space="preserve"> and specialized educational needs – </w:t>
      </w:r>
      <w:r w:rsidR="009F113C" w:rsidRPr="009F113C">
        <w:rPr>
          <w:rFonts w:cs="Arial"/>
          <w:color w:val="1C252D"/>
          <w:shd w:val="clear" w:color="auto" w:fill="FFFFFF"/>
        </w:rPr>
        <w:t>with opportunities to prepare for careers, a</w:t>
      </w:r>
      <w:r w:rsidR="00610B0F">
        <w:rPr>
          <w:rFonts w:cs="Arial"/>
          <w:color w:val="1C252D"/>
          <w:shd w:val="clear" w:color="auto" w:fill="FFFFFF"/>
        </w:rPr>
        <w:t xml:space="preserve">long with </w:t>
      </w:r>
      <w:r w:rsidR="009F113C" w:rsidRPr="009F113C">
        <w:rPr>
          <w:rFonts w:cs="Arial"/>
          <w:color w:val="1C252D"/>
          <w:shd w:val="clear" w:color="auto" w:fill="FFFFFF"/>
        </w:rPr>
        <w:t>college.</w:t>
      </w:r>
    </w:p>
    <w:p w14:paraId="14F9209B" w14:textId="154F385E" w:rsidR="00423DCC" w:rsidRDefault="0003140C" w:rsidP="005147E0">
      <w:pPr>
        <w:spacing w:after="240"/>
        <w:rPr>
          <w:rFonts w:cs="Arial"/>
          <w:bCs/>
          <w:color w:val="000000" w:themeColor="text1"/>
        </w:rPr>
      </w:pPr>
      <w:r w:rsidRPr="0003140C">
        <w:rPr>
          <w:rFonts w:cs="Arial"/>
          <w:bCs/>
          <w:color w:val="000000" w:themeColor="text1"/>
        </w:rPr>
        <w:t xml:space="preserve">Graduating from high school has been </w:t>
      </w:r>
      <w:r w:rsidR="00EC45FE">
        <w:rPr>
          <w:rFonts w:cs="Arial"/>
          <w:bCs/>
          <w:color w:val="000000" w:themeColor="text1"/>
        </w:rPr>
        <w:t>linked</w:t>
      </w:r>
      <w:r w:rsidRPr="0003140C">
        <w:rPr>
          <w:rFonts w:cs="Arial"/>
          <w:bCs/>
          <w:color w:val="000000" w:themeColor="text1"/>
        </w:rPr>
        <w:t xml:space="preserve"> to several measures of </w:t>
      </w:r>
      <w:r w:rsidR="00EC45FE">
        <w:rPr>
          <w:rFonts w:cs="Arial"/>
          <w:bCs/>
          <w:color w:val="000000" w:themeColor="text1"/>
        </w:rPr>
        <w:t>economic mobility and security</w:t>
      </w:r>
      <w:r w:rsidRPr="0003140C">
        <w:rPr>
          <w:rFonts w:cs="Arial"/>
          <w:bCs/>
          <w:color w:val="000000" w:themeColor="text1"/>
        </w:rPr>
        <w:t>. Compared with people who dropped out of high school, graduates have higher wages, better physical health outcomes, engage in healthier behaviors, and are less likely to be unemployed</w:t>
      </w:r>
      <w:r>
        <w:rPr>
          <w:rFonts w:cs="Arial"/>
          <w:bCs/>
          <w:color w:val="000000" w:themeColor="text1"/>
        </w:rPr>
        <w:t>.</w:t>
      </w:r>
      <w:r w:rsidR="004878B9">
        <w:rPr>
          <w:rStyle w:val="FootnoteReference"/>
          <w:rFonts w:cs="Arial"/>
          <w:bCs/>
          <w:color w:val="000000" w:themeColor="text1"/>
        </w:rPr>
        <w:footnoteReference w:id="17"/>
      </w:r>
      <w:r>
        <w:rPr>
          <w:rFonts w:cs="Arial"/>
          <w:bCs/>
          <w:color w:val="000000" w:themeColor="text1"/>
        </w:rPr>
        <w:t xml:space="preserve"> To these ends, the CTEIG data offers promising result</w:t>
      </w:r>
      <w:r w:rsidR="007B45A2">
        <w:rPr>
          <w:rFonts w:cs="Arial"/>
          <w:bCs/>
          <w:color w:val="000000" w:themeColor="text1"/>
        </w:rPr>
        <w:t>s for CTE pathway completers and high school graduates.</w:t>
      </w:r>
      <w:r w:rsidR="009A6A7E">
        <w:rPr>
          <w:rFonts w:cs="Arial"/>
          <w:bCs/>
          <w:color w:val="000000" w:themeColor="text1"/>
        </w:rPr>
        <w:t xml:space="preserve"> </w:t>
      </w:r>
      <w:r w:rsidR="00FB0983">
        <w:rPr>
          <w:rFonts w:cs="Arial"/>
          <w:bCs/>
          <w:color w:val="000000" w:themeColor="text1"/>
        </w:rPr>
        <w:t xml:space="preserve">The </w:t>
      </w:r>
      <w:r w:rsidR="00CC1653">
        <w:rPr>
          <w:rFonts w:cs="Arial"/>
          <w:bCs/>
          <w:color w:val="000000" w:themeColor="text1"/>
        </w:rPr>
        <w:t xml:space="preserve">2021–22 AY </w:t>
      </w:r>
      <w:r w:rsidR="00FB0983">
        <w:rPr>
          <w:rFonts w:cs="Arial"/>
          <w:bCs/>
          <w:color w:val="000000" w:themeColor="text1"/>
        </w:rPr>
        <w:t xml:space="preserve">graduation rate </w:t>
      </w:r>
      <w:r w:rsidR="00CC1653">
        <w:rPr>
          <w:rFonts w:cs="Arial"/>
          <w:bCs/>
          <w:color w:val="000000" w:themeColor="text1"/>
        </w:rPr>
        <w:t xml:space="preserve">for all student within the cohort was </w:t>
      </w:r>
      <w:r w:rsidR="002E7AC7">
        <w:rPr>
          <w:rFonts w:cs="Arial"/>
          <w:bCs/>
          <w:color w:val="000000" w:themeColor="text1"/>
        </w:rPr>
        <w:t>87</w:t>
      </w:r>
      <w:r w:rsidR="00CC1653">
        <w:rPr>
          <w:rFonts w:cs="Arial"/>
          <w:bCs/>
          <w:color w:val="000000" w:themeColor="text1"/>
        </w:rPr>
        <w:t xml:space="preserve"> percent; but when they</w:t>
      </w:r>
      <w:r w:rsidR="00FB0983">
        <w:rPr>
          <w:rFonts w:cs="Arial"/>
          <w:bCs/>
          <w:color w:val="000000" w:themeColor="text1"/>
        </w:rPr>
        <w:t xml:space="preserve"> complete</w:t>
      </w:r>
      <w:r w:rsidR="00CC1653">
        <w:rPr>
          <w:rFonts w:cs="Arial"/>
          <w:bCs/>
          <w:color w:val="000000" w:themeColor="text1"/>
        </w:rPr>
        <w:t>d</w:t>
      </w:r>
      <w:r w:rsidR="00FB0983">
        <w:rPr>
          <w:rFonts w:cs="Arial"/>
          <w:bCs/>
          <w:color w:val="000000" w:themeColor="text1"/>
        </w:rPr>
        <w:t xml:space="preserve"> at least one CTE course</w:t>
      </w:r>
      <w:r w:rsidR="00CC1653">
        <w:rPr>
          <w:rFonts w:cs="Arial"/>
          <w:bCs/>
          <w:color w:val="000000" w:themeColor="text1"/>
        </w:rPr>
        <w:t xml:space="preserve"> during their secondary career the graduation rate increased by </w:t>
      </w:r>
      <w:r w:rsidR="002E7AC7">
        <w:rPr>
          <w:rFonts w:cs="Arial"/>
          <w:bCs/>
          <w:color w:val="000000" w:themeColor="text1"/>
        </w:rPr>
        <w:t xml:space="preserve">7 </w:t>
      </w:r>
      <w:r w:rsidR="00CC1653">
        <w:rPr>
          <w:rFonts w:cs="Arial"/>
          <w:bCs/>
          <w:color w:val="000000" w:themeColor="text1"/>
        </w:rPr>
        <w:t xml:space="preserve">percent; and when they complete the CTE pathway the graduation rate rises to an impressive </w:t>
      </w:r>
      <w:r w:rsidR="009821C4">
        <w:rPr>
          <w:rFonts w:cs="Arial"/>
          <w:bCs/>
          <w:color w:val="000000" w:themeColor="text1"/>
        </w:rPr>
        <w:t>99</w:t>
      </w:r>
      <w:r w:rsidR="00CC1653">
        <w:rPr>
          <w:rFonts w:cs="Arial"/>
          <w:bCs/>
          <w:color w:val="000000" w:themeColor="text1"/>
        </w:rPr>
        <w:t xml:space="preserve"> percent.</w:t>
      </w:r>
    </w:p>
    <w:p w14:paraId="4AF12C94" w14:textId="4F20EAD0" w:rsidR="00260521" w:rsidRDefault="00457843" w:rsidP="005147E0">
      <w:pPr>
        <w:spacing w:after="240"/>
        <w:rPr>
          <w:rFonts w:cs="Arial"/>
          <w:bCs/>
        </w:rPr>
      </w:pPr>
      <w:r>
        <w:rPr>
          <w:rFonts w:cs="Arial"/>
          <w:bCs/>
          <w:color w:val="000000" w:themeColor="text1"/>
        </w:rPr>
        <w:t xml:space="preserve">The </w:t>
      </w:r>
      <w:r w:rsidR="00CF3E50">
        <w:rPr>
          <w:rFonts w:cs="Arial"/>
          <w:bCs/>
          <w:color w:val="000000" w:themeColor="text1"/>
        </w:rPr>
        <w:t xml:space="preserve">data supports the same </w:t>
      </w:r>
      <w:r>
        <w:rPr>
          <w:rFonts w:cs="Arial"/>
          <w:bCs/>
          <w:color w:val="000000" w:themeColor="text1"/>
        </w:rPr>
        <w:t xml:space="preserve">conclusion </w:t>
      </w:r>
      <w:r w:rsidR="00CF3E50">
        <w:rPr>
          <w:rFonts w:cs="Arial"/>
          <w:bCs/>
          <w:color w:val="000000" w:themeColor="text1"/>
        </w:rPr>
        <w:t xml:space="preserve">among all </w:t>
      </w:r>
      <w:r>
        <w:rPr>
          <w:rFonts w:cs="Arial"/>
          <w:bCs/>
          <w:color w:val="000000" w:themeColor="text1"/>
        </w:rPr>
        <w:t xml:space="preserve">disaggregated racial, gender, and CTEIG region subgroups, graduation rates consistently increase </w:t>
      </w:r>
      <w:r w:rsidR="003A3FF2">
        <w:rPr>
          <w:rFonts w:cs="Arial"/>
          <w:bCs/>
          <w:color w:val="000000" w:themeColor="text1"/>
        </w:rPr>
        <w:t>when students</w:t>
      </w:r>
      <w:r>
        <w:rPr>
          <w:rFonts w:cs="Arial"/>
          <w:bCs/>
          <w:color w:val="000000" w:themeColor="text1"/>
        </w:rPr>
        <w:t xml:space="preserve"> </w:t>
      </w:r>
      <w:r w:rsidR="003A3FF2">
        <w:rPr>
          <w:rFonts w:cs="Arial"/>
          <w:bCs/>
          <w:color w:val="000000" w:themeColor="text1"/>
        </w:rPr>
        <w:t xml:space="preserve">obtain CTE </w:t>
      </w:r>
      <w:r>
        <w:rPr>
          <w:rFonts w:cs="Arial"/>
          <w:bCs/>
          <w:color w:val="000000" w:themeColor="text1"/>
        </w:rPr>
        <w:t>pathway completion. Th</w:t>
      </w:r>
      <w:r w:rsidR="00CF3E50">
        <w:rPr>
          <w:rFonts w:cs="Arial"/>
          <w:bCs/>
          <w:color w:val="000000" w:themeColor="text1"/>
        </w:rPr>
        <w:t xml:space="preserve">ere is a </w:t>
      </w:r>
      <w:r>
        <w:rPr>
          <w:rFonts w:cs="Arial"/>
          <w:bCs/>
          <w:color w:val="000000" w:themeColor="text1"/>
        </w:rPr>
        <w:t xml:space="preserve">dramatic increase in graduation rates within </w:t>
      </w:r>
      <w:r w:rsidR="001F4DFC">
        <w:rPr>
          <w:rFonts w:cs="Arial"/>
          <w:bCs/>
          <w:color w:val="000000" w:themeColor="text1"/>
        </w:rPr>
        <w:t>Black, Indigenous, and People of Color (</w:t>
      </w:r>
      <w:r>
        <w:rPr>
          <w:rFonts w:cs="Arial"/>
          <w:bCs/>
          <w:color w:val="000000" w:themeColor="text1"/>
        </w:rPr>
        <w:t>BIPOC</w:t>
      </w:r>
      <w:r w:rsidR="001F4DFC">
        <w:rPr>
          <w:rFonts w:cs="Arial"/>
          <w:bCs/>
          <w:color w:val="000000" w:themeColor="text1"/>
        </w:rPr>
        <w:t>)</w:t>
      </w:r>
      <w:r>
        <w:rPr>
          <w:rFonts w:cs="Arial"/>
          <w:bCs/>
          <w:color w:val="000000" w:themeColor="text1"/>
        </w:rPr>
        <w:t xml:space="preserve"> populations</w:t>
      </w:r>
      <w:r w:rsidR="000E5AAE">
        <w:rPr>
          <w:rFonts w:cs="Arial"/>
          <w:bCs/>
          <w:color w:val="000000" w:themeColor="text1"/>
        </w:rPr>
        <w:t>; particularly, CTEIG pathway completers</w:t>
      </w:r>
      <w:r>
        <w:rPr>
          <w:rFonts w:cs="Arial"/>
          <w:bCs/>
          <w:color w:val="000000" w:themeColor="text1"/>
        </w:rPr>
        <w:t>. By way of example</w:t>
      </w:r>
      <w:r w:rsidR="000E5AAE">
        <w:rPr>
          <w:rFonts w:cs="Arial"/>
          <w:bCs/>
          <w:color w:val="000000" w:themeColor="text1"/>
        </w:rPr>
        <w:t xml:space="preserve">, </w:t>
      </w:r>
      <w:bookmarkStart w:id="35" w:name="_Hlk156965372"/>
      <w:r w:rsidR="000E5AAE">
        <w:rPr>
          <w:rFonts w:cs="Arial"/>
          <w:bCs/>
          <w:color w:val="000000" w:themeColor="text1"/>
        </w:rPr>
        <w:t>in the 2021–22 AY</w:t>
      </w:r>
      <w:r w:rsidR="00CF53BD">
        <w:rPr>
          <w:rFonts w:cs="Arial"/>
          <w:bCs/>
        </w:rPr>
        <w:t xml:space="preserve"> the graduation rates for </w:t>
      </w:r>
      <w:r w:rsidR="003B4AA3">
        <w:rPr>
          <w:rFonts w:cs="Arial"/>
          <w:bCs/>
        </w:rPr>
        <w:t>n</w:t>
      </w:r>
      <w:r w:rsidR="00CF53BD">
        <w:rPr>
          <w:rFonts w:cs="Arial"/>
          <w:bCs/>
        </w:rPr>
        <w:t xml:space="preserve">on-CTEIG, </w:t>
      </w:r>
      <w:r w:rsidR="003B4AA3">
        <w:rPr>
          <w:rFonts w:cs="Arial"/>
          <w:bCs/>
        </w:rPr>
        <w:t>n</w:t>
      </w:r>
      <w:r w:rsidR="00CF53BD">
        <w:rPr>
          <w:rFonts w:cs="Arial"/>
          <w:bCs/>
        </w:rPr>
        <w:t>on-CTE students for the identified subgroups – Native American and Alaskan Native, Black, Pacific Islander, Hispanic, and two or more races – were 54.6, 51.4, 56.4, 64.8, and 64.0 percent, respectively.</w:t>
      </w:r>
      <w:bookmarkEnd w:id="35"/>
      <w:r w:rsidR="00501466">
        <w:rPr>
          <w:rStyle w:val="FootnoteReference"/>
          <w:rFonts w:cs="Arial"/>
          <w:bCs/>
        </w:rPr>
        <w:footnoteReference w:id="18"/>
      </w:r>
      <w:r w:rsidR="00CF53BD">
        <w:rPr>
          <w:rFonts w:cs="Arial"/>
          <w:bCs/>
        </w:rPr>
        <w:t xml:space="preserve"> </w:t>
      </w:r>
      <w:r w:rsidR="00E335D2">
        <w:rPr>
          <w:rFonts w:cs="Arial"/>
          <w:bCs/>
        </w:rPr>
        <w:t>When compared</w:t>
      </w:r>
      <w:r w:rsidR="00CF53BD">
        <w:rPr>
          <w:rFonts w:cs="Arial"/>
          <w:bCs/>
        </w:rPr>
        <w:t xml:space="preserve"> </w:t>
      </w:r>
      <w:r w:rsidR="00E335D2">
        <w:rPr>
          <w:rFonts w:cs="Arial"/>
          <w:bCs/>
        </w:rPr>
        <w:t xml:space="preserve">to the cohort graduation rate of these </w:t>
      </w:r>
      <w:r w:rsidR="00B61BD6">
        <w:rPr>
          <w:rFonts w:cs="Arial"/>
          <w:bCs/>
        </w:rPr>
        <w:t xml:space="preserve">same </w:t>
      </w:r>
      <w:r w:rsidR="00E335D2">
        <w:rPr>
          <w:rFonts w:cs="Arial"/>
          <w:bCs/>
        </w:rPr>
        <w:t>disaggregated racial subgroups, which range between lows 70</w:t>
      </w:r>
      <w:r w:rsidR="004F33AF">
        <w:rPr>
          <w:rFonts w:cs="Arial"/>
          <w:bCs/>
        </w:rPr>
        <w:t>’</w:t>
      </w:r>
      <w:r w:rsidR="00E335D2">
        <w:rPr>
          <w:rFonts w:cs="Arial"/>
          <w:bCs/>
        </w:rPr>
        <w:t>s and 80</w:t>
      </w:r>
      <w:r w:rsidR="004F33AF">
        <w:rPr>
          <w:rFonts w:cs="Arial"/>
          <w:bCs/>
        </w:rPr>
        <w:t>’</w:t>
      </w:r>
      <w:r w:rsidR="00E335D2">
        <w:rPr>
          <w:rFonts w:cs="Arial"/>
          <w:bCs/>
        </w:rPr>
        <w:t>s</w:t>
      </w:r>
      <w:r w:rsidR="004F33AF">
        <w:rPr>
          <w:rFonts w:cs="Arial"/>
          <w:bCs/>
        </w:rPr>
        <w:t>,</w:t>
      </w:r>
      <w:r w:rsidR="000B4474">
        <w:rPr>
          <w:rStyle w:val="FootnoteReference"/>
          <w:rFonts w:cs="Arial"/>
          <w:bCs/>
        </w:rPr>
        <w:footnoteReference w:id="19"/>
      </w:r>
      <w:r w:rsidR="004F33AF">
        <w:rPr>
          <w:rFonts w:cs="Arial"/>
          <w:bCs/>
        </w:rPr>
        <w:t xml:space="preserve"> the data confirms the remarkable potential </w:t>
      </w:r>
      <w:r w:rsidR="00C00724">
        <w:rPr>
          <w:rFonts w:cs="Arial"/>
          <w:bCs/>
        </w:rPr>
        <w:t xml:space="preserve">of </w:t>
      </w:r>
      <w:r w:rsidR="004F33AF">
        <w:rPr>
          <w:rFonts w:cs="Arial"/>
          <w:bCs/>
        </w:rPr>
        <w:t xml:space="preserve">developing CTE as an intervention within these subgroups. </w:t>
      </w:r>
      <w:r w:rsidR="00C05E2D">
        <w:rPr>
          <w:rFonts w:cs="Arial"/>
          <w:bCs/>
        </w:rPr>
        <w:t xml:space="preserve">Data from </w:t>
      </w:r>
      <w:r w:rsidR="004F33AF">
        <w:rPr>
          <w:rFonts w:cs="Arial"/>
          <w:bCs/>
        </w:rPr>
        <w:t>CTEIG</w:t>
      </w:r>
      <w:r w:rsidR="00C208E7">
        <w:rPr>
          <w:rFonts w:cs="Arial"/>
          <w:bCs/>
        </w:rPr>
        <w:t xml:space="preserve"> LEAs</w:t>
      </w:r>
      <w:r w:rsidR="004F33AF">
        <w:rPr>
          <w:rFonts w:cs="Arial"/>
          <w:bCs/>
        </w:rPr>
        <w:t xml:space="preserve">, </w:t>
      </w:r>
      <w:r w:rsidR="00C05E2D">
        <w:rPr>
          <w:rFonts w:cs="Arial"/>
          <w:bCs/>
        </w:rPr>
        <w:t xml:space="preserve">shows </w:t>
      </w:r>
      <w:r w:rsidR="004F33AF">
        <w:rPr>
          <w:rFonts w:cs="Arial"/>
          <w:bCs/>
        </w:rPr>
        <w:t>CTE completer graduation rates for the exact same disaggregated subgroups</w:t>
      </w:r>
      <w:r w:rsidR="00501466">
        <w:rPr>
          <w:rFonts w:cs="Arial"/>
          <w:bCs/>
        </w:rPr>
        <w:t>,</w:t>
      </w:r>
      <w:r w:rsidR="00C05E2D">
        <w:rPr>
          <w:rFonts w:cs="Arial"/>
          <w:bCs/>
        </w:rPr>
        <w:t xml:space="preserve"> and</w:t>
      </w:r>
      <w:r w:rsidR="004F33AF">
        <w:rPr>
          <w:rFonts w:cs="Arial"/>
          <w:bCs/>
        </w:rPr>
        <w:t xml:space="preserve"> </w:t>
      </w:r>
      <w:r w:rsidR="00501466">
        <w:rPr>
          <w:rFonts w:cs="Arial"/>
          <w:bCs/>
        </w:rPr>
        <w:t xml:space="preserve">the </w:t>
      </w:r>
      <w:r w:rsidR="004F33AF">
        <w:rPr>
          <w:rFonts w:cs="Arial"/>
          <w:bCs/>
        </w:rPr>
        <w:t>impact of CTE programming is undeniabl</w:t>
      </w:r>
      <w:r w:rsidR="000B4474">
        <w:rPr>
          <w:rFonts w:cs="Arial"/>
          <w:bCs/>
        </w:rPr>
        <w:t>y evident</w:t>
      </w:r>
      <w:r w:rsidR="00501466">
        <w:rPr>
          <w:rFonts w:cs="Arial"/>
          <w:bCs/>
        </w:rPr>
        <w:t>;</w:t>
      </w:r>
      <w:r w:rsidR="004F33AF">
        <w:rPr>
          <w:rFonts w:cs="Arial"/>
          <w:bCs/>
        </w:rPr>
        <w:t xml:space="preserve"> </w:t>
      </w:r>
      <w:r w:rsidR="00501466">
        <w:rPr>
          <w:rFonts w:cs="Arial"/>
          <w:bCs/>
        </w:rPr>
        <w:t>the lowest graduation rate of BIPOC subgroups</w:t>
      </w:r>
      <w:r w:rsidR="00520456">
        <w:rPr>
          <w:rFonts w:cs="Arial"/>
          <w:bCs/>
        </w:rPr>
        <w:t xml:space="preserve">, </w:t>
      </w:r>
      <w:r w:rsidR="00501466">
        <w:rPr>
          <w:rFonts w:cs="Arial"/>
          <w:bCs/>
        </w:rPr>
        <w:t>Native American and Alaskan Native</w:t>
      </w:r>
      <w:r w:rsidR="00520456">
        <w:rPr>
          <w:rFonts w:cs="Arial"/>
          <w:bCs/>
        </w:rPr>
        <w:t xml:space="preserve">, </w:t>
      </w:r>
      <w:r w:rsidR="00501466">
        <w:rPr>
          <w:rFonts w:cs="Arial"/>
          <w:bCs/>
        </w:rPr>
        <w:t xml:space="preserve">was 97.4 percent. </w:t>
      </w:r>
      <w:r w:rsidR="003B4AA3">
        <w:rPr>
          <w:rFonts w:cs="Arial"/>
          <w:bCs/>
        </w:rPr>
        <w:t xml:space="preserve">The </w:t>
      </w:r>
      <w:r w:rsidR="00C05E2D">
        <w:rPr>
          <w:rFonts w:cs="Arial"/>
          <w:bCs/>
        </w:rPr>
        <w:t xml:space="preserve">stark </w:t>
      </w:r>
      <w:r w:rsidR="003B4AA3">
        <w:rPr>
          <w:rFonts w:cs="Arial"/>
          <w:bCs/>
        </w:rPr>
        <w:t>contrast between non</w:t>
      </w:r>
      <w:r w:rsidR="00C05E2D">
        <w:rPr>
          <w:rFonts w:cs="Arial"/>
          <w:bCs/>
        </w:rPr>
        <w:t>-</w:t>
      </w:r>
      <w:r w:rsidR="003B4AA3">
        <w:rPr>
          <w:rFonts w:cs="Arial"/>
          <w:bCs/>
        </w:rPr>
        <w:t xml:space="preserve">CTE student graduation rates across BIPOC subgroups and the </w:t>
      </w:r>
      <w:r w:rsidR="00931802">
        <w:rPr>
          <w:rFonts w:cs="Arial"/>
          <w:bCs/>
        </w:rPr>
        <w:t xml:space="preserve">graduation </w:t>
      </w:r>
      <w:r w:rsidR="003B4AA3">
        <w:rPr>
          <w:rFonts w:cs="Arial"/>
          <w:bCs/>
        </w:rPr>
        <w:t xml:space="preserve">rates of their </w:t>
      </w:r>
      <w:r w:rsidR="00C00724">
        <w:rPr>
          <w:rFonts w:cs="Arial"/>
          <w:bCs/>
        </w:rPr>
        <w:t>pathway-completing</w:t>
      </w:r>
      <w:r w:rsidR="003B4AA3">
        <w:rPr>
          <w:rFonts w:cs="Arial"/>
          <w:bCs/>
        </w:rPr>
        <w:t xml:space="preserve"> counterparts</w:t>
      </w:r>
      <w:r w:rsidR="0046632D">
        <w:rPr>
          <w:rStyle w:val="FootnoteReference"/>
          <w:rFonts w:cs="Arial"/>
          <w:bCs/>
        </w:rPr>
        <w:footnoteReference w:id="20"/>
      </w:r>
      <w:r w:rsidR="003B4AA3">
        <w:rPr>
          <w:rFonts w:cs="Arial"/>
          <w:bCs/>
        </w:rPr>
        <w:t xml:space="preserve"> </w:t>
      </w:r>
      <w:r w:rsidR="00520456">
        <w:rPr>
          <w:rFonts w:cs="Arial"/>
          <w:bCs/>
        </w:rPr>
        <w:t xml:space="preserve">in CTEIG LEAs </w:t>
      </w:r>
      <w:r w:rsidR="003B4AA3">
        <w:rPr>
          <w:rFonts w:cs="Arial"/>
          <w:bCs/>
        </w:rPr>
        <w:t>– Native American</w:t>
      </w:r>
      <w:r w:rsidR="00F13922">
        <w:rPr>
          <w:rFonts w:cs="Arial"/>
          <w:bCs/>
        </w:rPr>
        <w:t xml:space="preserve"> and </w:t>
      </w:r>
      <w:r w:rsidR="003B4AA3">
        <w:rPr>
          <w:rFonts w:cs="Arial"/>
          <w:bCs/>
        </w:rPr>
        <w:t xml:space="preserve">Alaskan Native increased </w:t>
      </w:r>
      <w:r w:rsidR="00C00724">
        <w:rPr>
          <w:rFonts w:cs="Arial"/>
          <w:bCs/>
        </w:rPr>
        <w:t xml:space="preserve">by </w:t>
      </w:r>
      <w:r w:rsidR="00C05E2D">
        <w:rPr>
          <w:rFonts w:cs="Arial"/>
          <w:bCs/>
        </w:rPr>
        <w:t>33.9</w:t>
      </w:r>
      <w:r w:rsidR="00931802">
        <w:rPr>
          <w:rFonts w:cs="Arial"/>
          <w:bCs/>
        </w:rPr>
        <w:t xml:space="preserve"> percent; Black increased</w:t>
      </w:r>
      <w:r w:rsidR="00C00724">
        <w:rPr>
          <w:rFonts w:cs="Arial"/>
          <w:bCs/>
        </w:rPr>
        <w:t xml:space="preserve"> by</w:t>
      </w:r>
      <w:r w:rsidR="00931802">
        <w:rPr>
          <w:rFonts w:cs="Arial"/>
          <w:bCs/>
        </w:rPr>
        <w:t xml:space="preserve"> </w:t>
      </w:r>
      <w:r w:rsidR="00C05E2D">
        <w:rPr>
          <w:rFonts w:cs="Arial"/>
          <w:bCs/>
        </w:rPr>
        <w:t>33.7</w:t>
      </w:r>
      <w:r w:rsidR="00931802">
        <w:rPr>
          <w:rFonts w:cs="Arial"/>
          <w:bCs/>
        </w:rPr>
        <w:t xml:space="preserve"> percent; Pacific Islander increased</w:t>
      </w:r>
      <w:r w:rsidR="00C00724">
        <w:rPr>
          <w:rFonts w:cs="Arial"/>
          <w:bCs/>
        </w:rPr>
        <w:t xml:space="preserve"> by</w:t>
      </w:r>
      <w:r w:rsidR="00931802">
        <w:rPr>
          <w:rFonts w:cs="Arial"/>
          <w:bCs/>
        </w:rPr>
        <w:t xml:space="preserve"> </w:t>
      </w:r>
      <w:r w:rsidR="00C05E2D">
        <w:rPr>
          <w:rFonts w:cs="Arial"/>
          <w:bCs/>
        </w:rPr>
        <w:t>25.4</w:t>
      </w:r>
      <w:r w:rsidR="00931802">
        <w:rPr>
          <w:rFonts w:cs="Arial"/>
          <w:bCs/>
        </w:rPr>
        <w:t xml:space="preserve"> percent; Hispanic increased</w:t>
      </w:r>
      <w:r w:rsidR="00C00724">
        <w:rPr>
          <w:rFonts w:cs="Arial"/>
          <w:bCs/>
        </w:rPr>
        <w:t xml:space="preserve"> by</w:t>
      </w:r>
      <w:r w:rsidR="00931802">
        <w:rPr>
          <w:rFonts w:cs="Arial"/>
          <w:bCs/>
        </w:rPr>
        <w:t xml:space="preserve"> </w:t>
      </w:r>
      <w:r w:rsidR="00C05E2D">
        <w:rPr>
          <w:rFonts w:cs="Arial"/>
          <w:bCs/>
        </w:rPr>
        <w:t>26.1</w:t>
      </w:r>
      <w:r w:rsidR="00931802">
        <w:rPr>
          <w:rFonts w:cs="Arial"/>
          <w:bCs/>
        </w:rPr>
        <w:t xml:space="preserve"> percent; and </w:t>
      </w:r>
      <w:r w:rsidR="005C42FC">
        <w:rPr>
          <w:rFonts w:cs="Arial"/>
          <w:bCs/>
        </w:rPr>
        <w:t>t</w:t>
      </w:r>
      <w:r w:rsidR="00931802">
        <w:rPr>
          <w:rFonts w:cs="Arial"/>
          <w:bCs/>
        </w:rPr>
        <w:t xml:space="preserve">wo or </w:t>
      </w:r>
      <w:r w:rsidR="005C42FC">
        <w:rPr>
          <w:rFonts w:cs="Arial"/>
          <w:bCs/>
        </w:rPr>
        <w:t>m</w:t>
      </w:r>
      <w:r w:rsidR="00931802">
        <w:rPr>
          <w:rFonts w:cs="Arial"/>
          <w:bCs/>
        </w:rPr>
        <w:t>ore Races increased</w:t>
      </w:r>
      <w:r w:rsidR="00C00724">
        <w:rPr>
          <w:rFonts w:cs="Arial"/>
          <w:bCs/>
        </w:rPr>
        <w:t xml:space="preserve"> </w:t>
      </w:r>
      <w:r w:rsidR="00C00724">
        <w:rPr>
          <w:rFonts w:cs="Arial"/>
          <w:bCs/>
        </w:rPr>
        <w:lastRenderedPageBreak/>
        <w:t>by</w:t>
      </w:r>
      <w:r w:rsidR="00931802">
        <w:rPr>
          <w:rFonts w:cs="Arial"/>
          <w:bCs/>
        </w:rPr>
        <w:t xml:space="preserve"> </w:t>
      </w:r>
      <w:r w:rsidR="00C05E2D">
        <w:rPr>
          <w:rFonts w:cs="Arial"/>
          <w:bCs/>
        </w:rPr>
        <w:t>25.4</w:t>
      </w:r>
      <w:r w:rsidR="00931802">
        <w:rPr>
          <w:rFonts w:cs="Arial"/>
          <w:bCs/>
        </w:rPr>
        <w:t xml:space="preserve"> percent – </w:t>
      </w:r>
      <w:r w:rsidR="00C00724">
        <w:rPr>
          <w:rFonts w:cs="Arial"/>
          <w:bCs/>
        </w:rPr>
        <w:t xml:space="preserve">are </w:t>
      </w:r>
      <w:r w:rsidR="00F13922">
        <w:rPr>
          <w:rFonts w:cs="Arial"/>
          <w:bCs/>
        </w:rPr>
        <w:t>a</w:t>
      </w:r>
      <w:r w:rsidR="00260521">
        <w:rPr>
          <w:rFonts w:cs="Arial"/>
          <w:bCs/>
        </w:rPr>
        <w:t>n unqualified,</w:t>
      </w:r>
      <w:r w:rsidR="00C05E2D">
        <w:rPr>
          <w:rFonts w:cs="Arial"/>
          <w:bCs/>
        </w:rPr>
        <w:t xml:space="preserve"> definitive</w:t>
      </w:r>
      <w:r w:rsidR="00A32FA8">
        <w:rPr>
          <w:rFonts w:cs="Arial"/>
          <w:bCs/>
        </w:rPr>
        <w:t xml:space="preserve"> endorsement</w:t>
      </w:r>
      <w:r w:rsidR="00757E48">
        <w:rPr>
          <w:rFonts w:cs="Arial"/>
          <w:bCs/>
        </w:rPr>
        <w:t xml:space="preserve"> of CTE pathway completion and the CTEIG</w:t>
      </w:r>
      <w:r w:rsidR="00C05E2D">
        <w:rPr>
          <w:rFonts w:cs="Arial"/>
          <w:bCs/>
        </w:rPr>
        <w:t xml:space="preserve"> program</w:t>
      </w:r>
      <w:r w:rsidR="00757E48">
        <w:rPr>
          <w:rFonts w:cs="Arial"/>
          <w:bCs/>
        </w:rPr>
        <w:t>.</w:t>
      </w:r>
      <w:r w:rsidR="00F13922">
        <w:rPr>
          <w:rFonts w:cs="Arial"/>
          <w:bCs/>
        </w:rPr>
        <w:t xml:space="preserve"> </w:t>
      </w:r>
    </w:p>
    <w:p w14:paraId="14461E08" w14:textId="70660BA2" w:rsidR="000A653A" w:rsidRDefault="00A2772E" w:rsidP="005147E0">
      <w:pPr>
        <w:spacing w:after="240"/>
        <w:rPr>
          <w:rFonts w:cs="Arial"/>
        </w:rPr>
      </w:pPr>
      <w:r>
        <w:rPr>
          <w:rFonts w:cs="Arial"/>
          <w:bCs/>
          <w:color w:val="000000" w:themeColor="text1"/>
        </w:rPr>
        <w:t xml:space="preserve">This aligns with what </w:t>
      </w:r>
      <w:r w:rsidR="00D267C7">
        <w:rPr>
          <w:rFonts w:cs="Arial"/>
          <w:bCs/>
          <w:color w:val="000000" w:themeColor="text1"/>
        </w:rPr>
        <w:t>you will</w:t>
      </w:r>
      <w:r w:rsidR="005E7FE5">
        <w:rPr>
          <w:rFonts w:cs="Arial"/>
          <w:bCs/>
          <w:color w:val="000000" w:themeColor="text1"/>
        </w:rPr>
        <w:t xml:space="preserve"> </w:t>
      </w:r>
      <w:r>
        <w:rPr>
          <w:rFonts w:cs="Arial"/>
          <w:bCs/>
          <w:color w:val="000000" w:themeColor="text1"/>
        </w:rPr>
        <w:t xml:space="preserve">see in the </w:t>
      </w:r>
      <w:r w:rsidR="00F64D4D">
        <w:rPr>
          <w:rFonts w:cs="Arial"/>
          <w:bCs/>
          <w:color w:val="000000" w:themeColor="text1"/>
        </w:rPr>
        <w:t>attendance</w:t>
      </w:r>
      <w:r>
        <w:rPr>
          <w:rFonts w:cs="Arial"/>
          <w:bCs/>
          <w:color w:val="000000" w:themeColor="text1"/>
        </w:rPr>
        <w:t xml:space="preserve"> rates </w:t>
      </w:r>
      <w:r w:rsidR="00F13922">
        <w:rPr>
          <w:rFonts w:cs="Arial"/>
          <w:bCs/>
          <w:color w:val="000000" w:themeColor="text1"/>
        </w:rPr>
        <w:t>regarding</w:t>
      </w:r>
      <w:r w:rsidR="00D267C7">
        <w:rPr>
          <w:rFonts w:cs="Arial"/>
          <w:bCs/>
          <w:color w:val="000000" w:themeColor="text1"/>
        </w:rPr>
        <w:t xml:space="preserve"> </w:t>
      </w:r>
      <w:r w:rsidRPr="00D267C7">
        <w:rPr>
          <w:rFonts w:cs="Arial"/>
          <w:bCs/>
          <w:color w:val="000000" w:themeColor="text1"/>
        </w:rPr>
        <w:t>a clear distinction between CTE completers, and the more involved a student becomes in CTE, both the attendance and grad</w:t>
      </w:r>
      <w:r w:rsidR="00F64D4D" w:rsidRPr="00D267C7">
        <w:rPr>
          <w:rFonts w:cs="Arial"/>
          <w:bCs/>
          <w:color w:val="000000" w:themeColor="text1"/>
        </w:rPr>
        <w:t>uation</w:t>
      </w:r>
      <w:r w:rsidRPr="00D267C7">
        <w:rPr>
          <w:rFonts w:cs="Arial"/>
          <w:bCs/>
          <w:color w:val="000000" w:themeColor="text1"/>
        </w:rPr>
        <w:t xml:space="preserve"> rates are higher.</w:t>
      </w:r>
      <w:r>
        <w:rPr>
          <w:rFonts w:cs="Arial"/>
          <w:bCs/>
          <w:color w:val="000000" w:themeColor="text1"/>
        </w:rPr>
        <w:t xml:space="preserve"> These data points quantify student engagement and CTE as </w:t>
      </w:r>
      <w:r w:rsidR="00F13922">
        <w:rPr>
          <w:rFonts w:cs="Arial"/>
          <w:bCs/>
          <w:color w:val="000000" w:themeColor="text1"/>
        </w:rPr>
        <w:t>a</w:t>
      </w:r>
      <w:r w:rsidR="00E115AE">
        <w:rPr>
          <w:rFonts w:cs="Arial"/>
          <w:bCs/>
          <w:color w:val="000000" w:themeColor="text1"/>
        </w:rPr>
        <w:t xml:space="preserve"> </w:t>
      </w:r>
      <w:r>
        <w:rPr>
          <w:rFonts w:cs="Arial"/>
          <w:bCs/>
          <w:color w:val="000000" w:themeColor="text1"/>
        </w:rPr>
        <w:t xml:space="preserve">predecessor to </w:t>
      </w:r>
      <w:r w:rsidR="00E115AE">
        <w:rPr>
          <w:rFonts w:cs="Arial"/>
          <w:bCs/>
          <w:color w:val="000000" w:themeColor="text1"/>
        </w:rPr>
        <w:t xml:space="preserve">economic stability and long-term upward mobility for students </w:t>
      </w:r>
      <w:r w:rsidR="00F13922">
        <w:rPr>
          <w:rFonts w:cs="Arial"/>
          <w:bCs/>
          <w:color w:val="000000" w:themeColor="text1"/>
        </w:rPr>
        <w:t>from</w:t>
      </w:r>
      <w:r w:rsidR="00E115AE">
        <w:rPr>
          <w:rFonts w:cs="Arial"/>
          <w:bCs/>
          <w:color w:val="000000" w:themeColor="text1"/>
        </w:rPr>
        <w:t xml:space="preserve"> </w:t>
      </w:r>
      <w:r w:rsidR="00F13922">
        <w:rPr>
          <w:rFonts w:cs="Arial"/>
          <w:bCs/>
          <w:color w:val="000000" w:themeColor="text1"/>
        </w:rPr>
        <w:t xml:space="preserve">socio-economically challenged </w:t>
      </w:r>
      <w:r w:rsidR="00E115AE" w:rsidRPr="00E115AE">
        <w:rPr>
          <w:rFonts w:cs="Arial"/>
          <w:bCs/>
          <w:color w:val="000000" w:themeColor="text1"/>
        </w:rPr>
        <w:t>backgrounds</w:t>
      </w:r>
      <w:r w:rsidR="00E115AE">
        <w:rPr>
          <w:rFonts w:cs="Arial"/>
          <w:bCs/>
          <w:color w:val="000000" w:themeColor="text1"/>
        </w:rPr>
        <w:t xml:space="preserve"> and </w:t>
      </w:r>
      <w:r w:rsidR="00E115AE" w:rsidRPr="00E115AE">
        <w:rPr>
          <w:rFonts w:cs="Arial"/>
          <w:bCs/>
          <w:color w:val="000000" w:themeColor="text1"/>
        </w:rPr>
        <w:t>underrepresented communities</w:t>
      </w:r>
      <w:r w:rsidR="00E115AE">
        <w:rPr>
          <w:rFonts w:cs="Arial"/>
          <w:bCs/>
          <w:color w:val="000000" w:themeColor="text1"/>
        </w:rPr>
        <w:t>.</w:t>
      </w:r>
    </w:p>
    <w:p w14:paraId="3843034D" w14:textId="3C5B6B7E" w:rsidR="000A653A" w:rsidRPr="00A82C7B" w:rsidRDefault="000A653A" w:rsidP="000A653A">
      <w:pPr>
        <w:pStyle w:val="Heading3"/>
        <w:jc w:val="left"/>
      </w:pPr>
      <w:r w:rsidRPr="00A82C7B">
        <w:t>Coachella Valley Unified School District</w:t>
      </w:r>
    </w:p>
    <w:p w14:paraId="6353A803" w14:textId="1D949DC2" w:rsidR="004E30D8" w:rsidRPr="004E30D8" w:rsidRDefault="00F8469A" w:rsidP="00AA03D7">
      <w:pPr>
        <w:spacing w:after="240"/>
        <w:rPr>
          <w:rFonts w:cs="Arial"/>
        </w:rPr>
      </w:pPr>
      <w:r w:rsidRPr="001A4FC8">
        <w:rPr>
          <w:rFonts w:cs="Arial"/>
        </w:rPr>
        <w:t>All Coachella Valley Unified School District (CVUSD) students</w:t>
      </w:r>
      <w:r>
        <w:rPr>
          <w:rFonts w:cs="Arial"/>
        </w:rPr>
        <w:t>,</w:t>
      </w:r>
      <w:r w:rsidRPr="001A4FC8">
        <w:rPr>
          <w:rFonts w:cs="Arial"/>
        </w:rPr>
        <w:t xml:space="preserve"> beginning in grade</w:t>
      </w:r>
      <w:r w:rsidR="00FB5310">
        <w:rPr>
          <w:rFonts w:cs="Arial"/>
        </w:rPr>
        <w:t xml:space="preserve"> seven</w:t>
      </w:r>
      <w:r w:rsidRPr="001A4FC8">
        <w:rPr>
          <w:rFonts w:cs="Arial"/>
        </w:rPr>
        <w:t xml:space="preserve">, register for a </w:t>
      </w:r>
      <w:r w:rsidR="00F92A86" w:rsidRPr="001A4FC8">
        <w:rPr>
          <w:rFonts w:cs="Arial"/>
        </w:rPr>
        <w:t>C</w:t>
      </w:r>
      <w:r w:rsidR="00F92A86">
        <w:rPr>
          <w:rFonts w:cs="Arial"/>
        </w:rPr>
        <w:t xml:space="preserve">alifornia College Guidance Initiative </w:t>
      </w:r>
      <w:r w:rsidR="00DD19F8">
        <w:rPr>
          <w:rStyle w:val="FootnoteReference"/>
          <w:rFonts w:cs="Arial"/>
        </w:rPr>
        <w:footnoteReference w:id="21"/>
      </w:r>
      <w:r w:rsidRPr="001A4FC8">
        <w:rPr>
          <w:rFonts w:cs="Arial"/>
        </w:rPr>
        <w:t xml:space="preserve"> account and are guided through lessons on how to use the self</w:t>
      </w:r>
      <w:r>
        <w:rPr>
          <w:rFonts w:cs="Arial"/>
        </w:rPr>
        <w:t>-</w:t>
      </w:r>
      <w:r w:rsidRPr="001A4FC8">
        <w:rPr>
          <w:rFonts w:cs="Arial"/>
        </w:rPr>
        <w:t xml:space="preserve">assessments </w:t>
      </w:r>
      <w:r w:rsidR="00F92A86">
        <w:rPr>
          <w:rFonts w:cs="Arial"/>
        </w:rPr>
        <w:t>and</w:t>
      </w:r>
      <w:r w:rsidRPr="001A4FC8">
        <w:rPr>
          <w:rFonts w:cs="Arial"/>
        </w:rPr>
        <w:t xml:space="preserve"> explore links to learn about </w:t>
      </w:r>
      <w:r w:rsidR="00DD19F8">
        <w:rPr>
          <w:rFonts w:cs="Arial"/>
        </w:rPr>
        <w:t xml:space="preserve">industry sectors, </w:t>
      </w:r>
      <w:r w:rsidRPr="001A4FC8">
        <w:rPr>
          <w:rFonts w:cs="Arial"/>
        </w:rPr>
        <w:t>careers</w:t>
      </w:r>
      <w:r w:rsidR="00DD19F8">
        <w:rPr>
          <w:rFonts w:cs="Arial"/>
        </w:rPr>
        <w:t xml:space="preserve">, and </w:t>
      </w:r>
      <w:r w:rsidRPr="001A4FC8">
        <w:rPr>
          <w:rFonts w:cs="Arial"/>
        </w:rPr>
        <w:t xml:space="preserve">colleges </w:t>
      </w:r>
      <w:r w:rsidR="00DD19F8">
        <w:rPr>
          <w:rFonts w:cs="Arial"/>
        </w:rPr>
        <w:t xml:space="preserve">offering </w:t>
      </w:r>
      <w:r w:rsidRPr="001A4FC8">
        <w:rPr>
          <w:rFonts w:cs="Arial"/>
        </w:rPr>
        <w:t>majors related to the career. By the end of grade</w:t>
      </w:r>
      <w:r w:rsidR="00DD19F8">
        <w:rPr>
          <w:rFonts w:cs="Arial"/>
        </w:rPr>
        <w:t xml:space="preserve"> </w:t>
      </w:r>
      <w:r w:rsidR="00FB5310">
        <w:rPr>
          <w:rFonts w:cs="Arial"/>
        </w:rPr>
        <w:t xml:space="preserve">eight </w:t>
      </w:r>
      <w:r w:rsidRPr="001A4FC8">
        <w:rPr>
          <w:rFonts w:cs="Arial"/>
        </w:rPr>
        <w:t xml:space="preserve">students work with counselors to create their </w:t>
      </w:r>
      <w:r w:rsidR="00DD19F8">
        <w:rPr>
          <w:rFonts w:cs="Arial"/>
        </w:rPr>
        <w:t>four-</w:t>
      </w:r>
      <w:r w:rsidRPr="001A4FC8">
        <w:rPr>
          <w:rFonts w:cs="Arial"/>
        </w:rPr>
        <w:t>year high school</w:t>
      </w:r>
      <w:r w:rsidR="00DD19F8">
        <w:rPr>
          <w:rFonts w:cs="Arial"/>
        </w:rPr>
        <w:t xml:space="preserve"> to be updated annually, and eventually </w:t>
      </w:r>
      <w:r w:rsidRPr="001A4FC8">
        <w:rPr>
          <w:rFonts w:cs="Arial"/>
        </w:rPr>
        <w:t>include postsecondary plans.</w:t>
      </w:r>
      <w:r w:rsidR="00DD19F8">
        <w:rPr>
          <w:rFonts w:cs="Arial"/>
        </w:rPr>
        <w:t xml:space="preserve"> </w:t>
      </w:r>
      <w:r w:rsidR="00851BE8">
        <w:rPr>
          <w:rFonts w:cs="Arial"/>
        </w:rPr>
        <w:t xml:space="preserve">The CVUSD has done an excellent job combining this comprehensive strategy to career-focused academic planning with </w:t>
      </w:r>
      <w:r w:rsidR="008205C4">
        <w:rPr>
          <w:rFonts w:cs="Arial"/>
        </w:rPr>
        <w:t>unique WBL opportunities with regional employers committed to training and retraining the regional workforce. By way of example, CVUSD has been partnering with five resorts in the Coachella Valley to provide paid internships, job shadowing and training, college tuition assistance, and full-time employment after they graduate at a property in the Coachella Valley, or sister property owned by one of the five resorts.</w:t>
      </w:r>
    </w:p>
    <w:p w14:paraId="1407B89C" w14:textId="77777777" w:rsidR="00041A6B" w:rsidRPr="00A82C7B" w:rsidRDefault="00041A6B" w:rsidP="00041A6B">
      <w:pPr>
        <w:pStyle w:val="Heading3"/>
        <w:jc w:val="left"/>
      </w:pPr>
      <w:r w:rsidRPr="00A82C7B">
        <w:t>Tehachapi Unified School District</w:t>
      </w:r>
    </w:p>
    <w:p w14:paraId="2EE289D0" w14:textId="6974E67A" w:rsidR="0078491B" w:rsidRDefault="00DD19F8" w:rsidP="0078491B">
      <w:pPr>
        <w:spacing w:after="240"/>
      </w:pPr>
      <w:r>
        <w:rPr>
          <w:rFonts w:cs="Arial"/>
        </w:rPr>
        <w:t xml:space="preserve">The Tehachapi Unified School </w:t>
      </w:r>
      <w:r w:rsidR="000628AD">
        <w:rPr>
          <w:rFonts w:cs="Arial"/>
        </w:rPr>
        <w:t>D</w:t>
      </w:r>
      <w:r>
        <w:rPr>
          <w:rFonts w:cs="Arial"/>
        </w:rPr>
        <w:t>istrict</w:t>
      </w:r>
      <w:r w:rsidR="000628AD">
        <w:rPr>
          <w:rFonts w:cs="Arial"/>
        </w:rPr>
        <w:t xml:space="preserve"> (TUSD)</w:t>
      </w:r>
      <w:r>
        <w:rPr>
          <w:rFonts w:cs="Arial"/>
        </w:rPr>
        <w:t xml:space="preserve"> has develop</w:t>
      </w:r>
      <w:r w:rsidR="000628AD">
        <w:rPr>
          <w:rFonts w:cs="Arial"/>
        </w:rPr>
        <w:t>ed</w:t>
      </w:r>
      <w:r>
        <w:rPr>
          <w:rFonts w:cs="Arial"/>
        </w:rPr>
        <w:t xml:space="preserve"> </w:t>
      </w:r>
      <w:r w:rsidR="000628AD">
        <w:rPr>
          <w:rFonts w:cs="Arial"/>
        </w:rPr>
        <w:t xml:space="preserve">WBL, </w:t>
      </w:r>
      <w:r w:rsidR="00790249" w:rsidRPr="00790249">
        <w:rPr>
          <w:rFonts w:cs="Arial"/>
        </w:rPr>
        <w:t>pre-apprenticeship</w:t>
      </w:r>
      <w:r w:rsidR="000628AD">
        <w:rPr>
          <w:rFonts w:cs="Arial"/>
        </w:rPr>
        <w:t>,</w:t>
      </w:r>
      <w:r w:rsidR="00790249" w:rsidRPr="00790249">
        <w:rPr>
          <w:rFonts w:cs="Arial"/>
        </w:rPr>
        <w:t xml:space="preserve"> and intern opportunities</w:t>
      </w:r>
      <w:r w:rsidR="000628AD">
        <w:rPr>
          <w:rFonts w:cs="Arial"/>
        </w:rPr>
        <w:t xml:space="preserve">; </w:t>
      </w:r>
      <w:r>
        <w:rPr>
          <w:rFonts w:cs="Arial"/>
        </w:rPr>
        <w:t xml:space="preserve">and </w:t>
      </w:r>
      <w:r w:rsidR="000628AD">
        <w:rPr>
          <w:rFonts w:cs="Arial"/>
        </w:rPr>
        <w:t>conducts</w:t>
      </w:r>
      <w:r w:rsidR="00790249" w:rsidRPr="00790249">
        <w:rPr>
          <w:rFonts w:cs="Arial"/>
        </w:rPr>
        <w:t xml:space="preserve"> monthly </w:t>
      </w:r>
      <w:r>
        <w:rPr>
          <w:rFonts w:cs="Arial"/>
        </w:rPr>
        <w:t>industry</w:t>
      </w:r>
      <w:r w:rsidR="00790249" w:rsidRPr="00790249">
        <w:rPr>
          <w:rFonts w:cs="Arial"/>
        </w:rPr>
        <w:t xml:space="preserve"> panels</w:t>
      </w:r>
      <w:r>
        <w:rPr>
          <w:rFonts w:cs="Arial"/>
        </w:rPr>
        <w:t xml:space="preserve"> for</w:t>
      </w:r>
      <w:r w:rsidR="00790249" w:rsidRPr="00790249">
        <w:rPr>
          <w:rFonts w:cs="Arial"/>
        </w:rPr>
        <w:t xml:space="preserve"> students to learn about </w:t>
      </w:r>
      <w:r w:rsidR="000628AD">
        <w:rPr>
          <w:rFonts w:cs="Arial"/>
        </w:rPr>
        <w:t xml:space="preserve">local </w:t>
      </w:r>
      <w:r w:rsidR="00790249" w:rsidRPr="00790249">
        <w:rPr>
          <w:rFonts w:cs="Arial"/>
        </w:rPr>
        <w:t>industries and network with professionals</w:t>
      </w:r>
      <w:r w:rsidR="000628AD">
        <w:rPr>
          <w:rFonts w:cs="Arial"/>
        </w:rPr>
        <w:t xml:space="preserve"> throughout the region</w:t>
      </w:r>
      <w:r w:rsidR="00790249" w:rsidRPr="00790249">
        <w:rPr>
          <w:rFonts w:cs="Arial"/>
        </w:rPr>
        <w:t>.</w:t>
      </w:r>
      <w:r w:rsidR="000628AD">
        <w:rPr>
          <w:rFonts w:cs="Arial"/>
        </w:rPr>
        <w:t xml:space="preserve"> During the 2023–24</w:t>
      </w:r>
      <w:r w:rsidR="003C4D56">
        <w:rPr>
          <w:rFonts w:cs="Arial"/>
        </w:rPr>
        <w:t xml:space="preserve"> AY</w:t>
      </w:r>
      <w:r w:rsidR="00790249" w:rsidRPr="00790249">
        <w:rPr>
          <w:rFonts w:cs="Arial"/>
        </w:rPr>
        <w:t xml:space="preserve">, </w:t>
      </w:r>
      <w:r w:rsidR="000628AD">
        <w:rPr>
          <w:rFonts w:cs="Arial"/>
        </w:rPr>
        <w:t xml:space="preserve">TUSD </w:t>
      </w:r>
      <w:r w:rsidR="00790249" w:rsidRPr="00790249">
        <w:rPr>
          <w:rFonts w:cs="Arial"/>
        </w:rPr>
        <w:t xml:space="preserve">students will have access to a variety of industry-specific and large-scale events where </w:t>
      </w:r>
      <w:r w:rsidR="000628AD">
        <w:rPr>
          <w:rFonts w:cs="Arial"/>
        </w:rPr>
        <w:t xml:space="preserve">they will </w:t>
      </w:r>
      <w:r w:rsidR="00790249" w:rsidRPr="00790249">
        <w:rPr>
          <w:rFonts w:cs="Arial"/>
        </w:rPr>
        <w:t>have the opportunity to explore their interests, learn about different careers, and network with professionals</w:t>
      </w:r>
      <w:r w:rsidR="000628AD">
        <w:rPr>
          <w:rFonts w:cs="Arial"/>
        </w:rPr>
        <w:t xml:space="preserve"> located in their region, in industries </w:t>
      </w:r>
      <w:r w:rsidR="007B45A2">
        <w:rPr>
          <w:rFonts w:cs="Arial"/>
        </w:rPr>
        <w:t>related</w:t>
      </w:r>
      <w:r w:rsidR="000628AD">
        <w:rPr>
          <w:rFonts w:cs="Arial"/>
        </w:rPr>
        <w:t xml:space="preserve"> </w:t>
      </w:r>
      <w:r w:rsidR="007B45A2">
        <w:rPr>
          <w:rFonts w:cs="Arial"/>
        </w:rPr>
        <w:t xml:space="preserve">directly </w:t>
      </w:r>
      <w:r w:rsidR="000628AD">
        <w:rPr>
          <w:rFonts w:cs="Arial"/>
        </w:rPr>
        <w:t>to their career interests</w:t>
      </w:r>
      <w:r w:rsidR="00613F34">
        <w:rPr>
          <w:rFonts w:cs="Arial"/>
        </w:rPr>
        <w:t xml:space="preserve">. TUSD has launched new </w:t>
      </w:r>
      <w:r w:rsidR="00613F34" w:rsidRPr="00790249">
        <w:rPr>
          <w:rFonts w:cs="Arial"/>
        </w:rPr>
        <w:t xml:space="preserve">on-campus WBL </w:t>
      </w:r>
      <w:r w:rsidR="003C4D56">
        <w:rPr>
          <w:rFonts w:cs="Arial"/>
        </w:rPr>
        <w:t xml:space="preserve">themed events this year; such job </w:t>
      </w:r>
      <w:r w:rsidR="00613F34" w:rsidRPr="00790249">
        <w:rPr>
          <w:rFonts w:cs="Arial"/>
        </w:rPr>
        <w:t xml:space="preserve">shadowing, </w:t>
      </w:r>
      <w:r w:rsidR="003C4D56">
        <w:rPr>
          <w:rFonts w:cs="Arial"/>
        </w:rPr>
        <w:t xml:space="preserve">resume building, </w:t>
      </w:r>
      <w:r w:rsidR="00613F34" w:rsidRPr="00790249">
        <w:rPr>
          <w:rFonts w:cs="Arial"/>
        </w:rPr>
        <w:t>internships</w:t>
      </w:r>
      <w:r w:rsidR="003C4D56">
        <w:rPr>
          <w:rFonts w:cs="Arial"/>
        </w:rPr>
        <w:t xml:space="preserve">, and </w:t>
      </w:r>
      <w:r w:rsidR="00613F34" w:rsidRPr="00790249">
        <w:rPr>
          <w:rFonts w:cs="Arial"/>
        </w:rPr>
        <w:t>career</w:t>
      </w:r>
      <w:r w:rsidR="003C4D56">
        <w:rPr>
          <w:rFonts w:cs="Arial"/>
        </w:rPr>
        <w:t xml:space="preserve"> fair</w:t>
      </w:r>
      <w:r w:rsidR="00613F34" w:rsidRPr="00790249">
        <w:rPr>
          <w:rFonts w:cs="Arial"/>
        </w:rPr>
        <w:t xml:space="preserve"> for </w:t>
      </w:r>
      <w:r w:rsidR="003C4D56">
        <w:rPr>
          <w:rFonts w:cs="Arial"/>
        </w:rPr>
        <w:t>graduating students.</w:t>
      </w:r>
      <w:r w:rsidR="00E041D2">
        <w:rPr>
          <w:rFonts w:cs="Arial"/>
        </w:rPr>
        <w:t xml:space="preserve"> </w:t>
      </w:r>
      <w:r w:rsidR="00FD78D6">
        <w:rPr>
          <w:rFonts w:cs="Arial"/>
        </w:rPr>
        <w:t xml:space="preserve">TUSD’s commitment to High-Quality CTE programs and </w:t>
      </w:r>
      <w:r w:rsidR="00706C7C">
        <w:rPr>
          <w:rFonts w:cs="Arial"/>
        </w:rPr>
        <w:t xml:space="preserve">regional </w:t>
      </w:r>
      <w:r w:rsidR="00FD78D6">
        <w:rPr>
          <w:rFonts w:cs="Arial"/>
        </w:rPr>
        <w:t xml:space="preserve">workforce development </w:t>
      </w:r>
      <w:r w:rsidR="00706C7C">
        <w:rPr>
          <w:rFonts w:cs="Arial"/>
        </w:rPr>
        <w:t xml:space="preserve">continues to produce tangible, </w:t>
      </w:r>
      <w:r w:rsidR="007D78EA">
        <w:rPr>
          <w:rFonts w:cs="Arial"/>
        </w:rPr>
        <w:t>WBL</w:t>
      </w:r>
      <w:r w:rsidR="00706C7C">
        <w:rPr>
          <w:rFonts w:cs="Arial"/>
        </w:rPr>
        <w:t xml:space="preserve"> opportunities and expose students to expert practitioners in their respective industries. This past summer, t</w:t>
      </w:r>
      <w:r w:rsidR="003C4D56">
        <w:rPr>
          <w:rFonts w:cs="Arial"/>
        </w:rPr>
        <w:t>h</w:t>
      </w:r>
      <w:r w:rsidR="00613F34">
        <w:rPr>
          <w:rFonts w:cs="Arial"/>
        </w:rPr>
        <w:t>ree TUSD</w:t>
      </w:r>
      <w:r w:rsidR="00613F34" w:rsidRPr="00790249">
        <w:rPr>
          <w:rFonts w:cs="Arial"/>
        </w:rPr>
        <w:t xml:space="preserve"> engineering students were accepted to</w:t>
      </w:r>
      <w:r w:rsidR="00613F34">
        <w:rPr>
          <w:rFonts w:cs="Arial"/>
        </w:rPr>
        <w:t xml:space="preserve"> a</w:t>
      </w:r>
      <w:r w:rsidR="00613F34" w:rsidRPr="00790249">
        <w:rPr>
          <w:rFonts w:cs="Arial"/>
        </w:rPr>
        <w:t xml:space="preserve"> </w:t>
      </w:r>
      <w:r w:rsidR="00613F34">
        <w:rPr>
          <w:rFonts w:cs="Arial"/>
        </w:rPr>
        <w:t>week-long summer</w:t>
      </w:r>
      <w:r w:rsidR="00613F34" w:rsidRPr="00790249">
        <w:rPr>
          <w:rFonts w:cs="Arial"/>
        </w:rPr>
        <w:t xml:space="preserve"> program offered by the National Test Pilot </w:t>
      </w:r>
      <w:r w:rsidR="00613F34">
        <w:rPr>
          <w:rFonts w:cs="Arial"/>
        </w:rPr>
        <w:t>S</w:t>
      </w:r>
      <w:r w:rsidR="00613F34" w:rsidRPr="00790249">
        <w:rPr>
          <w:rFonts w:cs="Arial"/>
        </w:rPr>
        <w:t>chool</w:t>
      </w:r>
      <w:r w:rsidR="00613F34">
        <w:rPr>
          <w:rFonts w:cs="Arial"/>
        </w:rPr>
        <w:t xml:space="preserve"> (NTPS)</w:t>
      </w:r>
      <w:r w:rsidR="00613F34" w:rsidRPr="00790249">
        <w:rPr>
          <w:rFonts w:cs="Arial"/>
        </w:rPr>
        <w:t xml:space="preserve"> in Mojave</w:t>
      </w:r>
      <w:r w:rsidR="00613F34">
        <w:rPr>
          <w:rFonts w:cs="Arial"/>
        </w:rPr>
        <w:t>, CA. The NTPS is an i</w:t>
      </w:r>
      <w:r w:rsidR="00790249" w:rsidRPr="00790249">
        <w:rPr>
          <w:rFonts w:cs="Arial"/>
        </w:rPr>
        <w:t xml:space="preserve">nternationally recognized </w:t>
      </w:r>
      <w:r w:rsidR="00FD78D6">
        <w:rPr>
          <w:rFonts w:cs="Arial"/>
        </w:rPr>
        <w:t xml:space="preserve">test pilot </w:t>
      </w:r>
      <w:r w:rsidR="00790249" w:rsidRPr="00790249">
        <w:rPr>
          <w:rFonts w:cs="Arial"/>
        </w:rPr>
        <w:t xml:space="preserve">school for training </w:t>
      </w:r>
      <w:r w:rsidR="00613F34">
        <w:rPr>
          <w:rFonts w:cs="Arial"/>
        </w:rPr>
        <w:t xml:space="preserve">military and civilian </w:t>
      </w:r>
      <w:r w:rsidR="00385C40">
        <w:rPr>
          <w:rFonts w:cs="Arial"/>
        </w:rPr>
        <w:t>aviation personnel – F</w:t>
      </w:r>
      <w:r w:rsidR="00790249" w:rsidRPr="00790249">
        <w:rPr>
          <w:rFonts w:cs="Arial"/>
        </w:rPr>
        <w:t xml:space="preserve">light </w:t>
      </w:r>
      <w:r w:rsidR="00385C40">
        <w:rPr>
          <w:rFonts w:cs="Arial"/>
        </w:rPr>
        <w:t>T</w:t>
      </w:r>
      <w:r w:rsidR="00790249" w:rsidRPr="00790249">
        <w:rPr>
          <w:rFonts w:cs="Arial"/>
        </w:rPr>
        <w:t xml:space="preserve">est </w:t>
      </w:r>
      <w:r w:rsidR="00385C40">
        <w:rPr>
          <w:rFonts w:cs="Arial"/>
        </w:rPr>
        <w:t>E</w:t>
      </w:r>
      <w:r w:rsidR="00790249" w:rsidRPr="00790249">
        <w:rPr>
          <w:rFonts w:cs="Arial"/>
        </w:rPr>
        <w:t>ngineers</w:t>
      </w:r>
      <w:r w:rsidR="00FD78D6">
        <w:rPr>
          <w:rFonts w:cs="Arial"/>
        </w:rPr>
        <w:t xml:space="preserve"> (pilots)</w:t>
      </w:r>
      <w:r w:rsidR="00613F34">
        <w:rPr>
          <w:rFonts w:cs="Arial"/>
        </w:rPr>
        <w:t>.</w:t>
      </w:r>
      <w:r w:rsidR="00385C40">
        <w:rPr>
          <w:rStyle w:val="FootnoteReference"/>
          <w:rFonts w:cs="Arial"/>
        </w:rPr>
        <w:footnoteReference w:id="22"/>
      </w:r>
    </w:p>
    <w:p w14:paraId="774340A5" w14:textId="45A6E66C" w:rsidR="00234443" w:rsidRPr="004D4C65" w:rsidRDefault="000A653A" w:rsidP="00DB0BD4">
      <w:pPr>
        <w:pStyle w:val="Heading2"/>
      </w:pPr>
      <w:bookmarkStart w:id="36" w:name="_Toc158883511"/>
      <w:r>
        <w:lastRenderedPageBreak/>
        <w:t>Alignment with Postsecondary Institutions and Workforce Agencies</w:t>
      </w:r>
      <w:bookmarkEnd w:id="36"/>
    </w:p>
    <w:p w14:paraId="13851E15" w14:textId="44BACFB4" w:rsidR="00133931" w:rsidRDefault="004A521C" w:rsidP="00723488">
      <w:pPr>
        <w:spacing w:after="240"/>
        <w:rPr>
          <w:rFonts w:cs="Arial"/>
          <w:color w:val="000000"/>
          <w:shd w:val="clear" w:color="auto" w:fill="FFFFFF"/>
        </w:rPr>
      </w:pPr>
      <w:r w:rsidRPr="00E762AF">
        <w:rPr>
          <w:rFonts w:cs="Arial"/>
          <w:bCs/>
          <w:color w:val="333333"/>
        </w:rPr>
        <w:t>Improving coordination and alignment with postsecondary educational institutions and workforce agencies and programs</w:t>
      </w:r>
      <w:r w:rsidR="004C08EE">
        <w:rPr>
          <w:rFonts w:cs="Arial"/>
          <w:bCs/>
          <w:color w:val="333333"/>
        </w:rPr>
        <w:t xml:space="preserve"> expos</w:t>
      </w:r>
      <w:r w:rsidR="003D5BD2">
        <w:rPr>
          <w:rFonts w:cs="Arial"/>
          <w:bCs/>
          <w:color w:val="333333"/>
        </w:rPr>
        <w:t>es</w:t>
      </w:r>
      <w:r w:rsidR="004C08EE">
        <w:rPr>
          <w:rFonts w:cs="Arial"/>
          <w:bCs/>
          <w:color w:val="333333"/>
        </w:rPr>
        <w:t xml:space="preserve"> a greater number of high school students to rigorous core curriculum, instilling in them the essential knowledge and skill required </w:t>
      </w:r>
      <w:r w:rsidR="0055723E">
        <w:rPr>
          <w:rFonts w:cs="Arial"/>
          <w:bCs/>
          <w:color w:val="333333"/>
        </w:rPr>
        <w:t>for</w:t>
      </w:r>
      <w:r w:rsidR="004C08EE">
        <w:rPr>
          <w:rFonts w:cs="Arial"/>
          <w:bCs/>
          <w:color w:val="333333"/>
        </w:rPr>
        <w:t xml:space="preserve"> success</w:t>
      </w:r>
      <w:r w:rsidR="0055723E">
        <w:rPr>
          <w:rFonts w:cs="Arial"/>
          <w:bCs/>
          <w:color w:val="333333"/>
        </w:rPr>
        <w:t xml:space="preserve"> </w:t>
      </w:r>
      <w:r w:rsidR="004C08EE">
        <w:rPr>
          <w:rFonts w:cs="Arial"/>
          <w:bCs/>
          <w:color w:val="333333"/>
        </w:rPr>
        <w:t xml:space="preserve">in their careers and post-secondary pursuits. </w:t>
      </w:r>
      <w:r w:rsidR="00643A72" w:rsidRPr="0055723E">
        <w:rPr>
          <w:rFonts w:cs="Arial"/>
          <w:color w:val="000000"/>
          <w:shd w:val="clear" w:color="auto" w:fill="FFFFFF"/>
        </w:rPr>
        <w:t xml:space="preserve">Despite administrative and legal constraints, </w:t>
      </w:r>
      <w:r w:rsidR="0055723E">
        <w:rPr>
          <w:rFonts w:cs="Arial"/>
          <w:color w:val="000000"/>
          <w:shd w:val="clear" w:color="auto" w:fill="FFFFFF"/>
        </w:rPr>
        <w:t>c</w:t>
      </w:r>
      <w:r w:rsidR="007B08DB" w:rsidRPr="0055723E">
        <w:rPr>
          <w:rFonts w:cs="Arial"/>
          <w:color w:val="000000"/>
          <w:shd w:val="clear" w:color="auto" w:fill="FFFFFF"/>
        </w:rPr>
        <w:t xml:space="preserve">ommunity </w:t>
      </w:r>
      <w:r w:rsidR="0055723E">
        <w:rPr>
          <w:rFonts w:cs="Arial"/>
          <w:color w:val="000000"/>
          <w:shd w:val="clear" w:color="auto" w:fill="FFFFFF"/>
        </w:rPr>
        <w:t>c</w:t>
      </w:r>
      <w:r w:rsidR="007B08DB" w:rsidRPr="0055723E">
        <w:rPr>
          <w:rFonts w:cs="Arial"/>
          <w:color w:val="000000"/>
          <w:shd w:val="clear" w:color="auto" w:fill="FFFFFF"/>
        </w:rPr>
        <w:t>ollege</w:t>
      </w:r>
      <w:r w:rsidR="0055723E">
        <w:rPr>
          <w:rFonts w:cs="Arial"/>
          <w:color w:val="000000"/>
          <w:shd w:val="clear" w:color="auto" w:fill="FFFFFF"/>
        </w:rPr>
        <w:t xml:space="preserve"> districts</w:t>
      </w:r>
      <w:r w:rsidR="00643A72" w:rsidRPr="0055723E">
        <w:rPr>
          <w:rFonts w:cs="Arial"/>
          <w:color w:val="000000"/>
          <w:shd w:val="clear" w:color="auto" w:fill="FFFFFF"/>
        </w:rPr>
        <w:t xml:space="preserve"> </w:t>
      </w:r>
      <w:r w:rsidR="0055723E">
        <w:rPr>
          <w:rFonts w:cs="Arial"/>
          <w:color w:val="000000"/>
          <w:shd w:val="clear" w:color="auto" w:fill="FFFFFF"/>
        </w:rPr>
        <w:t xml:space="preserve">throughout California have become increasingly </w:t>
      </w:r>
      <w:r w:rsidR="007B08DB" w:rsidRPr="0055723E">
        <w:rPr>
          <w:rFonts w:cs="Arial"/>
          <w:color w:val="000000"/>
          <w:shd w:val="clear" w:color="auto" w:fill="FFFFFF"/>
        </w:rPr>
        <w:t>respon</w:t>
      </w:r>
      <w:r w:rsidR="00643A72" w:rsidRPr="0055723E">
        <w:rPr>
          <w:rFonts w:cs="Arial"/>
          <w:color w:val="000000"/>
          <w:shd w:val="clear" w:color="auto" w:fill="FFFFFF"/>
        </w:rPr>
        <w:t>sive</w:t>
      </w:r>
      <w:r w:rsidR="007B08DB" w:rsidRPr="0055723E">
        <w:rPr>
          <w:rFonts w:cs="Arial"/>
          <w:color w:val="000000"/>
          <w:shd w:val="clear" w:color="auto" w:fill="FFFFFF"/>
        </w:rPr>
        <w:t xml:space="preserve"> </w:t>
      </w:r>
      <w:r w:rsidR="00643A72" w:rsidRPr="0055723E">
        <w:rPr>
          <w:rFonts w:cs="Arial"/>
          <w:color w:val="000000"/>
          <w:shd w:val="clear" w:color="auto" w:fill="FFFFFF"/>
        </w:rPr>
        <w:t>to</w:t>
      </w:r>
      <w:r w:rsidR="001A597E" w:rsidRPr="0055723E">
        <w:rPr>
          <w:rFonts w:cs="Arial"/>
          <w:color w:val="000000"/>
          <w:shd w:val="clear" w:color="auto" w:fill="FFFFFF"/>
        </w:rPr>
        <w:t xml:space="preserve"> </w:t>
      </w:r>
      <w:r w:rsidR="00643A72" w:rsidRPr="0055723E">
        <w:rPr>
          <w:rFonts w:cs="Arial"/>
          <w:color w:val="000000"/>
          <w:shd w:val="clear" w:color="auto" w:fill="FFFFFF"/>
        </w:rPr>
        <w:t xml:space="preserve">regional </w:t>
      </w:r>
      <w:r w:rsidR="001A597E" w:rsidRPr="0055723E">
        <w:rPr>
          <w:rFonts w:cs="Arial"/>
          <w:color w:val="000000"/>
          <w:shd w:val="clear" w:color="auto" w:fill="FFFFFF"/>
        </w:rPr>
        <w:t>industry sector labor</w:t>
      </w:r>
      <w:r w:rsidR="00643A72" w:rsidRPr="0055723E">
        <w:rPr>
          <w:rFonts w:cs="Arial"/>
          <w:color w:val="000000"/>
          <w:shd w:val="clear" w:color="auto" w:fill="FFFFFF"/>
        </w:rPr>
        <w:t xml:space="preserve"> </w:t>
      </w:r>
      <w:r w:rsidR="001A597E" w:rsidRPr="0055723E">
        <w:rPr>
          <w:rFonts w:cs="Arial"/>
          <w:color w:val="000000"/>
          <w:shd w:val="clear" w:color="auto" w:fill="FFFFFF"/>
        </w:rPr>
        <w:t xml:space="preserve">markets </w:t>
      </w:r>
      <w:r w:rsidR="007B08DB" w:rsidRPr="0055723E">
        <w:rPr>
          <w:rFonts w:cs="Arial"/>
          <w:color w:val="000000"/>
          <w:shd w:val="clear" w:color="auto" w:fill="FFFFFF"/>
        </w:rPr>
        <w:t>demand</w:t>
      </w:r>
      <w:r w:rsidR="001A597E" w:rsidRPr="0055723E">
        <w:rPr>
          <w:rFonts w:cs="Arial"/>
          <w:color w:val="000000"/>
          <w:shd w:val="clear" w:color="auto" w:fill="FFFFFF"/>
        </w:rPr>
        <w:t xml:space="preserve">s for skill-specific training </w:t>
      </w:r>
      <w:r w:rsidR="007B08DB" w:rsidRPr="0055723E">
        <w:rPr>
          <w:rFonts w:cs="Arial"/>
          <w:color w:val="000000"/>
          <w:shd w:val="clear" w:color="auto" w:fill="FFFFFF"/>
        </w:rPr>
        <w:t xml:space="preserve">by </w:t>
      </w:r>
      <w:r w:rsidR="001A597E" w:rsidRPr="0055723E">
        <w:rPr>
          <w:rFonts w:cs="Arial"/>
          <w:color w:val="000000"/>
          <w:shd w:val="clear" w:color="auto" w:fill="FFFFFF"/>
        </w:rPr>
        <w:t xml:space="preserve">shifting from a </w:t>
      </w:r>
      <w:r w:rsidR="007B08DB" w:rsidRPr="0055723E">
        <w:rPr>
          <w:rFonts w:cs="Arial"/>
          <w:color w:val="000000"/>
          <w:shd w:val="clear" w:color="auto" w:fill="FFFFFF"/>
        </w:rPr>
        <w:t>transfer-</w:t>
      </w:r>
      <w:r w:rsidR="001A597E" w:rsidRPr="0055723E">
        <w:rPr>
          <w:rFonts w:cs="Arial"/>
          <w:color w:val="000000"/>
          <w:shd w:val="clear" w:color="auto" w:fill="FFFFFF"/>
        </w:rPr>
        <w:t>centric model</w:t>
      </w:r>
      <w:r w:rsidR="007B08DB" w:rsidRPr="0055723E">
        <w:rPr>
          <w:rFonts w:cs="Arial"/>
          <w:color w:val="000000"/>
          <w:shd w:val="clear" w:color="auto" w:fill="FFFFFF"/>
        </w:rPr>
        <w:t xml:space="preserve"> </w:t>
      </w:r>
      <w:r w:rsidR="001A597E" w:rsidRPr="0055723E">
        <w:rPr>
          <w:rFonts w:cs="Arial"/>
          <w:color w:val="000000"/>
          <w:shd w:val="clear" w:color="auto" w:fill="FFFFFF"/>
        </w:rPr>
        <w:t>and</w:t>
      </w:r>
      <w:r w:rsidR="007B08DB" w:rsidRPr="0055723E">
        <w:rPr>
          <w:rFonts w:cs="Arial"/>
          <w:color w:val="000000"/>
          <w:shd w:val="clear" w:color="auto" w:fill="FFFFFF"/>
        </w:rPr>
        <w:t xml:space="preserve"> </w:t>
      </w:r>
      <w:r w:rsidR="001A597E" w:rsidRPr="0055723E">
        <w:rPr>
          <w:rFonts w:cs="Arial"/>
          <w:color w:val="000000"/>
          <w:shd w:val="clear" w:color="auto" w:fill="FFFFFF"/>
        </w:rPr>
        <w:t>incorporated an equilibrium</w:t>
      </w:r>
      <w:r w:rsidR="007B08DB" w:rsidRPr="0055723E">
        <w:rPr>
          <w:rFonts w:cs="Arial"/>
          <w:color w:val="000000"/>
          <w:shd w:val="clear" w:color="auto" w:fill="FFFFFF"/>
        </w:rPr>
        <w:t xml:space="preserve"> </w:t>
      </w:r>
      <w:r w:rsidR="001A597E" w:rsidRPr="0055723E">
        <w:rPr>
          <w:rFonts w:cs="Arial"/>
          <w:color w:val="000000"/>
          <w:shd w:val="clear" w:color="auto" w:fill="FFFFFF"/>
        </w:rPr>
        <w:t xml:space="preserve">of </w:t>
      </w:r>
      <w:r w:rsidR="0055723E">
        <w:rPr>
          <w:rFonts w:cs="Arial"/>
          <w:color w:val="000000"/>
          <w:shd w:val="clear" w:color="auto" w:fill="FFFFFF"/>
        </w:rPr>
        <w:t xml:space="preserve">classroom and </w:t>
      </w:r>
      <w:r w:rsidR="007D78EA">
        <w:rPr>
          <w:rFonts w:cs="Arial"/>
          <w:color w:val="000000"/>
          <w:shd w:val="clear" w:color="auto" w:fill="FFFFFF"/>
        </w:rPr>
        <w:t>WBL</w:t>
      </w:r>
      <w:r w:rsidR="00133931">
        <w:rPr>
          <w:rFonts w:cs="Arial"/>
          <w:color w:val="000000"/>
          <w:shd w:val="clear" w:color="auto" w:fill="FFFFFF"/>
        </w:rPr>
        <w:t xml:space="preserve"> education</w:t>
      </w:r>
      <w:r w:rsidR="0055723E">
        <w:rPr>
          <w:rFonts w:cs="Arial"/>
          <w:color w:val="000000"/>
          <w:shd w:val="clear" w:color="auto" w:fill="FFFFFF"/>
        </w:rPr>
        <w:t xml:space="preserve">. </w:t>
      </w:r>
    </w:p>
    <w:p w14:paraId="13207FCD" w14:textId="5CB4CD79" w:rsidR="00133931" w:rsidRDefault="00E959AC" w:rsidP="00723488">
      <w:pPr>
        <w:spacing w:after="240"/>
        <w:rPr>
          <w:rFonts w:cs="Arial"/>
          <w:bCs/>
          <w:color w:val="000000" w:themeColor="text1"/>
        </w:rPr>
      </w:pPr>
      <w:r w:rsidRPr="0099518E">
        <w:rPr>
          <w:rFonts w:cs="Arial"/>
          <w:bCs/>
          <w:color w:val="000000" w:themeColor="text1"/>
        </w:rPr>
        <w:t>Workforce development</w:t>
      </w:r>
      <w:r w:rsidR="005F017E">
        <w:rPr>
          <w:rFonts w:cs="Arial"/>
          <w:bCs/>
          <w:color w:val="000000" w:themeColor="text1"/>
        </w:rPr>
        <w:t xml:space="preserve"> agencies</w:t>
      </w:r>
      <w:r w:rsidRPr="0099518E">
        <w:rPr>
          <w:rFonts w:cs="Arial"/>
          <w:bCs/>
          <w:color w:val="000000" w:themeColor="text1"/>
        </w:rPr>
        <w:t xml:space="preserve"> </w:t>
      </w:r>
      <w:r w:rsidR="005F017E">
        <w:rPr>
          <w:rFonts w:cs="Arial"/>
          <w:bCs/>
          <w:color w:val="000000" w:themeColor="text1"/>
        </w:rPr>
        <w:t xml:space="preserve">work to </w:t>
      </w:r>
      <w:r w:rsidRPr="0099518E">
        <w:rPr>
          <w:rFonts w:cs="Arial"/>
          <w:bCs/>
          <w:color w:val="000000" w:themeColor="text1"/>
        </w:rPr>
        <w:t xml:space="preserve">provide </w:t>
      </w:r>
      <w:r w:rsidR="005F017E">
        <w:rPr>
          <w:rFonts w:cs="Arial"/>
          <w:bCs/>
          <w:color w:val="000000" w:themeColor="text1"/>
        </w:rPr>
        <w:t xml:space="preserve">essential </w:t>
      </w:r>
      <w:r w:rsidRPr="0099518E">
        <w:rPr>
          <w:rFonts w:cs="Arial"/>
          <w:bCs/>
          <w:color w:val="000000" w:themeColor="text1"/>
        </w:rPr>
        <w:t>postsecondary training opportunities</w:t>
      </w:r>
      <w:r w:rsidR="005F017E">
        <w:rPr>
          <w:rFonts w:cs="Arial"/>
          <w:bCs/>
          <w:color w:val="000000" w:themeColor="text1"/>
        </w:rPr>
        <w:t xml:space="preserve"> intended to</w:t>
      </w:r>
      <w:r w:rsidRPr="0099518E">
        <w:rPr>
          <w:rFonts w:cs="Arial"/>
          <w:bCs/>
          <w:color w:val="000000" w:themeColor="text1"/>
        </w:rPr>
        <w:t xml:space="preserve"> address significant gaps in earnings and reduced career mobility.</w:t>
      </w:r>
      <w:r w:rsidR="005F017E">
        <w:rPr>
          <w:rFonts w:cs="Arial"/>
          <w:bCs/>
          <w:color w:val="000000" w:themeColor="text1"/>
        </w:rPr>
        <w:t xml:space="preserve"> Alignment with postsecondary educational institutions and work</w:t>
      </w:r>
      <w:r w:rsidR="005D3579">
        <w:rPr>
          <w:rFonts w:cs="Arial"/>
          <w:bCs/>
          <w:color w:val="000000" w:themeColor="text1"/>
        </w:rPr>
        <w:t xml:space="preserve"> agencie</w:t>
      </w:r>
      <w:r w:rsidR="00F7387F">
        <w:rPr>
          <w:rFonts w:cs="Arial"/>
          <w:bCs/>
          <w:color w:val="000000" w:themeColor="text1"/>
        </w:rPr>
        <w:t>s provided enhanced learning exposure, increasing</w:t>
      </w:r>
      <w:r w:rsidR="00353E53">
        <w:rPr>
          <w:rFonts w:cs="Arial"/>
          <w:bCs/>
          <w:color w:val="000000" w:themeColor="text1"/>
        </w:rPr>
        <w:t xml:space="preserve"> student </w:t>
      </w:r>
      <w:r w:rsidR="00F7387F">
        <w:rPr>
          <w:rFonts w:cs="Arial"/>
          <w:bCs/>
          <w:color w:val="000000" w:themeColor="text1"/>
        </w:rPr>
        <w:t xml:space="preserve">engagement, </w:t>
      </w:r>
      <w:r w:rsidR="00353E53">
        <w:rPr>
          <w:rFonts w:cs="Arial"/>
          <w:bCs/>
          <w:color w:val="000000" w:themeColor="text1"/>
        </w:rPr>
        <w:t xml:space="preserve">while expanding </w:t>
      </w:r>
      <w:r w:rsidR="00F7387F">
        <w:rPr>
          <w:rFonts w:cs="Arial"/>
          <w:bCs/>
          <w:color w:val="000000" w:themeColor="text1"/>
        </w:rPr>
        <w:t>dual enrollment</w:t>
      </w:r>
      <w:r w:rsidR="00353E53">
        <w:rPr>
          <w:rFonts w:cs="Arial"/>
          <w:bCs/>
          <w:color w:val="000000" w:themeColor="text1"/>
        </w:rPr>
        <w:t xml:space="preserve"> </w:t>
      </w:r>
      <w:r w:rsidR="00F7387F">
        <w:rPr>
          <w:rFonts w:cs="Arial"/>
          <w:bCs/>
          <w:color w:val="000000" w:themeColor="text1"/>
        </w:rPr>
        <w:t xml:space="preserve">and </w:t>
      </w:r>
      <w:r w:rsidR="00353E53">
        <w:rPr>
          <w:rFonts w:cs="Arial"/>
          <w:bCs/>
          <w:color w:val="000000" w:themeColor="text1"/>
        </w:rPr>
        <w:t>skill attainment opportunities.</w:t>
      </w:r>
      <w:r w:rsidR="00133931">
        <w:rPr>
          <w:rFonts w:cs="Arial"/>
          <w:bCs/>
          <w:color w:val="000000" w:themeColor="text1"/>
        </w:rPr>
        <w:t xml:space="preserve"> </w:t>
      </w:r>
      <w:r w:rsidR="00E3354B">
        <w:rPr>
          <w:rFonts w:cs="Arial"/>
          <w:bCs/>
          <w:color w:val="000000" w:themeColor="text1"/>
        </w:rPr>
        <w:t xml:space="preserve">The data analysis of the 2021–22 AY cohort was promising </w:t>
      </w:r>
      <w:r w:rsidR="00367BDA">
        <w:rPr>
          <w:rFonts w:cs="Arial"/>
          <w:bCs/>
          <w:color w:val="000000" w:themeColor="text1"/>
        </w:rPr>
        <w:t>regarding</w:t>
      </w:r>
      <w:r w:rsidR="00E3354B">
        <w:rPr>
          <w:rFonts w:cs="Arial"/>
          <w:bCs/>
          <w:color w:val="000000" w:themeColor="text1"/>
        </w:rPr>
        <w:t xml:space="preserve"> CTE alignment with post-secondary institutions and workforce agencies</w:t>
      </w:r>
      <w:r w:rsidR="00AC77CE">
        <w:rPr>
          <w:rFonts w:cs="Arial"/>
          <w:bCs/>
          <w:color w:val="000000" w:themeColor="text1"/>
        </w:rPr>
        <w:t>. O</w:t>
      </w:r>
      <w:r w:rsidR="00E3354B">
        <w:rPr>
          <w:rFonts w:cs="Arial"/>
          <w:bCs/>
          <w:color w:val="000000" w:themeColor="text1"/>
        </w:rPr>
        <w:t xml:space="preserve">ver </w:t>
      </w:r>
      <w:r w:rsidR="005D6CB6">
        <w:rPr>
          <w:rFonts w:cs="Arial"/>
          <w:bCs/>
          <w:color w:val="000000" w:themeColor="text1"/>
        </w:rPr>
        <w:t>90</w:t>
      </w:r>
      <w:r w:rsidR="00E3354B">
        <w:rPr>
          <w:rFonts w:cs="Arial"/>
          <w:bCs/>
          <w:color w:val="000000" w:themeColor="text1"/>
        </w:rPr>
        <w:t xml:space="preserve"> percent of the CTE pathway completers enrolled in a state apprenticeship or another form of job training programs were CTEIG students</w:t>
      </w:r>
      <w:r w:rsidR="00AC77CE">
        <w:rPr>
          <w:rFonts w:cs="Arial"/>
          <w:bCs/>
          <w:color w:val="000000" w:themeColor="text1"/>
        </w:rPr>
        <w:t xml:space="preserve">, and 95.6 percent of </w:t>
      </w:r>
      <w:r w:rsidR="00461027">
        <w:rPr>
          <w:rFonts w:cs="Arial"/>
          <w:bCs/>
          <w:color w:val="000000" w:themeColor="text1"/>
        </w:rPr>
        <w:t xml:space="preserve">pathway completers (87,881) </w:t>
      </w:r>
      <w:r w:rsidR="009201AC">
        <w:rPr>
          <w:rFonts w:cs="Arial"/>
          <w:bCs/>
          <w:color w:val="000000" w:themeColor="text1"/>
        </w:rPr>
        <w:t xml:space="preserve">who </w:t>
      </w:r>
      <w:r w:rsidR="00461027">
        <w:rPr>
          <w:rFonts w:cs="Arial"/>
          <w:bCs/>
          <w:color w:val="000000" w:themeColor="text1"/>
        </w:rPr>
        <w:t>enrolled in post-secondary edu</w:t>
      </w:r>
      <w:r w:rsidR="009201AC">
        <w:rPr>
          <w:rFonts w:cs="Arial"/>
          <w:bCs/>
          <w:color w:val="000000" w:themeColor="text1"/>
        </w:rPr>
        <w:t>cation were CTEIG students.</w:t>
      </w:r>
      <w:r w:rsidR="003850D1">
        <w:rPr>
          <w:rFonts w:cs="Arial"/>
          <w:bCs/>
          <w:color w:val="000000" w:themeColor="text1"/>
        </w:rPr>
        <w:t xml:space="preserve"> </w:t>
      </w:r>
      <w:r w:rsidR="00133931">
        <w:rPr>
          <w:rFonts w:cs="Arial"/>
          <w:bCs/>
          <w:color w:val="000000" w:themeColor="text1"/>
        </w:rPr>
        <w:t>Overall, 1</w:t>
      </w:r>
      <w:r w:rsidR="000800A5">
        <w:rPr>
          <w:rFonts w:cs="Arial"/>
          <w:bCs/>
          <w:color w:val="000000" w:themeColor="text1"/>
        </w:rPr>
        <w:t>5.8</w:t>
      </w:r>
      <w:r w:rsidR="003850D1">
        <w:rPr>
          <w:rFonts w:cs="Arial"/>
          <w:bCs/>
          <w:color w:val="000000" w:themeColor="text1"/>
        </w:rPr>
        <w:t xml:space="preserve"> percent of students completed college </w:t>
      </w:r>
      <w:r w:rsidR="000800A5">
        <w:rPr>
          <w:rFonts w:cs="Arial"/>
          <w:bCs/>
          <w:color w:val="000000" w:themeColor="text1"/>
        </w:rPr>
        <w:t>coursework</w:t>
      </w:r>
      <w:r w:rsidR="00133931">
        <w:rPr>
          <w:rFonts w:cs="Arial"/>
          <w:bCs/>
          <w:color w:val="000000" w:themeColor="text1"/>
        </w:rPr>
        <w:t xml:space="preserve"> during the four-year cohort</w:t>
      </w:r>
      <w:r w:rsidR="000800A5">
        <w:rPr>
          <w:rFonts w:cs="Arial"/>
          <w:bCs/>
          <w:color w:val="000000" w:themeColor="text1"/>
        </w:rPr>
        <w:t>,</w:t>
      </w:r>
      <w:r w:rsidR="003850D1">
        <w:rPr>
          <w:rFonts w:cs="Arial"/>
          <w:bCs/>
          <w:color w:val="000000" w:themeColor="text1"/>
        </w:rPr>
        <w:t xml:space="preserve"> whereas </w:t>
      </w:r>
      <w:r w:rsidR="000800A5">
        <w:rPr>
          <w:rFonts w:cs="Arial"/>
          <w:bCs/>
          <w:color w:val="000000" w:themeColor="text1"/>
        </w:rPr>
        <w:t xml:space="preserve">CTEIG </w:t>
      </w:r>
      <w:r w:rsidR="00133931">
        <w:rPr>
          <w:rFonts w:cs="Arial"/>
          <w:bCs/>
          <w:color w:val="000000" w:themeColor="text1"/>
        </w:rPr>
        <w:t xml:space="preserve">pathway </w:t>
      </w:r>
      <w:r w:rsidR="000800A5">
        <w:rPr>
          <w:rFonts w:cs="Arial"/>
          <w:bCs/>
          <w:color w:val="000000" w:themeColor="text1"/>
        </w:rPr>
        <w:t xml:space="preserve">completers </w:t>
      </w:r>
      <w:r w:rsidR="00133931">
        <w:rPr>
          <w:rFonts w:cs="Arial"/>
          <w:bCs/>
          <w:color w:val="000000" w:themeColor="text1"/>
        </w:rPr>
        <w:t xml:space="preserve">outperformed their cohort </w:t>
      </w:r>
      <w:r w:rsidR="000800A5">
        <w:rPr>
          <w:rFonts w:cs="Arial"/>
          <w:bCs/>
          <w:color w:val="000000" w:themeColor="text1"/>
        </w:rPr>
        <w:t>counterparts</w:t>
      </w:r>
      <w:r w:rsidR="00133931">
        <w:rPr>
          <w:rFonts w:cs="Arial"/>
          <w:bCs/>
          <w:color w:val="000000" w:themeColor="text1"/>
        </w:rPr>
        <w:t xml:space="preserve"> by 10.9 percent</w:t>
      </w:r>
      <w:r w:rsidR="000800A5">
        <w:rPr>
          <w:rFonts w:cs="Arial"/>
          <w:bCs/>
          <w:color w:val="000000" w:themeColor="text1"/>
        </w:rPr>
        <w:t>.</w:t>
      </w:r>
      <w:r w:rsidR="00225350">
        <w:rPr>
          <w:rStyle w:val="FootnoteReference"/>
          <w:rFonts w:cs="Arial"/>
          <w:bCs/>
          <w:color w:val="000000" w:themeColor="text1"/>
        </w:rPr>
        <w:footnoteReference w:id="23"/>
      </w:r>
      <w:r w:rsidR="003850D1">
        <w:rPr>
          <w:rFonts w:cs="Arial"/>
          <w:bCs/>
          <w:color w:val="000000" w:themeColor="text1"/>
        </w:rPr>
        <w:t xml:space="preserve"> </w:t>
      </w:r>
    </w:p>
    <w:p w14:paraId="4C22C6CC" w14:textId="4DBF101F" w:rsidR="00DD5DCC" w:rsidRPr="00F1578D" w:rsidRDefault="00D14A50" w:rsidP="005147E0">
      <w:pPr>
        <w:spacing w:after="240"/>
        <w:rPr>
          <w:rFonts w:cs="Arial"/>
          <w:color w:val="000000"/>
          <w:shd w:val="clear" w:color="auto" w:fill="FFFFFF"/>
        </w:rPr>
      </w:pPr>
      <w:r>
        <w:rPr>
          <w:rFonts w:cs="Arial"/>
          <w:color w:val="1C252D"/>
          <w:shd w:val="clear" w:color="auto" w:fill="FFFFFF"/>
        </w:rPr>
        <w:t>WBL remains a pillar of High-Quality CTE pathways</w:t>
      </w:r>
      <w:r w:rsidR="00C41A9F">
        <w:rPr>
          <w:rFonts w:cs="Arial"/>
          <w:color w:val="1C252D"/>
          <w:shd w:val="clear" w:color="auto" w:fill="FFFFFF"/>
        </w:rPr>
        <w:t xml:space="preserve">; expectedly, the </w:t>
      </w:r>
      <w:r w:rsidR="005D6CB6">
        <w:rPr>
          <w:rFonts w:cs="Arial"/>
          <w:color w:val="1C252D"/>
          <w:shd w:val="clear" w:color="auto" w:fill="FFFFFF"/>
        </w:rPr>
        <w:t xml:space="preserve">rate of </w:t>
      </w:r>
      <w:r w:rsidR="00C41A9F">
        <w:rPr>
          <w:rFonts w:cs="Arial"/>
          <w:color w:val="1C252D"/>
          <w:shd w:val="clear" w:color="auto" w:fill="FFFFFF"/>
        </w:rPr>
        <w:t xml:space="preserve">pathway completers </w:t>
      </w:r>
      <w:r w:rsidR="005D6CB6">
        <w:rPr>
          <w:rFonts w:cs="Arial"/>
          <w:color w:val="1C252D"/>
          <w:shd w:val="clear" w:color="auto" w:fill="FFFFFF"/>
        </w:rPr>
        <w:t xml:space="preserve">who were CTEIG students and completed </w:t>
      </w:r>
      <w:r w:rsidR="00FB5310">
        <w:rPr>
          <w:rFonts w:cs="Arial"/>
          <w:color w:val="1C252D"/>
          <w:shd w:val="clear" w:color="auto" w:fill="FFFFFF"/>
        </w:rPr>
        <w:t>WBL</w:t>
      </w:r>
      <w:r w:rsidR="00C41A9F">
        <w:rPr>
          <w:rFonts w:cs="Arial"/>
          <w:color w:val="1C252D"/>
          <w:shd w:val="clear" w:color="auto" w:fill="FFFFFF"/>
        </w:rPr>
        <w:t xml:space="preserve"> experiences was 93.6 percent</w:t>
      </w:r>
      <w:r>
        <w:rPr>
          <w:rFonts w:cs="Arial"/>
          <w:color w:val="1C252D"/>
          <w:shd w:val="clear" w:color="auto" w:fill="FFFFFF"/>
        </w:rPr>
        <w:t xml:space="preserve">. </w:t>
      </w:r>
      <w:r w:rsidR="00DD5DCC">
        <w:rPr>
          <w:rFonts w:cs="Arial"/>
          <w:color w:val="1C252D"/>
          <w:shd w:val="clear" w:color="auto" w:fill="FFFFFF"/>
        </w:rPr>
        <w:t xml:space="preserve">Postsecondary </w:t>
      </w:r>
      <w:r w:rsidR="00C41A9F">
        <w:rPr>
          <w:rFonts w:cs="Arial"/>
          <w:color w:val="1C252D"/>
          <w:shd w:val="clear" w:color="auto" w:fill="FFFFFF"/>
        </w:rPr>
        <w:t xml:space="preserve">WBL data offers great potential for future longitudinal analysis; however, </w:t>
      </w:r>
      <w:proofErr w:type="gramStart"/>
      <w:r w:rsidR="00DD5DCC">
        <w:rPr>
          <w:rFonts w:cs="Arial"/>
          <w:color w:val="1C252D"/>
          <w:shd w:val="clear" w:color="auto" w:fill="FFFFFF"/>
        </w:rPr>
        <w:t>similar to</w:t>
      </w:r>
      <w:proofErr w:type="gramEnd"/>
      <w:r w:rsidR="00DD5DCC">
        <w:rPr>
          <w:rFonts w:cs="Arial"/>
          <w:color w:val="1C252D"/>
          <w:shd w:val="clear" w:color="auto" w:fill="FFFFFF"/>
        </w:rPr>
        <w:t xml:space="preserve"> issues with </w:t>
      </w:r>
      <w:r w:rsidR="00C41A9F">
        <w:rPr>
          <w:rFonts w:cs="Arial"/>
          <w:color w:val="1C252D"/>
          <w:shd w:val="clear" w:color="auto" w:fill="FFFFFF"/>
        </w:rPr>
        <w:t xml:space="preserve">post-secondary data, the CDE’s analytical capacity </w:t>
      </w:r>
      <w:r>
        <w:rPr>
          <w:rFonts w:cs="Arial"/>
          <w:color w:val="1C252D"/>
          <w:shd w:val="clear" w:color="auto" w:fill="FFFFFF"/>
        </w:rPr>
        <w:t>remains</w:t>
      </w:r>
      <w:r w:rsidR="00C41A9F">
        <w:rPr>
          <w:rFonts w:cs="Arial"/>
          <w:color w:val="1C252D"/>
          <w:shd w:val="clear" w:color="auto" w:fill="FFFFFF"/>
        </w:rPr>
        <w:t xml:space="preserve"> limited until </w:t>
      </w:r>
      <w:r w:rsidR="005C0CFB">
        <w:rPr>
          <w:rFonts w:cs="Arial"/>
          <w:color w:val="1C252D"/>
          <w:shd w:val="clear" w:color="auto" w:fill="FFFFFF"/>
        </w:rPr>
        <w:t xml:space="preserve">the </w:t>
      </w:r>
      <w:r w:rsidR="00C41A9F">
        <w:rPr>
          <w:rFonts w:cs="Arial"/>
          <w:color w:val="1C252D"/>
          <w:shd w:val="clear" w:color="auto" w:fill="FFFFFF"/>
        </w:rPr>
        <w:t>interested parties</w:t>
      </w:r>
      <w:r w:rsidR="00C41A9F">
        <w:rPr>
          <w:rStyle w:val="FootnoteReference"/>
          <w:rFonts w:cs="Arial"/>
          <w:color w:val="1C252D"/>
          <w:shd w:val="clear" w:color="auto" w:fill="FFFFFF"/>
        </w:rPr>
        <w:footnoteReference w:id="24"/>
      </w:r>
      <w:r w:rsidR="00C41A9F">
        <w:rPr>
          <w:rFonts w:cs="Arial"/>
          <w:color w:val="1C252D"/>
          <w:shd w:val="clear" w:color="auto" w:fill="FFFFFF"/>
        </w:rPr>
        <w:t xml:space="preserve"> can agree on a unique identifier to be used across all </w:t>
      </w:r>
      <w:r>
        <w:rPr>
          <w:rFonts w:cs="Arial"/>
          <w:color w:val="1C252D"/>
          <w:shd w:val="clear" w:color="auto" w:fill="FFFFFF"/>
        </w:rPr>
        <w:t xml:space="preserve">state </w:t>
      </w:r>
      <w:r w:rsidR="00C41A9F">
        <w:rPr>
          <w:rFonts w:cs="Arial"/>
          <w:color w:val="1C252D"/>
          <w:shd w:val="clear" w:color="auto" w:fill="FFFFFF"/>
        </w:rPr>
        <w:t>government entities</w:t>
      </w:r>
      <w:r>
        <w:rPr>
          <w:rFonts w:cs="Arial"/>
          <w:color w:val="1C252D"/>
          <w:shd w:val="clear" w:color="auto" w:fill="FFFFFF"/>
        </w:rPr>
        <w:t xml:space="preserve"> and bring the</w:t>
      </w:r>
      <w:r w:rsidR="00C41A9F">
        <w:rPr>
          <w:rFonts w:cs="Arial"/>
          <w:color w:val="1C252D"/>
          <w:shd w:val="clear" w:color="auto" w:fill="FFFFFF"/>
        </w:rPr>
        <w:t xml:space="preserve"> </w:t>
      </w:r>
      <w:r>
        <w:rPr>
          <w:rFonts w:cs="Arial"/>
          <w:color w:val="1C252D"/>
          <w:shd w:val="clear" w:color="auto" w:fill="FFFFFF"/>
        </w:rPr>
        <w:t xml:space="preserve">highly anticipated </w:t>
      </w:r>
      <w:r w:rsidR="00C41A9F">
        <w:rPr>
          <w:rFonts w:cs="Arial"/>
          <w:color w:val="1C252D"/>
          <w:shd w:val="clear" w:color="auto" w:fill="FFFFFF"/>
        </w:rPr>
        <w:t>“Cradle-to-Career” data system to fruition.</w:t>
      </w:r>
    </w:p>
    <w:p w14:paraId="5C4CB341" w14:textId="77777777" w:rsidR="00041A6B" w:rsidRPr="00A82C7B" w:rsidRDefault="00041A6B" w:rsidP="00041A6B">
      <w:pPr>
        <w:pStyle w:val="Heading3"/>
        <w:jc w:val="left"/>
      </w:pPr>
      <w:r w:rsidRPr="00A82C7B">
        <w:t>Apple Valley Unified School District</w:t>
      </w:r>
    </w:p>
    <w:p w14:paraId="52AE9204" w14:textId="0E9F7111" w:rsidR="001C3C8A" w:rsidRPr="001C3C8A" w:rsidRDefault="004E30D8" w:rsidP="00723488">
      <w:pPr>
        <w:spacing w:after="240"/>
        <w:rPr>
          <w:rFonts w:cs="Arial"/>
        </w:rPr>
      </w:pPr>
      <w:r>
        <w:rPr>
          <w:rFonts w:cs="Arial"/>
        </w:rPr>
        <w:t xml:space="preserve">All </w:t>
      </w:r>
      <w:r w:rsidR="00790249" w:rsidRPr="00790249">
        <w:rPr>
          <w:rFonts w:cs="Arial"/>
        </w:rPr>
        <w:t xml:space="preserve">CTE pathways </w:t>
      </w:r>
      <w:r>
        <w:rPr>
          <w:rFonts w:cs="Arial"/>
        </w:rPr>
        <w:t xml:space="preserve">in Apple Valley Unified School District (AVUSD) </w:t>
      </w:r>
      <w:r w:rsidR="00790249" w:rsidRPr="00790249">
        <w:rPr>
          <w:rFonts w:cs="Arial"/>
        </w:rPr>
        <w:t>have at least one articulated course with</w:t>
      </w:r>
      <w:r w:rsidR="001C3C8A">
        <w:rPr>
          <w:rFonts w:cs="Arial"/>
        </w:rPr>
        <w:t xml:space="preserve"> Victor Valley</w:t>
      </w:r>
      <w:r w:rsidR="00790249" w:rsidRPr="00790249">
        <w:rPr>
          <w:rFonts w:cs="Arial"/>
        </w:rPr>
        <w:t xml:space="preserve"> </w:t>
      </w:r>
      <w:r w:rsidR="001C3C8A">
        <w:rPr>
          <w:rFonts w:cs="Arial"/>
        </w:rPr>
        <w:t>C</w:t>
      </w:r>
      <w:r w:rsidR="00790249" w:rsidRPr="00790249">
        <w:rPr>
          <w:rFonts w:cs="Arial"/>
        </w:rPr>
        <w:t xml:space="preserve">ommunity </w:t>
      </w:r>
      <w:r w:rsidR="001C3C8A">
        <w:rPr>
          <w:rFonts w:cs="Arial"/>
        </w:rPr>
        <w:t>C</w:t>
      </w:r>
      <w:r w:rsidR="00790249" w:rsidRPr="00790249">
        <w:rPr>
          <w:rFonts w:cs="Arial"/>
        </w:rPr>
        <w:t>ollege</w:t>
      </w:r>
      <w:r w:rsidR="001C3C8A">
        <w:rPr>
          <w:rFonts w:cs="Arial"/>
        </w:rPr>
        <w:t xml:space="preserve"> (VVCC)</w:t>
      </w:r>
      <w:r>
        <w:rPr>
          <w:rFonts w:cs="Arial"/>
        </w:rPr>
        <w:t xml:space="preserve">. </w:t>
      </w:r>
      <w:r w:rsidR="00790249" w:rsidRPr="00790249">
        <w:rPr>
          <w:rFonts w:cs="Arial"/>
        </w:rPr>
        <w:t xml:space="preserve">Secondary and post-secondary curriculum </w:t>
      </w:r>
      <w:r w:rsidR="00C50DF2">
        <w:rPr>
          <w:rFonts w:cs="Arial"/>
        </w:rPr>
        <w:t>are</w:t>
      </w:r>
      <w:r w:rsidR="00790249" w:rsidRPr="00790249">
        <w:rPr>
          <w:rFonts w:cs="Arial"/>
        </w:rPr>
        <w:t xml:space="preserve"> </w:t>
      </w:r>
      <w:r w:rsidR="00C50DF2">
        <w:rPr>
          <w:rFonts w:cs="Arial"/>
        </w:rPr>
        <w:t xml:space="preserve">fully aligned </w:t>
      </w:r>
      <w:r w:rsidR="00790249" w:rsidRPr="00790249">
        <w:rPr>
          <w:rFonts w:cs="Arial"/>
        </w:rPr>
        <w:t>and teachers from both institutions m</w:t>
      </w:r>
      <w:r w:rsidR="00C50DF2">
        <w:rPr>
          <w:rFonts w:cs="Arial"/>
        </w:rPr>
        <w:t xml:space="preserve">eet and </w:t>
      </w:r>
      <w:r w:rsidR="00790249" w:rsidRPr="00790249">
        <w:rPr>
          <w:rFonts w:cs="Arial"/>
        </w:rPr>
        <w:t>collaborate</w:t>
      </w:r>
      <w:r w:rsidR="00C50DF2">
        <w:rPr>
          <w:rFonts w:cs="Arial"/>
        </w:rPr>
        <w:t xml:space="preserve"> on a regular basis.</w:t>
      </w:r>
      <w:r w:rsidR="00790249" w:rsidRPr="00790249">
        <w:rPr>
          <w:rFonts w:cs="Arial"/>
        </w:rPr>
        <w:t xml:space="preserve"> The number of articulated credits earned each year </w:t>
      </w:r>
      <w:r w:rsidR="00C50DF2">
        <w:rPr>
          <w:rFonts w:cs="Arial"/>
        </w:rPr>
        <w:t xml:space="preserve">has increased for the last several years. AVUSD </w:t>
      </w:r>
      <w:r w:rsidR="00790249" w:rsidRPr="00790249">
        <w:rPr>
          <w:rFonts w:cs="Arial"/>
        </w:rPr>
        <w:t xml:space="preserve">hosts annual advisory meetings by industry sectors to review curriculum and instruction across all levels, </w:t>
      </w:r>
      <w:r w:rsidR="00C50DF2">
        <w:rPr>
          <w:rFonts w:cs="Arial"/>
        </w:rPr>
        <w:t xml:space="preserve">review </w:t>
      </w:r>
      <w:r w:rsidR="00790249" w:rsidRPr="00790249">
        <w:rPr>
          <w:rFonts w:cs="Arial"/>
        </w:rPr>
        <w:t xml:space="preserve">alignment </w:t>
      </w:r>
      <w:r w:rsidR="00C50DF2">
        <w:rPr>
          <w:rFonts w:cs="Arial"/>
        </w:rPr>
        <w:t xml:space="preserve">needs as </w:t>
      </w:r>
      <w:r w:rsidR="00C50DF2">
        <w:rPr>
          <w:rFonts w:cs="Arial"/>
        </w:rPr>
        <w:lastRenderedPageBreak/>
        <w:t>industry standards evolve</w:t>
      </w:r>
      <w:r w:rsidR="00790249" w:rsidRPr="00790249">
        <w:rPr>
          <w:rFonts w:cs="Arial"/>
        </w:rPr>
        <w:t xml:space="preserve">, and </w:t>
      </w:r>
      <w:r w:rsidR="00C50DF2">
        <w:rPr>
          <w:rFonts w:cs="Arial"/>
        </w:rPr>
        <w:t xml:space="preserve">maintain </w:t>
      </w:r>
      <w:r w:rsidR="00790249" w:rsidRPr="00790249">
        <w:rPr>
          <w:rFonts w:cs="Arial"/>
        </w:rPr>
        <w:t>connections with</w:t>
      </w:r>
      <w:r w:rsidR="00C50DF2">
        <w:rPr>
          <w:rFonts w:cs="Arial"/>
        </w:rPr>
        <w:t xml:space="preserve"> industry professionals and local </w:t>
      </w:r>
      <w:r w:rsidR="00790249" w:rsidRPr="00790249">
        <w:rPr>
          <w:rFonts w:cs="Arial"/>
        </w:rPr>
        <w:t>business partner</w:t>
      </w:r>
      <w:r w:rsidR="00C50DF2">
        <w:rPr>
          <w:rFonts w:cs="Arial"/>
        </w:rPr>
        <w:t xml:space="preserve">s. Regional advisory meetings </w:t>
      </w:r>
      <w:r w:rsidR="00790249" w:rsidRPr="00790249">
        <w:rPr>
          <w:rFonts w:cs="Arial"/>
        </w:rPr>
        <w:t>with all regional K</w:t>
      </w:r>
      <w:r w:rsidR="005C4C19" w:rsidRPr="0041359B">
        <w:rPr>
          <w:rFonts w:cs="Arial"/>
        </w:rPr>
        <w:t>–</w:t>
      </w:r>
      <w:r w:rsidR="00790249" w:rsidRPr="00790249">
        <w:rPr>
          <w:rFonts w:cs="Arial"/>
        </w:rPr>
        <w:t>12 and post-secondary institutions in each pathway</w:t>
      </w:r>
      <w:r w:rsidR="00C50DF2">
        <w:rPr>
          <w:rFonts w:cs="Arial"/>
        </w:rPr>
        <w:t xml:space="preserve"> are conducted regularly, and the </w:t>
      </w:r>
      <w:r w:rsidR="00790249" w:rsidRPr="00790249">
        <w:rPr>
          <w:rFonts w:cs="Arial"/>
        </w:rPr>
        <w:t>M</w:t>
      </w:r>
      <w:r w:rsidR="00C50DF2">
        <w:rPr>
          <w:rFonts w:cs="Arial"/>
        </w:rPr>
        <w:t>emorandum of Understanding (M</w:t>
      </w:r>
      <w:r w:rsidR="00790249" w:rsidRPr="00790249">
        <w:rPr>
          <w:rFonts w:cs="Arial"/>
        </w:rPr>
        <w:t>OU</w:t>
      </w:r>
      <w:r w:rsidR="00C50DF2">
        <w:rPr>
          <w:rFonts w:cs="Arial"/>
        </w:rPr>
        <w:t>)</w:t>
      </w:r>
      <w:r w:rsidR="00790249" w:rsidRPr="00790249">
        <w:rPr>
          <w:rFonts w:cs="Arial"/>
        </w:rPr>
        <w:t xml:space="preserve"> with </w:t>
      </w:r>
      <w:r w:rsidR="001C3C8A">
        <w:rPr>
          <w:rFonts w:cs="Arial"/>
        </w:rPr>
        <w:t>VVCC is u</w:t>
      </w:r>
      <w:r w:rsidR="00790249" w:rsidRPr="00790249">
        <w:rPr>
          <w:rFonts w:cs="Arial"/>
        </w:rPr>
        <w:t>pdated every two years.</w:t>
      </w:r>
    </w:p>
    <w:p w14:paraId="5B0BF4C1" w14:textId="4272753B" w:rsidR="00E762AF" w:rsidRPr="00A82C7B" w:rsidRDefault="00E762AF" w:rsidP="00E762AF">
      <w:pPr>
        <w:pStyle w:val="Heading3"/>
        <w:jc w:val="left"/>
        <w:rPr>
          <w:rFonts w:eastAsiaTheme="minorHAnsi"/>
        </w:rPr>
      </w:pPr>
      <w:r w:rsidRPr="00A82C7B">
        <w:rPr>
          <w:rFonts w:eastAsiaTheme="minorHAnsi"/>
        </w:rPr>
        <w:t>Eureka City School</w:t>
      </w:r>
    </w:p>
    <w:p w14:paraId="3A2AAA2B" w14:textId="35DA4609" w:rsidR="00DB0BD4" w:rsidRPr="005147E0" w:rsidRDefault="00BE3D17" w:rsidP="005147E0">
      <w:pPr>
        <w:spacing w:after="240"/>
      </w:pPr>
      <w:r>
        <w:rPr>
          <w:rFonts w:cs="Arial"/>
        </w:rPr>
        <w:t xml:space="preserve">The Eureka City Schools (ECS) has established an </w:t>
      </w:r>
      <w:r w:rsidR="00790249" w:rsidRPr="00790249">
        <w:rPr>
          <w:rFonts w:cs="Arial"/>
        </w:rPr>
        <w:t xml:space="preserve">MOU for </w:t>
      </w:r>
      <w:r>
        <w:rPr>
          <w:rFonts w:cs="Arial"/>
        </w:rPr>
        <w:t>d</w:t>
      </w:r>
      <w:r w:rsidR="00790249" w:rsidRPr="00790249">
        <w:rPr>
          <w:rFonts w:cs="Arial"/>
        </w:rPr>
        <w:t xml:space="preserve">ual </w:t>
      </w:r>
      <w:r>
        <w:rPr>
          <w:rFonts w:cs="Arial"/>
        </w:rPr>
        <w:t>e</w:t>
      </w:r>
      <w:r w:rsidR="00790249" w:rsidRPr="00790249">
        <w:rPr>
          <w:rFonts w:cs="Arial"/>
        </w:rPr>
        <w:t xml:space="preserve">nrollment </w:t>
      </w:r>
      <w:r>
        <w:rPr>
          <w:rFonts w:cs="Arial"/>
        </w:rPr>
        <w:t xml:space="preserve">for several of their CTE classes </w:t>
      </w:r>
      <w:r w:rsidR="00790249" w:rsidRPr="00790249">
        <w:rPr>
          <w:rFonts w:cs="Arial"/>
        </w:rPr>
        <w:t xml:space="preserve">with College of the Redwoods (CR). </w:t>
      </w:r>
      <w:r>
        <w:rPr>
          <w:rFonts w:cs="Arial"/>
        </w:rPr>
        <w:t xml:space="preserve">CTE teachers with students attending dual enrollment classes through CR, meet regularly with CR </w:t>
      </w:r>
      <w:r w:rsidR="00790249" w:rsidRPr="00790249">
        <w:rPr>
          <w:rFonts w:cs="Arial"/>
        </w:rPr>
        <w:t>professors for curriculum alignment and</w:t>
      </w:r>
      <w:r>
        <w:rPr>
          <w:rFonts w:cs="Arial"/>
        </w:rPr>
        <w:t xml:space="preserve"> assist students with</w:t>
      </w:r>
      <w:r w:rsidR="00790249" w:rsidRPr="00790249">
        <w:rPr>
          <w:rFonts w:cs="Arial"/>
        </w:rPr>
        <w:t xml:space="preserve"> pathway transitions</w:t>
      </w:r>
      <w:r w:rsidR="00AE2479">
        <w:rPr>
          <w:rFonts w:cs="Arial"/>
        </w:rPr>
        <w:t>.</w:t>
      </w:r>
      <w:r>
        <w:rPr>
          <w:rFonts w:cs="Arial"/>
        </w:rPr>
        <w:t xml:space="preserve"> The CR </w:t>
      </w:r>
      <w:r w:rsidR="00790249" w:rsidRPr="00790249">
        <w:rPr>
          <w:rFonts w:cs="Arial"/>
        </w:rPr>
        <w:t xml:space="preserve">and Eureka High have </w:t>
      </w:r>
      <w:r w:rsidR="000716C9">
        <w:rPr>
          <w:rFonts w:cs="Arial"/>
        </w:rPr>
        <w:t xml:space="preserve">created an exciting new </w:t>
      </w:r>
      <w:r w:rsidR="00790249" w:rsidRPr="00790249">
        <w:rPr>
          <w:rFonts w:cs="Arial"/>
        </w:rPr>
        <w:t xml:space="preserve">dual enrollment </w:t>
      </w:r>
      <w:r w:rsidR="000716C9">
        <w:rPr>
          <w:rFonts w:cs="Arial"/>
        </w:rPr>
        <w:t xml:space="preserve">opportunity </w:t>
      </w:r>
      <w:r w:rsidR="00790249" w:rsidRPr="00790249">
        <w:rPr>
          <w:rFonts w:cs="Arial"/>
        </w:rPr>
        <w:t xml:space="preserve">for </w:t>
      </w:r>
      <w:r w:rsidR="000716C9">
        <w:rPr>
          <w:rFonts w:cs="Arial"/>
        </w:rPr>
        <w:t xml:space="preserve">their </w:t>
      </w:r>
      <w:r w:rsidR="00790249" w:rsidRPr="00790249">
        <w:rPr>
          <w:rFonts w:cs="Arial"/>
        </w:rPr>
        <w:t xml:space="preserve">welding </w:t>
      </w:r>
      <w:r w:rsidR="000716C9">
        <w:rPr>
          <w:rFonts w:cs="Arial"/>
        </w:rPr>
        <w:t xml:space="preserve">pathway with the </w:t>
      </w:r>
      <w:r w:rsidR="00790249" w:rsidRPr="00790249">
        <w:rPr>
          <w:rFonts w:cs="Arial"/>
        </w:rPr>
        <w:t xml:space="preserve">CR </w:t>
      </w:r>
      <w:r w:rsidR="000716C9">
        <w:rPr>
          <w:rFonts w:cs="Arial"/>
        </w:rPr>
        <w:t xml:space="preserve">professor joining them in the ECS classroom to teach alongside the </w:t>
      </w:r>
      <w:r w:rsidR="00790249" w:rsidRPr="00790249">
        <w:rPr>
          <w:rFonts w:cs="Arial"/>
        </w:rPr>
        <w:t>Eureka Hig</w:t>
      </w:r>
      <w:r w:rsidR="000716C9">
        <w:rPr>
          <w:rFonts w:cs="Arial"/>
        </w:rPr>
        <w:t>h</w:t>
      </w:r>
      <w:r w:rsidR="00FB5310">
        <w:rPr>
          <w:rFonts w:cs="Arial"/>
        </w:rPr>
        <w:t xml:space="preserve"> teacher</w:t>
      </w:r>
      <w:r w:rsidR="000716C9">
        <w:rPr>
          <w:rFonts w:cs="Arial"/>
        </w:rPr>
        <w:t xml:space="preserve">. ECS will begin </w:t>
      </w:r>
      <w:r w:rsidR="00790249" w:rsidRPr="00790249">
        <w:rPr>
          <w:rFonts w:cs="Arial"/>
        </w:rPr>
        <w:t xml:space="preserve">plans to align </w:t>
      </w:r>
      <w:r w:rsidR="000716C9">
        <w:rPr>
          <w:rFonts w:cs="Arial"/>
        </w:rPr>
        <w:t xml:space="preserve">CTE </w:t>
      </w:r>
      <w:r w:rsidR="00790249" w:rsidRPr="00790249">
        <w:rPr>
          <w:rFonts w:cs="Arial"/>
        </w:rPr>
        <w:t xml:space="preserve">courses </w:t>
      </w:r>
      <w:r w:rsidR="000716C9">
        <w:rPr>
          <w:rFonts w:cs="Arial"/>
        </w:rPr>
        <w:t xml:space="preserve">offered at </w:t>
      </w:r>
      <w:r w:rsidR="00790249" w:rsidRPr="00790249">
        <w:rPr>
          <w:rFonts w:cs="Arial"/>
        </w:rPr>
        <w:t>Eureka High</w:t>
      </w:r>
      <w:r w:rsidR="000716C9">
        <w:rPr>
          <w:rFonts w:cs="Arial"/>
        </w:rPr>
        <w:t xml:space="preserve"> with </w:t>
      </w:r>
      <w:r w:rsidR="00790249" w:rsidRPr="00790249">
        <w:rPr>
          <w:rFonts w:cs="Arial"/>
        </w:rPr>
        <w:t xml:space="preserve">Cal Poly Humboldt </w:t>
      </w:r>
      <w:r w:rsidR="000716C9">
        <w:rPr>
          <w:rFonts w:cs="Arial"/>
        </w:rPr>
        <w:t>University</w:t>
      </w:r>
      <w:r w:rsidR="00790249" w:rsidRPr="00790249">
        <w:rPr>
          <w:rFonts w:cs="Arial"/>
        </w:rPr>
        <w:t>.</w:t>
      </w:r>
    </w:p>
    <w:p w14:paraId="512D189B" w14:textId="5EA68641" w:rsidR="00D050A3" w:rsidRPr="00DB0BD4" w:rsidRDefault="00E762AF" w:rsidP="00DF5BB2">
      <w:pPr>
        <w:pStyle w:val="Heading2"/>
      </w:pPr>
      <w:bookmarkStart w:id="37" w:name="_Toc158883512"/>
      <w:bookmarkStart w:id="38" w:name="_Hlk156817034"/>
      <w:r w:rsidRPr="00DB0BD4">
        <w:t>Equity Gaps to Program Access and Completion</w:t>
      </w:r>
      <w:bookmarkEnd w:id="37"/>
    </w:p>
    <w:bookmarkEnd w:id="38"/>
    <w:p w14:paraId="7FA9BE65" w14:textId="6D87E4DD" w:rsidR="00F8469A" w:rsidRDefault="00F8469A" w:rsidP="00AA03D7">
      <w:pPr>
        <w:pStyle w:val="NormalWeb"/>
        <w:shd w:val="clear" w:color="auto" w:fill="FFFFFF"/>
        <w:spacing w:before="0" w:beforeAutospacing="0" w:after="240" w:afterAutospacing="0"/>
        <w:textAlignment w:val="baseline"/>
        <w:rPr>
          <w:rFonts w:cs="Arial"/>
          <w:bCs/>
          <w:color w:val="333333"/>
        </w:rPr>
      </w:pPr>
      <w:r w:rsidRPr="00FB5310">
        <w:rPr>
          <w:rFonts w:cs="Arial"/>
          <w:bCs/>
        </w:rPr>
        <w:t>Mitigating</w:t>
      </w:r>
      <w:r w:rsidR="004A521C" w:rsidRPr="00FB5310">
        <w:rPr>
          <w:rFonts w:cs="Arial"/>
          <w:bCs/>
        </w:rPr>
        <w:t xml:space="preserve"> </w:t>
      </w:r>
      <w:r w:rsidR="004648CC" w:rsidRPr="00FB5310">
        <w:rPr>
          <w:rFonts w:cs="Arial"/>
          <w:bCs/>
        </w:rPr>
        <w:t xml:space="preserve">equity </w:t>
      </w:r>
      <w:r w:rsidR="004A521C" w:rsidRPr="00FB5310">
        <w:rPr>
          <w:rFonts w:cs="Arial"/>
          <w:bCs/>
        </w:rPr>
        <w:t>gaps in program access and completion</w:t>
      </w:r>
      <w:r w:rsidR="00E762AF" w:rsidRPr="00FB5310">
        <w:rPr>
          <w:rFonts w:cs="Arial"/>
          <w:bCs/>
        </w:rPr>
        <w:t xml:space="preserve"> </w:t>
      </w:r>
      <w:r w:rsidRPr="00FB5310">
        <w:rPr>
          <w:rFonts w:cs="Arial"/>
          <w:bCs/>
        </w:rPr>
        <w:t xml:space="preserve">across all programs remains an operational imperative at the CDE and </w:t>
      </w:r>
      <w:r w:rsidR="005728E0" w:rsidRPr="00FB5310">
        <w:rPr>
          <w:rFonts w:cs="Arial"/>
          <w:bCs/>
        </w:rPr>
        <w:t>informs</w:t>
      </w:r>
      <w:r w:rsidR="00D51A13" w:rsidRPr="00FB5310">
        <w:rPr>
          <w:rFonts w:cs="Arial"/>
          <w:bCs/>
        </w:rPr>
        <w:t xml:space="preserve"> </w:t>
      </w:r>
      <w:r w:rsidR="00127BE1" w:rsidRPr="00FB5310">
        <w:rPr>
          <w:rFonts w:cs="Arial"/>
          <w:bCs/>
        </w:rPr>
        <w:t xml:space="preserve">every </w:t>
      </w:r>
      <w:r w:rsidR="00D51A13" w:rsidRPr="00FB5310">
        <w:rPr>
          <w:rFonts w:cs="Arial"/>
          <w:bCs/>
        </w:rPr>
        <w:t xml:space="preserve">single </w:t>
      </w:r>
      <w:r w:rsidR="00127BE1" w:rsidRPr="00FB5310">
        <w:rPr>
          <w:rFonts w:cs="Arial"/>
          <w:bCs/>
        </w:rPr>
        <w:t>administrative and policy decision impacting the CTEIG.</w:t>
      </w:r>
      <w:r w:rsidRPr="00FB5310">
        <w:rPr>
          <w:rFonts w:cs="Arial"/>
          <w:bCs/>
        </w:rPr>
        <w:t xml:space="preserve"> </w:t>
      </w:r>
      <w:r w:rsidR="00127BE1" w:rsidRPr="00FB5310">
        <w:rPr>
          <w:rFonts w:cs="Arial"/>
          <w:bCs/>
        </w:rPr>
        <w:t>BIPOC,</w:t>
      </w:r>
      <w:r w:rsidRPr="00FB5310">
        <w:rPr>
          <w:rFonts w:cs="Arial"/>
          <w:shd w:val="clear" w:color="auto" w:fill="FFFFFF"/>
        </w:rPr>
        <w:t xml:space="preserve"> English learners, foster c</w:t>
      </w:r>
      <w:r w:rsidR="00127BE1" w:rsidRPr="00FB5310">
        <w:rPr>
          <w:rFonts w:cs="Arial"/>
          <w:shd w:val="clear" w:color="auto" w:fill="FFFFFF"/>
        </w:rPr>
        <w:t>are</w:t>
      </w:r>
      <w:r w:rsidRPr="00FB5310">
        <w:rPr>
          <w:rFonts w:cs="Arial"/>
          <w:shd w:val="clear" w:color="auto" w:fill="FFFFFF"/>
        </w:rPr>
        <w:t xml:space="preserve">, </w:t>
      </w:r>
      <w:r w:rsidR="00AA7AE5" w:rsidRPr="00FB5310">
        <w:rPr>
          <w:rFonts w:cs="Arial"/>
          <w:shd w:val="clear" w:color="auto" w:fill="FFFFFF"/>
        </w:rPr>
        <w:t>special education</w:t>
      </w:r>
      <w:r w:rsidR="00E81898" w:rsidRPr="00FB5310">
        <w:rPr>
          <w:rFonts w:cs="Arial"/>
          <w:shd w:val="clear" w:color="auto" w:fill="FFFFFF"/>
        </w:rPr>
        <w:t xml:space="preserve"> (SPED)</w:t>
      </w:r>
      <w:r w:rsidR="00AA7AE5" w:rsidRPr="00FB5310">
        <w:rPr>
          <w:rFonts w:cs="Arial"/>
          <w:shd w:val="clear" w:color="auto" w:fill="FFFFFF"/>
        </w:rPr>
        <w:t>, and socio-economically disadvantaged students</w:t>
      </w:r>
      <w:r w:rsidR="00127BE1" w:rsidRPr="00FB5310">
        <w:rPr>
          <w:rFonts w:cs="Arial"/>
          <w:shd w:val="clear" w:color="auto" w:fill="FFFFFF"/>
        </w:rPr>
        <w:t xml:space="preserve"> are confronted with far </w:t>
      </w:r>
      <w:r w:rsidRPr="00FB5310">
        <w:rPr>
          <w:rFonts w:cs="Arial"/>
          <w:shd w:val="clear" w:color="auto" w:fill="FFFFFF"/>
        </w:rPr>
        <w:t xml:space="preserve">more complex challenges than their peers. </w:t>
      </w:r>
      <w:r w:rsidR="00AA7AE5" w:rsidRPr="00FB5310">
        <w:rPr>
          <w:rFonts w:cs="Arial"/>
          <w:shd w:val="clear" w:color="auto" w:fill="FFFFFF"/>
        </w:rPr>
        <w:t>Programs with target s</w:t>
      </w:r>
      <w:r w:rsidRPr="00FB5310">
        <w:rPr>
          <w:rFonts w:cs="Arial"/>
          <w:shd w:val="clear" w:color="auto" w:fill="FFFFFF"/>
        </w:rPr>
        <w:t xml:space="preserve">upport </w:t>
      </w:r>
      <w:r w:rsidR="00127BE1" w:rsidRPr="00FB5310">
        <w:rPr>
          <w:rFonts w:cs="Arial"/>
          <w:shd w:val="clear" w:color="auto" w:fill="FFFFFF"/>
        </w:rPr>
        <w:t>serv</w:t>
      </w:r>
      <w:r w:rsidR="00AA7AE5" w:rsidRPr="00FB5310">
        <w:rPr>
          <w:rFonts w:cs="Arial"/>
          <w:shd w:val="clear" w:color="auto" w:fill="FFFFFF"/>
        </w:rPr>
        <w:t xml:space="preserve">ices provide </w:t>
      </w:r>
      <w:r w:rsidRPr="00FB5310">
        <w:rPr>
          <w:rFonts w:cs="Arial"/>
          <w:shd w:val="clear" w:color="auto" w:fill="FFFFFF"/>
        </w:rPr>
        <w:t xml:space="preserve">equitable educational journeys </w:t>
      </w:r>
      <w:r w:rsidR="00AA7AE5" w:rsidRPr="00FB5310">
        <w:rPr>
          <w:rFonts w:cs="Arial"/>
          <w:shd w:val="clear" w:color="auto" w:fill="FFFFFF"/>
        </w:rPr>
        <w:t xml:space="preserve">for </w:t>
      </w:r>
      <w:r w:rsidRPr="00FB5310">
        <w:rPr>
          <w:rFonts w:cs="Arial"/>
          <w:shd w:val="clear" w:color="auto" w:fill="FFFFFF"/>
        </w:rPr>
        <w:t>all students</w:t>
      </w:r>
      <w:r w:rsidR="00AA7AE5" w:rsidRPr="00FB5310">
        <w:rPr>
          <w:rFonts w:cs="Arial"/>
          <w:shd w:val="clear" w:color="auto" w:fill="FFFFFF"/>
        </w:rPr>
        <w:t xml:space="preserve"> to achieve their academic and professional goals.</w:t>
      </w:r>
      <w:r w:rsidR="007009DC" w:rsidRPr="00FB5310">
        <w:rPr>
          <w:rFonts w:cs="Arial"/>
          <w:shd w:val="clear" w:color="auto" w:fill="FFFFFF"/>
        </w:rPr>
        <w:t xml:space="preserve"> While teacher effectiveness </w:t>
      </w:r>
      <w:r w:rsidR="0032483E" w:rsidRPr="00FB5310">
        <w:rPr>
          <w:rFonts w:cs="Arial"/>
          <w:shd w:val="clear" w:color="auto" w:fill="FFFFFF"/>
        </w:rPr>
        <w:t>remains</w:t>
      </w:r>
      <w:r w:rsidR="007009DC" w:rsidRPr="00FB5310">
        <w:rPr>
          <w:rFonts w:cs="Arial"/>
          <w:shd w:val="clear" w:color="auto" w:fill="FFFFFF"/>
        </w:rPr>
        <w:t xml:space="preserve"> the strongest determinant of academic success,</w:t>
      </w:r>
      <w:r w:rsidR="007009DC" w:rsidRPr="00FB5310">
        <w:rPr>
          <w:rStyle w:val="FootnoteReference"/>
          <w:rFonts w:cs="Arial"/>
          <w:shd w:val="clear" w:color="auto" w:fill="FFFFFF"/>
        </w:rPr>
        <w:footnoteReference w:id="25"/>
      </w:r>
      <w:r w:rsidR="007009DC" w:rsidRPr="00FB5310">
        <w:rPr>
          <w:rFonts w:cs="Arial"/>
          <w:shd w:val="clear" w:color="auto" w:fill="FFFFFF"/>
        </w:rPr>
        <w:t xml:space="preserve"> attendance </w:t>
      </w:r>
      <w:r w:rsidR="0032483E" w:rsidRPr="00FB5310">
        <w:rPr>
          <w:rFonts w:cs="Arial"/>
          <w:shd w:val="clear" w:color="auto" w:fill="FFFFFF"/>
        </w:rPr>
        <w:t>has</w:t>
      </w:r>
      <w:r w:rsidR="007009DC" w:rsidRPr="00FB5310">
        <w:rPr>
          <w:rFonts w:cs="Arial"/>
          <w:shd w:val="clear" w:color="auto" w:fill="FFFFFF"/>
        </w:rPr>
        <w:t xml:space="preserve"> </w:t>
      </w:r>
      <w:r w:rsidR="0032483E" w:rsidRPr="00FB5310">
        <w:rPr>
          <w:rFonts w:cs="Arial"/>
          <w:shd w:val="clear" w:color="auto" w:fill="FFFFFF"/>
        </w:rPr>
        <w:t xml:space="preserve">also </w:t>
      </w:r>
      <w:r w:rsidR="007009DC" w:rsidRPr="00FB5310">
        <w:rPr>
          <w:rFonts w:cs="Arial"/>
          <w:shd w:val="clear" w:color="auto" w:fill="FFFFFF"/>
        </w:rPr>
        <w:t xml:space="preserve">consistently </w:t>
      </w:r>
      <w:r w:rsidR="0032483E" w:rsidRPr="00FB5310">
        <w:rPr>
          <w:rFonts w:cs="Arial"/>
          <w:shd w:val="clear" w:color="auto" w:fill="FFFFFF"/>
        </w:rPr>
        <w:t xml:space="preserve">been </w:t>
      </w:r>
      <w:r w:rsidR="007009DC" w:rsidRPr="00FB5310">
        <w:rPr>
          <w:rFonts w:cs="Arial"/>
          <w:shd w:val="clear" w:color="auto" w:fill="FFFFFF"/>
        </w:rPr>
        <w:t xml:space="preserve">a powerful indicator of positive educational outcomes. </w:t>
      </w:r>
      <w:r w:rsidR="006B4C3E" w:rsidRPr="00FB5310">
        <w:rPr>
          <w:rFonts w:cs="Arial"/>
          <w:shd w:val="clear" w:color="auto" w:fill="FFFFFF"/>
        </w:rPr>
        <w:t>The</w:t>
      </w:r>
      <w:r w:rsidR="005D71C5" w:rsidRPr="00FB5310">
        <w:rPr>
          <w:rFonts w:cs="Arial"/>
          <w:shd w:val="clear" w:color="auto" w:fill="FFFFFF"/>
        </w:rPr>
        <w:t xml:space="preserve"> inextricable association </w:t>
      </w:r>
      <w:r w:rsidR="006B4C3E" w:rsidRPr="00FB5310">
        <w:rPr>
          <w:rFonts w:cs="Arial"/>
          <w:shd w:val="clear" w:color="auto" w:fill="FFFFFF"/>
        </w:rPr>
        <w:t xml:space="preserve">between CTE programming and </w:t>
      </w:r>
      <w:r w:rsidR="003120E7" w:rsidRPr="00FB5310">
        <w:rPr>
          <w:rFonts w:cs="Arial"/>
          <w:shd w:val="clear" w:color="auto" w:fill="FFFFFF"/>
        </w:rPr>
        <w:t>positive educational</w:t>
      </w:r>
      <w:r w:rsidR="005D71C5" w:rsidRPr="00FB5310">
        <w:rPr>
          <w:rFonts w:cs="Arial"/>
          <w:shd w:val="clear" w:color="auto" w:fill="FFFFFF"/>
        </w:rPr>
        <w:t xml:space="preserve"> </w:t>
      </w:r>
      <w:r w:rsidR="001B74AC" w:rsidRPr="00FB5310">
        <w:rPr>
          <w:rFonts w:cs="Arial"/>
          <w:shd w:val="clear" w:color="auto" w:fill="FFFFFF"/>
        </w:rPr>
        <w:t xml:space="preserve">outcomes for traditionally marginalized student </w:t>
      </w:r>
      <w:r w:rsidR="001B74AC">
        <w:rPr>
          <w:rFonts w:cs="Arial"/>
          <w:color w:val="000000"/>
          <w:shd w:val="clear" w:color="auto" w:fill="FFFFFF"/>
        </w:rPr>
        <w:t xml:space="preserve">populations </w:t>
      </w:r>
      <w:r w:rsidR="006B4C3E">
        <w:rPr>
          <w:rFonts w:cs="Arial"/>
          <w:color w:val="000000"/>
          <w:shd w:val="clear" w:color="auto" w:fill="FFFFFF"/>
        </w:rPr>
        <w:t>is</w:t>
      </w:r>
      <w:r w:rsidR="001B74AC">
        <w:rPr>
          <w:rFonts w:cs="Arial"/>
          <w:color w:val="000000"/>
          <w:shd w:val="clear" w:color="auto" w:fill="FFFFFF"/>
        </w:rPr>
        <w:t xml:space="preserve"> invariably the </w:t>
      </w:r>
      <w:r w:rsidR="006C5B3D">
        <w:rPr>
          <w:rFonts w:cs="Arial"/>
          <w:color w:val="000000"/>
          <w:shd w:val="clear" w:color="auto" w:fill="FFFFFF"/>
        </w:rPr>
        <w:t xml:space="preserve">result of the </w:t>
      </w:r>
      <w:r w:rsidR="001B74AC">
        <w:rPr>
          <w:rFonts w:cs="Arial"/>
          <w:color w:val="000000"/>
          <w:shd w:val="clear" w:color="auto" w:fill="FFFFFF"/>
        </w:rPr>
        <w:t xml:space="preserve">same </w:t>
      </w:r>
      <w:r w:rsidR="006C5B3D">
        <w:rPr>
          <w:rFonts w:cs="Arial"/>
          <w:color w:val="000000"/>
          <w:shd w:val="clear" w:color="auto" w:fill="FFFFFF"/>
        </w:rPr>
        <w:t>by-product</w:t>
      </w:r>
      <w:r w:rsidR="006B4C3E">
        <w:rPr>
          <w:rFonts w:cs="Arial"/>
          <w:color w:val="000000"/>
          <w:shd w:val="clear" w:color="auto" w:fill="FFFFFF"/>
        </w:rPr>
        <w:t xml:space="preserve"> – CTE </w:t>
      </w:r>
      <w:r w:rsidR="001B74AC">
        <w:rPr>
          <w:rFonts w:cs="Arial"/>
          <w:color w:val="000000"/>
          <w:shd w:val="clear" w:color="auto" w:fill="FFFFFF"/>
        </w:rPr>
        <w:t>pathway completion</w:t>
      </w:r>
      <w:r w:rsidR="003120E7">
        <w:rPr>
          <w:rFonts w:cs="Arial"/>
          <w:color w:val="000000"/>
          <w:shd w:val="clear" w:color="auto" w:fill="FFFFFF"/>
        </w:rPr>
        <w:t>.</w:t>
      </w:r>
      <w:r w:rsidR="001B74AC">
        <w:rPr>
          <w:rFonts w:cs="Arial"/>
          <w:color w:val="000000"/>
          <w:shd w:val="clear" w:color="auto" w:fill="FFFFFF"/>
        </w:rPr>
        <w:t xml:space="preserve"> </w:t>
      </w:r>
    </w:p>
    <w:p w14:paraId="766DAD7F" w14:textId="1668074F" w:rsidR="00AE2479" w:rsidRPr="00790249" w:rsidRDefault="00B35138" w:rsidP="00C11A36">
      <w:pPr>
        <w:spacing w:after="240"/>
        <w:rPr>
          <w:rFonts w:eastAsiaTheme="minorHAnsi" w:cs="Arial"/>
          <w:kern w:val="2"/>
          <w14:ligatures w14:val="standardContextual"/>
        </w:rPr>
      </w:pPr>
      <w:r>
        <w:rPr>
          <w:rFonts w:cs="Arial"/>
          <w:bCs/>
          <w:color w:val="000000" w:themeColor="text1"/>
        </w:rPr>
        <w:t xml:space="preserve">Equitable program access and </w:t>
      </w:r>
      <w:r w:rsidR="006D2350">
        <w:rPr>
          <w:rFonts w:cs="Arial"/>
          <w:bCs/>
          <w:color w:val="000000" w:themeColor="text1"/>
        </w:rPr>
        <w:t xml:space="preserve">pathway completion are essential to the CTEIG program and </w:t>
      </w:r>
      <w:r w:rsidR="00C00724">
        <w:rPr>
          <w:rFonts w:cs="Arial"/>
          <w:bCs/>
          <w:color w:val="000000" w:themeColor="text1"/>
        </w:rPr>
        <w:t xml:space="preserve">the </w:t>
      </w:r>
      <w:r w:rsidR="006D2350">
        <w:rPr>
          <w:rFonts w:cs="Arial"/>
          <w:bCs/>
          <w:color w:val="000000" w:themeColor="text1"/>
        </w:rPr>
        <w:t xml:space="preserve">growth of High-Quality CTE in California. </w:t>
      </w:r>
      <w:r w:rsidR="006D2350" w:rsidRPr="0075103A">
        <w:rPr>
          <w:rFonts w:cs="Arial"/>
          <w:bCs/>
          <w:color w:val="000000" w:themeColor="text1"/>
        </w:rPr>
        <w:t>Equity in education aims to create a level playing field for all children by supporting those who need it most.</w:t>
      </w:r>
      <w:r w:rsidR="006D2350">
        <w:rPr>
          <w:rFonts w:cs="Arial"/>
          <w:bCs/>
          <w:color w:val="000000" w:themeColor="text1"/>
        </w:rPr>
        <w:t xml:space="preserve"> Again, as evidenced and supported by </w:t>
      </w:r>
      <w:r w:rsidR="00C00724">
        <w:rPr>
          <w:rFonts w:cs="Arial"/>
          <w:bCs/>
          <w:color w:val="000000" w:themeColor="text1"/>
        </w:rPr>
        <w:t xml:space="preserve">a </w:t>
      </w:r>
      <w:r w:rsidR="006D2350">
        <w:rPr>
          <w:rFonts w:cs="Arial"/>
          <w:bCs/>
          <w:color w:val="000000" w:themeColor="text1"/>
        </w:rPr>
        <w:t>thorough analysis of the 2021–22 AY data, CTE pathways provide the greatest opportunity for the subgroups in greatest need of opportunity, namely, BIPOC populations. The attendance rate across the cohort of CTE completers was well above 90 percent, and nominally higher for CTEIG completers; however, non-CTE participants attendance rates across all BIPOC populations was 15 to 20 percent lower.</w:t>
      </w:r>
      <w:r w:rsidR="006D2350">
        <w:rPr>
          <w:rStyle w:val="FootnoteReference"/>
          <w:rFonts w:cs="Arial"/>
          <w:bCs/>
          <w:color w:val="000000" w:themeColor="text1"/>
        </w:rPr>
        <w:footnoteReference w:id="26"/>
      </w:r>
      <w:r w:rsidR="006D2350">
        <w:rPr>
          <w:rFonts w:cs="Arial"/>
          <w:bCs/>
          <w:color w:val="000000" w:themeColor="text1"/>
        </w:rPr>
        <w:t xml:space="preserve"> </w:t>
      </w:r>
      <w:r w:rsidR="00781FD3">
        <w:rPr>
          <w:rFonts w:cs="Arial"/>
          <w:bCs/>
          <w:color w:val="000000" w:themeColor="text1"/>
        </w:rPr>
        <w:t>N</w:t>
      </w:r>
      <w:r w:rsidR="00781FD3" w:rsidRPr="00EE3F69">
        <w:rPr>
          <w:rFonts w:cs="Arial"/>
          <w:bCs/>
        </w:rPr>
        <w:t>on-CTE student</w:t>
      </w:r>
      <w:r w:rsidR="00781FD3">
        <w:rPr>
          <w:rFonts w:cs="Arial"/>
          <w:bCs/>
        </w:rPr>
        <w:t xml:space="preserve"> attendance rates</w:t>
      </w:r>
      <w:r w:rsidR="00781FD3" w:rsidRPr="00EE3F69">
        <w:rPr>
          <w:rFonts w:cs="Arial"/>
          <w:bCs/>
        </w:rPr>
        <w:t xml:space="preserve"> </w:t>
      </w:r>
      <w:r w:rsidR="00781FD3">
        <w:rPr>
          <w:rFonts w:cs="Arial"/>
          <w:bCs/>
        </w:rPr>
        <w:t xml:space="preserve">at </w:t>
      </w:r>
      <w:r w:rsidR="006D2350" w:rsidRPr="00EE3F69">
        <w:rPr>
          <w:rFonts w:cs="Arial"/>
          <w:bCs/>
        </w:rPr>
        <w:t>non-CTEIG</w:t>
      </w:r>
      <w:r w:rsidR="006C3B0B">
        <w:rPr>
          <w:rFonts w:cs="Arial"/>
          <w:bCs/>
        </w:rPr>
        <w:t xml:space="preserve"> LEAs</w:t>
      </w:r>
      <w:r w:rsidR="006D2350" w:rsidRPr="00EE3F69">
        <w:rPr>
          <w:rFonts w:cs="Arial"/>
          <w:bCs/>
        </w:rPr>
        <w:t xml:space="preserve">, for the identified subgroups – Native American and Alaskan Native, Black, Pacific Islander, Hispanic, and </w:t>
      </w:r>
      <w:r w:rsidR="008545FC">
        <w:rPr>
          <w:rFonts w:cs="Arial"/>
          <w:bCs/>
        </w:rPr>
        <w:t>t</w:t>
      </w:r>
      <w:r w:rsidR="006D2350" w:rsidRPr="00EE3F69">
        <w:rPr>
          <w:rFonts w:cs="Arial"/>
          <w:bCs/>
        </w:rPr>
        <w:t xml:space="preserve">wo or </w:t>
      </w:r>
      <w:r w:rsidR="008545FC">
        <w:rPr>
          <w:rFonts w:cs="Arial"/>
          <w:bCs/>
        </w:rPr>
        <w:t>m</w:t>
      </w:r>
      <w:r w:rsidR="006D2350" w:rsidRPr="00EE3F69">
        <w:rPr>
          <w:rFonts w:cs="Arial"/>
          <w:bCs/>
        </w:rPr>
        <w:t xml:space="preserve">ore </w:t>
      </w:r>
      <w:r w:rsidR="008545FC">
        <w:rPr>
          <w:rFonts w:cs="Arial"/>
          <w:bCs/>
        </w:rPr>
        <w:t>r</w:t>
      </w:r>
      <w:r w:rsidR="006D2350" w:rsidRPr="00EE3F69">
        <w:rPr>
          <w:rFonts w:cs="Arial"/>
          <w:bCs/>
        </w:rPr>
        <w:t xml:space="preserve">aces – were </w:t>
      </w:r>
      <w:r w:rsidR="006D2350">
        <w:rPr>
          <w:rFonts w:cs="Arial"/>
          <w:bCs/>
        </w:rPr>
        <w:t>73.6</w:t>
      </w:r>
      <w:r w:rsidR="006D2350" w:rsidRPr="00EE3F69">
        <w:rPr>
          <w:rFonts w:cs="Arial"/>
          <w:bCs/>
        </w:rPr>
        <w:t xml:space="preserve">, </w:t>
      </w:r>
      <w:r w:rsidR="006D2350">
        <w:rPr>
          <w:rFonts w:cs="Arial"/>
          <w:bCs/>
        </w:rPr>
        <w:t>68.3</w:t>
      </w:r>
      <w:r w:rsidR="006D2350" w:rsidRPr="00EE3F69">
        <w:rPr>
          <w:rFonts w:cs="Arial"/>
          <w:bCs/>
        </w:rPr>
        <w:t xml:space="preserve">, </w:t>
      </w:r>
      <w:r w:rsidR="006D2350">
        <w:rPr>
          <w:rFonts w:cs="Arial"/>
          <w:bCs/>
        </w:rPr>
        <w:t>78.6</w:t>
      </w:r>
      <w:r w:rsidR="006D2350" w:rsidRPr="00EE3F69">
        <w:rPr>
          <w:rFonts w:cs="Arial"/>
          <w:bCs/>
        </w:rPr>
        <w:t xml:space="preserve">, </w:t>
      </w:r>
      <w:r w:rsidR="006D2350">
        <w:rPr>
          <w:rFonts w:cs="Arial"/>
          <w:bCs/>
        </w:rPr>
        <w:t>73.4</w:t>
      </w:r>
      <w:r w:rsidR="006D2350" w:rsidRPr="00EE3F69">
        <w:rPr>
          <w:rFonts w:cs="Arial"/>
          <w:bCs/>
        </w:rPr>
        <w:t xml:space="preserve">, and </w:t>
      </w:r>
      <w:r w:rsidR="006D2350">
        <w:rPr>
          <w:rFonts w:cs="Arial"/>
          <w:bCs/>
        </w:rPr>
        <w:t>75.6</w:t>
      </w:r>
      <w:r w:rsidR="006D2350" w:rsidRPr="00EE3F69">
        <w:rPr>
          <w:rFonts w:cs="Arial"/>
          <w:bCs/>
        </w:rPr>
        <w:t xml:space="preserve"> percent, </w:t>
      </w:r>
      <w:r w:rsidR="006D2350" w:rsidRPr="00EE3F69">
        <w:rPr>
          <w:rFonts w:cs="Arial"/>
          <w:bCs/>
        </w:rPr>
        <w:lastRenderedPageBreak/>
        <w:t>respectively.</w:t>
      </w:r>
      <w:r w:rsidR="004E35DA">
        <w:rPr>
          <w:rStyle w:val="FootnoteReference"/>
          <w:rFonts w:cs="Arial"/>
          <w:bCs/>
        </w:rPr>
        <w:footnoteReference w:id="27"/>
      </w:r>
      <w:r w:rsidR="006D2350">
        <w:rPr>
          <w:rFonts w:cs="Arial"/>
          <w:bCs/>
        </w:rPr>
        <w:t xml:space="preserve"> </w:t>
      </w:r>
      <w:r w:rsidR="001A07FC">
        <w:rPr>
          <w:rFonts w:cs="Arial"/>
          <w:bCs/>
        </w:rPr>
        <w:t>W</w:t>
      </w:r>
      <w:r w:rsidR="00EE3F69">
        <w:rPr>
          <w:rFonts w:cs="Arial"/>
          <w:bCs/>
        </w:rPr>
        <w:t>hen analyzing the exact same disaggregated racial subgroups a</w:t>
      </w:r>
      <w:r w:rsidR="001A07FC">
        <w:rPr>
          <w:rFonts w:cs="Arial"/>
          <w:bCs/>
        </w:rPr>
        <w:t>t CTEIG LEAs</w:t>
      </w:r>
      <w:r w:rsidR="00EE3F69">
        <w:rPr>
          <w:rFonts w:cs="Arial"/>
          <w:bCs/>
        </w:rPr>
        <w:t xml:space="preserve"> </w:t>
      </w:r>
      <w:r w:rsidR="001A07FC">
        <w:rPr>
          <w:rFonts w:cs="Arial"/>
          <w:bCs/>
        </w:rPr>
        <w:t xml:space="preserve">a </w:t>
      </w:r>
      <w:r w:rsidR="00EE3F69">
        <w:rPr>
          <w:rFonts w:cs="Arial"/>
          <w:bCs/>
        </w:rPr>
        <w:t>familiar pattern emerges</w:t>
      </w:r>
      <w:r w:rsidR="004E35DA">
        <w:rPr>
          <w:rFonts w:cs="Arial"/>
          <w:bCs/>
        </w:rPr>
        <w:t>;</w:t>
      </w:r>
      <w:r w:rsidR="00EE3F69">
        <w:rPr>
          <w:rFonts w:cs="Arial"/>
          <w:bCs/>
        </w:rPr>
        <w:t xml:space="preserve"> as CTE engagement rises</w:t>
      </w:r>
      <w:r w:rsidR="004E35DA">
        <w:rPr>
          <w:rFonts w:cs="Arial"/>
          <w:bCs/>
        </w:rPr>
        <w:t xml:space="preserve"> and pathway completion increases</w:t>
      </w:r>
      <w:r w:rsidR="00EE3F69">
        <w:rPr>
          <w:rFonts w:cs="Arial"/>
          <w:bCs/>
        </w:rPr>
        <w:t xml:space="preserve">, </w:t>
      </w:r>
      <w:r w:rsidR="001A07FC">
        <w:rPr>
          <w:rFonts w:cs="Arial"/>
          <w:bCs/>
        </w:rPr>
        <w:t xml:space="preserve">there is </w:t>
      </w:r>
      <w:r w:rsidR="004E35DA">
        <w:rPr>
          <w:rFonts w:cs="Arial"/>
          <w:bCs/>
        </w:rPr>
        <w:t xml:space="preserve">a </w:t>
      </w:r>
      <w:r w:rsidR="00EE3F69">
        <w:rPr>
          <w:rFonts w:cs="Arial"/>
          <w:bCs/>
        </w:rPr>
        <w:t xml:space="preserve">subsequent </w:t>
      </w:r>
      <w:r w:rsidR="00734691">
        <w:rPr>
          <w:rFonts w:cs="Arial"/>
          <w:bCs/>
        </w:rPr>
        <w:t xml:space="preserve">and substantial </w:t>
      </w:r>
      <w:r w:rsidR="004E35DA">
        <w:rPr>
          <w:rFonts w:cs="Arial"/>
          <w:bCs/>
        </w:rPr>
        <w:t>increase</w:t>
      </w:r>
      <w:r w:rsidR="00EE3F69">
        <w:rPr>
          <w:rFonts w:cs="Arial"/>
          <w:bCs/>
        </w:rPr>
        <w:t xml:space="preserve"> in </w:t>
      </w:r>
      <w:r w:rsidR="004E35DA">
        <w:rPr>
          <w:rFonts w:cs="Arial"/>
          <w:bCs/>
        </w:rPr>
        <w:t xml:space="preserve">attendance and </w:t>
      </w:r>
      <w:r w:rsidR="00EE3F69">
        <w:rPr>
          <w:rFonts w:cs="Arial"/>
          <w:bCs/>
        </w:rPr>
        <w:t>graduation rates</w:t>
      </w:r>
      <w:r w:rsidR="004E35DA">
        <w:rPr>
          <w:rFonts w:cs="Arial"/>
          <w:bCs/>
        </w:rPr>
        <w:t>.</w:t>
      </w:r>
      <w:r w:rsidR="004E35DA">
        <w:rPr>
          <w:rStyle w:val="FootnoteReference"/>
          <w:rFonts w:cs="Arial"/>
          <w:bCs/>
        </w:rPr>
        <w:footnoteReference w:id="28"/>
      </w:r>
      <w:r w:rsidR="00EE3F69">
        <w:rPr>
          <w:rFonts w:cs="Arial"/>
          <w:bCs/>
        </w:rPr>
        <w:t xml:space="preserve"> </w:t>
      </w:r>
    </w:p>
    <w:p w14:paraId="7B89C3F1" w14:textId="078A754D" w:rsidR="00AE2479" w:rsidRDefault="00790249" w:rsidP="00C11A36">
      <w:pPr>
        <w:pStyle w:val="Heading3"/>
        <w:jc w:val="left"/>
        <w:rPr>
          <w:rFonts w:eastAsiaTheme="minorHAnsi" w:cs="Arial"/>
          <w:i/>
          <w:iCs/>
          <w:kern w:val="2"/>
          <w14:ligatures w14:val="standardContextual"/>
        </w:rPr>
      </w:pPr>
      <w:r w:rsidRPr="00DF5BB2">
        <w:rPr>
          <w:rFonts w:eastAsiaTheme="minorHAnsi"/>
        </w:rPr>
        <w:t>John Muir Charter School</w:t>
      </w:r>
    </w:p>
    <w:p w14:paraId="67E25C61" w14:textId="4F65A663" w:rsidR="00EA5AB9" w:rsidRDefault="00EA5AB9" w:rsidP="0005725B">
      <w:pPr>
        <w:autoSpaceDE w:val="0"/>
        <w:autoSpaceDN w:val="0"/>
        <w:adjustRightInd w:val="0"/>
        <w:spacing w:after="240"/>
        <w:contextualSpacing/>
        <w:rPr>
          <w:rFonts w:eastAsiaTheme="minorHAnsi" w:cs="Arial"/>
          <w14:ligatures w14:val="standardContextual"/>
        </w:rPr>
      </w:pPr>
      <w:r>
        <w:rPr>
          <w:rFonts w:eastAsiaTheme="minorHAnsi" w:cs="Arial"/>
          <w14:ligatures w14:val="standardContextual"/>
        </w:rPr>
        <w:t>The John Muir Charter School (JMCS) has implemented targeted s</w:t>
      </w:r>
      <w:r w:rsidR="00790249" w:rsidRPr="00790249">
        <w:rPr>
          <w:rFonts w:eastAsiaTheme="minorHAnsi" w:cs="Arial"/>
          <w14:ligatures w14:val="standardContextual"/>
        </w:rPr>
        <w:t>trategies and supports to promote recruitment, retention</w:t>
      </w:r>
      <w:r w:rsidR="005721AB">
        <w:rPr>
          <w:rFonts w:eastAsiaTheme="minorHAnsi" w:cs="Arial"/>
          <w14:ligatures w14:val="standardContextual"/>
        </w:rPr>
        <w:t>,</w:t>
      </w:r>
      <w:r w:rsidR="00790249" w:rsidRPr="00790249">
        <w:rPr>
          <w:rFonts w:eastAsiaTheme="minorHAnsi" w:cs="Arial"/>
          <w14:ligatures w14:val="standardContextual"/>
        </w:rPr>
        <w:t xml:space="preserve"> and success of special</w:t>
      </w:r>
      <w:r>
        <w:rPr>
          <w:rFonts w:eastAsiaTheme="minorHAnsi" w:cs="Arial"/>
          <w14:ligatures w14:val="standardContextual"/>
        </w:rPr>
        <w:t xml:space="preserve"> </w:t>
      </w:r>
      <w:r w:rsidR="00790249" w:rsidRPr="00790249">
        <w:rPr>
          <w:rFonts w:eastAsiaTheme="minorHAnsi" w:cs="Arial"/>
          <w14:ligatures w14:val="standardContextual"/>
        </w:rPr>
        <w:t>population students</w:t>
      </w:r>
      <w:r>
        <w:rPr>
          <w:rFonts w:eastAsiaTheme="minorHAnsi" w:cs="Arial"/>
          <w14:ligatures w14:val="standardContextual"/>
        </w:rPr>
        <w:t xml:space="preserve"> and teachers. </w:t>
      </w:r>
      <w:r w:rsidR="00790249" w:rsidRPr="00790249">
        <w:rPr>
          <w:rFonts w:eastAsiaTheme="minorHAnsi" w:cs="Arial"/>
          <w14:ligatures w14:val="standardContextual"/>
        </w:rPr>
        <w:t xml:space="preserve">The most recent enhancement to </w:t>
      </w:r>
      <w:r>
        <w:rPr>
          <w:rFonts w:eastAsiaTheme="minorHAnsi" w:cs="Arial"/>
          <w14:ligatures w14:val="standardContextual"/>
        </w:rPr>
        <w:t xml:space="preserve">their CTE </w:t>
      </w:r>
      <w:r w:rsidR="00790249" w:rsidRPr="00790249">
        <w:rPr>
          <w:rFonts w:eastAsiaTheme="minorHAnsi" w:cs="Arial"/>
          <w14:ligatures w14:val="standardContextual"/>
        </w:rPr>
        <w:t>instruc</w:t>
      </w:r>
      <w:r>
        <w:rPr>
          <w:rFonts w:eastAsiaTheme="minorHAnsi" w:cs="Arial"/>
          <w14:ligatures w14:val="standardContextual"/>
        </w:rPr>
        <w:t xml:space="preserve">tional </w:t>
      </w:r>
      <w:r w:rsidR="00790249" w:rsidRPr="00790249">
        <w:rPr>
          <w:rFonts w:eastAsiaTheme="minorHAnsi" w:cs="Arial"/>
          <w14:ligatures w14:val="standardContextual"/>
        </w:rPr>
        <w:t>program is the addition of</w:t>
      </w:r>
      <w:r>
        <w:rPr>
          <w:rFonts w:eastAsiaTheme="minorHAnsi" w:cs="Arial"/>
          <w14:ligatures w14:val="standardContextual"/>
        </w:rPr>
        <w:t xml:space="preserve"> </w:t>
      </w:r>
      <w:r w:rsidR="00790249" w:rsidRPr="00790249">
        <w:rPr>
          <w:rFonts w:eastAsiaTheme="minorHAnsi" w:cs="Arial"/>
          <w14:ligatures w14:val="standardContextual"/>
        </w:rPr>
        <w:t>instructional support staff in each of our CTE pathway programs. Students</w:t>
      </w:r>
      <w:r>
        <w:rPr>
          <w:rFonts w:eastAsiaTheme="minorHAnsi" w:cs="Arial"/>
          <w14:ligatures w14:val="standardContextual"/>
        </w:rPr>
        <w:t xml:space="preserve"> with special needs</w:t>
      </w:r>
      <w:r w:rsidR="00790249" w:rsidRPr="00790249">
        <w:rPr>
          <w:rFonts w:eastAsiaTheme="minorHAnsi" w:cs="Arial"/>
          <w14:ligatures w14:val="standardContextual"/>
        </w:rPr>
        <w:t xml:space="preserve"> are </w:t>
      </w:r>
      <w:r>
        <w:rPr>
          <w:rFonts w:eastAsiaTheme="minorHAnsi" w:cs="Arial"/>
          <w14:ligatures w14:val="standardContextual"/>
        </w:rPr>
        <w:t xml:space="preserve">fully </w:t>
      </w:r>
      <w:r w:rsidR="00790249" w:rsidRPr="00790249">
        <w:rPr>
          <w:rFonts w:eastAsiaTheme="minorHAnsi" w:cs="Arial"/>
          <w14:ligatures w14:val="standardContextual"/>
        </w:rPr>
        <w:t>supported to succeed</w:t>
      </w:r>
      <w:r>
        <w:rPr>
          <w:rFonts w:eastAsiaTheme="minorHAnsi" w:cs="Arial"/>
          <w14:ligatures w14:val="standardContextual"/>
        </w:rPr>
        <w:t>; particularly,</w:t>
      </w:r>
      <w:r w:rsidR="00790249" w:rsidRPr="00790249">
        <w:rPr>
          <w:rFonts w:eastAsiaTheme="minorHAnsi" w:cs="Arial"/>
          <w14:ligatures w14:val="standardContextual"/>
        </w:rPr>
        <w:t xml:space="preserve"> in the laboratory setting with additional instructional</w:t>
      </w:r>
      <w:r>
        <w:rPr>
          <w:rFonts w:eastAsiaTheme="minorHAnsi" w:cs="Arial"/>
          <w14:ligatures w14:val="standardContextual"/>
        </w:rPr>
        <w:t xml:space="preserve"> </w:t>
      </w:r>
      <w:r w:rsidR="00790249" w:rsidRPr="00790249">
        <w:rPr>
          <w:rFonts w:eastAsiaTheme="minorHAnsi" w:cs="Arial"/>
          <w14:ligatures w14:val="standardContextual"/>
        </w:rPr>
        <w:t xml:space="preserve">support. </w:t>
      </w:r>
      <w:r w:rsidR="00D41481">
        <w:rPr>
          <w:rFonts w:eastAsiaTheme="minorHAnsi" w:cs="Arial"/>
          <w14:ligatures w14:val="standardContextual"/>
        </w:rPr>
        <w:t xml:space="preserve">Made possible by the </w:t>
      </w:r>
      <w:r>
        <w:rPr>
          <w:rFonts w:eastAsiaTheme="minorHAnsi" w:cs="Arial"/>
          <w14:ligatures w14:val="standardContextual"/>
        </w:rPr>
        <w:t>CTEIG, JMCS ha</w:t>
      </w:r>
      <w:r w:rsidR="00D41481">
        <w:rPr>
          <w:rFonts w:eastAsiaTheme="minorHAnsi" w:cs="Arial"/>
          <w14:ligatures w14:val="standardContextual"/>
        </w:rPr>
        <w:t xml:space="preserve">s </w:t>
      </w:r>
      <w:r>
        <w:rPr>
          <w:rFonts w:eastAsiaTheme="minorHAnsi" w:cs="Arial"/>
          <w14:ligatures w14:val="standardContextual"/>
        </w:rPr>
        <w:t xml:space="preserve">dedicated </w:t>
      </w:r>
      <w:r w:rsidR="00790249" w:rsidRPr="00790249">
        <w:rPr>
          <w:rFonts w:eastAsiaTheme="minorHAnsi" w:cs="Arial"/>
          <w14:ligatures w14:val="standardContextual"/>
        </w:rPr>
        <w:t>CTE Coordinator</w:t>
      </w:r>
      <w:r w:rsidR="00D41481">
        <w:rPr>
          <w:rFonts w:eastAsiaTheme="minorHAnsi" w:cs="Arial"/>
          <w14:ligatures w14:val="standardContextual"/>
        </w:rPr>
        <w:t>s</w:t>
      </w:r>
      <w:r w:rsidR="00790249" w:rsidRPr="00790249">
        <w:rPr>
          <w:rFonts w:eastAsiaTheme="minorHAnsi" w:cs="Arial"/>
          <w14:ligatures w14:val="standardContextual"/>
        </w:rPr>
        <w:t xml:space="preserve"> </w:t>
      </w:r>
      <w:r>
        <w:rPr>
          <w:rFonts w:eastAsiaTheme="minorHAnsi" w:cs="Arial"/>
          <w14:ligatures w14:val="standardContextual"/>
        </w:rPr>
        <w:t xml:space="preserve">implementing </w:t>
      </w:r>
      <w:r w:rsidR="00790249" w:rsidRPr="00790249">
        <w:rPr>
          <w:rFonts w:eastAsiaTheme="minorHAnsi" w:cs="Arial"/>
          <w14:ligatures w14:val="standardContextual"/>
        </w:rPr>
        <w:t>recruitment</w:t>
      </w:r>
      <w:r>
        <w:rPr>
          <w:rFonts w:eastAsiaTheme="minorHAnsi" w:cs="Arial"/>
          <w14:ligatures w14:val="standardContextual"/>
        </w:rPr>
        <w:t xml:space="preserve"> </w:t>
      </w:r>
      <w:r w:rsidR="00790249" w:rsidRPr="00790249">
        <w:rPr>
          <w:rFonts w:eastAsiaTheme="minorHAnsi" w:cs="Arial"/>
          <w14:ligatures w14:val="standardContextual"/>
        </w:rPr>
        <w:t xml:space="preserve">strategies to attract students from special populations and </w:t>
      </w:r>
      <w:r>
        <w:rPr>
          <w:rFonts w:eastAsiaTheme="minorHAnsi" w:cs="Arial"/>
          <w14:ligatures w14:val="standardContextual"/>
        </w:rPr>
        <w:t xml:space="preserve">employer </w:t>
      </w:r>
      <w:r w:rsidR="00790249" w:rsidRPr="00790249">
        <w:rPr>
          <w:rFonts w:eastAsiaTheme="minorHAnsi" w:cs="Arial"/>
          <w14:ligatures w14:val="standardContextual"/>
        </w:rPr>
        <w:t>retention</w:t>
      </w:r>
      <w:r>
        <w:rPr>
          <w:rFonts w:eastAsiaTheme="minorHAnsi" w:cs="Arial"/>
          <w14:ligatures w14:val="standardContextual"/>
        </w:rPr>
        <w:t xml:space="preserve"> </w:t>
      </w:r>
      <w:r w:rsidR="00790249" w:rsidRPr="00790249">
        <w:rPr>
          <w:rFonts w:eastAsiaTheme="minorHAnsi" w:cs="Arial"/>
          <w14:ligatures w14:val="standardContextual"/>
        </w:rPr>
        <w:t xml:space="preserve">efforts. </w:t>
      </w:r>
      <w:r w:rsidR="00D41481">
        <w:rPr>
          <w:rFonts w:eastAsiaTheme="minorHAnsi" w:cs="Arial"/>
          <w14:ligatures w14:val="standardContextual"/>
        </w:rPr>
        <w:t>The JMCS’s use of CTE programming emphasiz</w:t>
      </w:r>
      <w:r w:rsidR="005C197A">
        <w:rPr>
          <w:rFonts w:eastAsiaTheme="minorHAnsi" w:cs="Arial"/>
          <w14:ligatures w14:val="standardContextual"/>
        </w:rPr>
        <w:t xml:space="preserve">es </w:t>
      </w:r>
      <w:r w:rsidR="00D41481">
        <w:rPr>
          <w:rFonts w:eastAsiaTheme="minorHAnsi" w:cs="Arial"/>
          <w14:ligatures w14:val="standardContextual"/>
        </w:rPr>
        <w:t xml:space="preserve">special population students </w:t>
      </w:r>
      <w:r w:rsidR="00703173">
        <w:rPr>
          <w:rFonts w:eastAsiaTheme="minorHAnsi" w:cs="Arial"/>
          <w14:ligatures w14:val="standardContextual"/>
        </w:rPr>
        <w:t xml:space="preserve">through </w:t>
      </w:r>
      <w:r w:rsidR="00D41481">
        <w:rPr>
          <w:rFonts w:eastAsiaTheme="minorHAnsi" w:cs="Arial"/>
          <w14:ligatures w14:val="standardContextual"/>
        </w:rPr>
        <w:t xml:space="preserve">equitable </w:t>
      </w:r>
      <w:r w:rsidR="00703173">
        <w:rPr>
          <w:rFonts w:eastAsiaTheme="minorHAnsi" w:cs="Arial"/>
          <w14:ligatures w14:val="standardContextual"/>
        </w:rPr>
        <w:t xml:space="preserve">access and </w:t>
      </w:r>
      <w:r w:rsidR="00D41481">
        <w:rPr>
          <w:rFonts w:eastAsiaTheme="minorHAnsi" w:cs="Arial"/>
          <w14:ligatures w14:val="standardContextual"/>
        </w:rPr>
        <w:t>support.</w:t>
      </w:r>
    </w:p>
    <w:p w14:paraId="2DE6253E" w14:textId="62458DF0" w:rsidR="00AE2479" w:rsidRPr="00AE2479" w:rsidRDefault="00EA5AB9" w:rsidP="0005725B">
      <w:pPr>
        <w:autoSpaceDE w:val="0"/>
        <w:autoSpaceDN w:val="0"/>
        <w:adjustRightInd w:val="0"/>
        <w:spacing w:after="240"/>
        <w:rPr>
          <w:rFonts w:eastAsiaTheme="minorHAnsi" w:cs="Arial"/>
          <w14:ligatures w14:val="standardContextual"/>
        </w:rPr>
      </w:pPr>
      <w:r>
        <w:rPr>
          <w:rFonts w:eastAsiaTheme="minorHAnsi" w:cs="Arial"/>
          <w14:ligatures w14:val="standardContextual"/>
        </w:rPr>
        <w:t>JMCS has a</w:t>
      </w:r>
      <w:r w:rsidR="00790249" w:rsidRPr="00790249">
        <w:rPr>
          <w:rFonts w:eastAsiaTheme="minorHAnsi" w:cs="Arial"/>
          <w14:ligatures w14:val="standardContextual"/>
        </w:rPr>
        <w:t xml:space="preserve"> youth campus created for the purpose of serving </w:t>
      </w:r>
      <w:r>
        <w:rPr>
          <w:rFonts w:eastAsiaTheme="minorHAnsi" w:cs="Arial"/>
          <w14:ligatures w14:val="standardContextual"/>
        </w:rPr>
        <w:t>students</w:t>
      </w:r>
      <w:r w:rsidR="00790249" w:rsidRPr="00790249">
        <w:rPr>
          <w:rFonts w:eastAsiaTheme="minorHAnsi" w:cs="Arial"/>
          <w14:ligatures w14:val="standardContextual"/>
        </w:rPr>
        <w:t xml:space="preserve"> who have </w:t>
      </w:r>
      <w:r>
        <w:rPr>
          <w:rFonts w:eastAsiaTheme="minorHAnsi" w:cs="Arial"/>
          <w14:ligatures w14:val="standardContextual"/>
        </w:rPr>
        <w:t xml:space="preserve">yet to </w:t>
      </w:r>
      <w:r w:rsidR="00790249" w:rsidRPr="00790249">
        <w:rPr>
          <w:rFonts w:eastAsiaTheme="minorHAnsi" w:cs="Arial"/>
          <w14:ligatures w14:val="standardContextual"/>
        </w:rPr>
        <w:t xml:space="preserve">thrive in </w:t>
      </w:r>
      <w:r>
        <w:rPr>
          <w:rFonts w:eastAsiaTheme="minorHAnsi" w:cs="Arial"/>
          <w14:ligatures w14:val="standardContextual"/>
        </w:rPr>
        <w:t xml:space="preserve">a </w:t>
      </w:r>
      <w:r w:rsidR="00790249" w:rsidRPr="00790249">
        <w:rPr>
          <w:rFonts w:eastAsiaTheme="minorHAnsi" w:cs="Arial"/>
          <w14:ligatures w14:val="standardContextual"/>
        </w:rPr>
        <w:t xml:space="preserve">traditional </w:t>
      </w:r>
      <w:r>
        <w:rPr>
          <w:rFonts w:eastAsiaTheme="minorHAnsi" w:cs="Arial"/>
          <w14:ligatures w14:val="standardContextual"/>
        </w:rPr>
        <w:t xml:space="preserve">academic </w:t>
      </w:r>
      <w:r w:rsidR="00790249" w:rsidRPr="00790249">
        <w:rPr>
          <w:rFonts w:eastAsiaTheme="minorHAnsi" w:cs="Arial"/>
          <w14:ligatures w14:val="standardContextual"/>
        </w:rPr>
        <w:t xml:space="preserve">setting and belong </w:t>
      </w:r>
      <w:r>
        <w:rPr>
          <w:rFonts w:eastAsiaTheme="minorHAnsi" w:cs="Arial"/>
          <w14:ligatures w14:val="standardContextual"/>
        </w:rPr>
        <w:t>to</w:t>
      </w:r>
      <w:r w:rsidR="00790249" w:rsidRPr="00790249">
        <w:rPr>
          <w:rFonts w:eastAsiaTheme="minorHAnsi" w:cs="Arial"/>
          <w14:ligatures w14:val="standardContextual"/>
        </w:rPr>
        <w:t xml:space="preserve"> special populatio</w:t>
      </w:r>
      <w:r>
        <w:rPr>
          <w:rFonts w:eastAsiaTheme="minorHAnsi" w:cs="Arial"/>
          <w14:ligatures w14:val="standardContextual"/>
        </w:rPr>
        <w:t>ns. Over</w:t>
      </w:r>
      <w:r w:rsidR="00790249" w:rsidRPr="00790249">
        <w:rPr>
          <w:rFonts w:eastAsiaTheme="minorHAnsi" w:cs="Arial"/>
          <w14:ligatures w14:val="standardContextual"/>
        </w:rPr>
        <w:t xml:space="preserve"> 95</w:t>
      </w:r>
      <w:r>
        <w:rPr>
          <w:rFonts w:eastAsiaTheme="minorHAnsi" w:cs="Arial"/>
          <w14:ligatures w14:val="standardContextual"/>
        </w:rPr>
        <w:t xml:space="preserve"> percent of pupils on JMCS’s youth campus are</w:t>
      </w:r>
      <w:r w:rsidR="00790249" w:rsidRPr="00790249">
        <w:rPr>
          <w:rFonts w:eastAsiaTheme="minorHAnsi" w:cs="Arial"/>
          <w14:ligatures w14:val="standardContextual"/>
        </w:rPr>
        <w:t xml:space="preserve"> </w:t>
      </w:r>
      <w:r w:rsidR="008261A2">
        <w:rPr>
          <w:rFonts w:eastAsiaTheme="minorHAnsi" w:cs="Arial"/>
          <w14:ligatures w14:val="standardContextual"/>
        </w:rPr>
        <w:t>socioeconomically</w:t>
      </w:r>
      <w:r w:rsidR="00790249" w:rsidRPr="00790249">
        <w:rPr>
          <w:rFonts w:eastAsiaTheme="minorHAnsi" w:cs="Arial"/>
          <w14:ligatures w14:val="standardContextual"/>
        </w:rPr>
        <w:t xml:space="preserve"> disadvantaged and struggle with socio-emotional issues.</w:t>
      </w:r>
      <w:r w:rsidR="00AE2479">
        <w:rPr>
          <w:rFonts w:eastAsiaTheme="minorHAnsi" w:cs="Arial"/>
          <w14:ligatures w14:val="standardContextual"/>
        </w:rPr>
        <w:t xml:space="preserve"> </w:t>
      </w:r>
      <w:r w:rsidR="00790249" w:rsidRPr="00790249">
        <w:rPr>
          <w:rFonts w:eastAsiaTheme="minorHAnsi" w:cs="Arial"/>
          <w14:ligatures w14:val="standardContextual"/>
        </w:rPr>
        <w:t xml:space="preserve">Students often enroll in </w:t>
      </w:r>
      <w:r w:rsidR="005721AB">
        <w:rPr>
          <w:rFonts w:eastAsiaTheme="minorHAnsi" w:cs="Arial"/>
          <w14:ligatures w14:val="standardContextual"/>
        </w:rPr>
        <w:t>the</w:t>
      </w:r>
      <w:r w:rsidR="005721AB" w:rsidRPr="00790249">
        <w:rPr>
          <w:rFonts w:eastAsiaTheme="minorHAnsi" w:cs="Arial"/>
          <w14:ligatures w14:val="standardContextual"/>
        </w:rPr>
        <w:t xml:space="preserve"> </w:t>
      </w:r>
      <w:r w:rsidR="00790249" w:rsidRPr="00790249">
        <w:rPr>
          <w:rFonts w:eastAsiaTheme="minorHAnsi" w:cs="Arial"/>
          <w14:ligatures w14:val="standardContextual"/>
        </w:rPr>
        <w:t xml:space="preserve">school because they </w:t>
      </w:r>
      <w:r>
        <w:rPr>
          <w:rFonts w:eastAsiaTheme="minorHAnsi" w:cs="Arial"/>
          <w14:ligatures w14:val="standardContextual"/>
        </w:rPr>
        <w:t xml:space="preserve">have </w:t>
      </w:r>
      <w:r w:rsidR="00790249" w:rsidRPr="00790249">
        <w:rPr>
          <w:rFonts w:eastAsiaTheme="minorHAnsi" w:cs="Arial"/>
          <w14:ligatures w14:val="standardContextual"/>
        </w:rPr>
        <w:t>learning disabilities</w:t>
      </w:r>
      <w:r>
        <w:rPr>
          <w:rFonts w:eastAsiaTheme="minorHAnsi" w:cs="Arial"/>
          <w14:ligatures w14:val="standardContextual"/>
        </w:rPr>
        <w:t xml:space="preserve">, </w:t>
      </w:r>
      <w:r w:rsidR="00790249" w:rsidRPr="00790249">
        <w:rPr>
          <w:rFonts w:eastAsiaTheme="minorHAnsi" w:cs="Arial"/>
          <w14:ligatures w14:val="standardContextual"/>
        </w:rPr>
        <w:t>requir</w:t>
      </w:r>
      <w:r>
        <w:rPr>
          <w:rFonts w:eastAsiaTheme="minorHAnsi" w:cs="Arial"/>
          <w14:ligatures w14:val="standardContextual"/>
        </w:rPr>
        <w:t>ing</w:t>
      </w:r>
      <w:r w:rsidR="00790249" w:rsidRPr="00790249">
        <w:rPr>
          <w:rFonts w:eastAsiaTheme="minorHAnsi" w:cs="Arial"/>
          <w14:ligatures w14:val="standardContextual"/>
        </w:rPr>
        <w:t xml:space="preserve"> </w:t>
      </w:r>
      <w:r>
        <w:rPr>
          <w:rFonts w:eastAsiaTheme="minorHAnsi" w:cs="Arial"/>
          <w14:ligatures w14:val="standardContextual"/>
        </w:rPr>
        <w:t xml:space="preserve">special </w:t>
      </w:r>
      <w:r w:rsidR="00D41481" w:rsidRPr="00790249">
        <w:rPr>
          <w:rFonts w:eastAsiaTheme="minorHAnsi" w:cs="Arial"/>
          <w14:ligatures w14:val="standardContextual"/>
        </w:rPr>
        <w:t>accommodation</w:t>
      </w:r>
      <w:r w:rsidR="00790249" w:rsidRPr="00790249">
        <w:rPr>
          <w:rFonts w:eastAsiaTheme="minorHAnsi" w:cs="Arial"/>
          <w14:ligatures w14:val="standardContextual"/>
        </w:rPr>
        <w:t xml:space="preserve"> and</w:t>
      </w:r>
      <w:r>
        <w:rPr>
          <w:rFonts w:eastAsiaTheme="minorHAnsi" w:cs="Arial"/>
          <w14:ligatures w14:val="standardContextual"/>
        </w:rPr>
        <w:t xml:space="preserve"> additional</w:t>
      </w:r>
      <w:r w:rsidR="00AE2479">
        <w:rPr>
          <w:rFonts w:eastAsiaTheme="minorHAnsi" w:cs="Arial"/>
          <w14:ligatures w14:val="standardContextual"/>
        </w:rPr>
        <w:t xml:space="preserve"> </w:t>
      </w:r>
      <w:r w:rsidR="00790249" w:rsidRPr="00790249">
        <w:rPr>
          <w:rFonts w:eastAsiaTheme="minorHAnsi" w:cs="Arial"/>
          <w14:ligatures w14:val="standardContextual"/>
        </w:rPr>
        <w:t xml:space="preserve">academic support. </w:t>
      </w:r>
      <w:r>
        <w:rPr>
          <w:rFonts w:eastAsiaTheme="minorHAnsi" w:cs="Arial"/>
          <w14:ligatures w14:val="standardContextual"/>
        </w:rPr>
        <w:t>Each JMCS s</w:t>
      </w:r>
      <w:r w:rsidR="00790249" w:rsidRPr="00790249">
        <w:rPr>
          <w:rFonts w:eastAsiaTheme="minorHAnsi" w:cs="Arial"/>
          <w14:ligatures w14:val="standardContextual"/>
        </w:rPr>
        <w:t>tudent receive</w:t>
      </w:r>
      <w:r w:rsidR="00D41481">
        <w:rPr>
          <w:rFonts w:eastAsiaTheme="minorHAnsi" w:cs="Arial"/>
          <w14:ligatures w14:val="standardContextual"/>
        </w:rPr>
        <w:t>s</w:t>
      </w:r>
      <w:r w:rsidR="00790249" w:rsidRPr="00790249">
        <w:rPr>
          <w:rFonts w:eastAsiaTheme="minorHAnsi" w:cs="Arial"/>
          <w14:ligatures w14:val="standardContextual"/>
        </w:rPr>
        <w:t xml:space="preserve"> </w:t>
      </w:r>
      <w:r w:rsidR="00D41481">
        <w:rPr>
          <w:rFonts w:eastAsiaTheme="minorHAnsi" w:cs="Arial"/>
          <w14:ligatures w14:val="standardContextual"/>
        </w:rPr>
        <w:t>a C</w:t>
      </w:r>
      <w:r w:rsidR="00790249" w:rsidRPr="00790249">
        <w:rPr>
          <w:rFonts w:eastAsiaTheme="minorHAnsi" w:cs="Arial"/>
          <w14:ligatures w14:val="standardContextual"/>
        </w:rPr>
        <w:t xml:space="preserve">hromebook and </w:t>
      </w:r>
      <w:r w:rsidR="00C3382B">
        <w:rPr>
          <w:rFonts w:eastAsiaTheme="minorHAnsi" w:cs="Arial"/>
          <w14:ligatures w14:val="standardContextual"/>
        </w:rPr>
        <w:t>mobile hotspots</w:t>
      </w:r>
      <w:r w:rsidR="00790249" w:rsidRPr="00790249">
        <w:rPr>
          <w:rFonts w:eastAsiaTheme="minorHAnsi" w:cs="Arial"/>
          <w14:ligatures w14:val="standardContextual"/>
        </w:rPr>
        <w:t xml:space="preserve"> to access the internet</w:t>
      </w:r>
      <w:r w:rsidR="00C3382B">
        <w:rPr>
          <w:rFonts w:eastAsiaTheme="minorHAnsi" w:cs="Arial"/>
          <w14:ligatures w14:val="standardContextual"/>
        </w:rPr>
        <w:t xml:space="preserve">, </w:t>
      </w:r>
      <w:r w:rsidR="00790249" w:rsidRPr="00790249">
        <w:rPr>
          <w:rFonts w:eastAsiaTheme="minorHAnsi" w:cs="Arial"/>
          <w14:ligatures w14:val="standardContextual"/>
        </w:rPr>
        <w:t>receive free</w:t>
      </w:r>
      <w:r>
        <w:rPr>
          <w:rFonts w:eastAsiaTheme="minorHAnsi" w:cs="Arial"/>
          <w14:ligatures w14:val="standardContextual"/>
        </w:rPr>
        <w:t xml:space="preserve"> </w:t>
      </w:r>
      <w:r w:rsidR="00790249" w:rsidRPr="00790249">
        <w:rPr>
          <w:rFonts w:eastAsiaTheme="minorHAnsi" w:cs="Arial"/>
          <w14:ligatures w14:val="standardContextual"/>
        </w:rPr>
        <w:t>meals</w:t>
      </w:r>
      <w:r w:rsidR="00C3382B">
        <w:rPr>
          <w:rFonts w:eastAsiaTheme="minorHAnsi" w:cs="Arial"/>
          <w14:ligatures w14:val="standardContextual"/>
        </w:rPr>
        <w:t>,</w:t>
      </w:r>
      <w:r w:rsidR="00D41481">
        <w:rPr>
          <w:rFonts w:eastAsiaTheme="minorHAnsi" w:cs="Arial"/>
          <w14:ligatures w14:val="standardContextual"/>
        </w:rPr>
        <w:t xml:space="preserve"> and the opportunity for dual </w:t>
      </w:r>
      <w:r w:rsidR="00790249" w:rsidRPr="00790249">
        <w:rPr>
          <w:rFonts w:eastAsiaTheme="minorHAnsi" w:cs="Arial"/>
          <w14:ligatures w14:val="standardContextual"/>
        </w:rPr>
        <w:t xml:space="preserve">enrollment classes at the </w:t>
      </w:r>
      <w:r w:rsidR="00D41481">
        <w:rPr>
          <w:rFonts w:eastAsiaTheme="minorHAnsi" w:cs="Arial"/>
          <w14:ligatures w14:val="standardContextual"/>
        </w:rPr>
        <w:t>postsecondary level</w:t>
      </w:r>
      <w:r w:rsidR="00790249" w:rsidRPr="00790249">
        <w:rPr>
          <w:rFonts w:eastAsiaTheme="minorHAnsi" w:cs="Arial"/>
          <w14:ligatures w14:val="standardContextual"/>
        </w:rPr>
        <w:t xml:space="preserve">. </w:t>
      </w:r>
      <w:r w:rsidR="00D41481">
        <w:rPr>
          <w:rFonts w:eastAsiaTheme="minorHAnsi" w:cs="Arial"/>
          <w14:ligatures w14:val="standardContextual"/>
        </w:rPr>
        <w:t>Additionally, JMCS</w:t>
      </w:r>
      <w:r w:rsidR="00AE2479">
        <w:rPr>
          <w:rFonts w:eastAsiaTheme="minorHAnsi" w:cs="Arial"/>
          <w14:ligatures w14:val="standardContextual"/>
        </w:rPr>
        <w:t xml:space="preserve"> </w:t>
      </w:r>
      <w:r w:rsidR="00790249" w:rsidRPr="00790249">
        <w:rPr>
          <w:rFonts w:eastAsiaTheme="minorHAnsi" w:cs="Arial"/>
          <w14:ligatures w14:val="standardContextual"/>
        </w:rPr>
        <w:t>provide</w:t>
      </w:r>
      <w:r w:rsidR="00C3382B">
        <w:rPr>
          <w:rFonts w:eastAsiaTheme="minorHAnsi" w:cs="Arial"/>
          <w14:ligatures w14:val="standardContextual"/>
        </w:rPr>
        <w:t>s</w:t>
      </w:r>
      <w:r w:rsidR="00790249" w:rsidRPr="00790249">
        <w:rPr>
          <w:rFonts w:eastAsiaTheme="minorHAnsi" w:cs="Arial"/>
          <w14:ligatures w14:val="standardContextual"/>
        </w:rPr>
        <w:t xml:space="preserve"> students </w:t>
      </w:r>
      <w:r w:rsidR="00D41481">
        <w:rPr>
          <w:rFonts w:eastAsiaTheme="minorHAnsi" w:cs="Arial"/>
          <w14:ligatures w14:val="standardContextual"/>
        </w:rPr>
        <w:t xml:space="preserve">with full </w:t>
      </w:r>
      <w:r w:rsidR="00790249" w:rsidRPr="00790249">
        <w:rPr>
          <w:rFonts w:eastAsiaTheme="minorHAnsi" w:cs="Arial"/>
          <w14:ligatures w14:val="standardContextual"/>
        </w:rPr>
        <w:t>access to social services through Harmony at Home and the Monterey County</w:t>
      </w:r>
      <w:r w:rsidR="00AE2479">
        <w:rPr>
          <w:rFonts w:eastAsiaTheme="minorHAnsi" w:cs="Arial"/>
          <w14:ligatures w14:val="standardContextual"/>
        </w:rPr>
        <w:t xml:space="preserve"> </w:t>
      </w:r>
      <w:r w:rsidR="00790249" w:rsidRPr="00790249">
        <w:rPr>
          <w:rFonts w:eastAsiaTheme="minorHAnsi" w:cs="Arial"/>
          <w14:ligatures w14:val="standardContextual"/>
        </w:rPr>
        <w:t>Behavioral Health</w:t>
      </w:r>
      <w:r w:rsidR="00D41481">
        <w:rPr>
          <w:rFonts w:eastAsiaTheme="minorHAnsi" w:cs="Arial"/>
          <w14:ligatures w14:val="standardContextual"/>
        </w:rPr>
        <w:t xml:space="preserve">; </w:t>
      </w:r>
      <w:r w:rsidR="0009254C">
        <w:rPr>
          <w:rFonts w:eastAsiaTheme="minorHAnsi" w:cs="Arial"/>
          <w14:ligatures w14:val="standardContextual"/>
        </w:rPr>
        <w:t xml:space="preserve">and </w:t>
      </w:r>
      <w:r w:rsidR="008261A2">
        <w:rPr>
          <w:rFonts w:eastAsiaTheme="minorHAnsi" w:cs="Arial"/>
          <w14:ligatures w14:val="standardContextual"/>
        </w:rPr>
        <w:t xml:space="preserve">conducts </w:t>
      </w:r>
      <w:r w:rsidR="0009254C">
        <w:rPr>
          <w:rFonts w:eastAsiaTheme="minorHAnsi" w:cs="Arial"/>
          <w14:ligatures w14:val="standardContextual"/>
        </w:rPr>
        <w:t xml:space="preserve">student </w:t>
      </w:r>
      <w:r w:rsidR="00D41481">
        <w:rPr>
          <w:rFonts w:eastAsiaTheme="minorHAnsi" w:cs="Arial"/>
          <w14:ligatures w14:val="standardContextual"/>
        </w:rPr>
        <w:t xml:space="preserve">workshops with student </w:t>
      </w:r>
      <w:r w:rsidR="00790249" w:rsidRPr="00790249">
        <w:rPr>
          <w:rFonts w:eastAsiaTheme="minorHAnsi" w:cs="Arial"/>
          <w14:ligatures w14:val="standardContextual"/>
        </w:rPr>
        <w:t xml:space="preserve">access to </w:t>
      </w:r>
      <w:r w:rsidR="0009254C">
        <w:rPr>
          <w:rFonts w:eastAsiaTheme="minorHAnsi" w:cs="Arial"/>
          <w14:ligatures w14:val="standardContextual"/>
        </w:rPr>
        <w:t xml:space="preserve">services such as </w:t>
      </w:r>
      <w:r w:rsidR="00790249" w:rsidRPr="00790249">
        <w:rPr>
          <w:rFonts w:eastAsiaTheme="minorHAnsi" w:cs="Arial"/>
          <w14:ligatures w14:val="standardContextual"/>
        </w:rPr>
        <w:t>prenatal health education, parenting</w:t>
      </w:r>
      <w:r w:rsidR="00AE2479">
        <w:rPr>
          <w:rFonts w:eastAsiaTheme="minorHAnsi" w:cs="Arial"/>
          <w14:ligatures w14:val="standardContextual"/>
        </w:rPr>
        <w:t xml:space="preserve"> </w:t>
      </w:r>
      <w:r w:rsidR="00790249" w:rsidRPr="00790249">
        <w:rPr>
          <w:rFonts w:eastAsiaTheme="minorHAnsi" w:cs="Arial"/>
          <w14:ligatures w14:val="standardContextual"/>
        </w:rPr>
        <w:t xml:space="preserve">classes, </w:t>
      </w:r>
      <w:r w:rsidR="0009254C">
        <w:rPr>
          <w:rFonts w:eastAsiaTheme="minorHAnsi" w:cs="Arial"/>
          <w14:ligatures w14:val="standardContextual"/>
        </w:rPr>
        <w:t xml:space="preserve">along with </w:t>
      </w:r>
      <w:r w:rsidR="00790249" w:rsidRPr="00790249">
        <w:rPr>
          <w:rFonts w:eastAsiaTheme="minorHAnsi" w:cs="Arial"/>
          <w14:ligatures w14:val="standardContextual"/>
        </w:rPr>
        <w:t xml:space="preserve">healthcare </w:t>
      </w:r>
      <w:r w:rsidR="00D41481">
        <w:rPr>
          <w:rFonts w:eastAsiaTheme="minorHAnsi" w:cs="Arial"/>
          <w14:ligatures w14:val="standardContextual"/>
        </w:rPr>
        <w:t xml:space="preserve">and childcare </w:t>
      </w:r>
      <w:r w:rsidR="00790249" w:rsidRPr="00790249">
        <w:rPr>
          <w:rFonts w:eastAsiaTheme="minorHAnsi" w:cs="Arial"/>
          <w14:ligatures w14:val="standardContextual"/>
        </w:rPr>
        <w:t xml:space="preserve">services </w:t>
      </w:r>
      <w:r w:rsidR="00C3382B">
        <w:rPr>
          <w:rFonts w:eastAsiaTheme="minorHAnsi" w:cs="Arial"/>
          <w14:ligatures w14:val="standardContextual"/>
        </w:rPr>
        <w:t xml:space="preserve">to </w:t>
      </w:r>
      <w:r w:rsidR="00D41481">
        <w:rPr>
          <w:rFonts w:eastAsiaTheme="minorHAnsi" w:cs="Arial"/>
          <w14:ligatures w14:val="standardContextual"/>
        </w:rPr>
        <w:t xml:space="preserve">facilitate </w:t>
      </w:r>
      <w:r w:rsidR="00790249" w:rsidRPr="00790249">
        <w:rPr>
          <w:rFonts w:eastAsiaTheme="minorHAnsi" w:cs="Arial"/>
          <w14:ligatures w14:val="standardContextual"/>
        </w:rPr>
        <w:t>parent and family</w:t>
      </w:r>
      <w:r w:rsidR="00AE2479">
        <w:rPr>
          <w:rFonts w:eastAsiaTheme="minorHAnsi" w:cs="Arial"/>
          <w14:ligatures w14:val="standardContextual"/>
        </w:rPr>
        <w:t xml:space="preserve"> </w:t>
      </w:r>
      <w:r w:rsidR="00C3382B">
        <w:rPr>
          <w:rFonts w:eastAsiaTheme="minorHAnsi" w:cs="Arial"/>
          <w14:ligatures w14:val="standardContextual"/>
        </w:rPr>
        <w:t>engagement</w:t>
      </w:r>
      <w:r w:rsidR="00790249" w:rsidRPr="00AE2479">
        <w:rPr>
          <w:rFonts w:eastAsiaTheme="minorHAnsi" w:cs="Arial"/>
          <w14:ligatures w14:val="standardContextual"/>
        </w:rPr>
        <w:t xml:space="preserve"> in </w:t>
      </w:r>
      <w:r w:rsidR="00C3382B">
        <w:rPr>
          <w:rFonts w:eastAsiaTheme="minorHAnsi" w:cs="Arial"/>
          <w14:ligatures w14:val="standardContextual"/>
        </w:rPr>
        <w:t xml:space="preserve">the </w:t>
      </w:r>
      <w:r w:rsidR="00D41481">
        <w:rPr>
          <w:rFonts w:eastAsiaTheme="minorHAnsi" w:cs="Arial"/>
          <w14:ligatures w14:val="standardContextual"/>
        </w:rPr>
        <w:t>success of each JMCS student.</w:t>
      </w:r>
    </w:p>
    <w:p w14:paraId="5F72A8E4" w14:textId="585ABFDD" w:rsidR="00465DFA" w:rsidRPr="000A653A" w:rsidRDefault="00465DFA" w:rsidP="0005725B">
      <w:pPr>
        <w:pStyle w:val="Heading3"/>
        <w:jc w:val="left"/>
        <w:rPr>
          <w:rFonts w:eastAsiaTheme="minorHAnsi"/>
          <w:sz w:val="22"/>
          <w:szCs w:val="22"/>
        </w:rPr>
      </w:pPr>
      <w:r w:rsidRPr="00DF5BB2">
        <w:rPr>
          <w:rFonts w:eastAsiaTheme="minorHAnsi"/>
        </w:rPr>
        <w:t>Wheatland Union High School District</w:t>
      </w:r>
    </w:p>
    <w:p w14:paraId="7848E618" w14:textId="721D0F18" w:rsidR="007F61F1" w:rsidRDefault="001C3C8A" w:rsidP="005147E0">
      <w:pPr>
        <w:spacing w:after="240"/>
      </w:pPr>
      <w:r>
        <w:rPr>
          <w:rFonts w:eastAsiaTheme="minorHAnsi" w:cs="Arial"/>
          <w:kern w:val="2"/>
          <w14:ligatures w14:val="standardContextual"/>
        </w:rPr>
        <w:t>Wheatland Union High School District</w:t>
      </w:r>
      <w:r w:rsidR="0081077F">
        <w:rPr>
          <w:rFonts w:eastAsiaTheme="minorHAnsi" w:cs="Arial"/>
          <w:kern w:val="2"/>
          <w14:ligatures w14:val="standardContextual"/>
        </w:rPr>
        <w:t>’s</w:t>
      </w:r>
      <w:r>
        <w:rPr>
          <w:rFonts w:eastAsiaTheme="minorHAnsi" w:cs="Arial"/>
          <w:kern w:val="2"/>
          <w14:ligatures w14:val="standardContextual"/>
        </w:rPr>
        <w:t xml:space="preserve"> (WUHSD)</w:t>
      </w:r>
      <w:r w:rsidR="00465DFA" w:rsidRPr="00790249">
        <w:rPr>
          <w:rFonts w:eastAsiaTheme="minorHAnsi" w:cs="Arial"/>
          <w:kern w:val="2"/>
          <w14:ligatures w14:val="standardContextual"/>
        </w:rPr>
        <w:t xml:space="preserve"> </w:t>
      </w:r>
      <w:r w:rsidR="0081077F">
        <w:rPr>
          <w:rFonts w:eastAsiaTheme="minorHAnsi" w:cs="Arial"/>
          <w:kern w:val="2"/>
          <w14:ligatures w14:val="standardContextual"/>
        </w:rPr>
        <w:t xml:space="preserve">has made considerable efforts to develop their CTE program with an emphasis on </w:t>
      </w:r>
      <w:r>
        <w:rPr>
          <w:rFonts w:eastAsiaTheme="minorHAnsi" w:cs="Arial"/>
          <w:kern w:val="2"/>
          <w14:ligatures w14:val="standardContextual"/>
        </w:rPr>
        <w:t xml:space="preserve">special education </w:t>
      </w:r>
      <w:r w:rsidR="0081077F">
        <w:rPr>
          <w:rFonts w:eastAsiaTheme="minorHAnsi" w:cs="Arial"/>
          <w:kern w:val="2"/>
          <w14:ligatures w14:val="standardContextual"/>
        </w:rPr>
        <w:t>students and WBL opportunities. E</w:t>
      </w:r>
      <w:r>
        <w:rPr>
          <w:rFonts w:eastAsiaTheme="minorHAnsi" w:cs="Arial"/>
          <w:kern w:val="2"/>
          <w14:ligatures w14:val="standardContextual"/>
        </w:rPr>
        <w:t xml:space="preserve">ach student </w:t>
      </w:r>
      <w:r w:rsidR="0081077F">
        <w:rPr>
          <w:rFonts w:eastAsiaTheme="minorHAnsi" w:cs="Arial"/>
          <w:kern w:val="2"/>
          <w14:ligatures w14:val="standardContextual"/>
        </w:rPr>
        <w:t xml:space="preserve">enrolled in CTE </w:t>
      </w:r>
      <w:r>
        <w:rPr>
          <w:rFonts w:eastAsiaTheme="minorHAnsi" w:cs="Arial"/>
          <w:kern w:val="2"/>
          <w14:ligatures w14:val="standardContextual"/>
        </w:rPr>
        <w:t xml:space="preserve">courses </w:t>
      </w:r>
      <w:r w:rsidR="0081077F">
        <w:rPr>
          <w:rFonts w:eastAsiaTheme="minorHAnsi" w:cs="Arial"/>
          <w:kern w:val="2"/>
          <w14:ligatures w14:val="standardContextual"/>
        </w:rPr>
        <w:t xml:space="preserve">has their schedule integrated </w:t>
      </w:r>
      <w:r>
        <w:rPr>
          <w:rFonts w:eastAsiaTheme="minorHAnsi" w:cs="Arial"/>
          <w:kern w:val="2"/>
          <w14:ligatures w14:val="standardContextual"/>
        </w:rPr>
        <w:t>with</w:t>
      </w:r>
      <w:r w:rsidR="0081077F">
        <w:rPr>
          <w:rFonts w:eastAsiaTheme="minorHAnsi" w:cs="Arial"/>
          <w:kern w:val="2"/>
          <w14:ligatures w14:val="standardContextual"/>
        </w:rPr>
        <w:t>in</w:t>
      </w:r>
      <w:r>
        <w:rPr>
          <w:rFonts w:eastAsiaTheme="minorHAnsi" w:cs="Arial"/>
          <w:kern w:val="2"/>
          <w14:ligatures w14:val="standardContextual"/>
        </w:rPr>
        <w:t xml:space="preserve"> WUHSD’s b</w:t>
      </w:r>
      <w:r w:rsidR="00465DFA" w:rsidRPr="00790249">
        <w:rPr>
          <w:rFonts w:eastAsiaTheme="minorHAnsi" w:cs="Arial"/>
          <w:kern w:val="2"/>
          <w14:ligatures w14:val="standardContextual"/>
        </w:rPr>
        <w:t xml:space="preserve">uddy </w:t>
      </w:r>
      <w:r>
        <w:rPr>
          <w:rFonts w:eastAsiaTheme="minorHAnsi" w:cs="Arial"/>
          <w:kern w:val="2"/>
          <w14:ligatures w14:val="standardContextual"/>
        </w:rPr>
        <w:t>s</w:t>
      </w:r>
      <w:r w:rsidR="00465DFA" w:rsidRPr="00790249">
        <w:rPr>
          <w:rFonts w:eastAsiaTheme="minorHAnsi" w:cs="Arial"/>
          <w:kern w:val="2"/>
          <w14:ligatures w14:val="standardContextual"/>
        </w:rPr>
        <w:t xml:space="preserve">ystem program called </w:t>
      </w:r>
      <w:r w:rsidR="0081077F">
        <w:rPr>
          <w:rFonts w:eastAsiaTheme="minorHAnsi" w:cs="Arial"/>
          <w:kern w:val="2"/>
          <w14:ligatures w14:val="standardContextual"/>
        </w:rPr>
        <w:t xml:space="preserve">the </w:t>
      </w:r>
      <w:r>
        <w:rPr>
          <w:rFonts w:eastAsiaTheme="minorHAnsi" w:cs="Arial"/>
          <w:kern w:val="2"/>
          <w14:ligatures w14:val="standardContextual"/>
        </w:rPr>
        <w:t>“</w:t>
      </w:r>
      <w:r w:rsidR="00465DFA" w:rsidRPr="00790249">
        <w:rPr>
          <w:rFonts w:eastAsiaTheme="minorHAnsi" w:cs="Arial"/>
          <w:kern w:val="2"/>
          <w14:ligatures w14:val="standardContextual"/>
        </w:rPr>
        <w:t>Inclusive Peer Mentoring</w:t>
      </w:r>
      <w:r>
        <w:rPr>
          <w:rFonts w:eastAsiaTheme="minorHAnsi" w:cs="Arial"/>
          <w:kern w:val="2"/>
          <w14:ligatures w14:val="standardContextual"/>
        </w:rPr>
        <w:t>” program</w:t>
      </w:r>
      <w:r w:rsidR="00465DFA" w:rsidRPr="00790249">
        <w:rPr>
          <w:rFonts w:eastAsiaTheme="minorHAnsi" w:cs="Arial"/>
          <w:kern w:val="2"/>
          <w14:ligatures w14:val="standardContextual"/>
        </w:rPr>
        <w:t xml:space="preserve">. All </w:t>
      </w:r>
      <w:r>
        <w:rPr>
          <w:rFonts w:eastAsiaTheme="minorHAnsi" w:cs="Arial"/>
          <w:kern w:val="2"/>
          <w14:ligatures w14:val="standardContextual"/>
        </w:rPr>
        <w:t xml:space="preserve">WUHSD </w:t>
      </w:r>
      <w:r w:rsidR="00465DFA" w:rsidRPr="00790249">
        <w:rPr>
          <w:rFonts w:eastAsiaTheme="minorHAnsi" w:cs="Arial"/>
          <w:kern w:val="2"/>
          <w14:ligatures w14:val="standardContextual"/>
        </w:rPr>
        <w:t xml:space="preserve">students enrolled in </w:t>
      </w:r>
      <w:r>
        <w:rPr>
          <w:rFonts w:eastAsiaTheme="minorHAnsi" w:cs="Arial"/>
          <w:kern w:val="2"/>
          <w14:ligatures w14:val="standardContextual"/>
        </w:rPr>
        <w:t xml:space="preserve">a </w:t>
      </w:r>
      <w:r w:rsidR="00465DFA" w:rsidRPr="00790249">
        <w:rPr>
          <w:rFonts w:eastAsiaTheme="minorHAnsi" w:cs="Arial"/>
          <w:kern w:val="2"/>
          <w14:ligatures w14:val="standardContextual"/>
        </w:rPr>
        <w:t>CTE pathway</w:t>
      </w:r>
      <w:r>
        <w:rPr>
          <w:rFonts w:eastAsiaTheme="minorHAnsi" w:cs="Arial"/>
          <w:kern w:val="2"/>
          <w14:ligatures w14:val="standardContextual"/>
        </w:rPr>
        <w:t xml:space="preserve"> meet with </w:t>
      </w:r>
      <w:r w:rsidR="00465DFA" w:rsidRPr="00AE2479">
        <w:rPr>
          <w:rFonts w:eastAsiaTheme="minorHAnsi" w:cs="Arial"/>
          <w:kern w:val="2"/>
          <w14:ligatures w14:val="standardContextual"/>
        </w:rPr>
        <w:t>c</w:t>
      </w:r>
      <w:r w:rsidR="00465DFA" w:rsidRPr="00790249">
        <w:rPr>
          <w:rFonts w:eastAsiaTheme="minorHAnsi" w:cs="Arial"/>
          <w:kern w:val="2"/>
          <w14:ligatures w14:val="standardContextual"/>
        </w:rPr>
        <w:t>ounselors</w:t>
      </w:r>
      <w:r w:rsidR="0081077F">
        <w:rPr>
          <w:rFonts w:eastAsiaTheme="minorHAnsi" w:cs="Arial"/>
          <w:kern w:val="2"/>
          <w14:ligatures w14:val="standardContextual"/>
        </w:rPr>
        <w:t xml:space="preserve"> </w:t>
      </w:r>
      <w:r w:rsidR="00465DFA" w:rsidRPr="00790249">
        <w:rPr>
          <w:rFonts w:eastAsiaTheme="minorHAnsi" w:cs="Arial"/>
          <w:kern w:val="2"/>
          <w14:ligatures w14:val="standardContextual"/>
        </w:rPr>
        <w:t xml:space="preserve">1:1 to develop a career plan; </w:t>
      </w:r>
      <w:r w:rsidR="00453B7A">
        <w:rPr>
          <w:rFonts w:eastAsiaTheme="minorHAnsi" w:cs="Arial"/>
          <w:kern w:val="2"/>
          <w14:ligatures w14:val="standardContextual"/>
        </w:rPr>
        <w:t xml:space="preserve">and the </w:t>
      </w:r>
      <w:r w:rsidR="0081077F">
        <w:rPr>
          <w:rFonts w:eastAsiaTheme="minorHAnsi" w:cs="Arial"/>
          <w:kern w:val="2"/>
          <w14:ligatures w14:val="standardContextual"/>
        </w:rPr>
        <w:t xml:space="preserve">general population students serve as a buddy to </w:t>
      </w:r>
      <w:r w:rsidR="00465DFA" w:rsidRPr="00790249">
        <w:rPr>
          <w:rFonts w:eastAsiaTheme="minorHAnsi" w:cs="Arial"/>
          <w:kern w:val="2"/>
          <w14:ligatures w14:val="standardContextual"/>
        </w:rPr>
        <w:t xml:space="preserve">SPED students </w:t>
      </w:r>
      <w:r w:rsidR="0081077F">
        <w:rPr>
          <w:rFonts w:eastAsiaTheme="minorHAnsi" w:cs="Arial"/>
          <w:kern w:val="2"/>
          <w14:ligatures w14:val="standardContextual"/>
        </w:rPr>
        <w:t xml:space="preserve">within the CTE class and pathway. </w:t>
      </w:r>
      <w:r w:rsidR="00453B7A">
        <w:rPr>
          <w:rFonts w:eastAsiaTheme="minorHAnsi" w:cs="Arial"/>
          <w:kern w:val="2"/>
          <w14:ligatures w14:val="standardContextual"/>
        </w:rPr>
        <w:t>W</w:t>
      </w:r>
      <w:r w:rsidR="0081077F">
        <w:rPr>
          <w:rFonts w:eastAsiaTheme="minorHAnsi" w:cs="Arial"/>
          <w:kern w:val="2"/>
          <w14:ligatures w14:val="standardContextual"/>
        </w:rPr>
        <w:t xml:space="preserve">UHSD has </w:t>
      </w:r>
      <w:r w:rsidR="00465DFA" w:rsidRPr="00790249">
        <w:rPr>
          <w:rFonts w:eastAsiaTheme="minorHAnsi" w:cs="Arial"/>
          <w:kern w:val="2"/>
          <w14:ligatures w14:val="standardContextual"/>
        </w:rPr>
        <w:t xml:space="preserve">strengthened </w:t>
      </w:r>
      <w:r w:rsidR="0081077F">
        <w:rPr>
          <w:rFonts w:eastAsiaTheme="minorHAnsi" w:cs="Arial"/>
          <w:kern w:val="2"/>
          <w14:ligatures w14:val="standardContextual"/>
        </w:rPr>
        <w:t xml:space="preserve">its </w:t>
      </w:r>
      <w:r w:rsidR="00465DFA" w:rsidRPr="00790249">
        <w:rPr>
          <w:rFonts w:eastAsiaTheme="minorHAnsi" w:cs="Arial"/>
          <w:kern w:val="2"/>
          <w14:ligatures w14:val="standardContextual"/>
        </w:rPr>
        <w:t xml:space="preserve">relationship with </w:t>
      </w:r>
      <w:r w:rsidR="00465DFA">
        <w:rPr>
          <w:rFonts w:eastAsiaTheme="minorHAnsi" w:cs="Arial"/>
          <w:kern w:val="2"/>
          <w14:ligatures w14:val="standardContextual"/>
        </w:rPr>
        <w:t xml:space="preserve">California </w:t>
      </w:r>
      <w:r w:rsidR="00465DFA" w:rsidRPr="00790249">
        <w:rPr>
          <w:rFonts w:eastAsiaTheme="minorHAnsi" w:cs="Arial"/>
          <w:kern w:val="2"/>
          <w14:ligatures w14:val="standardContextual"/>
        </w:rPr>
        <w:t>Department of Rehabilitation</w:t>
      </w:r>
      <w:r w:rsidR="00465DFA">
        <w:rPr>
          <w:rFonts w:eastAsiaTheme="minorHAnsi" w:cs="Arial"/>
          <w:kern w:val="2"/>
          <w14:ligatures w14:val="standardContextual"/>
        </w:rPr>
        <w:t xml:space="preserve"> </w:t>
      </w:r>
      <w:r w:rsidR="0081077F">
        <w:rPr>
          <w:rFonts w:eastAsiaTheme="minorHAnsi" w:cs="Arial"/>
          <w:kern w:val="2"/>
          <w14:ligatures w14:val="standardContextual"/>
        </w:rPr>
        <w:t xml:space="preserve">resulting in </w:t>
      </w:r>
      <w:r w:rsidR="00465DFA" w:rsidRPr="00790249">
        <w:rPr>
          <w:rFonts w:eastAsiaTheme="minorHAnsi" w:cs="Arial"/>
          <w:kern w:val="2"/>
          <w14:ligatures w14:val="standardContextual"/>
        </w:rPr>
        <w:t>100</w:t>
      </w:r>
      <w:r w:rsidR="005721AB">
        <w:rPr>
          <w:rFonts w:eastAsiaTheme="minorHAnsi" w:cs="Arial"/>
          <w:kern w:val="2"/>
          <w14:ligatures w14:val="standardContextual"/>
        </w:rPr>
        <w:t xml:space="preserve"> percent</w:t>
      </w:r>
      <w:r w:rsidR="00465DFA" w:rsidRPr="00790249">
        <w:rPr>
          <w:rFonts w:eastAsiaTheme="minorHAnsi" w:cs="Arial"/>
          <w:kern w:val="2"/>
          <w14:ligatures w14:val="standardContextual"/>
        </w:rPr>
        <w:t xml:space="preserve"> </w:t>
      </w:r>
      <w:r w:rsidR="0081077F">
        <w:rPr>
          <w:rFonts w:eastAsiaTheme="minorHAnsi" w:cs="Arial"/>
          <w:kern w:val="2"/>
          <w14:ligatures w14:val="standardContextual"/>
        </w:rPr>
        <w:t xml:space="preserve">of </w:t>
      </w:r>
      <w:r w:rsidR="00465DFA" w:rsidRPr="00790249">
        <w:rPr>
          <w:rFonts w:eastAsiaTheme="minorHAnsi" w:cs="Arial"/>
          <w:kern w:val="2"/>
          <w14:ligatures w14:val="standardContextual"/>
        </w:rPr>
        <w:t xml:space="preserve">students with </w:t>
      </w:r>
      <w:r w:rsidR="0005725B">
        <w:rPr>
          <w:rFonts w:eastAsiaTheme="minorHAnsi" w:cs="Arial"/>
          <w:kern w:val="2"/>
          <w14:ligatures w14:val="standardContextual"/>
        </w:rPr>
        <w:t>Individualized Education Plans</w:t>
      </w:r>
      <w:r w:rsidR="00465DFA" w:rsidRPr="00790249">
        <w:rPr>
          <w:rFonts w:eastAsiaTheme="minorHAnsi" w:cs="Arial"/>
          <w:kern w:val="2"/>
          <w14:ligatures w14:val="standardContextual"/>
        </w:rPr>
        <w:t xml:space="preserve"> and 504s who are over 16 years of age </w:t>
      </w:r>
      <w:r w:rsidR="0081077F">
        <w:rPr>
          <w:rFonts w:eastAsiaTheme="minorHAnsi" w:cs="Arial"/>
          <w:kern w:val="2"/>
          <w14:ligatures w14:val="standardContextual"/>
        </w:rPr>
        <w:t>obtaining</w:t>
      </w:r>
      <w:r w:rsidR="00465DFA" w:rsidRPr="00790249">
        <w:rPr>
          <w:rFonts w:eastAsiaTheme="minorHAnsi" w:cs="Arial"/>
          <w:kern w:val="2"/>
          <w14:ligatures w14:val="standardContextual"/>
        </w:rPr>
        <w:t xml:space="preserve"> WBL opportunities</w:t>
      </w:r>
      <w:r w:rsidR="0081077F">
        <w:rPr>
          <w:rFonts w:eastAsiaTheme="minorHAnsi" w:cs="Arial"/>
          <w:kern w:val="2"/>
          <w14:ligatures w14:val="standardContextual"/>
        </w:rPr>
        <w:t xml:space="preserve">, job placement upon graduation, and </w:t>
      </w:r>
      <w:r w:rsidR="00465DFA" w:rsidRPr="00790249">
        <w:rPr>
          <w:rFonts w:eastAsiaTheme="minorHAnsi" w:cs="Arial"/>
          <w:kern w:val="2"/>
          <w14:ligatures w14:val="standardContextual"/>
        </w:rPr>
        <w:t xml:space="preserve">support </w:t>
      </w:r>
      <w:r w:rsidR="0081077F">
        <w:rPr>
          <w:rFonts w:eastAsiaTheme="minorHAnsi" w:cs="Arial"/>
          <w:kern w:val="2"/>
          <w14:ligatures w14:val="standardContextual"/>
        </w:rPr>
        <w:t xml:space="preserve">services </w:t>
      </w:r>
      <w:r w:rsidR="00465DFA" w:rsidRPr="00790249">
        <w:rPr>
          <w:rFonts w:eastAsiaTheme="minorHAnsi" w:cs="Arial"/>
          <w:kern w:val="2"/>
          <w14:ligatures w14:val="standardContextual"/>
        </w:rPr>
        <w:t xml:space="preserve">to </w:t>
      </w:r>
      <w:r w:rsidR="0081077F">
        <w:rPr>
          <w:rFonts w:eastAsiaTheme="minorHAnsi" w:cs="Arial"/>
          <w:kern w:val="2"/>
          <w14:ligatures w14:val="standardContextual"/>
        </w:rPr>
        <w:t xml:space="preserve">assist in their </w:t>
      </w:r>
      <w:r w:rsidR="0081077F">
        <w:rPr>
          <w:rFonts w:eastAsiaTheme="minorHAnsi" w:cs="Arial"/>
          <w:kern w:val="2"/>
          <w14:ligatures w14:val="standardContextual"/>
        </w:rPr>
        <w:lastRenderedPageBreak/>
        <w:t xml:space="preserve">transition to </w:t>
      </w:r>
      <w:r w:rsidR="00465DFA" w:rsidRPr="00790249">
        <w:rPr>
          <w:rFonts w:eastAsiaTheme="minorHAnsi" w:cs="Arial"/>
          <w:kern w:val="2"/>
          <w14:ligatures w14:val="standardContextual"/>
        </w:rPr>
        <w:t>post-secondary education.</w:t>
      </w:r>
      <w:r w:rsidR="00453B7A">
        <w:rPr>
          <w:rFonts w:eastAsiaTheme="minorHAnsi" w:cs="Arial"/>
          <w:kern w:val="2"/>
          <w14:ligatures w14:val="standardContextual"/>
        </w:rPr>
        <w:t xml:space="preserve"> </w:t>
      </w:r>
      <w:r w:rsidR="00465DFA" w:rsidRPr="00453B7A">
        <w:rPr>
          <w:rFonts w:cs="Arial"/>
        </w:rPr>
        <w:t xml:space="preserve">WBL </w:t>
      </w:r>
      <w:r w:rsidR="0072381C" w:rsidRPr="00453B7A">
        <w:rPr>
          <w:rFonts w:cs="Arial"/>
        </w:rPr>
        <w:t>opportunities within WUHSD are</w:t>
      </w:r>
      <w:r w:rsidR="00465DFA" w:rsidRPr="00453B7A">
        <w:rPr>
          <w:rFonts w:cs="Arial"/>
        </w:rPr>
        <w:t xml:space="preserve"> </w:t>
      </w:r>
      <w:r w:rsidR="00453B7A">
        <w:rPr>
          <w:rFonts w:cs="Arial"/>
        </w:rPr>
        <w:t xml:space="preserve">structured to ensure the standards </w:t>
      </w:r>
      <w:r w:rsidR="00465DFA" w:rsidRPr="00453B7A">
        <w:rPr>
          <w:rFonts w:cs="Arial"/>
        </w:rPr>
        <w:t>progres</w:t>
      </w:r>
      <w:r w:rsidR="0072381C" w:rsidRPr="00453B7A">
        <w:rPr>
          <w:rFonts w:cs="Arial"/>
        </w:rPr>
        <w:t>s</w:t>
      </w:r>
      <w:r w:rsidR="00465DFA" w:rsidRPr="00453B7A">
        <w:rPr>
          <w:rFonts w:cs="Arial"/>
        </w:rPr>
        <w:t xml:space="preserve"> in intensity as </w:t>
      </w:r>
      <w:r w:rsidR="00453B7A">
        <w:rPr>
          <w:rFonts w:cs="Arial"/>
        </w:rPr>
        <w:t xml:space="preserve">students </w:t>
      </w:r>
      <w:r w:rsidR="0072381C" w:rsidRPr="00453B7A">
        <w:rPr>
          <w:rFonts w:cs="Arial"/>
        </w:rPr>
        <w:t xml:space="preserve">navigate their chosen CTE </w:t>
      </w:r>
      <w:r w:rsidR="00465DFA" w:rsidRPr="00453B7A">
        <w:rPr>
          <w:rFonts w:cs="Arial"/>
        </w:rPr>
        <w:t xml:space="preserve">pathways. </w:t>
      </w:r>
      <w:r w:rsidR="00453B7A">
        <w:rPr>
          <w:rFonts w:cs="Arial"/>
        </w:rPr>
        <w:t>They</w:t>
      </w:r>
      <w:r w:rsidR="00465DFA" w:rsidRPr="00453B7A">
        <w:rPr>
          <w:rFonts w:cs="Arial"/>
        </w:rPr>
        <w:t xml:space="preserve"> participate in workplace tours, </w:t>
      </w:r>
      <w:r w:rsidR="00453B7A">
        <w:rPr>
          <w:rFonts w:cs="Arial"/>
        </w:rPr>
        <w:t xml:space="preserve">virtual and in-person </w:t>
      </w:r>
      <w:r w:rsidR="00465DFA" w:rsidRPr="00453B7A">
        <w:rPr>
          <w:rFonts w:cs="Arial"/>
        </w:rPr>
        <w:t xml:space="preserve">job shadowing, </w:t>
      </w:r>
      <w:r w:rsidR="00453B7A">
        <w:rPr>
          <w:rFonts w:cs="Arial"/>
        </w:rPr>
        <w:t xml:space="preserve">mentor programs, </w:t>
      </w:r>
      <w:r w:rsidR="00465DFA" w:rsidRPr="00453B7A">
        <w:rPr>
          <w:rFonts w:cs="Arial"/>
        </w:rPr>
        <w:t>internships</w:t>
      </w:r>
      <w:r w:rsidR="00C21C4A">
        <w:rPr>
          <w:rFonts w:cs="Arial"/>
        </w:rPr>
        <w:t>,</w:t>
      </w:r>
      <w:r w:rsidR="00465DFA" w:rsidRPr="00453B7A">
        <w:rPr>
          <w:rFonts w:cs="Arial"/>
        </w:rPr>
        <w:t xml:space="preserve"> and apprenticeships. </w:t>
      </w:r>
      <w:r w:rsidR="00453B7A">
        <w:rPr>
          <w:rFonts w:cs="Arial"/>
        </w:rPr>
        <w:t xml:space="preserve">The </w:t>
      </w:r>
      <w:r w:rsidR="0072381C" w:rsidRPr="00453B7A">
        <w:rPr>
          <w:rFonts w:cs="Arial"/>
        </w:rPr>
        <w:t xml:space="preserve">CTE teachers work to </w:t>
      </w:r>
      <w:r w:rsidR="00465DFA" w:rsidRPr="00453B7A">
        <w:rPr>
          <w:rFonts w:cs="Arial"/>
        </w:rPr>
        <w:t>align each student’s 10-year plan with an appropriate WBL experience</w:t>
      </w:r>
      <w:r w:rsidR="0072381C" w:rsidRPr="00453B7A">
        <w:rPr>
          <w:rFonts w:cs="Arial"/>
        </w:rPr>
        <w:t xml:space="preserve"> and CTE pathways with </w:t>
      </w:r>
      <w:r w:rsidR="00307FB4">
        <w:rPr>
          <w:rFonts w:cs="Arial"/>
        </w:rPr>
        <w:t xml:space="preserve">an </w:t>
      </w:r>
      <w:r w:rsidR="00453B7A">
        <w:rPr>
          <w:rFonts w:cs="Arial"/>
        </w:rPr>
        <w:t xml:space="preserve">obdurate </w:t>
      </w:r>
      <w:r w:rsidR="00307FB4">
        <w:rPr>
          <w:rFonts w:cs="Arial"/>
        </w:rPr>
        <w:t>resolve towards equal access and pathway completion for all students</w:t>
      </w:r>
      <w:r w:rsidR="009F113C">
        <w:rPr>
          <w:rFonts w:cs="Arial"/>
        </w:rPr>
        <w:t>.</w:t>
      </w:r>
    </w:p>
    <w:p w14:paraId="56949ABA" w14:textId="6038A619" w:rsidR="00A57252" w:rsidRPr="004D4C65" w:rsidRDefault="00A57252" w:rsidP="00A57252">
      <w:pPr>
        <w:pStyle w:val="Heading2"/>
      </w:pPr>
      <w:bookmarkStart w:id="39" w:name="_Toc158883513"/>
      <w:r>
        <w:t>Conclusion</w:t>
      </w:r>
      <w:bookmarkEnd w:id="39"/>
    </w:p>
    <w:p w14:paraId="4045B5E3" w14:textId="00199F1C" w:rsidR="0056488E" w:rsidRPr="001942AD" w:rsidRDefault="0056488E" w:rsidP="00AE2479">
      <w:pPr>
        <w:spacing w:after="240"/>
        <w:rPr>
          <w:rFonts w:eastAsiaTheme="minorHAnsi" w:cs="Arial"/>
          <w:kern w:val="2"/>
          <w14:ligatures w14:val="standardContextual"/>
        </w:rPr>
      </w:pPr>
      <w:r w:rsidRPr="0056488E">
        <w:rPr>
          <w:rFonts w:cs="Arial"/>
          <w:shd w:val="clear" w:color="auto" w:fill="FFFFFF"/>
        </w:rPr>
        <w:t xml:space="preserve">Automation, innovation, and globalization continue to progressively evolve; and by extension, the milieu of work and </w:t>
      </w:r>
      <w:r w:rsidR="001773AB">
        <w:rPr>
          <w:rFonts w:cs="Arial"/>
          <w:shd w:val="clear" w:color="auto" w:fill="FFFFFF"/>
        </w:rPr>
        <w:t>employers’</w:t>
      </w:r>
      <w:r w:rsidR="001773AB" w:rsidRPr="0056488E">
        <w:rPr>
          <w:rFonts w:cs="Arial"/>
          <w:shd w:val="clear" w:color="auto" w:fill="FFFFFF"/>
        </w:rPr>
        <w:t xml:space="preserve"> </w:t>
      </w:r>
      <w:r w:rsidRPr="0056488E">
        <w:rPr>
          <w:rFonts w:cs="Arial"/>
          <w:shd w:val="clear" w:color="auto" w:fill="FFFFFF"/>
        </w:rPr>
        <w:t xml:space="preserve">mounting insistence for a highly educated and skilled </w:t>
      </w:r>
      <w:r>
        <w:rPr>
          <w:rFonts w:cs="Arial"/>
          <w:shd w:val="clear" w:color="auto" w:fill="FFFFFF"/>
        </w:rPr>
        <w:t xml:space="preserve">California </w:t>
      </w:r>
      <w:r w:rsidRPr="0056488E">
        <w:rPr>
          <w:rFonts w:cs="Arial"/>
          <w:shd w:val="clear" w:color="auto" w:fill="FFFFFF"/>
        </w:rPr>
        <w:t>workforce.</w:t>
      </w:r>
      <w:r>
        <w:rPr>
          <w:rFonts w:cs="Arial"/>
        </w:rPr>
        <w:t xml:space="preserve"> </w:t>
      </w:r>
      <w:r w:rsidR="000F25E3">
        <w:rPr>
          <w:rFonts w:cs="Arial"/>
        </w:rPr>
        <w:t>To this end</w:t>
      </w:r>
      <w:r w:rsidR="000F25E3" w:rsidRPr="000F25E3">
        <w:rPr>
          <w:rFonts w:cs="Arial"/>
        </w:rPr>
        <w:t xml:space="preserve">, </w:t>
      </w:r>
      <w:r w:rsidRPr="000F25E3">
        <w:rPr>
          <w:rFonts w:eastAsiaTheme="minorHAnsi" w:cs="Arial"/>
          <w:kern w:val="2"/>
          <w14:ligatures w14:val="standardContextual"/>
        </w:rPr>
        <w:t xml:space="preserve">LEAs should pair technical programs with rigorous academic coursework </w:t>
      </w:r>
      <w:r w:rsidR="001942AD" w:rsidRPr="000F25E3">
        <w:rPr>
          <w:rFonts w:eastAsiaTheme="minorHAnsi" w:cs="Arial"/>
          <w:kern w:val="2"/>
          <w14:ligatures w14:val="standardContextual"/>
        </w:rPr>
        <w:t>to</w:t>
      </w:r>
      <w:r w:rsidRPr="000F25E3">
        <w:rPr>
          <w:rFonts w:eastAsiaTheme="minorHAnsi" w:cs="Arial"/>
          <w:kern w:val="2"/>
          <w14:ligatures w14:val="standardContextual"/>
        </w:rPr>
        <w:t xml:space="preserve"> </w:t>
      </w:r>
      <w:r w:rsidR="000F25E3">
        <w:rPr>
          <w:rFonts w:eastAsiaTheme="minorHAnsi" w:cs="Arial"/>
          <w:kern w:val="2"/>
          <w14:ligatures w14:val="standardContextual"/>
        </w:rPr>
        <w:t>further</w:t>
      </w:r>
      <w:r w:rsidRPr="000F25E3">
        <w:rPr>
          <w:rFonts w:eastAsiaTheme="minorHAnsi" w:cs="Arial"/>
          <w:kern w:val="2"/>
          <w14:ligatures w14:val="standardContextual"/>
        </w:rPr>
        <w:t xml:space="preserve"> prepare BIPOC, </w:t>
      </w:r>
      <w:r w:rsidR="001942AD">
        <w:rPr>
          <w:rFonts w:eastAsiaTheme="minorHAnsi" w:cs="Arial"/>
          <w:kern w:val="2"/>
          <w14:ligatures w14:val="standardContextual"/>
        </w:rPr>
        <w:t xml:space="preserve">English learners, foster care, </w:t>
      </w:r>
      <w:r w:rsidR="000F25E3" w:rsidRPr="000F25E3">
        <w:rPr>
          <w:rFonts w:cs="Arial"/>
          <w:shd w:val="clear" w:color="auto" w:fill="FFFFFF"/>
        </w:rPr>
        <w:t xml:space="preserve">socio-economically disadvantaged, and </w:t>
      </w:r>
      <w:r w:rsidR="000F25E3">
        <w:rPr>
          <w:rFonts w:cs="Arial"/>
          <w:shd w:val="clear" w:color="auto" w:fill="FFFFFF"/>
        </w:rPr>
        <w:t xml:space="preserve">SPED </w:t>
      </w:r>
      <w:r w:rsidR="000F25E3">
        <w:rPr>
          <w:rFonts w:cs="Arial"/>
          <w:color w:val="000000"/>
          <w:shd w:val="clear" w:color="auto" w:fill="FFFFFF"/>
        </w:rPr>
        <w:t>students</w:t>
      </w:r>
      <w:r w:rsidR="000F25E3" w:rsidRPr="003627F4">
        <w:rPr>
          <w:rFonts w:eastAsiaTheme="minorHAnsi" w:cs="Arial"/>
          <w:kern w:val="2"/>
          <w14:ligatures w14:val="standardContextual"/>
        </w:rPr>
        <w:t xml:space="preserve"> </w:t>
      </w:r>
      <w:r w:rsidR="000F25E3" w:rsidRPr="001942AD">
        <w:rPr>
          <w:rFonts w:eastAsiaTheme="minorHAnsi" w:cs="Arial"/>
          <w:kern w:val="2"/>
          <w14:ligatures w14:val="standardContextual"/>
        </w:rPr>
        <w:t xml:space="preserve">for </w:t>
      </w:r>
      <w:r w:rsidR="001942AD" w:rsidRPr="001942AD">
        <w:rPr>
          <w:rFonts w:eastAsiaTheme="minorHAnsi" w:cs="Arial"/>
          <w:kern w:val="2"/>
          <w14:ligatures w14:val="standardContextual"/>
        </w:rPr>
        <w:t xml:space="preserve">the </w:t>
      </w:r>
      <w:r w:rsidR="001942AD">
        <w:rPr>
          <w:rFonts w:eastAsiaTheme="minorHAnsi" w:cs="Arial"/>
          <w:kern w:val="2"/>
          <w14:ligatures w14:val="standardContextual"/>
        </w:rPr>
        <w:t xml:space="preserve">accelerated academic </w:t>
      </w:r>
      <w:r w:rsidR="001942AD" w:rsidRPr="001942AD">
        <w:rPr>
          <w:rFonts w:eastAsiaTheme="minorHAnsi" w:cs="Arial"/>
          <w:kern w:val="2"/>
          <w14:ligatures w14:val="standardContextual"/>
        </w:rPr>
        <w:t xml:space="preserve">rigor of </w:t>
      </w:r>
      <w:r w:rsidRPr="001942AD">
        <w:rPr>
          <w:rFonts w:eastAsiaTheme="minorHAnsi" w:cs="Arial"/>
          <w:kern w:val="2"/>
          <w14:ligatures w14:val="standardContextual"/>
        </w:rPr>
        <w:t>college</w:t>
      </w:r>
      <w:r w:rsidR="001942AD" w:rsidRPr="001942AD">
        <w:rPr>
          <w:rFonts w:eastAsiaTheme="minorHAnsi" w:cs="Arial"/>
          <w:kern w:val="2"/>
          <w14:ligatures w14:val="standardContextual"/>
        </w:rPr>
        <w:t xml:space="preserve"> </w:t>
      </w:r>
      <w:r w:rsidR="00D742F9" w:rsidRPr="001942AD">
        <w:rPr>
          <w:rFonts w:eastAsiaTheme="minorHAnsi" w:cs="Arial"/>
          <w:kern w:val="2"/>
          <w14:ligatures w14:val="standardContextual"/>
        </w:rPr>
        <w:t>coursework,</w:t>
      </w:r>
      <w:r w:rsidRPr="001942AD">
        <w:rPr>
          <w:rFonts w:eastAsiaTheme="minorHAnsi" w:cs="Arial"/>
          <w:kern w:val="2"/>
          <w14:ligatures w14:val="standardContextual"/>
        </w:rPr>
        <w:t xml:space="preserve"> putting them on a </w:t>
      </w:r>
      <w:r w:rsidR="000F25E3" w:rsidRPr="001942AD">
        <w:rPr>
          <w:rFonts w:eastAsiaTheme="minorHAnsi" w:cs="Arial"/>
          <w:kern w:val="2"/>
          <w14:ligatures w14:val="standardContextual"/>
        </w:rPr>
        <w:t>trajectory</w:t>
      </w:r>
      <w:r w:rsidRPr="001942AD">
        <w:rPr>
          <w:rFonts w:eastAsiaTheme="minorHAnsi" w:cs="Arial"/>
          <w:kern w:val="2"/>
          <w14:ligatures w14:val="standardContextual"/>
        </w:rPr>
        <w:t xml:space="preserve"> to</w:t>
      </w:r>
      <w:r w:rsidR="000F25E3" w:rsidRPr="001942AD">
        <w:rPr>
          <w:rFonts w:eastAsiaTheme="minorHAnsi" w:cs="Arial"/>
          <w:kern w:val="2"/>
          <w14:ligatures w14:val="standardContextual"/>
        </w:rPr>
        <w:t>wards professions afford</w:t>
      </w:r>
      <w:r w:rsidR="00CF53BD">
        <w:rPr>
          <w:rFonts w:eastAsiaTheme="minorHAnsi" w:cs="Arial"/>
          <w:kern w:val="2"/>
          <w14:ligatures w14:val="standardContextual"/>
        </w:rPr>
        <w:t>ing</w:t>
      </w:r>
      <w:r w:rsidR="000F25E3" w:rsidRPr="001942AD">
        <w:rPr>
          <w:rFonts w:eastAsiaTheme="minorHAnsi" w:cs="Arial"/>
          <w:kern w:val="2"/>
          <w14:ligatures w14:val="standardContextual"/>
        </w:rPr>
        <w:t xml:space="preserve"> them </w:t>
      </w:r>
      <w:r w:rsidR="00CF53BD">
        <w:rPr>
          <w:rFonts w:eastAsiaTheme="minorHAnsi" w:cs="Arial"/>
          <w:kern w:val="2"/>
          <w14:ligatures w14:val="standardContextual"/>
        </w:rPr>
        <w:t xml:space="preserve">self-worth, </w:t>
      </w:r>
      <w:r w:rsidR="00B35138" w:rsidRPr="001942AD">
        <w:rPr>
          <w:rFonts w:eastAsiaTheme="minorHAnsi" w:cs="Arial"/>
          <w:kern w:val="2"/>
          <w14:ligatures w14:val="standardContextual"/>
        </w:rPr>
        <w:t>dignity,</w:t>
      </w:r>
      <w:r w:rsidR="000F25E3" w:rsidRPr="001942AD">
        <w:rPr>
          <w:rFonts w:eastAsiaTheme="minorHAnsi" w:cs="Arial"/>
          <w:kern w:val="2"/>
          <w14:ligatures w14:val="standardContextual"/>
        </w:rPr>
        <w:t xml:space="preserve"> and sustainable, prosperous careers.</w:t>
      </w:r>
    </w:p>
    <w:p w14:paraId="30411898" w14:textId="2F21A105" w:rsidR="0056488E" w:rsidRDefault="0056488E" w:rsidP="00AE2479">
      <w:pPr>
        <w:spacing w:after="240"/>
        <w:rPr>
          <w:rFonts w:eastAsiaTheme="minorHAnsi" w:cs="Arial"/>
          <w:kern w:val="2"/>
          <w14:ligatures w14:val="standardContextual"/>
        </w:rPr>
      </w:pPr>
      <w:r w:rsidRPr="001942AD">
        <w:rPr>
          <w:rFonts w:eastAsiaTheme="minorHAnsi" w:cs="Arial"/>
          <w:kern w:val="2"/>
          <w14:ligatures w14:val="standardContextual"/>
        </w:rPr>
        <w:t>This</w:t>
      </w:r>
      <w:r w:rsidR="001942AD" w:rsidRPr="001942AD">
        <w:rPr>
          <w:rFonts w:eastAsiaTheme="minorHAnsi" w:cs="Arial"/>
          <w:kern w:val="2"/>
          <w14:ligatures w14:val="standardContextual"/>
        </w:rPr>
        <w:t xml:space="preserve"> will require</w:t>
      </w:r>
      <w:r w:rsidRPr="001942AD">
        <w:rPr>
          <w:rFonts w:eastAsiaTheme="minorHAnsi" w:cs="Arial"/>
          <w:kern w:val="2"/>
          <w14:ligatures w14:val="standardContextual"/>
        </w:rPr>
        <w:t xml:space="preserve"> </w:t>
      </w:r>
      <w:r w:rsidR="001942AD" w:rsidRPr="001942AD">
        <w:rPr>
          <w:rFonts w:eastAsiaTheme="minorHAnsi" w:cs="Arial"/>
          <w:kern w:val="2"/>
          <w14:ligatures w14:val="standardContextual"/>
        </w:rPr>
        <w:t xml:space="preserve">increased enrollment of </w:t>
      </w:r>
      <w:r w:rsidR="00154B06">
        <w:rPr>
          <w:rFonts w:eastAsiaTheme="minorHAnsi" w:cs="Arial"/>
          <w:kern w:val="2"/>
          <w14:ligatures w14:val="standardContextual"/>
        </w:rPr>
        <w:t>special</w:t>
      </w:r>
      <w:r w:rsidR="001942AD" w:rsidRPr="001942AD">
        <w:rPr>
          <w:rFonts w:eastAsiaTheme="minorHAnsi" w:cs="Arial"/>
          <w:kern w:val="2"/>
          <w14:ligatures w14:val="standardContextual"/>
        </w:rPr>
        <w:t xml:space="preserve"> population</w:t>
      </w:r>
      <w:r w:rsidRPr="001942AD">
        <w:rPr>
          <w:rFonts w:eastAsiaTheme="minorHAnsi" w:cs="Arial"/>
          <w:kern w:val="2"/>
          <w14:ligatures w14:val="standardContextual"/>
        </w:rPr>
        <w:t xml:space="preserve"> </w:t>
      </w:r>
      <w:r w:rsidR="005F52B1">
        <w:rPr>
          <w:rFonts w:eastAsiaTheme="minorHAnsi" w:cs="Arial"/>
          <w:kern w:val="2"/>
          <w14:ligatures w14:val="standardContextual"/>
        </w:rPr>
        <w:t xml:space="preserve">students </w:t>
      </w:r>
      <w:r w:rsidRPr="001942AD">
        <w:rPr>
          <w:rFonts w:eastAsiaTheme="minorHAnsi" w:cs="Arial"/>
          <w:kern w:val="2"/>
          <w14:ligatures w14:val="standardContextual"/>
        </w:rPr>
        <w:t xml:space="preserve">in upper-level courses and </w:t>
      </w:r>
      <w:r w:rsidR="001942AD" w:rsidRPr="001942AD">
        <w:rPr>
          <w:rFonts w:eastAsiaTheme="minorHAnsi" w:cs="Arial"/>
          <w:kern w:val="2"/>
          <w14:ligatures w14:val="standardContextual"/>
        </w:rPr>
        <w:t>ensuring</w:t>
      </w:r>
      <w:r w:rsidRPr="001942AD">
        <w:rPr>
          <w:rFonts w:eastAsiaTheme="minorHAnsi" w:cs="Arial"/>
          <w:kern w:val="2"/>
          <w14:ligatures w14:val="standardContextual"/>
        </w:rPr>
        <w:t xml:space="preserve"> accountability systems</w:t>
      </w:r>
      <w:r w:rsidR="001942AD" w:rsidRPr="001942AD">
        <w:rPr>
          <w:rFonts w:eastAsiaTheme="minorHAnsi" w:cs="Arial"/>
          <w:kern w:val="2"/>
          <w14:ligatures w14:val="standardContextual"/>
        </w:rPr>
        <w:t xml:space="preserve"> </w:t>
      </w:r>
      <w:r w:rsidR="00154B06">
        <w:rPr>
          <w:rFonts w:eastAsiaTheme="minorHAnsi" w:cs="Arial"/>
          <w:kern w:val="2"/>
          <w14:ligatures w14:val="standardContextual"/>
        </w:rPr>
        <w:t>are in place to</w:t>
      </w:r>
      <w:r w:rsidRPr="001942AD">
        <w:rPr>
          <w:rFonts w:eastAsiaTheme="minorHAnsi" w:cs="Arial"/>
          <w:kern w:val="2"/>
          <w14:ligatures w14:val="standardContextual"/>
        </w:rPr>
        <w:t xml:space="preserve"> avoid tracking students into reduce</w:t>
      </w:r>
      <w:r w:rsidR="005F52B1">
        <w:rPr>
          <w:rFonts w:eastAsiaTheme="minorHAnsi" w:cs="Arial"/>
          <w:kern w:val="2"/>
          <w14:ligatures w14:val="standardContextual"/>
        </w:rPr>
        <w:t>d</w:t>
      </w:r>
      <w:r w:rsidRPr="001942AD">
        <w:rPr>
          <w:rFonts w:eastAsiaTheme="minorHAnsi" w:cs="Arial"/>
          <w:kern w:val="2"/>
          <w14:ligatures w14:val="standardContextual"/>
        </w:rPr>
        <w:t xml:space="preserve"> </w:t>
      </w:r>
      <w:r w:rsidR="001942AD" w:rsidRPr="001942AD">
        <w:rPr>
          <w:rFonts w:eastAsiaTheme="minorHAnsi" w:cs="Arial"/>
          <w:kern w:val="2"/>
          <w14:ligatures w14:val="standardContextual"/>
        </w:rPr>
        <w:t>academic</w:t>
      </w:r>
      <w:r w:rsidRPr="001942AD">
        <w:rPr>
          <w:rFonts w:eastAsiaTheme="minorHAnsi" w:cs="Arial"/>
          <w:kern w:val="2"/>
          <w14:ligatures w14:val="standardContextual"/>
        </w:rPr>
        <w:t xml:space="preserve"> course wor</w:t>
      </w:r>
      <w:r w:rsidR="000F25E3" w:rsidRPr="001942AD">
        <w:rPr>
          <w:rFonts w:eastAsiaTheme="minorHAnsi" w:cs="Arial"/>
          <w:kern w:val="2"/>
          <w14:ligatures w14:val="standardContextual"/>
        </w:rPr>
        <w:t xml:space="preserve">k and career </w:t>
      </w:r>
      <w:r w:rsidRPr="001942AD">
        <w:rPr>
          <w:rFonts w:eastAsiaTheme="minorHAnsi" w:cs="Arial"/>
          <w:kern w:val="2"/>
          <w14:ligatures w14:val="standardContextual"/>
        </w:rPr>
        <w:t>preparation.</w:t>
      </w:r>
      <w:r w:rsidR="005F52B1" w:rsidRPr="003627F4">
        <w:rPr>
          <w:rFonts w:eastAsiaTheme="minorHAnsi" w:cs="Arial"/>
          <w:kern w:val="2"/>
          <w14:ligatures w14:val="standardContextual"/>
        </w:rPr>
        <w:t xml:space="preserve"> </w:t>
      </w:r>
      <w:r w:rsidR="00E16887">
        <w:rPr>
          <w:rFonts w:eastAsiaTheme="minorHAnsi" w:cs="Arial"/>
          <w:kern w:val="2"/>
          <w14:ligatures w14:val="standardContextual"/>
        </w:rPr>
        <w:t>Sustaining e</w:t>
      </w:r>
      <w:r w:rsidRPr="000F25E3">
        <w:rPr>
          <w:rFonts w:eastAsiaTheme="minorHAnsi" w:cs="Arial"/>
          <w:kern w:val="2"/>
          <w14:ligatures w14:val="standardContextual"/>
        </w:rPr>
        <w:t xml:space="preserve">quitable </w:t>
      </w:r>
      <w:r w:rsidR="00E16887">
        <w:rPr>
          <w:rFonts w:eastAsiaTheme="minorHAnsi" w:cs="Arial"/>
          <w:kern w:val="2"/>
          <w14:ligatures w14:val="standardContextual"/>
        </w:rPr>
        <w:t xml:space="preserve">CTE programs requires LEAs to provide </w:t>
      </w:r>
      <w:r w:rsidRPr="000F25E3">
        <w:rPr>
          <w:rFonts w:eastAsiaTheme="minorHAnsi" w:cs="Arial"/>
          <w:kern w:val="2"/>
          <w14:ligatures w14:val="standardContextual"/>
        </w:rPr>
        <w:t xml:space="preserve">students </w:t>
      </w:r>
      <w:r w:rsidR="00E16887">
        <w:rPr>
          <w:rFonts w:eastAsiaTheme="minorHAnsi" w:cs="Arial"/>
          <w:kern w:val="2"/>
          <w14:ligatures w14:val="standardContextual"/>
        </w:rPr>
        <w:t xml:space="preserve">with </w:t>
      </w:r>
      <w:r w:rsidRPr="000F25E3">
        <w:rPr>
          <w:rFonts w:eastAsiaTheme="minorHAnsi" w:cs="Arial"/>
          <w:kern w:val="2"/>
          <w14:ligatures w14:val="standardContextual"/>
        </w:rPr>
        <w:t>the support</w:t>
      </w:r>
      <w:r w:rsidR="0030279A">
        <w:rPr>
          <w:rFonts w:eastAsiaTheme="minorHAnsi" w:cs="Arial"/>
          <w:kern w:val="2"/>
          <w14:ligatures w14:val="standardContextual"/>
        </w:rPr>
        <w:t xml:space="preserve"> services </w:t>
      </w:r>
      <w:r w:rsidRPr="000F25E3">
        <w:rPr>
          <w:rFonts w:eastAsiaTheme="minorHAnsi" w:cs="Arial"/>
          <w:kern w:val="2"/>
          <w14:ligatures w14:val="standardContextual"/>
        </w:rPr>
        <w:t>need</w:t>
      </w:r>
      <w:r w:rsidR="00787718">
        <w:rPr>
          <w:rFonts w:eastAsiaTheme="minorHAnsi" w:cs="Arial"/>
          <w:kern w:val="2"/>
          <w14:ligatures w14:val="standardContextual"/>
        </w:rPr>
        <w:t>ed</w:t>
      </w:r>
      <w:r w:rsidRPr="000F25E3">
        <w:rPr>
          <w:rFonts w:eastAsiaTheme="minorHAnsi" w:cs="Arial"/>
          <w:kern w:val="2"/>
          <w14:ligatures w14:val="standardContextual"/>
        </w:rPr>
        <w:t xml:space="preserve"> to be</w:t>
      </w:r>
      <w:r w:rsidR="00AB39F4">
        <w:rPr>
          <w:rFonts w:eastAsiaTheme="minorHAnsi" w:cs="Arial"/>
          <w:kern w:val="2"/>
          <w14:ligatures w14:val="standardContextual"/>
        </w:rPr>
        <w:t xml:space="preserve"> academically </w:t>
      </w:r>
      <w:r w:rsidR="004B4A2D" w:rsidRPr="000F25E3">
        <w:rPr>
          <w:rFonts w:eastAsiaTheme="minorHAnsi" w:cs="Arial"/>
          <w:kern w:val="2"/>
          <w14:ligatures w14:val="standardContextual"/>
        </w:rPr>
        <w:t>successful</w:t>
      </w:r>
      <w:r w:rsidR="004B4A2D">
        <w:rPr>
          <w:rFonts w:eastAsiaTheme="minorHAnsi" w:cs="Arial"/>
          <w:kern w:val="2"/>
          <w14:ligatures w14:val="standardContextual"/>
        </w:rPr>
        <w:t>,</w:t>
      </w:r>
      <w:r w:rsidR="00F7387F">
        <w:rPr>
          <w:rFonts w:eastAsiaTheme="minorHAnsi" w:cs="Arial"/>
          <w:kern w:val="2"/>
          <w14:ligatures w14:val="standardContextual"/>
        </w:rPr>
        <w:t xml:space="preserve"> while</w:t>
      </w:r>
      <w:r w:rsidRPr="000F25E3">
        <w:rPr>
          <w:rFonts w:eastAsiaTheme="minorHAnsi" w:cs="Arial"/>
          <w:kern w:val="2"/>
          <w14:ligatures w14:val="standardContextual"/>
        </w:rPr>
        <w:t xml:space="preserve"> </w:t>
      </w:r>
      <w:r w:rsidR="00E878A0">
        <w:rPr>
          <w:rFonts w:eastAsiaTheme="minorHAnsi" w:cs="Arial"/>
          <w:kern w:val="2"/>
          <w14:ligatures w14:val="standardContextual"/>
        </w:rPr>
        <w:t xml:space="preserve">simultaneously addressing </w:t>
      </w:r>
      <w:r w:rsidR="00F7387F">
        <w:rPr>
          <w:rFonts w:eastAsiaTheme="minorHAnsi" w:cs="Arial"/>
          <w:kern w:val="2"/>
          <w14:ligatures w14:val="standardContextual"/>
        </w:rPr>
        <w:t xml:space="preserve">equity gaps in </w:t>
      </w:r>
      <w:r w:rsidR="00AB39F4">
        <w:rPr>
          <w:rFonts w:eastAsiaTheme="minorHAnsi" w:cs="Arial"/>
          <w:kern w:val="2"/>
          <w14:ligatures w14:val="standardContextual"/>
        </w:rPr>
        <w:t>access and completion</w:t>
      </w:r>
      <w:r w:rsidRPr="000F25E3">
        <w:rPr>
          <w:rFonts w:eastAsiaTheme="minorHAnsi" w:cs="Arial"/>
          <w:kern w:val="2"/>
          <w14:ligatures w14:val="standardContextual"/>
        </w:rPr>
        <w:t xml:space="preserve"> </w:t>
      </w:r>
      <w:r w:rsidR="00F7387F">
        <w:rPr>
          <w:rFonts w:eastAsiaTheme="minorHAnsi" w:cs="Arial"/>
          <w:kern w:val="2"/>
          <w14:ligatures w14:val="standardContextual"/>
        </w:rPr>
        <w:t>amongst special</w:t>
      </w:r>
      <w:r w:rsidR="00AB39F4">
        <w:rPr>
          <w:rFonts w:eastAsiaTheme="minorHAnsi" w:cs="Arial"/>
          <w:kern w:val="2"/>
          <w14:ligatures w14:val="standardContextual"/>
        </w:rPr>
        <w:t xml:space="preserve"> student populations</w:t>
      </w:r>
      <w:r w:rsidRPr="000F25E3">
        <w:rPr>
          <w:rFonts w:eastAsiaTheme="minorHAnsi" w:cs="Arial"/>
          <w:kern w:val="2"/>
          <w14:ligatures w14:val="standardContextual"/>
        </w:rPr>
        <w:t>.</w:t>
      </w:r>
      <w:r w:rsidR="004B4A2D">
        <w:rPr>
          <w:rFonts w:eastAsiaTheme="minorHAnsi" w:cs="Arial"/>
          <w:kern w:val="2"/>
          <w14:ligatures w14:val="standardContextual"/>
        </w:rPr>
        <w:t xml:space="preserve"> As an economic imperative, the encouragement, </w:t>
      </w:r>
      <w:r w:rsidR="004B4A2D" w:rsidRPr="000F25E3">
        <w:rPr>
          <w:rFonts w:eastAsiaTheme="minorHAnsi" w:cs="Arial"/>
          <w:kern w:val="2"/>
          <w14:ligatures w14:val="standardContextual"/>
        </w:rPr>
        <w:t>maintena</w:t>
      </w:r>
      <w:r w:rsidR="004B4A2D">
        <w:rPr>
          <w:rFonts w:eastAsiaTheme="minorHAnsi" w:cs="Arial"/>
          <w:kern w:val="2"/>
          <w14:ligatures w14:val="standardContextual"/>
        </w:rPr>
        <w:t>nce</w:t>
      </w:r>
      <w:r w:rsidRPr="000F25E3">
        <w:rPr>
          <w:rFonts w:eastAsiaTheme="minorHAnsi" w:cs="Arial"/>
          <w:kern w:val="2"/>
          <w14:ligatures w14:val="standardContextual"/>
        </w:rPr>
        <w:t>, and strengthening</w:t>
      </w:r>
      <w:r w:rsidR="000F25E3" w:rsidRPr="000F25E3">
        <w:rPr>
          <w:rStyle w:val="FootnoteReference"/>
          <w:rFonts w:eastAsiaTheme="minorHAnsi" w:cs="Arial"/>
          <w:kern w:val="2"/>
          <w14:ligatures w14:val="standardContextual"/>
        </w:rPr>
        <w:footnoteReference w:id="29"/>
      </w:r>
      <w:r w:rsidRPr="000F25E3">
        <w:rPr>
          <w:rFonts w:eastAsiaTheme="minorHAnsi" w:cs="Arial"/>
          <w:kern w:val="2"/>
          <w14:ligatures w14:val="standardContextual"/>
        </w:rPr>
        <w:t xml:space="preserve"> </w:t>
      </w:r>
      <w:r w:rsidR="004B4A2D">
        <w:rPr>
          <w:rFonts w:eastAsiaTheme="minorHAnsi" w:cs="Arial"/>
          <w:kern w:val="2"/>
          <w14:ligatures w14:val="standardContextual"/>
        </w:rPr>
        <w:t>of H</w:t>
      </w:r>
      <w:r w:rsidRPr="000F25E3">
        <w:rPr>
          <w:rFonts w:eastAsiaTheme="minorHAnsi" w:cs="Arial"/>
          <w:kern w:val="2"/>
          <w14:ligatures w14:val="standardContextual"/>
        </w:rPr>
        <w:t>igh-</w:t>
      </w:r>
      <w:r w:rsidR="004B4A2D">
        <w:rPr>
          <w:rFonts w:eastAsiaTheme="minorHAnsi" w:cs="Arial"/>
          <w:kern w:val="2"/>
          <w14:ligatures w14:val="standardContextual"/>
        </w:rPr>
        <w:t>Q</w:t>
      </w:r>
      <w:r w:rsidRPr="000F25E3">
        <w:rPr>
          <w:rFonts w:eastAsiaTheme="minorHAnsi" w:cs="Arial"/>
          <w:kern w:val="2"/>
          <w14:ligatures w14:val="standardContextual"/>
        </w:rPr>
        <w:t xml:space="preserve">uality CTE programs </w:t>
      </w:r>
      <w:r w:rsidR="004B4A2D">
        <w:rPr>
          <w:rFonts w:eastAsiaTheme="minorHAnsi" w:cs="Arial"/>
          <w:kern w:val="2"/>
          <w14:ligatures w14:val="standardContextual"/>
        </w:rPr>
        <w:t>requires patience and resolve;</w:t>
      </w:r>
      <w:r w:rsidRPr="000F25E3">
        <w:rPr>
          <w:rFonts w:eastAsiaTheme="minorHAnsi" w:cs="Arial"/>
          <w:kern w:val="2"/>
          <w14:ligatures w14:val="standardContextual"/>
        </w:rPr>
        <w:t xml:space="preserve"> but </w:t>
      </w:r>
      <w:r w:rsidR="000F25E3" w:rsidRPr="000F25E3">
        <w:rPr>
          <w:rFonts w:eastAsiaTheme="minorHAnsi" w:cs="Arial"/>
          <w:kern w:val="2"/>
          <w14:ligatures w14:val="standardContextual"/>
        </w:rPr>
        <w:t xml:space="preserve">it </w:t>
      </w:r>
      <w:r w:rsidR="004B4A2D">
        <w:rPr>
          <w:rFonts w:eastAsiaTheme="minorHAnsi" w:cs="Arial"/>
          <w:kern w:val="2"/>
          <w14:ligatures w14:val="standardContextual"/>
        </w:rPr>
        <w:t xml:space="preserve">is morally </w:t>
      </w:r>
      <w:r w:rsidR="000F25E3" w:rsidRPr="000F25E3">
        <w:rPr>
          <w:rFonts w:eastAsiaTheme="minorHAnsi" w:cs="Arial"/>
          <w:kern w:val="2"/>
          <w14:ligatures w14:val="standardContextual"/>
        </w:rPr>
        <w:t>incumbent</w:t>
      </w:r>
      <w:r w:rsidR="004B4A2D">
        <w:rPr>
          <w:rFonts w:eastAsiaTheme="minorHAnsi" w:cs="Arial"/>
          <w:kern w:val="2"/>
          <w14:ligatures w14:val="standardContextual"/>
        </w:rPr>
        <w:t xml:space="preserve"> </w:t>
      </w:r>
      <w:r w:rsidR="000F25E3" w:rsidRPr="000F25E3">
        <w:rPr>
          <w:rFonts w:eastAsiaTheme="minorHAnsi" w:cs="Arial"/>
          <w:kern w:val="2"/>
          <w14:ligatures w14:val="standardContextual"/>
        </w:rPr>
        <w:t xml:space="preserve">upon </w:t>
      </w:r>
      <w:r w:rsidRPr="000F25E3">
        <w:rPr>
          <w:rFonts w:eastAsiaTheme="minorHAnsi" w:cs="Arial"/>
          <w:kern w:val="2"/>
          <w14:ligatures w14:val="standardContextual"/>
        </w:rPr>
        <w:t xml:space="preserve">California to </w:t>
      </w:r>
      <w:r w:rsidR="00D51A13">
        <w:rPr>
          <w:rFonts w:eastAsiaTheme="minorHAnsi" w:cs="Arial"/>
          <w:kern w:val="2"/>
          <w14:ligatures w14:val="standardContextual"/>
        </w:rPr>
        <w:t xml:space="preserve">remain at the </w:t>
      </w:r>
      <w:r w:rsidRPr="000F25E3">
        <w:rPr>
          <w:rFonts w:eastAsiaTheme="minorHAnsi" w:cs="Arial"/>
          <w:kern w:val="2"/>
          <w14:ligatures w14:val="standardContextual"/>
        </w:rPr>
        <w:t xml:space="preserve">forefront of </w:t>
      </w:r>
      <w:r w:rsidR="00790E69">
        <w:rPr>
          <w:rFonts w:eastAsiaTheme="minorHAnsi" w:cs="Arial"/>
          <w:kern w:val="2"/>
          <w14:ligatures w14:val="standardContextual"/>
        </w:rPr>
        <w:t xml:space="preserve">social and educational </w:t>
      </w:r>
      <w:r w:rsidRPr="000F25E3">
        <w:rPr>
          <w:rFonts w:eastAsiaTheme="minorHAnsi" w:cs="Arial"/>
          <w:kern w:val="2"/>
          <w14:ligatures w14:val="standardContextual"/>
        </w:rPr>
        <w:t>progress.</w:t>
      </w:r>
    </w:p>
    <w:p w14:paraId="7A54D6C3" w14:textId="65F20617" w:rsidR="00B35138" w:rsidRPr="00AB39F4" w:rsidRDefault="00B35138" w:rsidP="00AE2479">
      <w:pPr>
        <w:spacing w:after="240"/>
        <w:rPr>
          <w:rFonts w:eastAsiaTheme="minorHAnsi" w:cs="Arial"/>
          <w:kern w:val="2"/>
          <w14:ligatures w14:val="standardContextual"/>
        </w:rPr>
      </w:pPr>
      <w:r>
        <w:rPr>
          <w:rFonts w:cs="Arial"/>
        </w:rPr>
        <w:t xml:space="preserve">Future programmatic and analytical considerations for the CTEIG and </w:t>
      </w:r>
      <w:r w:rsidR="008261A2">
        <w:rPr>
          <w:rFonts w:cs="Arial"/>
        </w:rPr>
        <w:t xml:space="preserve">the </w:t>
      </w:r>
      <w:r>
        <w:rPr>
          <w:rFonts w:cs="Arial"/>
        </w:rPr>
        <w:t xml:space="preserve">next Five-Year </w:t>
      </w:r>
      <w:r w:rsidR="005721AB">
        <w:rPr>
          <w:rFonts w:cs="Arial"/>
        </w:rPr>
        <w:t>P</w:t>
      </w:r>
      <w:r>
        <w:rPr>
          <w:rFonts w:cs="Arial"/>
        </w:rPr>
        <w:t xml:space="preserve">rogress </w:t>
      </w:r>
      <w:r w:rsidR="005721AB">
        <w:rPr>
          <w:rFonts w:cs="Arial"/>
        </w:rPr>
        <w:t>R</w:t>
      </w:r>
      <w:r>
        <w:rPr>
          <w:rFonts w:cs="Arial"/>
        </w:rPr>
        <w:t>eport may potentially include: the development of Geographic Information System mapping of CTE pathways offered throughout the state to access viability related to Regional Labor Market Reports; growth in youth apprenticeship programs through Governor Newsom’s Master Plan on Career Education;</w:t>
      </w:r>
      <w:r w:rsidR="004D2931">
        <w:rPr>
          <w:rStyle w:val="FootnoteReference"/>
          <w:rFonts w:cs="Arial"/>
        </w:rPr>
        <w:footnoteReference w:id="30"/>
      </w:r>
      <w:r>
        <w:rPr>
          <w:rFonts w:cs="Arial"/>
        </w:rPr>
        <w:t xml:space="preserve"> the potential expansion of dual enrollment in CTE pathways by promoting new CCAP partnerships; and the comprehensive integration of core curriculum into CTE pathways utilizing the Golden State Pathways Program as </w:t>
      </w:r>
      <w:r w:rsidR="004D2931">
        <w:rPr>
          <w:rFonts w:cs="Arial"/>
        </w:rPr>
        <w:t>the</w:t>
      </w:r>
      <w:r>
        <w:rPr>
          <w:rFonts w:cs="Arial"/>
        </w:rPr>
        <w:t xml:space="preserve"> statewide implementation model </w:t>
      </w:r>
      <w:r w:rsidR="004D2931">
        <w:rPr>
          <w:rFonts w:cs="Arial"/>
        </w:rPr>
        <w:t>for</w:t>
      </w:r>
      <w:r>
        <w:rPr>
          <w:rFonts w:cs="Arial"/>
        </w:rPr>
        <w:t xml:space="preserve"> California.</w:t>
      </w:r>
    </w:p>
    <w:p w14:paraId="2247BEB4" w14:textId="3E99F359" w:rsidR="00465DFA" w:rsidRPr="005147E0" w:rsidRDefault="00E16887" w:rsidP="00AE2479">
      <w:pPr>
        <w:spacing w:after="240"/>
        <w:rPr>
          <w:rFonts w:eastAsiaTheme="minorHAnsi" w:cs="Arial"/>
          <w:kern w:val="2"/>
          <w14:ligatures w14:val="standardContextual"/>
        </w:rPr>
      </w:pPr>
      <w:r w:rsidRPr="00E878A0">
        <w:rPr>
          <w:rFonts w:eastAsiaTheme="minorHAnsi" w:cs="Arial"/>
          <w:kern w:val="2"/>
          <w14:ligatures w14:val="standardContextual"/>
        </w:rPr>
        <w:t xml:space="preserve">This report summarizes and further validates CTE </w:t>
      </w:r>
      <w:r w:rsidR="00D35819" w:rsidRPr="00E878A0">
        <w:rPr>
          <w:rFonts w:eastAsiaTheme="minorHAnsi" w:cs="Arial"/>
          <w:kern w:val="2"/>
          <w14:ligatures w14:val="standardContextual"/>
        </w:rPr>
        <w:t>programming</w:t>
      </w:r>
      <w:r w:rsidRPr="00E878A0">
        <w:rPr>
          <w:rFonts w:eastAsiaTheme="minorHAnsi" w:cs="Arial"/>
          <w:kern w:val="2"/>
          <w14:ligatures w14:val="standardContextual"/>
        </w:rPr>
        <w:t xml:space="preserve"> as </w:t>
      </w:r>
      <w:r w:rsidR="00D35819" w:rsidRPr="00E878A0">
        <w:rPr>
          <w:rFonts w:eastAsiaTheme="minorHAnsi" w:cs="Arial"/>
          <w:kern w:val="2"/>
          <w14:ligatures w14:val="standardContextual"/>
        </w:rPr>
        <w:t>a</w:t>
      </w:r>
      <w:r w:rsidRPr="00E878A0">
        <w:rPr>
          <w:rFonts w:eastAsiaTheme="minorHAnsi" w:cs="Arial"/>
          <w:kern w:val="2"/>
          <w14:ligatures w14:val="standardContextual"/>
        </w:rPr>
        <w:t xml:space="preserve"> harbinger of pupil engagement; moreover, observed attendance and graduation rates – irrespective of the disaggregated subgroups – </w:t>
      </w:r>
      <w:r w:rsidR="00F7387F">
        <w:rPr>
          <w:rFonts w:eastAsiaTheme="minorHAnsi" w:cs="Arial"/>
          <w:kern w:val="2"/>
          <w14:ligatures w14:val="standardContextual"/>
        </w:rPr>
        <w:t>invariably rose</w:t>
      </w:r>
      <w:r w:rsidR="00787718">
        <w:rPr>
          <w:rFonts w:eastAsiaTheme="minorHAnsi" w:cs="Arial"/>
          <w:kern w:val="2"/>
          <w14:ligatures w14:val="standardContextual"/>
        </w:rPr>
        <w:t xml:space="preserve"> when students enrolled, and eventually completed their respective CTE pathways.</w:t>
      </w:r>
      <w:r w:rsidR="00787718" w:rsidRPr="003627F4">
        <w:rPr>
          <w:rFonts w:eastAsiaTheme="minorHAnsi" w:cs="Arial"/>
          <w:kern w:val="2"/>
          <w14:ligatures w14:val="standardContextual"/>
        </w:rPr>
        <w:t xml:space="preserve"> </w:t>
      </w:r>
      <w:r w:rsidR="000D2F5C">
        <w:rPr>
          <w:rFonts w:eastAsiaTheme="minorHAnsi" w:cs="Arial"/>
          <w:kern w:val="2"/>
          <w14:ligatures w14:val="standardContextual"/>
        </w:rPr>
        <w:t>A</w:t>
      </w:r>
      <w:r w:rsidR="00790E69">
        <w:rPr>
          <w:rFonts w:eastAsiaTheme="minorHAnsi" w:cs="Arial"/>
          <w:kern w:val="2"/>
          <w14:ligatures w14:val="standardContextual"/>
        </w:rPr>
        <w:t xml:space="preserve">ttendance as a key indicator significantly </w:t>
      </w:r>
      <w:r w:rsidR="00790E69">
        <w:rPr>
          <w:rFonts w:eastAsiaTheme="minorHAnsi" w:cs="Arial"/>
          <w:kern w:val="2"/>
          <w14:ligatures w14:val="standardContextual"/>
        </w:rPr>
        <w:lastRenderedPageBreak/>
        <w:t>correlated with secondary graduation rates</w:t>
      </w:r>
      <w:r w:rsidR="00790E69">
        <w:rPr>
          <w:rStyle w:val="FootnoteReference"/>
          <w:rFonts w:cs="Arial"/>
          <w:color w:val="000000"/>
          <w:shd w:val="clear" w:color="auto" w:fill="FFFFFF"/>
        </w:rPr>
        <w:footnoteReference w:id="31"/>
      </w:r>
      <w:r w:rsidR="000D2F5C">
        <w:rPr>
          <w:rFonts w:eastAsiaTheme="minorHAnsi" w:cs="Arial"/>
          <w:kern w:val="2"/>
          <w14:ligatures w14:val="standardContextual"/>
        </w:rPr>
        <w:t xml:space="preserve"> and CTE pathway</w:t>
      </w:r>
      <w:r w:rsidR="00790E69">
        <w:rPr>
          <w:rFonts w:eastAsiaTheme="minorHAnsi" w:cs="Arial"/>
          <w:kern w:val="2"/>
          <w14:ligatures w14:val="standardContextual"/>
        </w:rPr>
        <w:t xml:space="preserve"> </w:t>
      </w:r>
      <w:r w:rsidR="000D2F5C">
        <w:rPr>
          <w:rFonts w:eastAsiaTheme="minorHAnsi" w:cs="Arial"/>
          <w:kern w:val="2"/>
          <w14:ligatures w14:val="standardContextual"/>
        </w:rPr>
        <w:t xml:space="preserve">completion remains </w:t>
      </w:r>
      <w:r w:rsidR="00F6794F">
        <w:rPr>
          <w:rFonts w:eastAsiaTheme="minorHAnsi" w:cs="Arial"/>
          <w:kern w:val="2"/>
          <w14:ligatures w14:val="standardContextual"/>
        </w:rPr>
        <w:t>laudable and</w:t>
      </w:r>
      <w:r w:rsidR="000D2F5C">
        <w:rPr>
          <w:rFonts w:eastAsiaTheme="minorHAnsi" w:cs="Arial"/>
          <w:kern w:val="2"/>
          <w14:ligatures w14:val="standardContextual"/>
        </w:rPr>
        <w:t xml:space="preserve"> </w:t>
      </w:r>
      <w:r w:rsidR="00F6794F">
        <w:rPr>
          <w:rFonts w:eastAsiaTheme="minorHAnsi" w:cs="Arial"/>
          <w:kern w:val="2"/>
          <w14:ligatures w14:val="standardContextual"/>
        </w:rPr>
        <w:t xml:space="preserve">inform workforce development policy discussions. </w:t>
      </w:r>
      <w:r w:rsidR="005D3579">
        <w:rPr>
          <w:rFonts w:cs="Arial"/>
        </w:rPr>
        <w:t>The conclusions</w:t>
      </w:r>
      <w:r w:rsidR="00FA3F86">
        <w:rPr>
          <w:rFonts w:cs="Arial"/>
        </w:rPr>
        <w:t xml:space="preserve"> </w:t>
      </w:r>
      <w:r>
        <w:rPr>
          <w:rFonts w:cs="Arial"/>
        </w:rPr>
        <w:t xml:space="preserve">in this report </w:t>
      </w:r>
      <w:r w:rsidR="00F6794F">
        <w:rPr>
          <w:rFonts w:cs="Arial"/>
        </w:rPr>
        <w:t xml:space="preserve">further </w:t>
      </w:r>
      <w:r w:rsidR="005D3579">
        <w:rPr>
          <w:rFonts w:cs="Arial"/>
        </w:rPr>
        <w:t xml:space="preserve">affirm </w:t>
      </w:r>
      <w:r w:rsidR="005D3579" w:rsidRPr="004D4C65">
        <w:rPr>
          <w:rFonts w:cs="Arial"/>
        </w:rPr>
        <w:t xml:space="preserve">the efficacy of CTE </w:t>
      </w:r>
      <w:r w:rsidR="005D3579">
        <w:rPr>
          <w:rFonts w:cs="Arial"/>
        </w:rPr>
        <w:t>programs</w:t>
      </w:r>
      <w:r w:rsidR="006556C2">
        <w:rPr>
          <w:rFonts w:cs="Arial"/>
        </w:rPr>
        <w:t xml:space="preserve"> as </w:t>
      </w:r>
      <w:r w:rsidR="00F6794F">
        <w:rPr>
          <w:rFonts w:cs="Arial"/>
        </w:rPr>
        <w:t xml:space="preserve">an </w:t>
      </w:r>
      <w:r w:rsidR="006556C2">
        <w:rPr>
          <w:rFonts w:cs="Arial"/>
        </w:rPr>
        <w:t>intangible component to student engagement</w:t>
      </w:r>
      <w:r w:rsidR="005D3579">
        <w:rPr>
          <w:rFonts w:cs="Arial"/>
        </w:rPr>
        <w:t>;</w:t>
      </w:r>
      <w:r w:rsidR="005D3579" w:rsidRPr="004D4C65">
        <w:rPr>
          <w:rFonts w:cs="Arial"/>
        </w:rPr>
        <w:t xml:space="preserve"> and the CTEIG as </w:t>
      </w:r>
      <w:r>
        <w:rPr>
          <w:rFonts w:cs="Arial"/>
        </w:rPr>
        <w:t>an</w:t>
      </w:r>
      <w:r w:rsidR="005D3579">
        <w:rPr>
          <w:rFonts w:cs="Arial"/>
        </w:rPr>
        <w:t xml:space="preserve"> exemplar </w:t>
      </w:r>
      <w:r w:rsidR="008D7546">
        <w:rPr>
          <w:rFonts w:cs="Arial"/>
        </w:rPr>
        <w:t xml:space="preserve">of state workforce development and grant administration </w:t>
      </w:r>
      <w:r w:rsidR="00F6794F">
        <w:rPr>
          <w:rFonts w:cs="Arial"/>
        </w:rPr>
        <w:t xml:space="preserve">to the direct benefit </w:t>
      </w:r>
      <w:r w:rsidR="008D7546">
        <w:rPr>
          <w:rFonts w:cs="Arial"/>
        </w:rPr>
        <w:t xml:space="preserve">student target populations </w:t>
      </w:r>
      <w:r w:rsidR="005D3579" w:rsidRPr="004D4C65">
        <w:rPr>
          <w:rFonts w:cs="Arial"/>
        </w:rPr>
        <w:t xml:space="preserve">traditionally marginalized </w:t>
      </w:r>
      <w:r w:rsidR="005D3579">
        <w:rPr>
          <w:rFonts w:cs="Arial"/>
        </w:rPr>
        <w:t>within</w:t>
      </w:r>
      <w:r w:rsidR="005D3579" w:rsidRPr="004D4C65">
        <w:rPr>
          <w:rFonts w:cs="Arial"/>
        </w:rPr>
        <w:t xml:space="preserve"> </w:t>
      </w:r>
      <w:r w:rsidR="00F6794F">
        <w:rPr>
          <w:rFonts w:cs="Arial"/>
        </w:rPr>
        <w:t xml:space="preserve">California’s </w:t>
      </w:r>
      <w:r w:rsidR="005D3579" w:rsidRPr="004D4C65">
        <w:rPr>
          <w:rFonts w:cs="Arial"/>
        </w:rPr>
        <w:t>public education</w:t>
      </w:r>
      <w:r w:rsidR="00F6794F">
        <w:rPr>
          <w:rFonts w:cs="Arial"/>
        </w:rPr>
        <w:t xml:space="preserve"> system</w:t>
      </w:r>
      <w:r w:rsidR="0056488E">
        <w:rPr>
          <w:rFonts w:cs="Arial"/>
        </w:rPr>
        <w:t>.</w:t>
      </w:r>
    </w:p>
    <w:p w14:paraId="11F5313C" w14:textId="77777777" w:rsidR="00C3382B" w:rsidRPr="00C3382B" w:rsidRDefault="00C3382B" w:rsidP="00C3382B">
      <w:pPr>
        <w:rPr>
          <w:rFonts w:eastAsiaTheme="minorHAnsi" w:cs="Arial"/>
        </w:rPr>
        <w:sectPr w:rsidR="00C3382B" w:rsidRPr="00C3382B" w:rsidSect="00A0487A">
          <w:pgSz w:w="12240" w:h="15840"/>
          <w:pgMar w:top="1440" w:right="1440" w:bottom="1440" w:left="1440" w:header="720" w:footer="720" w:gutter="0"/>
          <w:pgNumType w:start="1"/>
          <w:cols w:space="720"/>
          <w:docGrid w:linePitch="360"/>
        </w:sectPr>
      </w:pPr>
    </w:p>
    <w:p w14:paraId="68C80366" w14:textId="7498B1CE" w:rsidR="001572FF" w:rsidRDefault="00330ABC" w:rsidP="005147E0">
      <w:pPr>
        <w:pStyle w:val="Heading2"/>
        <w:rPr>
          <w:rFonts w:eastAsia="Calibri"/>
        </w:rPr>
      </w:pPr>
      <w:bookmarkStart w:id="40" w:name="_Hlk156484764"/>
      <w:bookmarkStart w:id="41" w:name="_Toc158883514"/>
      <w:bookmarkStart w:id="42" w:name="_Hlk155700293"/>
      <w:r w:rsidRPr="00EE1A0F">
        <w:rPr>
          <w:rFonts w:eastAsia="Calibri"/>
        </w:rPr>
        <w:lastRenderedPageBreak/>
        <w:t xml:space="preserve">Appendix </w:t>
      </w:r>
      <w:r w:rsidR="00C049D4" w:rsidRPr="00EE1A0F">
        <w:rPr>
          <w:rFonts w:eastAsia="Calibri"/>
        </w:rPr>
        <w:t>A</w:t>
      </w:r>
      <w:r w:rsidR="0076375E" w:rsidRPr="00EE1A0F">
        <w:rPr>
          <w:rFonts w:eastAsia="Calibri"/>
        </w:rPr>
        <w:t xml:space="preserve">: </w:t>
      </w:r>
      <w:r w:rsidR="006E25A8" w:rsidRPr="00EE1A0F">
        <w:rPr>
          <w:rFonts w:eastAsia="Calibri"/>
        </w:rPr>
        <w:t>2021</w:t>
      </w:r>
      <w:r w:rsidR="00122BFE" w:rsidRPr="00EE1A0F">
        <w:rPr>
          <w:rFonts w:eastAsia="Calibri"/>
        </w:rPr>
        <w:t>–</w:t>
      </w:r>
      <w:r w:rsidR="006E25A8" w:rsidRPr="00EE1A0F">
        <w:rPr>
          <w:rFonts w:eastAsia="Calibri"/>
        </w:rPr>
        <w:t>22 A</w:t>
      </w:r>
      <w:r w:rsidR="004025DB">
        <w:rPr>
          <w:rFonts w:eastAsia="Calibri"/>
        </w:rPr>
        <w:t xml:space="preserve">cademic </w:t>
      </w:r>
      <w:r w:rsidR="006E25A8" w:rsidRPr="00EE1A0F">
        <w:rPr>
          <w:rFonts w:eastAsia="Calibri"/>
        </w:rPr>
        <w:t>Y</w:t>
      </w:r>
      <w:r w:rsidR="004025DB">
        <w:rPr>
          <w:rFonts w:eastAsia="Calibri"/>
        </w:rPr>
        <w:t>ear (AY)</w:t>
      </w:r>
      <w:r w:rsidR="006E25A8" w:rsidRPr="00EE1A0F">
        <w:rPr>
          <w:rFonts w:eastAsia="Calibri"/>
        </w:rPr>
        <w:t xml:space="preserve"> </w:t>
      </w:r>
      <w:r w:rsidR="008D5AD6" w:rsidRPr="00EE1A0F">
        <w:rPr>
          <w:rFonts w:eastAsia="Calibri"/>
        </w:rPr>
        <w:t xml:space="preserve">Cohort </w:t>
      </w:r>
      <w:r w:rsidR="006E25A8" w:rsidRPr="00EE1A0F">
        <w:rPr>
          <w:rFonts w:eastAsia="Calibri"/>
        </w:rPr>
        <w:t xml:space="preserve">Attendance Rates </w:t>
      </w:r>
      <w:r w:rsidR="0057637F" w:rsidRPr="00EE1A0F">
        <w:rPr>
          <w:rFonts w:eastAsia="Calibri"/>
        </w:rPr>
        <w:t>by Race</w:t>
      </w:r>
      <w:bookmarkEnd w:id="40"/>
      <w:r w:rsidR="005147E0">
        <w:rPr>
          <w:rFonts w:eastAsia="Calibri"/>
        </w:rPr>
        <w:br/>
      </w:r>
      <w:r w:rsidR="0057637F" w:rsidRPr="00EE1A0F">
        <w:rPr>
          <w:rFonts w:eastAsia="Calibri"/>
        </w:rPr>
        <w:t>2021</w:t>
      </w:r>
      <w:r w:rsidR="00122BFE" w:rsidRPr="00EE1A0F">
        <w:rPr>
          <w:rFonts w:eastAsia="Calibri"/>
        </w:rPr>
        <w:t>–</w:t>
      </w:r>
      <w:r w:rsidR="0057637F" w:rsidRPr="00EE1A0F">
        <w:rPr>
          <w:rFonts w:eastAsia="Calibri"/>
        </w:rPr>
        <w:t xml:space="preserve">22 </w:t>
      </w:r>
      <w:r w:rsidR="00A408A6" w:rsidRPr="00EE1A0F">
        <w:rPr>
          <w:rFonts w:eastAsia="Calibri"/>
        </w:rPr>
        <w:t xml:space="preserve">AY </w:t>
      </w:r>
      <w:r w:rsidR="0057637F" w:rsidRPr="00EE1A0F">
        <w:rPr>
          <w:rFonts w:eastAsia="Calibri"/>
        </w:rPr>
        <w:t>Cohort Attendance Rate</w:t>
      </w:r>
      <w:r w:rsidR="00122BFE" w:rsidRPr="00EE1A0F">
        <w:rPr>
          <w:rFonts w:eastAsia="Calibri"/>
        </w:rPr>
        <w:t>s</w:t>
      </w:r>
      <w:r w:rsidR="00F12E90" w:rsidRPr="00EE1A0F">
        <w:rPr>
          <w:rFonts w:eastAsia="Calibri"/>
        </w:rPr>
        <w:t xml:space="preserve"> (</w:t>
      </w:r>
      <w:r w:rsidR="00F722D6" w:rsidRPr="00EE1A0F">
        <w:rPr>
          <w:rFonts w:eastAsia="Calibri"/>
        </w:rPr>
        <w:t>A</w:t>
      </w:r>
      <w:r w:rsidR="0057637F" w:rsidRPr="00EE1A0F">
        <w:rPr>
          <w:rFonts w:eastAsia="Calibri"/>
        </w:rPr>
        <w:t>ll 4 years of cohort</w:t>
      </w:r>
      <w:r w:rsidR="00F12E90" w:rsidRPr="00EE1A0F">
        <w:rPr>
          <w:rFonts w:eastAsia="Calibri"/>
        </w:rPr>
        <w:t>)</w:t>
      </w:r>
      <w:bookmarkEnd w:id="41"/>
    </w:p>
    <w:p w14:paraId="1678BF82" w14:textId="77777777" w:rsidR="001572FF" w:rsidRDefault="001572FF" w:rsidP="001572FF"/>
    <w:tbl>
      <w:tblPr>
        <w:tblStyle w:val="ListTable3"/>
        <w:tblW w:w="14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21-22 Attendance Rates by Race"/>
      </w:tblPr>
      <w:tblGrid>
        <w:gridCol w:w="1435"/>
        <w:gridCol w:w="1922"/>
        <w:gridCol w:w="1591"/>
        <w:gridCol w:w="1590"/>
        <w:gridCol w:w="1537"/>
        <w:gridCol w:w="1590"/>
        <w:gridCol w:w="1590"/>
        <w:gridCol w:w="1590"/>
        <w:gridCol w:w="1537"/>
      </w:tblGrid>
      <w:tr w:rsidR="001572FF" w14:paraId="6666E9BA" w14:textId="77777777" w:rsidTr="00FD3A2C">
        <w:trPr>
          <w:cnfStyle w:val="100000000000" w:firstRow="1" w:lastRow="0" w:firstColumn="0" w:lastColumn="0" w:oddVBand="0" w:evenVBand="0" w:oddHBand="0" w:evenHBand="0" w:firstRowFirstColumn="0" w:firstRowLastColumn="0" w:lastRowFirstColumn="0" w:lastRowLastColumn="0"/>
          <w:cantSplit/>
          <w:trHeight w:val="1380"/>
          <w:tblHeader/>
        </w:trPr>
        <w:tc>
          <w:tcPr>
            <w:cnfStyle w:val="001000000100" w:firstRow="0" w:lastRow="0" w:firstColumn="1" w:lastColumn="0" w:oddVBand="0" w:evenVBand="0" w:oddHBand="0" w:evenHBand="0" w:firstRowFirstColumn="1" w:firstRowLastColumn="0" w:lastRowFirstColumn="0" w:lastRowLastColumn="0"/>
            <w:tcW w:w="0" w:type="dxa"/>
          </w:tcPr>
          <w:p w14:paraId="5A671408" w14:textId="2D587CA9" w:rsidR="001572FF" w:rsidRPr="008E02E4" w:rsidRDefault="001572FF" w:rsidP="001572FF">
            <w:pPr>
              <w:rPr>
                <w:rFonts w:cs="Arial"/>
                <w:b w:val="0"/>
                <w:bCs w:val="0"/>
              </w:rPr>
            </w:pPr>
            <w:r w:rsidRPr="008E02E4">
              <w:rPr>
                <w:rFonts w:cs="Arial"/>
              </w:rPr>
              <w:t>Ethnicity</w:t>
            </w:r>
          </w:p>
        </w:tc>
        <w:tc>
          <w:tcPr>
            <w:tcW w:w="0" w:type="dxa"/>
          </w:tcPr>
          <w:p w14:paraId="658BE991" w14:textId="771AE105" w:rsidR="001572FF" w:rsidRPr="008E02E4" w:rsidRDefault="00AE03C8" w:rsidP="001572FF">
            <w:pPr>
              <w:cnfStyle w:val="100000000000" w:firstRow="1" w:lastRow="0" w:firstColumn="0" w:lastColumn="0" w:oddVBand="0" w:evenVBand="0" w:oddHBand="0" w:evenHBand="0" w:firstRowFirstColumn="0" w:firstRowLastColumn="0" w:lastRowFirstColumn="0" w:lastRowLastColumn="0"/>
              <w:rPr>
                <w:rFonts w:cs="Arial"/>
                <w:b w:val="0"/>
                <w:bCs w:val="0"/>
              </w:rPr>
            </w:pPr>
            <w:r w:rsidRPr="008E02E4">
              <w:rPr>
                <w:rFonts w:cs="Arial"/>
              </w:rPr>
              <w:t>Non-Career</w:t>
            </w:r>
            <w:r w:rsidR="004025DB">
              <w:rPr>
                <w:rFonts w:cs="Arial"/>
              </w:rPr>
              <w:t xml:space="preserve"> </w:t>
            </w:r>
            <w:r w:rsidR="001572FF" w:rsidRPr="008E02E4">
              <w:rPr>
                <w:rFonts w:cs="Arial"/>
              </w:rPr>
              <w:t>T</w:t>
            </w:r>
            <w:r w:rsidR="004025DB">
              <w:rPr>
                <w:rFonts w:cs="Arial"/>
              </w:rPr>
              <w:t xml:space="preserve">echnical </w:t>
            </w:r>
            <w:r w:rsidR="001572FF" w:rsidRPr="008E02E4">
              <w:rPr>
                <w:rFonts w:cs="Arial"/>
              </w:rPr>
              <w:t>E</w:t>
            </w:r>
            <w:r w:rsidR="004025DB">
              <w:rPr>
                <w:rFonts w:cs="Arial"/>
              </w:rPr>
              <w:t>ducation (CTE)</w:t>
            </w:r>
            <w:r w:rsidR="001572FF" w:rsidRPr="008E02E4">
              <w:rPr>
                <w:rFonts w:cs="Arial"/>
              </w:rPr>
              <w:t xml:space="preserve"> Participants</w:t>
            </w:r>
          </w:p>
          <w:p w14:paraId="438C5550" w14:textId="77777777" w:rsidR="001572FF" w:rsidRPr="008E02E4" w:rsidRDefault="001572FF" w:rsidP="001572FF">
            <w:pPr>
              <w:cnfStyle w:val="100000000000" w:firstRow="1" w:lastRow="0" w:firstColumn="0" w:lastColumn="0" w:oddVBand="0" w:evenVBand="0" w:oddHBand="0" w:evenHBand="0" w:firstRowFirstColumn="0" w:firstRowLastColumn="0" w:lastRowFirstColumn="0" w:lastRowLastColumn="0"/>
              <w:rPr>
                <w:rFonts w:cs="Arial"/>
                <w:b w:val="0"/>
                <w:bCs w:val="0"/>
              </w:rPr>
            </w:pPr>
            <w:r w:rsidRPr="008E02E4">
              <w:rPr>
                <w:rFonts w:cs="Arial"/>
              </w:rPr>
              <w:t xml:space="preserve">Cohort </w:t>
            </w:r>
          </w:p>
          <w:p w14:paraId="3F786D38" w14:textId="79B1BEA4" w:rsidR="001572FF" w:rsidRPr="008E02E4" w:rsidRDefault="001572FF" w:rsidP="001572FF">
            <w:pPr>
              <w:cnfStyle w:val="100000000000" w:firstRow="1" w:lastRow="0" w:firstColumn="0" w:lastColumn="0" w:oddVBand="0" w:evenVBand="0" w:oddHBand="0" w:evenHBand="0" w:firstRowFirstColumn="0" w:firstRowLastColumn="0" w:lastRowFirstColumn="0" w:lastRowLastColumn="0"/>
              <w:rPr>
                <w:rFonts w:cs="Arial"/>
                <w:b w:val="0"/>
                <w:bCs w:val="0"/>
              </w:rPr>
            </w:pPr>
            <w:r w:rsidRPr="008E02E4">
              <w:rPr>
                <w:rFonts w:cs="Arial"/>
              </w:rPr>
              <w:t>Count</w:t>
            </w:r>
          </w:p>
        </w:tc>
        <w:tc>
          <w:tcPr>
            <w:tcW w:w="0" w:type="dxa"/>
          </w:tcPr>
          <w:p w14:paraId="68551A7F" w14:textId="77777777" w:rsidR="001572FF" w:rsidRPr="008E02E4" w:rsidRDefault="001572FF" w:rsidP="001572FF">
            <w:pPr>
              <w:cnfStyle w:val="100000000000" w:firstRow="1" w:lastRow="0" w:firstColumn="0" w:lastColumn="0" w:oddVBand="0" w:evenVBand="0" w:oddHBand="0" w:evenHBand="0" w:firstRowFirstColumn="0" w:firstRowLastColumn="0" w:lastRowFirstColumn="0" w:lastRowLastColumn="0"/>
              <w:rPr>
                <w:rFonts w:cs="Arial"/>
                <w:b w:val="0"/>
                <w:bCs w:val="0"/>
              </w:rPr>
            </w:pPr>
            <w:r w:rsidRPr="008E02E4">
              <w:rPr>
                <w:rFonts w:cs="Arial"/>
              </w:rPr>
              <w:t>CTE Participants Single</w:t>
            </w:r>
          </w:p>
          <w:p w14:paraId="0A02CFEB" w14:textId="23E65F71" w:rsidR="001572FF" w:rsidRPr="008E02E4" w:rsidRDefault="001572FF" w:rsidP="001572FF">
            <w:pPr>
              <w:cnfStyle w:val="100000000000" w:firstRow="1" w:lastRow="0" w:firstColumn="0" w:lastColumn="0" w:oddVBand="0" w:evenVBand="0" w:oddHBand="0" w:evenHBand="0" w:firstRowFirstColumn="0" w:firstRowLastColumn="0" w:lastRowFirstColumn="0" w:lastRowLastColumn="0"/>
              <w:rPr>
                <w:rFonts w:cs="Arial"/>
                <w:b w:val="0"/>
                <w:bCs w:val="0"/>
              </w:rPr>
            </w:pPr>
            <w:r w:rsidRPr="008E02E4">
              <w:rPr>
                <w:rFonts w:cs="Arial"/>
              </w:rPr>
              <w:t>Cohort Count</w:t>
            </w:r>
          </w:p>
        </w:tc>
        <w:tc>
          <w:tcPr>
            <w:tcW w:w="0" w:type="dxa"/>
          </w:tcPr>
          <w:p w14:paraId="28EF244B" w14:textId="62F21E81" w:rsidR="001572FF" w:rsidRPr="008E02E4" w:rsidRDefault="001572FF" w:rsidP="001572FF">
            <w:pPr>
              <w:cnfStyle w:val="100000000000" w:firstRow="1" w:lastRow="0" w:firstColumn="0" w:lastColumn="0" w:oddVBand="0" w:evenVBand="0" w:oddHBand="0" w:evenHBand="0" w:firstRowFirstColumn="0" w:firstRowLastColumn="0" w:lastRowFirstColumn="0" w:lastRowLastColumn="0"/>
              <w:rPr>
                <w:rFonts w:cs="Arial"/>
                <w:b w:val="0"/>
                <w:bCs w:val="0"/>
              </w:rPr>
            </w:pPr>
            <w:r w:rsidRPr="008E02E4">
              <w:rPr>
                <w:rFonts w:cs="Arial"/>
              </w:rPr>
              <w:t>CTE Participants 2 or more Cohort Count</w:t>
            </w:r>
          </w:p>
        </w:tc>
        <w:tc>
          <w:tcPr>
            <w:tcW w:w="0" w:type="dxa"/>
          </w:tcPr>
          <w:p w14:paraId="79501461" w14:textId="3D47ABBD" w:rsidR="001572FF" w:rsidRPr="008E02E4" w:rsidRDefault="001572FF" w:rsidP="001572FF">
            <w:pPr>
              <w:cnfStyle w:val="100000000000" w:firstRow="1" w:lastRow="0" w:firstColumn="0" w:lastColumn="0" w:oddVBand="0" w:evenVBand="0" w:oddHBand="0" w:evenHBand="0" w:firstRowFirstColumn="0" w:firstRowLastColumn="0" w:lastRowFirstColumn="0" w:lastRowLastColumn="0"/>
              <w:rPr>
                <w:rFonts w:cs="Arial"/>
                <w:b w:val="0"/>
                <w:bCs w:val="0"/>
              </w:rPr>
            </w:pPr>
            <w:r w:rsidRPr="008E02E4">
              <w:rPr>
                <w:rFonts w:cs="Arial"/>
              </w:rPr>
              <w:t>CTE Completers Cohort Count</w:t>
            </w:r>
          </w:p>
        </w:tc>
        <w:tc>
          <w:tcPr>
            <w:tcW w:w="0" w:type="dxa"/>
          </w:tcPr>
          <w:p w14:paraId="102AC3DA" w14:textId="2087E12D" w:rsidR="001572FF" w:rsidRPr="008E02E4" w:rsidRDefault="001572FF" w:rsidP="001572FF">
            <w:pPr>
              <w:cnfStyle w:val="100000000000" w:firstRow="1" w:lastRow="0" w:firstColumn="0" w:lastColumn="0" w:oddVBand="0" w:evenVBand="0" w:oddHBand="0" w:evenHBand="0" w:firstRowFirstColumn="0" w:firstRowLastColumn="0" w:lastRowFirstColumn="0" w:lastRowLastColumn="0"/>
              <w:rPr>
                <w:rFonts w:cs="Arial"/>
                <w:b w:val="0"/>
                <w:bCs w:val="0"/>
              </w:rPr>
            </w:pPr>
            <w:r w:rsidRPr="008E02E4">
              <w:rPr>
                <w:rFonts w:cs="Arial"/>
              </w:rPr>
              <w:t>Non CTE Participants Attendance Rate</w:t>
            </w:r>
          </w:p>
        </w:tc>
        <w:tc>
          <w:tcPr>
            <w:tcW w:w="0" w:type="dxa"/>
          </w:tcPr>
          <w:p w14:paraId="53A84A5A" w14:textId="47B538B1" w:rsidR="001572FF" w:rsidRPr="008E02E4" w:rsidRDefault="001572FF" w:rsidP="001572FF">
            <w:pPr>
              <w:cnfStyle w:val="100000000000" w:firstRow="1" w:lastRow="0" w:firstColumn="0" w:lastColumn="0" w:oddVBand="0" w:evenVBand="0" w:oddHBand="0" w:evenHBand="0" w:firstRowFirstColumn="0" w:firstRowLastColumn="0" w:lastRowFirstColumn="0" w:lastRowLastColumn="0"/>
              <w:rPr>
                <w:rFonts w:cs="Arial"/>
                <w:b w:val="0"/>
                <w:bCs w:val="0"/>
              </w:rPr>
            </w:pPr>
            <w:r w:rsidRPr="008E02E4">
              <w:rPr>
                <w:rFonts w:cs="Arial"/>
              </w:rPr>
              <w:t>CTE Participants Single Attendance</w:t>
            </w:r>
          </w:p>
        </w:tc>
        <w:tc>
          <w:tcPr>
            <w:tcW w:w="0" w:type="dxa"/>
          </w:tcPr>
          <w:p w14:paraId="7A393576" w14:textId="40CFCDE7" w:rsidR="001572FF" w:rsidRPr="008E02E4" w:rsidRDefault="001572FF" w:rsidP="001572FF">
            <w:pPr>
              <w:cnfStyle w:val="100000000000" w:firstRow="1" w:lastRow="0" w:firstColumn="0" w:lastColumn="0" w:oddVBand="0" w:evenVBand="0" w:oddHBand="0" w:evenHBand="0" w:firstRowFirstColumn="0" w:firstRowLastColumn="0" w:lastRowFirstColumn="0" w:lastRowLastColumn="0"/>
              <w:rPr>
                <w:rFonts w:cs="Arial"/>
                <w:b w:val="0"/>
                <w:bCs w:val="0"/>
              </w:rPr>
            </w:pPr>
            <w:r w:rsidRPr="008E02E4">
              <w:rPr>
                <w:rFonts w:cs="Arial"/>
              </w:rPr>
              <w:t>CTE Participants 2 or more Attendance Rate</w:t>
            </w:r>
          </w:p>
        </w:tc>
        <w:tc>
          <w:tcPr>
            <w:tcW w:w="0" w:type="dxa"/>
          </w:tcPr>
          <w:p w14:paraId="7FC4D6BD" w14:textId="0BB4D9B4" w:rsidR="001572FF" w:rsidRPr="008E02E4" w:rsidRDefault="001572FF" w:rsidP="001572FF">
            <w:pPr>
              <w:cnfStyle w:val="100000000000" w:firstRow="1" w:lastRow="0" w:firstColumn="0" w:lastColumn="0" w:oddVBand="0" w:evenVBand="0" w:oddHBand="0" w:evenHBand="0" w:firstRowFirstColumn="0" w:firstRowLastColumn="0" w:lastRowFirstColumn="0" w:lastRowLastColumn="0"/>
              <w:rPr>
                <w:rFonts w:cs="Arial"/>
                <w:b w:val="0"/>
                <w:bCs w:val="0"/>
              </w:rPr>
            </w:pPr>
            <w:r w:rsidRPr="008E02E4">
              <w:rPr>
                <w:rFonts w:cs="Arial"/>
              </w:rPr>
              <w:t>CTE Completers Attendance Rate</w:t>
            </w:r>
          </w:p>
        </w:tc>
      </w:tr>
      <w:tr w:rsidR="001572FF" w14:paraId="3262DAD7" w14:textId="77777777" w:rsidTr="008D3624">
        <w:trPr>
          <w:cnfStyle w:val="000000100000" w:firstRow="0" w:lastRow="0" w:firstColumn="0" w:lastColumn="0" w:oddVBand="0" w:evenVBand="0" w:oddHBand="1" w:evenHBand="0" w:firstRowFirstColumn="0" w:firstRowLastColumn="0" w:lastRowFirstColumn="0" w:lastRowLastColumn="0"/>
          <w:cantSplit/>
          <w:trHeight w:val="1380"/>
        </w:trPr>
        <w:tc>
          <w:tcPr>
            <w:cnfStyle w:val="001000000000" w:firstRow="0" w:lastRow="0" w:firstColumn="1" w:lastColumn="0" w:oddVBand="0" w:evenVBand="0" w:oddHBand="0" w:evenHBand="0" w:firstRowFirstColumn="0" w:firstRowLastColumn="0" w:lastRowFirstColumn="0" w:lastRowLastColumn="0"/>
            <w:tcW w:w="1435" w:type="dxa"/>
          </w:tcPr>
          <w:p w14:paraId="1F4237E7" w14:textId="5C90BD10" w:rsidR="001572FF" w:rsidRDefault="001572FF" w:rsidP="001572FF">
            <w:r w:rsidRPr="001A1840">
              <w:rPr>
                <w:rFonts w:cs="Arial"/>
              </w:rPr>
              <w:t>American Indian</w:t>
            </w:r>
            <w:r>
              <w:rPr>
                <w:rFonts w:cs="Arial"/>
              </w:rPr>
              <w:t xml:space="preserve"> </w:t>
            </w:r>
            <w:r w:rsidRPr="001A1840">
              <w:rPr>
                <w:rFonts w:cs="Arial"/>
              </w:rPr>
              <w:t>/</w:t>
            </w:r>
            <w:r>
              <w:rPr>
                <w:rFonts w:cs="Arial"/>
              </w:rPr>
              <w:t xml:space="preserve"> </w:t>
            </w:r>
            <w:r w:rsidRPr="001A1840">
              <w:rPr>
                <w:rFonts w:cs="Arial"/>
              </w:rPr>
              <w:t>Alaska Native</w:t>
            </w:r>
          </w:p>
        </w:tc>
        <w:tc>
          <w:tcPr>
            <w:tcW w:w="1922" w:type="dxa"/>
          </w:tcPr>
          <w:p w14:paraId="4A6769B1" w14:textId="16645A40"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852</w:t>
            </w:r>
          </w:p>
        </w:tc>
        <w:tc>
          <w:tcPr>
            <w:tcW w:w="1591" w:type="dxa"/>
          </w:tcPr>
          <w:p w14:paraId="7C4E7DCB" w14:textId="22E70A24"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552</w:t>
            </w:r>
          </w:p>
        </w:tc>
        <w:tc>
          <w:tcPr>
            <w:tcW w:w="1590" w:type="dxa"/>
          </w:tcPr>
          <w:p w14:paraId="6A3CD46C" w14:textId="147CC619"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798</w:t>
            </w:r>
          </w:p>
        </w:tc>
        <w:tc>
          <w:tcPr>
            <w:tcW w:w="1537" w:type="dxa"/>
          </w:tcPr>
          <w:p w14:paraId="3AAE20DB" w14:textId="11C85758"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378</w:t>
            </w:r>
          </w:p>
        </w:tc>
        <w:tc>
          <w:tcPr>
            <w:tcW w:w="1590" w:type="dxa"/>
          </w:tcPr>
          <w:p w14:paraId="452F416F" w14:textId="4DCB8F87"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72.8%</w:t>
            </w:r>
          </w:p>
        </w:tc>
        <w:tc>
          <w:tcPr>
            <w:tcW w:w="1590" w:type="dxa"/>
          </w:tcPr>
          <w:p w14:paraId="40EE0AED" w14:textId="154E0F9A"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82.5%</w:t>
            </w:r>
          </w:p>
        </w:tc>
        <w:tc>
          <w:tcPr>
            <w:tcW w:w="1590" w:type="dxa"/>
          </w:tcPr>
          <w:p w14:paraId="07260A81" w14:textId="6EB94D73"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86.0%</w:t>
            </w:r>
          </w:p>
        </w:tc>
        <w:tc>
          <w:tcPr>
            <w:tcW w:w="1537" w:type="dxa"/>
          </w:tcPr>
          <w:p w14:paraId="596DB9A0" w14:textId="55DD320E"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93.2%</w:t>
            </w:r>
          </w:p>
        </w:tc>
      </w:tr>
      <w:tr w:rsidR="001572FF" w14:paraId="479B9266" w14:textId="77777777" w:rsidTr="008D3624">
        <w:trPr>
          <w:cantSplit/>
          <w:trHeight w:val="854"/>
        </w:trPr>
        <w:tc>
          <w:tcPr>
            <w:cnfStyle w:val="001000000000" w:firstRow="0" w:lastRow="0" w:firstColumn="1" w:lastColumn="0" w:oddVBand="0" w:evenVBand="0" w:oddHBand="0" w:evenHBand="0" w:firstRowFirstColumn="0" w:firstRowLastColumn="0" w:lastRowFirstColumn="0" w:lastRowLastColumn="0"/>
            <w:tcW w:w="1435" w:type="dxa"/>
          </w:tcPr>
          <w:p w14:paraId="2DB6E7E1" w14:textId="21D637E7" w:rsidR="001572FF" w:rsidRDefault="001572FF" w:rsidP="001572FF">
            <w:r w:rsidRPr="001A1840">
              <w:rPr>
                <w:rFonts w:cs="Arial"/>
              </w:rPr>
              <w:t>Asian</w:t>
            </w:r>
          </w:p>
        </w:tc>
        <w:tc>
          <w:tcPr>
            <w:tcW w:w="1922" w:type="dxa"/>
          </w:tcPr>
          <w:p w14:paraId="5CEA70AA" w14:textId="322B5337"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18,589</w:t>
            </w:r>
          </w:p>
        </w:tc>
        <w:tc>
          <w:tcPr>
            <w:tcW w:w="1591" w:type="dxa"/>
          </w:tcPr>
          <w:p w14:paraId="28F10001" w14:textId="43242498"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14,337</w:t>
            </w:r>
          </w:p>
        </w:tc>
        <w:tc>
          <w:tcPr>
            <w:tcW w:w="1590" w:type="dxa"/>
          </w:tcPr>
          <w:p w14:paraId="4099DC76" w14:textId="5C9CBD39"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16,099</w:t>
            </w:r>
          </w:p>
        </w:tc>
        <w:tc>
          <w:tcPr>
            <w:tcW w:w="1537" w:type="dxa"/>
          </w:tcPr>
          <w:p w14:paraId="69AB7A40" w14:textId="04142407"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11,662</w:t>
            </w:r>
          </w:p>
        </w:tc>
        <w:tc>
          <w:tcPr>
            <w:tcW w:w="1590" w:type="dxa"/>
          </w:tcPr>
          <w:p w14:paraId="727DCBDA" w14:textId="13B6DEBD"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93.4%</w:t>
            </w:r>
          </w:p>
        </w:tc>
        <w:tc>
          <w:tcPr>
            <w:tcW w:w="1590" w:type="dxa"/>
          </w:tcPr>
          <w:p w14:paraId="5F026BE5" w14:textId="698BA2FE"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95.5%</w:t>
            </w:r>
          </w:p>
        </w:tc>
        <w:tc>
          <w:tcPr>
            <w:tcW w:w="1590" w:type="dxa"/>
          </w:tcPr>
          <w:p w14:paraId="7AF21A36" w14:textId="2CF8DC2A"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95.7%</w:t>
            </w:r>
          </w:p>
        </w:tc>
        <w:tc>
          <w:tcPr>
            <w:tcW w:w="1537" w:type="dxa"/>
          </w:tcPr>
          <w:p w14:paraId="34E48AA5" w14:textId="622314B1"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97.1%</w:t>
            </w:r>
          </w:p>
        </w:tc>
      </w:tr>
      <w:tr w:rsidR="001572FF" w14:paraId="289E9E54" w14:textId="77777777" w:rsidTr="008D3624">
        <w:trPr>
          <w:cnfStyle w:val="000000100000" w:firstRow="0" w:lastRow="0" w:firstColumn="0" w:lastColumn="0" w:oddVBand="0" w:evenVBand="0" w:oddHBand="1" w:evenHBand="0" w:firstRowFirstColumn="0" w:firstRowLastColumn="0" w:lastRowFirstColumn="0" w:lastRowLastColumn="0"/>
          <w:cantSplit/>
          <w:trHeight w:val="530"/>
        </w:trPr>
        <w:tc>
          <w:tcPr>
            <w:cnfStyle w:val="001000000000" w:firstRow="0" w:lastRow="0" w:firstColumn="1" w:lastColumn="0" w:oddVBand="0" w:evenVBand="0" w:oddHBand="0" w:evenHBand="0" w:firstRowFirstColumn="0" w:firstRowLastColumn="0" w:lastRowFirstColumn="0" w:lastRowLastColumn="0"/>
            <w:tcW w:w="1435" w:type="dxa"/>
          </w:tcPr>
          <w:p w14:paraId="41BF194C" w14:textId="76DDB78B" w:rsidR="001572FF" w:rsidRDefault="001572FF" w:rsidP="001572FF">
            <w:r w:rsidRPr="001A1840">
              <w:rPr>
                <w:rFonts w:cs="Arial"/>
              </w:rPr>
              <w:t>Black</w:t>
            </w:r>
          </w:p>
        </w:tc>
        <w:tc>
          <w:tcPr>
            <w:tcW w:w="1922" w:type="dxa"/>
          </w:tcPr>
          <w:p w14:paraId="5B3A42B6" w14:textId="32D74941"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9,817</w:t>
            </w:r>
          </w:p>
        </w:tc>
        <w:tc>
          <w:tcPr>
            <w:tcW w:w="1591" w:type="dxa"/>
          </w:tcPr>
          <w:p w14:paraId="651E329B" w14:textId="082222E6"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6,129</w:t>
            </w:r>
          </w:p>
        </w:tc>
        <w:tc>
          <w:tcPr>
            <w:tcW w:w="1590" w:type="dxa"/>
          </w:tcPr>
          <w:p w14:paraId="52885320" w14:textId="20A194B1"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7,427</w:t>
            </w:r>
          </w:p>
        </w:tc>
        <w:tc>
          <w:tcPr>
            <w:tcW w:w="1537" w:type="dxa"/>
          </w:tcPr>
          <w:p w14:paraId="52E9E544" w14:textId="71D21A8C"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3,450</w:t>
            </w:r>
          </w:p>
        </w:tc>
        <w:tc>
          <w:tcPr>
            <w:tcW w:w="1590" w:type="dxa"/>
          </w:tcPr>
          <w:p w14:paraId="720D3818" w14:textId="24515B4E"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74.1%</w:t>
            </w:r>
          </w:p>
        </w:tc>
        <w:tc>
          <w:tcPr>
            <w:tcW w:w="1590" w:type="dxa"/>
          </w:tcPr>
          <w:p w14:paraId="002DDB1F" w14:textId="60288F48"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84.7%</w:t>
            </w:r>
          </w:p>
        </w:tc>
        <w:tc>
          <w:tcPr>
            <w:tcW w:w="1590" w:type="dxa"/>
          </w:tcPr>
          <w:p w14:paraId="7A3BE509" w14:textId="0F0DB618"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88.5%</w:t>
            </w:r>
          </w:p>
        </w:tc>
        <w:tc>
          <w:tcPr>
            <w:tcW w:w="1537" w:type="dxa"/>
          </w:tcPr>
          <w:p w14:paraId="66CE93FD" w14:textId="1C0F70A4"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93.3%</w:t>
            </w:r>
          </w:p>
        </w:tc>
      </w:tr>
      <w:tr w:rsidR="001572FF" w14:paraId="4639A955" w14:textId="77777777" w:rsidTr="008D3624">
        <w:trPr>
          <w:cantSplit/>
          <w:trHeight w:val="530"/>
        </w:trPr>
        <w:tc>
          <w:tcPr>
            <w:cnfStyle w:val="001000000000" w:firstRow="0" w:lastRow="0" w:firstColumn="1" w:lastColumn="0" w:oddVBand="0" w:evenVBand="0" w:oddHBand="0" w:evenHBand="0" w:firstRowFirstColumn="0" w:firstRowLastColumn="0" w:lastRowFirstColumn="0" w:lastRowLastColumn="0"/>
            <w:tcW w:w="1435" w:type="dxa"/>
          </w:tcPr>
          <w:p w14:paraId="6E980A29" w14:textId="176106B7" w:rsidR="001572FF" w:rsidRDefault="001572FF" w:rsidP="001572FF">
            <w:r w:rsidRPr="001A1840">
              <w:rPr>
                <w:rFonts w:cs="Arial"/>
              </w:rPr>
              <w:t>Hispanic</w:t>
            </w:r>
          </w:p>
        </w:tc>
        <w:tc>
          <w:tcPr>
            <w:tcW w:w="1922" w:type="dxa"/>
          </w:tcPr>
          <w:p w14:paraId="59CAACB9" w14:textId="004B6ABC"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86,690</w:t>
            </w:r>
          </w:p>
        </w:tc>
        <w:tc>
          <w:tcPr>
            <w:tcW w:w="1591" w:type="dxa"/>
          </w:tcPr>
          <w:p w14:paraId="4F51095A" w14:textId="684A5003"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58,751</w:t>
            </w:r>
          </w:p>
        </w:tc>
        <w:tc>
          <w:tcPr>
            <w:tcW w:w="1590" w:type="dxa"/>
          </w:tcPr>
          <w:p w14:paraId="72E09ADB" w14:textId="05EC7942"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80,095</w:t>
            </w:r>
          </w:p>
        </w:tc>
        <w:tc>
          <w:tcPr>
            <w:tcW w:w="1537" w:type="dxa"/>
          </w:tcPr>
          <w:p w14:paraId="2DA1C99B" w14:textId="5BF485A2"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48,438</w:t>
            </w:r>
          </w:p>
        </w:tc>
        <w:tc>
          <w:tcPr>
            <w:tcW w:w="1590" w:type="dxa"/>
          </w:tcPr>
          <w:p w14:paraId="32C01780" w14:textId="4EB77B95"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82.3%</w:t>
            </w:r>
          </w:p>
        </w:tc>
        <w:tc>
          <w:tcPr>
            <w:tcW w:w="1590" w:type="dxa"/>
          </w:tcPr>
          <w:p w14:paraId="0E525B53" w14:textId="700CD3E6"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87.8%</w:t>
            </w:r>
          </w:p>
        </w:tc>
        <w:tc>
          <w:tcPr>
            <w:tcW w:w="1590" w:type="dxa"/>
          </w:tcPr>
          <w:p w14:paraId="0886401E" w14:textId="372A176A"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90.7%</w:t>
            </w:r>
          </w:p>
        </w:tc>
        <w:tc>
          <w:tcPr>
            <w:tcW w:w="1537" w:type="dxa"/>
          </w:tcPr>
          <w:p w14:paraId="215684E2" w14:textId="64D116E5"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94.8%</w:t>
            </w:r>
          </w:p>
        </w:tc>
      </w:tr>
      <w:tr w:rsidR="001572FF" w14:paraId="0A6AB28F" w14:textId="77777777" w:rsidTr="008D3624">
        <w:trPr>
          <w:cnfStyle w:val="000000100000" w:firstRow="0" w:lastRow="0" w:firstColumn="0" w:lastColumn="0" w:oddVBand="0" w:evenVBand="0" w:oddHBand="1" w:evenHBand="0" w:firstRowFirstColumn="0" w:firstRowLastColumn="0" w:lastRowFirstColumn="0" w:lastRowLastColumn="0"/>
          <w:cantSplit/>
          <w:trHeight w:val="800"/>
        </w:trPr>
        <w:tc>
          <w:tcPr>
            <w:cnfStyle w:val="001000000000" w:firstRow="0" w:lastRow="0" w:firstColumn="1" w:lastColumn="0" w:oddVBand="0" w:evenVBand="0" w:oddHBand="0" w:evenHBand="0" w:firstRowFirstColumn="0" w:firstRowLastColumn="0" w:lastRowFirstColumn="0" w:lastRowLastColumn="0"/>
            <w:tcW w:w="1435" w:type="dxa"/>
          </w:tcPr>
          <w:p w14:paraId="70B5653D" w14:textId="446843C8" w:rsidR="001572FF" w:rsidRDefault="001572FF" w:rsidP="001572FF">
            <w:r w:rsidRPr="001A1840">
              <w:rPr>
                <w:rFonts w:cs="Arial"/>
              </w:rPr>
              <w:t>Pacific Islander</w:t>
            </w:r>
          </w:p>
        </w:tc>
        <w:tc>
          <w:tcPr>
            <w:tcW w:w="1922" w:type="dxa"/>
          </w:tcPr>
          <w:p w14:paraId="79F9D98E" w14:textId="6EFD1B68"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786</w:t>
            </w:r>
          </w:p>
        </w:tc>
        <w:tc>
          <w:tcPr>
            <w:tcW w:w="1591" w:type="dxa"/>
          </w:tcPr>
          <w:p w14:paraId="011C1B4B" w14:textId="7F11571E"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581</w:t>
            </w:r>
          </w:p>
        </w:tc>
        <w:tc>
          <w:tcPr>
            <w:tcW w:w="1590" w:type="dxa"/>
          </w:tcPr>
          <w:p w14:paraId="2E4FC5B8" w14:textId="5748214B"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655</w:t>
            </w:r>
          </w:p>
        </w:tc>
        <w:tc>
          <w:tcPr>
            <w:tcW w:w="1537" w:type="dxa"/>
          </w:tcPr>
          <w:p w14:paraId="4560E389" w14:textId="05321CC8"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369</w:t>
            </w:r>
          </w:p>
        </w:tc>
        <w:tc>
          <w:tcPr>
            <w:tcW w:w="1590" w:type="dxa"/>
          </w:tcPr>
          <w:p w14:paraId="3105CCE2" w14:textId="6E86D2A9"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79.4%</w:t>
            </w:r>
          </w:p>
        </w:tc>
        <w:tc>
          <w:tcPr>
            <w:tcW w:w="1590" w:type="dxa"/>
          </w:tcPr>
          <w:p w14:paraId="4691CE9F" w14:textId="454C8B77"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87.5%</w:t>
            </w:r>
          </w:p>
        </w:tc>
        <w:tc>
          <w:tcPr>
            <w:tcW w:w="1590" w:type="dxa"/>
          </w:tcPr>
          <w:p w14:paraId="62B07F67" w14:textId="248F27A1"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89.1%</w:t>
            </w:r>
          </w:p>
        </w:tc>
        <w:tc>
          <w:tcPr>
            <w:tcW w:w="1537" w:type="dxa"/>
          </w:tcPr>
          <w:p w14:paraId="281483DC" w14:textId="22F00556"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93.5%</w:t>
            </w:r>
          </w:p>
        </w:tc>
      </w:tr>
      <w:tr w:rsidR="001572FF" w14:paraId="0428F3C5" w14:textId="77777777" w:rsidTr="008D3624">
        <w:trPr>
          <w:cantSplit/>
          <w:trHeight w:val="710"/>
        </w:trPr>
        <w:tc>
          <w:tcPr>
            <w:cnfStyle w:val="001000000000" w:firstRow="0" w:lastRow="0" w:firstColumn="1" w:lastColumn="0" w:oddVBand="0" w:evenVBand="0" w:oddHBand="0" w:evenHBand="0" w:firstRowFirstColumn="0" w:firstRowLastColumn="0" w:lastRowFirstColumn="0" w:lastRowLastColumn="0"/>
            <w:tcW w:w="1435" w:type="dxa"/>
          </w:tcPr>
          <w:p w14:paraId="21AC9241" w14:textId="6D097068" w:rsidR="001572FF" w:rsidRDefault="001572FF" w:rsidP="001572FF">
            <w:r w:rsidRPr="001A1840">
              <w:rPr>
                <w:rFonts w:cs="Arial"/>
              </w:rPr>
              <w:t>White</w:t>
            </w:r>
          </w:p>
        </w:tc>
        <w:tc>
          <w:tcPr>
            <w:tcW w:w="1922" w:type="dxa"/>
          </w:tcPr>
          <w:p w14:paraId="747398C2" w14:textId="1E2A4084"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32,602</w:t>
            </w:r>
          </w:p>
        </w:tc>
        <w:tc>
          <w:tcPr>
            <w:tcW w:w="1591" w:type="dxa"/>
          </w:tcPr>
          <w:p w14:paraId="11B83FD1" w14:textId="55F9CFCF"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24,752</w:t>
            </w:r>
          </w:p>
        </w:tc>
        <w:tc>
          <w:tcPr>
            <w:tcW w:w="1590" w:type="dxa"/>
          </w:tcPr>
          <w:p w14:paraId="6474F9C8" w14:textId="6BA61974"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33,174</w:t>
            </w:r>
          </w:p>
        </w:tc>
        <w:tc>
          <w:tcPr>
            <w:tcW w:w="1537" w:type="dxa"/>
          </w:tcPr>
          <w:p w14:paraId="769F6B15" w14:textId="5E2B6E80"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20,538</w:t>
            </w:r>
          </w:p>
        </w:tc>
        <w:tc>
          <w:tcPr>
            <w:tcW w:w="1590" w:type="dxa"/>
          </w:tcPr>
          <w:p w14:paraId="5CDC0761" w14:textId="433B0BFA"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85.2%</w:t>
            </w:r>
          </w:p>
        </w:tc>
        <w:tc>
          <w:tcPr>
            <w:tcW w:w="1590" w:type="dxa"/>
          </w:tcPr>
          <w:p w14:paraId="0013ECBC" w14:textId="4B4749BD"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90.0%</w:t>
            </w:r>
          </w:p>
        </w:tc>
        <w:tc>
          <w:tcPr>
            <w:tcW w:w="1590" w:type="dxa"/>
          </w:tcPr>
          <w:p w14:paraId="176D8945" w14:textId="08E4C249"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91.2%</w:t>
            </w:r>
          </w:p>
        </w:tc>
        <w:tc>
          <w:tcPr>
            <w:tcW w:w="1537" w:type="dxa"/>
          </w:tcPr>
          <w:p w14:paraId="6037CC8B" w14:textId="4AFE3034" w:rsidR="001572FF" w:rsidRDefault="001572FF" w:rsidP="001572FF">
            <w:pPr>
              <w:cnfStyle w:val="000000000000" w:firstRow="0" w:lastRow="0" w:firstColumn="0" w:lastColumn="0" w:oddVBand="0" w:evenVBand="0" w:oddHBand="0" w:evenHBand="0" w:firstRowFirstColumn="0" w:firstRowLastColumn="0" w:lastRowFirstColumn="0" w:lastRowLastColumn="0"/>
            </w:pPr>
            <w:r w:rsidRPr="001A1840">
              <w:rPr>
                <w:rFonts w:cs="Arial"/>
              </w:rPr>
              <w:t>94.8%</w:t>
            </w:r>
          </w:p>
        </w:tc>
      </w:tr>
      <w:tr w:rsidR="001572FF" w14:paraId="1CA6540F" w14:textId="77777777" w:rsidTr="008D3624">
        <w:trPr>
          <w:cnfStyle w:val="000000100000" w:firstRow="0" w:lastRow="0" w:firstColumn="0" w:lastColumn="0" w:oddVBand="0" w:evenVBand="0" w:oddHBand="1" w:evenHBand="0" w:firstRowFirstColumn="0" w:firstRowLastColumn="0" w:lastRowFirstColumn="0" w:lastRowLastColumn="0"/>
          <w:cantSplit/>
          <w:trHeight w:val="1079"/>
        </w:trPr>
        <w:tc>
          <w:tcPr>
            <w:cnfStyle w:val="001000000000" w:firstRow="0" w:lastRow="0" w:firstColumn="1" w:lastColumn="0" w:oddVBand="0" w:evenVBand="0" w:oddHBand="0" w:evenHBand="0" w:firstRowFirstColumn="0" w:firstRowLastColumn="0" w:lastRowFirstColumn="0" w:lastRowLastColumn="0"/>
            <w:tcW w:w="1435" w:type="dxa"/>
          </w:tcPr>
          <w:p w14:paraId="6CA074CB" w14:textId="148C11E3" w:rsidR="001572FF" w:rsidRDefault="001572FF" w:rsidP="001572FF">
            <w:r w:rsidRPr="001A1840">
              <w:rPr>
                <w:rFonts w:cs="Arial"/>
              </w:rPr>
              <w:t>Two or More Races</w:t>
            </w:r>
          </w:p>
        </w:tc>
        <w:tc>
          <w:tcPr>
            <w:tcW w:w="1922" w:type="dxa"/>
          </w:tcPr>
          <w:p w14:paraId="62AD83CF" w14:textId="5C96E085"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6,973</w:t>
            </w:r>
          </w:p>
        </w:tc>
        <w:tc>
          <w:tcPr>
            <w:tcW w:w="1591" w:type="dxa"/>
          </w:tcPr>
          <w:p w14:paraId="35A683FA" w14:textId="23302ADB"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4,739</w:t>
            </w:r>
          </w:p>
        </w:tc>
        <w:tc>
          <w:tcPr>
            <w:tcW w:w="1590" w:type="dxa"/>
          </w:tcPr>
          <w:p w14:paraId="5021D740" w14:textId="09E8D38D"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5,666</w:t>
            </w:r>
          </w:p>
        </w:tc>
        <w:tc>
          <w:tcPr>
            <w:tcW w:w="1537" w:type="dxa"/>
          </w:tcPr>
          <w:p w14:paraId="3D4B8C64" w14:textId="44088058"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3,046</w:t>
            </w:r>
          </w:p>
        </w:tc>
        <w:tc>
          <w:tcPr>
            <w:tcW w:w="1590" w:type="dxa"/>
          </w:tcPr>
          <w:p w14:paraId="16559F83" w14:textId="15308BAF"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83.3%</w:t>
            </w:r>
          </w:p>
        </w:tc>
        <w:tc>
          <w:tcPr>
            <w:tcW w:w="1590" w:type="dxa"/>
          </w:tcPr>
          <w:p w14:paraId="6DD52D7E" w14:textId="026B78A4"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88.9%</w:t>
            </w:r>
          </w:p>
        </w:tc>
        <w:tc>
          <w:tcPr>
            <w:tcW w:w="1590" w:type="dxa"/>
          </w:tcPr>
          <w:p w14:paraId="263F30DD" w14:textId="6FFFEAAA"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90.8%</w:t>
            </w:r>
          </w:p>
        </w:tc>
        <w:tc>
          <w:tcPr>
            <w:tcW w:w="1537" w:type="dxa"/>
          </w:tcPr>
          <w:p w14:paraId="61424BF3" w14:textId="47DA79B7" w:rsidR="001572FF" w:rsidRDefault="001572FF" w:rsidP="001572FF">
            <w:pPr>
              <w:cnfStyle w:val="000000100000" w:firstRow="0" w:lastRow="0" w:firstColumn="0" w:lastColumn="0" w:oddVBand="0" w:evenVBand="0" w:oddHBand="1" w:evenHBand="0" w:firstRowFirstColumn="0" w:firstRowLastColumn="0" w:lastRowFirstColumn="0" w:lastRowLastColumn="0"/>
            </w:pPr>
            <w:r w:rsidRPr="001A1840">
              <w:rPr>
                <w:rFonts w:cs="Arial"/>
              </w:rPr>
              <w:t>95.0%</w:t>
            </w:r>
          </w:p>
        </w:tc>
      </w:tr>
    </w:tbl>
    <w:p w14:paraId="46532B6E" w14:textId="77777777" w:rsidR="00077DD2" w:rsidRDefault="00077DD2" w:rsidP="00077DD2"/>
    <w:p w14:paraId="72468446" w14:textId="77777777" w:rsidR="00077DD2" w:rsidRPr="00C3382B" w:rsidRDefault="00077DD2" w:rsidP="00077DD2">
      <w:pPr>
        <w:rPr>
          <w:rFonts w:eastAsiaTheme="minorHAnsi" w:cs="Arial"/>
        </w:rPr>
        <w:sectPr w:rsidR="00077DD2" w:rsidRPr="00C3382B" w:rsidSect="00A0487A">
          <w:pgSz w:w="15840" w:h="12240" w:orient="landscape"/>
          <w:pgMar w:top="720" w:right="720" w:bottom="720" w:left="720" w:header="720" w:footer="720" w:gutter="0"/>
          <w:cols w:space="720"/>
          <w:docGrid w:linePitch="360"/>
        </w:sectPr>
      </w:pPr>
    </w:p>
    <w:p w14:paraId="254D87D3" w14:textId="0897D4DE" w:rsidR="00F722D6" w:rsidRPr="005147E0" w:rsidRDefault="0057637F" w:rsidP="005147E0">
      <w:pPr>
        <w:pStyle w:val="Heading2"/>
        <w:rPr>
          <w:rFonts w:eastAsia="Calibri"/>
        </w:rPr>
      </w:pPr>
      <w:bookmarkStart w:id="43" w:name="_Toc158883515"/>
      <w:r w:rsidRPr="00425845">
        <w:rPr>
          <w:rFonts w:eastAsia="Calibri"/>
        </w:rPr>
        <w:lastRenderedPageBreak/>
        <w:t xml:space="preserve">Appendix </w:t>
      </w:r>
      <w:r>
        <w:rPr>
          <w:rFonts w:eastAsia="Calibri"/>
        </w:rPr>
        <w:t>B: 2021</w:t>
      </w:r>
      <w:r w:rsidR="00122BFE">
        <w:rPr>
          <w:rFonts w:eastAsia="Calibri"/>
        </w:rPr>
        <w:t>–</w:t>
      </w:r>
      <w:r>
        <w:rPr>
          <w:rFonts w:eastAsia="Calibri"/>
        </w:rPr>
        <w:t>22 A</w:t>
      </w:r>
      <w:r w:rsidR="004025DB">
        <w:rPr>
          <w:rFonts w:eastAsia="Calibri"/>
        </w:rPr>
        <w:t xml:space="preserve">cademic </w:t>
      </w:r>
      <w:r>
        <w:rPr>
          <w:rFonts w:eastAsia="Calibri"/>
        </w:rPr>
        <w:t>Y</w:t>
      </w:r>
      <w:r w:rsidR="004025DB">
        <w:rPr>
          <w:rFonts w:eastAsia="Calibri"/>
        </w:rPr>
        <w:t>ear (AY)</w:t>
      </w:r>
      <w:r>
        <w:rPr>
          <w:rFonts w:eastAsia="Calibri"/>
        </w:rPr>
        <w:t xml:space="preserve"> </w:t>
      </w:r>
      <w:r w:rsidR="00F722D6">
        <w:rPr>
          <w:rFonts w:eastAsia="Calibri"/>
        </w:rPr>
        <w:t>C</w:t>
      </w:r>
      <w:r w:rsidR="004025DB">
        <w:rPr>
          <w:rFonts w:eastAsia="Calibri"/>
        </w:rPr>
        <w:t xml:space="preserve">areer </w:t>
      </w:r>
      <w:r w:rsidR="00F722D6">
        <w:rPr>
          <w:rFonts w:eastAsia="Calibri"/>
        </w:rPr>
        <w:t>T</w:t>
      </w:r>
      <w:r w:rsidR="004025DB">
        <w:rPr>
          <w:rFonts w:eastAsia="Calibri"/>
        </w:rPr>
        <w:t xml:space="preserve">echnical </w:t>
      </w:r>
      <w:r w:rsidR="00F722D6">
        <w:rPr>
          <w:rFonts w:eastAsia="Calibri"/>
        </w:rPr>
        <w:t>E</w:t>
      </w:r>
      <w:r w:rsidR="004025DB">
        <w:rPr>
          <w:rFonts w:eastAsia="Calibri"/>
        </w:rPr>
        <w:t xml:space="preserve">ducation </w:t>
      </w:r>
      <w:r w:rsidR="00F722D6">
        <w:rPr>
          <w:rFonts w:eastAsia="Calibri"/>
        </w:rPr>
        <w:t>I</w:t>
      </w:r>
      <w:r w:rsidR="004025DB">
        <w:rPr>
          <w:rFonts w:eastAsia="Calibri"/>
        </w:rPr>
        <w:t xml:space="preserve">ncentive </w:t>
      </w:r>
      <w:r w:rsidR="00F722D6">
        <w:rPr>
          <w:rFonts w:eastAsia="Calibri"/>
        </w:rPr>
        <w:t>G</w:t>
      </w:r>
      <w:r w:rsidR="004025DB">
        <w:rPr>
          <w:rFonts w:eastAsia="Calibri"/>
        </w:rPr>
        <w:t>rant (CTEIG)</w:t>
      </w:r>
      <w:r w:rsidR="00F722D6">
        <w:rPr>
          <w:rFonts w:eastAsia="Calibri"/>
        </w:rPr>
        <w:t xml:space="preserve"> </w:t>
      </w:r>
      <w:r>
        <w:rPr>
          <w:rFonts w:eastAsia="Calibri"/>
        </w:rPr>
        <w:t>Attendance Rates by Race</w:t>
      </w:r>
      <w:bookmarkStart w:id="44" w:name="_Hlk156485234"/>
      <w:r w:rsidR="005147E0">
        <w:rPr>
          <w:rFonts w:eastAsia="Calibri"/>
        </w:rPr>
        <w:br/>
      </w:r>
      <w:r w:rsidR="00F722D6" w:rsidRPr="00F722D6">
        <w:t>2021</w:t>
      </w:r>
      <w:r w:rsidR="00122BFE">
        <w:t>–</w:t>
      </w:r>
      <w:r w:rsidR="00F722D6" w:rsidRPr="00F722D6">
        <w:t xml:space="preserve">22 </w:t>
      </w:r>
      <w:r w:rsidR="00A408A6">
        <w:t xml:space="preserve">AY </w:t>
      </w:r>
      <w:r w:rsidR="00F722D6" w:rsidRPr="00F722D6">
        <w:t>Attendance Rate</w:t>
      </w:r>
      <w:r w:rsidR="00122BFE">
        <w:t>s</w:t>
      </w:r>
      <w:r w:rsidR="00F722D6" w:rsidRPr="00F722D6">
        <w:t xml:space="preserve"> </w:t>
      </w:r>
      <w:r w:rsidR="00122BFE">
        <w:t xml:space="preserve">among </w:t>
      </w:r>
      <w:r w:rsidR="00F722D6" w:rsidRPr="00F722D6">
        <w:t>CTEIG L</w:t>
      </w:r>
      <w:r w:rsidR="004025DB">
        <w:t xml:space="preserve">ocal </w:t>
      </w:r>
      <w:r w:rsidR="00F722D6" w:rsidRPr="00F722D6">
        <w:t>E</w:t>
      </w:r>
      <w:r w:rsidR="004025DB">
        <w:t xml:space="preserve">ducational </w:t>
      </w:r>
      <w:r w:rsidR="00F722D6" w:rsidRPr="00F722D6">
        <w:t>A</w:t>
      </w:r>
      <w:r w:rsidR="004025DB">
        <w:t>gencie</w:t>
      </w:r>
      <w:r w:rsidR="00F722D6">
        <w:t xml:space="preserve">s </w:t>
      </w:r>
      <w:r w:rsidR="00F12E90">
        <w:t>(</w:t>
      </w:r>
      <w:r w:rsidR="00F722D6">
        <w:t>A</w:t>
      </w:r>
      <w:r w:rsidR="00F722D6" w:rsidRPr="00F722D6">
        <w:t>ll 4 years of cohort</w:t>
      </w:r>
      <w:bookmarkEnd w:id="44"/>
      <w:r w:rsidR="00F12E90">
        <w:t>)</w:t>
      </w:r>
      <w:bookmarkEnd w:id="43"/>
    </w:p>
    <w:tbl>
      <w:tblPr>
        <w:tblStyle w:val="TableGrid"/>
        <w:tblW w:w="14271" w:type="dxa"/>
        <w:tblInd w:w="-660" w:type="dxa"/>
        <w:tblLook w:val="04A0" w:firstRow="1" w:lastRow="0" w:firstColumn="1" w:lastColumn="0" w:noHBand="0" w:noVBand="1"/>
        <w:tblDescription w:val="21-22 CTEIG Attendance Rates by Race"/>
      </w:tblPr>
      <w:tblGrid>
        <w:gridCol w:w="1764"/>
        <w:gridCol w:w="1590"/>
        <w:gridCol w:w="1590"/>
        <w:gridCol w:w="1590"/>
        <w:gridCol w:w="1537"/>
        <w:gridCol w:w="1590"/>
        <w:gridCol w:w="1590"/>
        <w:gridCol w:w="1590"/>
        <w:gridCol w:w="1537"/>
      </w:tblGrid>
      <w:tr w:rsidR="0057637F" w:rsidRPr="0057637F" w14:paraId="4BAB8D17" w14:textId="77777777" w:rsidTr="00FD3A2C">
        <w:trPr>
          <w:cantSplit/>
          <w:trHeight w:val="962"/>
          <w:tblHeader/>
        </w:trPr>
        <w:tc>
          <w:tcPr>
            <w:tcW w:w="1657" w:type="dxa"/>
            <w:shd w:val="clear" w:color="auto" w:fill="000000" w:themeFill="text1"/>
            <w:hideMark/>
          </w:tcPr>
          <w:p w14:paraId="4605E931" w14:textId="62BB4A43" w:rsidR="0057637F" w:rsidRPr="007113C7" w:rsidRDefault="00607443" w:rsidP="0057637F">
            <w:pPr>
              <w:rPr>
                <w:rFonts w:cs="Arial"/>
                <w:b/>
                <w:bCs/>
                <w:color w:val="FFFFFF" w:themeColor="background1"/>
              </w:rPr>
            </w:pPr>
            <w:r w:rsidRPr="007113C7">
              <w:rPr>
                <w:rFonts w:cs="Arial"/>
                <w:b/>
                <w:bCs/>
                <w:color w:val="FFFFFF" w:themeColor="background1"/>
              </w:rPr>
              <w:t>Ethnicity</w:t>
            </w:r>
          </w:p>
        </w:tc>
        <w:tc>
          <w:tcPr>
            <w:tcW w:w="1590" w:type="dxa"/>
            <w:shd w:val="clear" w:color="auto" w:fill="000000" w:themeFill="text1"/>
            <w:hideMark/>
          </w:tcPr>
          <w:p w14:paraId="6BCFD79D" w14:textId="37643916" w:rsidR="0057637F" w:rsidRPr="007113C7" w:rsidRDefault="00AE03C8" w:rsidP="0057637F">
            <w:pPr>
              <w:rPr>
                <w:rFonts w:cs="Arial"/>
                <w:b/>
                <w:bCs/>
                <w:color w:val="FFFFFF" w:themeColor="background1"/>
              </w:rPr>
            </w:pPr>
            <w:r w:rsidRPr="007113C7">
              <w:rPr>
                <w:rFonts w:cs="Arial"/>
                <w:b/>
                <w:bCs/>
                <w:color w:val="FFFFFF" w:themeColor="background1"/>
              </w:rPr>
              <w:t>Non-Career</w:t>
            </w:r>
            <w:r w:rsidR="004025DB">
              <w:rPr>
                <w:rFonts w:cs="Arial"/>
                <w:b/>
                <w:bCs/>
                <w:color w:val="FFFFFF" w:themeColor="background1"/>
              </w:rPr>
              <w:t xml:space="preserve"> </w:t>
            </w:r>
            <w:r w:rsidR="0057637F" w:rsidRPr="007113C7">
              <w:rPr>
                <w:rFonts w:cs="Arial"/>
                <w:b/>
                <w:bCs/>
                <w:color w:val="FFFFFF" w:themeColor="background1"/>
              </w:rPr>
              <w:t>T</w:t>
            </w:r>
            <w:r w:rsidR="004025DB">
              <w:rPr>
                <w:rFonts w:cs="Arial"/>
                <w:b/>
                <w:bCs/>
                <w:color w:val="FFFFFF" w:themeColor="background1"/>
              </w:rPr>
              <w:t xml:space="preserve">echnical </w:t>
            </w:r>
            <w:r w:rsidR="0057637F" w:rsidRPr="007113C7">
              <w:rPr>
                <w:rFonts w:cs="Arial"/>
                <w:b/>
                <w:bCs/>
                <w:color w:val="FFFFFF" w:themeColor="background1"/>
              </w:rPr>
              <w:t>E</w:t>
            </w:r>
            <w:r w:rsidR="004025DB">
              <w:rPr>
                <w:rFonts w:cs="Arial"/>
                <w:b/>
                <w:bCs/>
                <w:color w:val="FFFFFF" w:themeColor="background1"/>
              </w:rPr>
              <w:t>ducation (CTE)</w:t>
            </w:r>
            <w:r w:rsidR="0057637F" w:rsidRPr="007113C7">
              <w:rPr>
                <w:rFonts w:cs="Arial"/>
                <w:b/>
                <w:bCs/>
                <w:color w:val="FFFFFF" w:themeColor="background1"/>
              </w:rPr>
              <w:t xml:space="preserve"> Participants</w:t>
            </w:r>
            <w:r w:rsidR="004A5D27">
              <w:rPr>
                <w:rFonts w:cs="Arial"/>
                <w:b/>
                <w:bCs/>
                <w:color w:val="FFFFFF" w:themeColor="background1"/>
              </w:rPr>
              <w:t xml:space="preserve"> Cohort Count</w:t>
            </w:r>
          </w:p>
        </w:tc>
        <w:tc>
          <w:tcPr>
            <w:tcW w:w="1590" w:type="dxa"/>
            <w:shd w:val="clear" w:color="auto" w:fill="000000" w:themeFill="text1"/>
            <w:hideMark/>
          </w:tcPr>
          <w:p w14:paraId="1F8F8192" w14:textId="71134829" w:rsidR="0057637F" w:rsidRPr="007113C7" w:rsidRDefault="0057637F" w:rsidP="0057637F">
            <w:pPr>
              <w:rPr>
                <w:rFonts w:cs="Arial"/>
                <w:b/>
                <w:bCs/>
                <w:color w:val="FFFFFF" w:themeColor="background1"/>
              </w:rPr>
            </w:pPr>
            <w:r w:rsidRPr="007113C7">
              <w:rPr>
                <w:rFonts w:cs="Arial"/>
                <w:b/>
                <w:bCs/>
                <w:color w:val="FFFFFF" w:themeColor="background1"/>
              </w:rPr>
              <w:t>CTE Participants Single</w:t>
            </w:r>
            <w:r w:rsidR="004A5D27">
              <w:rPr>
                <w:rFonts w:cs="Arial"/>
                <w:b/>
                <w:bCs/>
                <w:color w:val="FFFFFF" w:themeColor="background1"/>
              </w:rPr>
              <w:t xml:space="preserve"> Cohort Count</w:t>
            </w:r>
          </w:p>
        </w:tc>
        <w:tc>
          <w:tcPr>
            <w:tcW w:w="1590" w:type="dxa"/>
            <w:shd w:val="clear" w:color="auto" w:fill="000000" w:themeFill="text1"/>
            <w:hideMark/>
          </w:tcPr>
          <w:p w14:paraId="5F6A884B" w14:textId="1C23EB60" w:rsidR="0057637F" w:rsidRPr="007113C7" w:rsidRDefault="0057637F" w:rsidP="00077DD2">
            <w:pPr>
              <w:rPr>
                <w:rFonts w:cs="Arial"/>
                <w:b/>
                <w:bCs/>
                <w:color w:val="FFFFFF" w:themeColor="background1"/>
              </w:rPr>
            </w:pPr>
            <w:r w:rsidRPr="007113C7">
              <w:rPr>
                <w:rFonts w:cs="Arial"/>
                <w:b/>
                <w:bCs/>
                <w:color w:val="FFFFFF" w:themeColor="background1"/>
              </w:rPr>
              <w:t>CTE Participants 2 or more</w:t>
            </w:r>
            <w:r w:rsidR="004A5D27">
              <w:rPr>
                <w:rFonts w:cs="Arial"/>
                <w:b/>
                <w:bCs/>
                <w:color w:val="FFFFFF" w:themeColor="background1"/>
              </w:rPr>
              <w:t xml:space="preserve"> Cohort Count</w:t>
            </w:r>
          </w:p>
        </w:tc>
        <w:tc>
          <w:tcPr>
            <w:tcW w:w="1537" w:type="dxa"/>
            <w:shd w:val="clear" w:color="auto" w:fill="000000" w:themeFill="text1"/>
            <w:hideMark/>
          </w:tcPr>
          <w:p w14:paraId="14FB7F50" w14:textId="4CD38E77" w:rsidR="0057637F" w:rsidRPr="007113C7" w:rsidRDefault="0057637F" w:rsidP="0057637F">
            <w:pPr>
              <w:rPr>
                <w:rFonts w:cs="Arial"/>
                <w:b/>
                <w:bCs/>
                <w:color w:val="FFFFFF" w:themeColor="background1"/>
              </w:rPr>
            </w:pPr>
            <w:r w:rsidRPr="007113C7">
              <w:rPr>
                <w:rFonts w:cs="Arial"/>
                <w:b/>
                <w:bCs/>
                <w:color w:val="FFFFFF" w:themeColor="background1"/>
              </w:rPr>
              <w:t>CTE Completers</w:t>
            </w:r>
            <w:r w:rsidR="004A5D27">
              <w:rPr>
                <w:rFonts w:cs="Arial"/>
                <w:b/>
                <w:bCs/>
                <w:color w:val="FFFFFF" w:themeColor="background1"/>
              </w:rPr>
              <w:t xml:space="preserve"> Cohort Count</w:t>
            </w:r>
          </w:p>
        </w:tc>
        <w:tc>
          <w:tcPr>
            <w:tcW w:w="1590" w:type="dxa"/>
            <w:shd w:val="clear" w:color="auto" w:fill="000000" w:themeFill="text1"/>
            <w:hideMark/>
          </w:tcPr>
          <w:p w14:paraId="0F4FE048" w14:textId="3AB1BEA2" w:rsidR="0057637F" w:rsidRPr="007113C7" w:rsidRDefault="0057637F" w:rsidP="0057637F">
            <w:pPr>
              <w:rPr>
                <w:rFonts w:cs="Arial"/>
                <w:b/>
                <w:bCs/>
                <w:color w:val="FFFFFF" w:themeColor="background1"/>
              </w:rPr>
            </w:pPr>
            <w:r w:rsidRPr="007113C7">
              <w:rPr>
                <w:rFonts w:cs="Arial"/>
                <w:b/>
                <w:bCs/>
                <w:color w:val="FFFFFF" w:themeColor="background1"/>
              </w:rPr>
              <w:t>Non CTE Participants</w:t>
            </w:r>
            <w:r w:rsidR="004A5D27">
              <w:rPr>
                <w:rFonts w:cs="Arial"/>
                <w:b/>
                <w:bCs/>
                <w:color w:val="FFFFFF" w:themeColor="background1"/>
              </w:rPr>
              <w:t xml:space="preserve"> Attendance Rate</w:t>
            </w:r>
          </w:p>
        </w:tc>
        <w:tc>
          <w:tcPr>
            <w:tcW w:w="1590" w:type="dxa"/>
            <w:shd w:val="clear" w:color="auto" w:fill="000000" w:themeFill="text1"/>
            <w:hideMark/>
          </w:tcPr>
          <w:p w14:paraId="065BD0D3" w14:textId="176EB557" w:rsidR="0057637F" w:rsidRPr="007113C7" w:rsidRDefault="0057637F" w:rsidP="0057637F">
            <w:pPr>
              <w:rPr>
                <w:rFonts w:cs="Arial"/>
                <w:b/>
                <w:bCs/>
                <w:color w:val="FFFFFF" w:themeColor="background1"/>
              </w:rPr>
            </w:pPr>
            <w:r w:rsidRPr="007113C7">
              <w:rPr>
                <w:rFonts w:cs="Arial"/>
                <w:b/>
                <w:bCs/>
                <w:color w:val="FFFFFF" w:themeColor="background1"/>
              </w:rPr>
              <w:t>CTE Participants Single</w:t>
            </w:r>
            <w:r w:rsidR="004A5D27">
              <w:rPr>
                <w:rFonts w:cs="Arial"/>
                <w:b/>
                <w:bCs/>
                <w:color w:val="FFFFFF" w:themeColor="background1"/>
              </w:rPr>
              <w:t xml:space="preserve"> Attendance Rate</w:t>
            </w:r>
          </w:p>
        </w:tc>
        <w:tc>
          <w:tcPr>
            <w:tcW w:w="1590" w:type="dxa"/>
            <w:shd w:val="clear" w:color="auto" w:fill="000000" w:themeFill="text1"/>
            <w:hideMark/>
          </w:tcPr>
          <w:p w14:paraId="0B66D7A4" w14:textId="2F1B7955" w:rsidR="0057637F" w:rsidRPr="007113C7" w:rsidRDefault="0057637F" w:rsidP="0057637F">
            <w:pPr>
              <w:rPr>
                <w:rFonts w:cs="Arial"/>
                <w:b/>
                <w:bCs/>
                <w:color w:val="FFFFFF" w:themeColor="background1"/>
              </w:rPr>
            </w:pPr>
            <w:r w:rsidRPr="007113C7">
              <w:rPr>
                <w:rFonts w:cs="Arial"/>
                <w:b/>
                <w:bCs/>
                <w:color w:val="FFFFFF" w:themeColor="background1"/>
              </w:rPr>
              <w:t>CTE Participants 2 or more</w:t>
            </w:r>
            <w:r w:rsidR="004A5D27">
              <w:rPr>
                <w:rFonts w:cs="Arial"/>
                <w:b/>
                <w:bCs/>
                <w:color w:val="FFFFFF" w:themeColor="background1"/>
              </w:rPr>
              <w:t xml:space="preserve"> Attendance Rate</w:t>
            </w:r>
          </w:p>
        </w:tc>
        <w:tc>
          <w:tcPr>
            <w:tcW w:w="1537" w:type="dxa"/>
            <w:shd w:val="clear" w:color="auto" w:fill="000000" w:themeFill="text1"/>
            <w:hideMark/>
          </w:tcPr>
          <w:p w14:paraId="036B6FC5" w14:textId="2BDCF749" w:rsidR="0057637F" w:rsidRPr="007113C7" w:rsidRDefault="0057637F" w:rsidP="0057637F">
            <w:pPr>
              <w:rPr>
                <w:rFonts w:cs="Arial"/>
                <w:b/>
                <w:bCs/>
                <w:color w:val="FFFFFF" w:themeColor="background1"/>
              </w:rPr>
            </w:pPr>
            <w:r w:rsidRPr="007113C7">
              <w:rPr>
                <w:rFonts w:cs="Arial"/>
                <w:b/>
                <w:bCs/>
                <w:color w:val="FFFFFF" w:themeColor="background1"/>
              </w:rPr>
              <w:t>CTE Completers</w:t>
            </w:r>
            <w:r w:rsidR="004A5D27">
              <w:rPr>
                <w:rFonts w:cs="Arial"/>
                <w:b/>
                <w:bCs/>
                <w:color w:val="FFFFFF" w:themeColor="background1"/>
              </w:rPr>
              <w:t xml:space="preserve"> Attendance Rate</w:t>
            </w:r>
          </w:p>
        </w:tc>
      </w:tr>
      <w:tr w:rsidR="0057637F" w:rsidRPr="0057637F" w14:paraId="2CAB4D58" w14:textId="77777777" w:rsidTr="008D3624">
        <w:trPr>
          <w:cantSplit/>
          <w:trHeight w:val="830"/>
        </w:trPr>
        <w:tc>
          <w:tcPr>
            <w:tcW w:w="1657" w:type="dxa"/>
            <w:hideMark/>
          </w:tcPr>
          <w:p w14:paraId="0F5091DC" w14:textId="77777777" w:rsidR="0057637F" w:rsidRPr="00CC1737" w:rsidRDefault="0057637F" w:rsidP="0057637F">
            <w:pPr>
              <w:rPr>
                <w:rFonts w:cs="Arial"/>
                <w:b/>
                <w:bCs/>
              </w:rPr>
            </w:pPr>
            <w:r w:rsidRPr="00CC1737">
              <w:rPr>
                <w:rFonts w:cs="Arial"/>
                <w:b/>
                <w:bCs/>
              </w:rPr>
              <w:t>American Indian/Alaska Native</w:t>
            </w:r>
          </w:p>
        </w:tc>
        <w:tc>
          <w:tcPr>
            <w:tcW w:w="1590" w:type="dxa"/>
            <w:hideMark/>
          </w:tcPr>
          <w:p w14:paraId="20F86AFB" w14:textId="77777777" w:rsidR="0057637F" w:rsidRPr="0057637F" w:rsidRDefault="0057637F" w:rsidP="00FC3A9F">
            <w:pPr>
              <w:jc w:val="center"/>
              <w:rPr>
                <w:rFonts w:cs="Arial"/>
              </w:rPr>
            </w:pPr>
            <w:r w:rsidRPr="0057637F">
              <w:rPr>
                <w:rFonts w:cs="Arial"/>
              </w:rPr>
              <w:t>583</w:t>
            </w:r>
          </w:p>
        </w:tc>
        <w:tc>
          <w:tcPr>
            <w:tcW w:w="1590" w:type="dxa"/>
            <w:hideMark/>
          </w:tcPr>
          <w:p w14:paraId="752CF2A7" w14:textId="77777777" w:rsidR="0057637F" w:rsidRPr="0057637F" w:rsidRDefault="0057637F" w:rsidP="00FC3A9F">
            <w:pPr>
              <w:jc w:val="center"/>
              <w:rPr>
                <w:rFonts w:cs="Arial"/>
              </w:rPr>
            </w:pPr>
            <w:r w:rsidRPr="0057637F">
              <w:rPr>
                <w:rFonts w:cs="Arial"/>
              </w:rPr>
              <w:t>412</w:t>
            </w:r>
          </w:p>
        </w:tc>
        <w:tc>
          <w:tcPr>
            <w:tcW w:w="1590" w:type="dxa"/>
            <w:hideMark/>
          </w:tcPr>
          <w:p w14:paraId="5865D7D8" w14:textId="77777777" w:rsidR="0057637F" w:rsidRPr="0057637F" w:rsidRDefault="0057637F" w:rsidP="00FC3A9F">
            <w:pPr>
              <w:jc w:val="center"/>
              <w:rPr>
                <w:rFonts w:cs="Arial"/>
              </w:rPr>
            </w:pPr>
            <w:r w:rsidRPr="0057637F">
              <w:rPr>
                <w:rFonts w:cs="Arial"/>
              </w:rPr>
              <w:t>642</w:t>
            </w:r>
          </w:p>
        </w:tc>
        <w:tc>
          <w:tcPr>
            <w:tcW w:w="1537" w:type="dxa"/>
            <w:hideMark/>
          </w:tcPr>
          <w:p w14:paraId="561657F4" w14:textId="77777777" w:rsidR="0057637F" w:rsidRPr="0057637F" w:rsidRDefault="0057637F" w:rsidP="00FC3A9F">
            <w:pPr>
              <w:jc w:val="center"/>
              <w:rPr>
                <w:rFonts w:cs="Arial"/>
              </w:rPr>
            </w:pPr>
            <w:r w:rsidRPr="0057637F">
              <w:rPr>
                <w:rFonts w:cs="Arial"/>
              </w:rPr>
              <w:t>342</w:t>
            </w:r>
          </w:p>
        </w:tc>
        <w:tc>
          <w:tcPr>
            <w:tcW w:w="1590" w:type="dxa"/>
            <w:hideMark/>
          </w:tcPr>
          <w:p w14:paraId="3239075B" w14:textId="77777777" w:rsidR="0057637F" w:rsidRPr="0057637F" w:rsidRDefault="0057637F" w:rsidP="00FC3A9F">
            <w:pPr>
              <w:jc w:val="center"/>
              <w:rPr>
                <w:rFonts w:cs="Arial"/>
              </w:rPr>
            </w:pPr>
            <w:r w:rsidRPr="0057637F">
              <w:rPr>
                <w:rFonts w:cs="Arial"/>
              </w:rPr>
              <w:t>72.4%</w:t>
            </w:r>
          </w:p>
        </w:tc>
        <w:tc>
          <w:tcPr>
            <w:tcW w:w="1590" w:type="dxa"/>
            <w:hideMark/>
          </w:tcPr>
          <w:p w14:paraId="50DBEE1F" w14:textId="77777777" w:rsidR="0057637F" w:rsidRPr="0057637F" w:rsidRDefault="0057637F" w:rsidP="00FC3A9F">
            <w:pPr>
              <w:jc w:val="center"/>
              <w:rPr>
                <w:rFonts w:cs="Arial"/>
              </w:rPr>
            </w:pPr>
            <w:r w:rsidRPr="0057637F">
              <w:rPr>
                <w:rFonts w:cs="Arial"/>
              </w:rPr>
              <w:t>84.4%</w:t>
            </w:r>
          </w:p>
        </w:tc>
        <w:tc>
          <w:tcPr>
            <w:tcW w:w="1590" w:type="dxa"/>
            <w:hideMark/>
          </w:tcPr>
          <w:p w14:paraId="204B00B8" w14:textId="77777777" w:rsidR="0057637F" w:rsidRPr="0057637F" w:rsidRDefault="0057637F" w:rsidP="00FC3A9F">
            <w:pPr>
              <w:jc w:val="center"/>
              <w:rPr>
                <w:rFonts w:cs="Arial"/>
              </w:rPr>
            </w:pPr>
            <w:r w:rsidRPr="0057637F">
              <w:rPr>
                <w:rFonts w:cs="Arial"/>
              </w:rPr>
              <w:t>87.0%</w:t>
            </w:r>
          </w:p>
        </w:tc>
        <w:tc>
          <w:tcPr>
            <w:tcW w:w="1537" w:type="dxa"/>
            <w:hideMark/>
          </w:tcPr>
          <w:p w14:paraId="78674412" w14:textId="77777777" w:rsidR="0057637F" w:rsidRPr="0057637F" w:rsidRDefault="0057637F" w:rsidP="00FC3A9F">
            <w:pPr>
              <w:jc w:val="center"/>
              <w:rPr>
                <w:rFonts w:cs="Arial"/>
              </w:rPr>
            </w:pPr>
            <w:r w:rsidRPr="0057637F">
              <w:rPr>
                <w:rFonts w:cs="Arial"/>
              </w:rPr>
              <w:t>93.6%</w:t>
            </w:r>
          </w:p>
        </w:tc>
      </w:tr>
      <w:tr w:rsidR="0057637F" w:rsidRPr="0057637F" w14:paraId="4B47EBAF" w14:textId="77777777" w:rsidTr="008D3624">
        <w:trPr>
          <w:cantSplit/>
          <w:trHeight w:val="670"/>
        </w:trPr>
        <w:tc>
          <w:tcPr>
            <w:tcW w:w="1657" w:type="dxa"/>
            <w:hideMark/>
          </w:tcPr>
          <w:p w14:paraId="42C2E489" w14:textId="77777777" w:rsidR="0057637F" w:rsidRPr="00CC1737" w:rsidRDefault="0057637F" w:rsidP="0057637F">
            <w:pPr>
              <w:rPr>
                <w:rFonts w:cs="Arial"/>
                <w:b/>
                <w:bCs/>
              </w:rPr>
            </w:pPr>
            <w:r w:rsidRPr="00CC1737">
              <w:rPr>
                <w:rFonts w:cs="Arial"/>
                <w:b/>
                <w:bCs/>
              </w:rPr>
              <w:t>Asian</w:t>
            </w:r>
          </w:p>
        </w:tc>
        <w:tc>
          <w:tcPr>
            <w:tcW w:w="1590" w:type="dxa"/>
            <w:hideMark/>
          </w:tcPr>
          <w:p w14:paraId="49C6451E" w14:textId="77777777" w:rsidR="0057637F" w:rsidRPr="0057637F" w:rsidRDefault="0057637F" w:rsidP="00FC3A9F">
            <w:pPr>
              <w:jc w:val="center"/>
              <w:rPr>
                <w:rFonts w:cs="Arial"/>
              </w:rPr>
            </w:pPr>
            <w:r w:rsidRPr="0057637F">
              <w:rPr>
                <w:rFonts w:cs="Arial"/>
              </w:rPr>
              <w:t>16,289</w:t>
            </w:r>
          </w:p>
        </w:tc>
        <w:tc>
          <w:tcPr>
            <w:tcW w:w="1590" w:type="dxa"/>
            <w:hideMark/>
          </w:tcPr>
          <w:p w14:paraId="56567892" w14:textId="77777777" w:rsidR="0057637F" w:rsidRPr="0057637F" w:rsidRDefault="0057637F" w:rsidP="00FC3A9F">
            <w:pPr>
              <w:jc w:val="center"/>
              <w:rPr>
                <w:rFonts w:cs="Arial"/>
              </w:rPr>
            </w:pPr>
            <w:r w:rsidRPr="0057637F">
              <w:rPr>
                <w:rFonts w:cs="Arial"/>
              </w:rPr>
              <w:t>13,513</w:t>
            </w:r>
          </w:p>
        </w:tc>
        <w:tc>
          <w:tcPr>
            <w:tcW w:w="1590" w:type="dxa"/>
            <w:hideMark/>
          </w:tcPr>
          <w:p w14:paraId="4E5C6FBA" w14:textId="77777777" w:rsidR="0057637F" w:rsidRPr="0057637F" w:rsidRDefault="0057637F" w:rsidP="00FC3A9F">
            <w:pPr>
              <w:jc w:val="center"/>
              <w:rPr>
                <w:rFonts w:cs="Arial"/>
              </w:rPr>
            </w:pPr>
            <w:r w:rsidRPr="0057637F">
              <w:rPr>
                <w:rFonts w:cs="Arial"/>
              </w:rPr>
              <w:t>15,322</w:t>
            </w:r>
          </w:p>
        </w:tc>
        <w:tc>
          <w:tcPr>
            <w:tcW w:w="1537" w:type="dxa"/>
            <w:hideMark/>
          </w:tcPr>
          <w:p w14:paraId="4B37019F" w14:textId="77777777" w:rsidR="0057637F" w:rsidRPr="0057637F" w:rsidRDefault="0057637F" w:rsidP="00FC3A9F">
            <w:pPr>
              <w:jc w:val="center"/>
              <w:rPr>
                <w:rFonts w:cs="Arial"/>
              </w:rPr>
            </w:pPr>
            <w:r w:rsidRPr="0057637F">
              <w:rPr>
                <w:rFonts w:cs="Arial"/>
              </w:rPr>
              <w:t>11,308</w:t>
            </w:r>
          </w:p>
        </w:tc>
        <w:tc>
          <w:tcPr>
            <w:tcW w:w="1590" w:type="dxa"/>
            <w:hideMark/>
          </w:tcPr>
          <w:p w14:paraId="1845FC71" w14:textId="77777777" w:rsidR="0057637F" w:rsidRPr="0057637F" w:rsidRDefault="0057637F" w:rsidP="00FC3A9F">
            <w:pPr>
              <w:jc w:val="center"/>
              <w:rPr>
                <w:rFonts w:cs="Arial"/>
              </w:rPr>
            </w:pPr>
            <w:r w:rsidRPr="0057637F">
              <w:rPr>
                <w:rFonts w:cs="Arial"/>
              </w:rPr>
              <w:t>94.2%</w:t>
            </w:r>
          </w:p>
        </w:tc>
        <w:tc>
          <w:tcPr>
            <w:tcW w:w="1590" w:type="dxa"/>
            <w:hideMark/>
          </w:tcPr>
          <w:p w14:paraId="4FF2400F" w14:textId="77777777" w:rsidR="0057637F" w:rsidRPr="0057637F" w:rsidRDefault="0057637F" w:rsidP="00FC3A9F">
            <w:pPr>
              <w:jc w:val="center"/>
              <w:rPr>
                <w:rFonts w:cs="Arial"/>
              </w:rPr>
            </w:pPr>
            <w:r w:rsidRPr="0057637F">
              <w:rPr>
                <w:rFonts w:cs="Arial"/>
              </w:rPr>
              <w:t>95.8%</w:t>
            </w:r>
          </w:p>
        </w:tc>
        <w:tc>
          <w:tcPr>
            <w:tcW w:w="1590" w:type="dxa"/>
            <w:hideMark/>
          </w:tcPr>
          <w:p w14:paraId="1B906475" w14:textId="77777777" w:rsidR="0057637F" w:rsidRPr="0057637F" w:rsidRDefault="0057637F" w:rsidP="00FC3A9F">
            <w:pPr>
              <w:jc w:val="center"/>
              <w:rPr>
                <w:rFonts w:cs="Arial"/>
              </w:rPr>
            </w:pPr>
            <w:r w:rsidRPr="0057637F">
              <w:rPr>
                <w:rFonts w:cs="Arial"/>
              </w:rPr>
              <w:t>95.9%</w:t>
            </w:r>
          </w:p>
        </w:tc>
        <w:tc>
          <w:tcPr>
            <w:tcW w:w="1537" w:type="dxa"/>
            <w:hideMark/>
          </w:tcPr>
          <w:p w14:paraId="0D6A8A4A" w14:textId="77777777" w:rsidR="0057637F" w:rsidRPr="0057637F" w:rsidRDefault="0057637F" w:rsidP="00FC3A9F">
            <w:pPr>
              <w:jc w:val="center"/>
              <w:rPr>
                <w:rFonts w:cs="Arial"/>
              </w:rPr>
            </w:pPr>
            <w:r w:rsidRPr="0057637F">
              <w:rPr>
                <w:rFonts w:cs="Arial"/>
              </w:rPr>
              <w:t>97.2%</w:t>
            </w:r>
          </w:p>
        </w:tc>
      </w:tr>
      <w:tr w:rsidR="0057637F" w:rsidRPr="0057637F" w14:paraId="741B760E" w14:textId="77777777" w:rsidTr="008D3624">
        <w:trPr>
          <w:cantSplit/>
          <w:trHeight w:val="670"/>
        </w:trPr>
        <w:tc>
          <w:tcPr>
            <w:tcW w:w="1657" w:type="dxa"/>
            <w:hideMark/>
          </w:tcPr>
          <w:p w14:paraId="21297843" w14:textId="77777777" w:rsidR="0057637F" w:rsidRPr="00CC1737" w:rsidRDefault="0057637F" w:rsidP="0057637F">
            <w:pPr>
              <w:rPr>
                <w:rFonts w:cs="Arial"/>
                <w:b/>
                <w:bCs/>
              </w:rPr>
            </w:pPr>
            <w:r w:rsidRPr="00CC1737">
              <w:rPr>
                <w:rFonts w:cs="Arial"/>
                <w:b/>
                <w:bCs/>
              </w:rPr>
              <w:t>Black</w:t>
            </w:r>
          </w:p>
        </w:tc>
        <w:tc>
          <w:tcPr>
            <w:tcW w:w="1590" w:type="dxa"/>
            <w:hideMark/>
          </w:tcPr>
          <w:p w14:paraId="4EF75417" w14:textId="77777777" w:rsidR="0057637F" w:rsidRPr="0057637F" w:rsidRDefault="0057637F" w:rsidP="00FC3A9F">
            <w:pPr>
              <w:jc w:val="center"/>
              <w:rPr>
                <w:rFonts w:cs="Arial"/>
              </w:rPr>
            </w:pPr>
            <w:r w:rsidRPr="0057637F">
              <w:rPr>
                <w:rFonts w:cs="Arial"/>
              </w:rPr>
              <w:t>6,63</w:t>
            </w:r>
          </w:p>
        </w:tc>
        <w:tc>
          <w:tcPr>
            <w:tcW w:w="1590" w:type="dxa"/>
            <w:hideMark/>
          </w:tcPr>
          <w:p w14:paraId="0161E794" w14:textId="77777777" w:rsidR="0057637F" w:rsidRPr="0057637F" w:rsidRDefault="0057637F" w:rsidP="00FC3A9F">
            <w:pPr>
              <w:jc w:val="center"/>
              <w:rPr>
                <w:rFonts w:cs="Arial"/>
              </w:rPr>
            </w:pPr>
            <w:r w:rsidRPr="0057637F">
              <w:rPr>
                <w:rFonts w:cs="Arial"/>
              </w:rPr>
              <w:t>5,189</w:t>
            </w:r>
          </w:p>
        </w:tc>
        <w:tc>
          <w:tcPr>
            <w:tcW w:w="1590" w:type="dxa"/>
            <w:hideMark/>
          </w:tcPr>
          <w:p w14:paraId="23FDB77D" w14:textId="77777777" w:rsidR="0057637F" w:rsidRPr="0057637F" w:rsidRDefault="0057637F" w:rsidP="00FC3A9F">
            <w:pPr>
              <w:jc w:val="center"/>
              <w:rPr>
                <w:rFonts w:cs="Arial"/>
              </w:rPr>
            </w:pPr>
            <w:r w:rsidRPr="0057637F">
              <w:rPr>
                <w:rFonts w:cs="Arial"/>
              </w:rPr>
              <w:t>6,672</w:t>
            </w:r>
          </w:p>
        </w:tc>
        <w:tc>
          <w:tcPr>
            <w:tcW w:w="1537" w:type="dxa"/>
            <w:hideMark/>
          </w:tcPr>
          <w:p w14:paraId="5774FC05" w14:textId="77777777" w:rsidR="0057637F" w:rsidRPr="0057637F" w:rsidRDefault="0057637F" w:rsidP="00FC3A9F">
            <w:pPr>
              <w:jc w:val="center"/>
              <w:rPr>
                <w:rFonts w:cs="Arial"/>
              </w:rPr>
            </w:pPr>
            <w:r w:rsidRPr="0057637F">
              <w:rPr>
                <w:rFonts w:cs="Arial"/>
              </w:rPr>
              <w:t>3,266</w:t>
            </w:r>
          </w:p>
        </w:tc>
        <w:tc>
          <w:tcPr>
            <w:tcW w:w="1590" w:type="dxa"/>
            <w:hideMark/>
          </w:tcPr>
          <w:p w14:paraId="3DF52757" w14:textId="77777777" w:rsidR="0057637F" w:rsidRPr="0057637F" w:rsidRDefault="0057637F" w:rsidP="00FC3A9F">
            <w:pPr>
              <w:jc w:val="center"/>
              <w:rPr>
                <w:rFonts w:cs="Arial"/>
              </w:rPr>
            </w:pPr>
            <w:r w:rsidRPr="0057637F">
              <w:rPr>
                <w:rFonts w:cs="Arial"/>
              </w:rPr>
              <w:t>76.5%</w:t>
            </w:r>
          </w:p>
        </w:tc>
        <w:tc>
          <w:tcPr>
            <w:tcW w:w="1590" w:type="dxa"/>
            <w:hideMark/>
          </w:tcPr>
          <w:p w14:paraId="00F31CC3" w14:textId="77777777" w:rsidR="0057637F" w:rsidRPr="0057637F" w:rsidRDefault="0057637F" w:rsidP="00FC3A9F">
            <w:pPr>
              <w:jc w:val="center"/>
              <w:rPr>
                <w:rFonts w:cs="Arial"/>
              </w:rPr>
            </w:pPr>
            <w:r w:rsidRPr="0057637F">
              <w:rPr>
                <w:rFonts w:cs="Arial"/>
              </w:rPr>
              <w:t>86.9%</w:t>
            </w:r>
          </w:p>
        </w:tc>
        <w:tc>
          <w:tcPr>
            <w:tcW w:w="1590" w:type="dxa"/>
            <w:hideMark/>
          </w:tcPr>
          <w:p w14:paraId="09A30463" w14:textId="77777777" w:rsidR="0057637F" w:rsidRPr="0057637F" w:rsidRDefault="0057637F" w:rsidP="00FC3A9F">
            <w:pPr>
              <w:jc w:val="center"/>
              <w:rPr>
                <w:rFonts w:cs="Arial"/>
              </w:rPr>
            </w:pPr>
            <w:r w:rsidRPr="0057637F">
              <w:rPr>
                <w:rFonts w:cs="Arial"/>
              </w:rPr>
              <w:t>89.4%</w:t>
            </w:r>
          </w:p>
        </w:tc>
        <w:tc>
          <w:tcPr>
            <w:tcW w:w="1537" w:type="dxa"/>
            <w:hideMark/>
          </w:tcPr>
          <w:p w14:paraId="4DEC0F80" w14:textId="77777777" w:rsidR="0057637F" w:rsidRPr="0057637F" w:rsidRDefault="0057637F" w:rsidP="00FC3A9F">
            <w:pPr>
              <w:jc w:val="center"/>
              <w:rPr>
                <w:rFonts w:cs="Arial"/>
              </w:rPr>
            </w:pPr>
            <w:r w:rsidRPr="0057637F">
              <w:rPr>
                <w:rFonts w:cs="Arial"/>
              </w:rPr>
              <w:t>93.7%</w:t>
            </w:r>
          </w:p>
        </w:tc>
      </w:tr>
      <w:tr w:rsidR="0057637F" w:rsidRPr="0057637F" w14:paraId="2A2C53AC" w14:textId="77777777" w:rsidTr="008D3624">
        <w:trPr>
          <w:cantSplit/>
          <w:trHeight w:val="670"/>
        </w:trPr>
        <w:tc>
          <w:tcPr>
            <w:tcW w:w="1657" w:type="dxa"/>
            <w:hideMark/>
          </w:tcPr>
          <w:p w14:paraId="5C8CE36E" w14:textId="77777777" w:rsidR="0057637F" w:rsidRPr="00CC1737" w:rsidRDefault="0057637F" w:rsidP="0057637F">
            <w:pPr>
              <w:rPr>
                <w:rFonts w:cs="Arial"/>
                <w:b/>
                <w:bCs/>
              </w:rPr>
            </w:pPr>
            <w:r w:rsidRPr="00CC1737">
              <w:rPr>
                <w:rFonts w:cs="Arial"/>
                <w:b/>
                <w:bCs/>
              </w:rPr>
              <w:t>Hispanic</w:t>
            </w:r>
          </w:p>
        </w:tc>
        <w:tc>
          <w:tcPr>
            <w:tcW w:w="1590" w:type="dxa"/>
            <w:hideMark/>
          </w:tcPr>
          <w:p w14:paraId="23FDE5FA" w14:textId="77777777" w:rsidR="0057637F" w:rsidRPr="0057637F" w:rsidRDefault="0057637F" w:rsidP="00FC3A9F">
            <w:pPr>
              <w:jc w:val="center"/>
              <w:rPr>
                <w:rFonts w:cs="Arial"/>
              </w:rPr>
            </w:pPr>
            <w:r w:rsidRPr="0057637F">
              <w:rPr>
                <w:rFonts w:cs="Arial"/>
              </w:rPr>
              <w:t>64,139</w:t>
            </w:r>
          </w:p>
        </w:tc>
        <w:tc>
          <w:tcPr>
            <w:tcW w:w="1590" w:type="dxa"/>
            <w:hideMark/>
          </w:tcPr>
          <w:p w14:paraId="5E6C7AB1" w14:textId="77777777" w:rsidR="0057637F" w:rsidRPr="0057637F" w:rsidRDefault="0057637F" w:rsidP="00FC3A9F">
            <w:pPr>
              <w:jc w:val="center"/>
              <w:rPr>
                <w:rFonts w:cs="Arial"/>
              </w:rPr>
            </w:pPr>
            <w:r w:rsidRPr="0057637F">
              <w:rPr>
                <w:rFonts w:cs="Arial"/>
              </w:rPr>
              <w:t>51,431</w:t>
            </w:r>
          </w:p>
        </w:tc>
        <w:tc>
          <w:tcPr>
            <w:tcW w:w="1590" w:type="dxa"/>
            <w:hideMark/>
          </w:tcPr>
          <w:p w14:paraId="02ABAE19" w14:textId="77777777" w:rsidR="0057637F" w:rsidRPr="0057637F" w:rsidRDefault="0057637F" w:rsidP="00FC3A9F">
            <w:pPr>
              <w:jc w:val="center"/>
              <w:rPr>
                <w:rFonts w:cs="Arial"/>
              </w:rPr>
            </w:pPr>
            <w:r w:rsidRPr="0057637F">
              <w:rPr>
                <w:rFonts w:cs="Arial"/>
              </w:rPr>
              <w:t>72,684</w:t>
            </w:r>
          </w:p>
        </w:tc>
        <w:tc>
          <w:tcPr>
            <w:tcW w:w="1537" w:type="dxa"/>
            <w:hideMark/>
          </w:tcPr>
          <w:p w14:paraId="0F42A7BD" w14:textId="77777777" w:rsidR="0057637F" w:rsidRPr="0057637F" w:rsidRDefault="0057637F" w:rsidP="00FC3A9F">
            <w:pPr>
              <w:jc w:val="center"/>
              <w:rPr>
                <w:rFonts w:cs="Arial"/>
              </w:rPr>
            </w:pPr>
            <w:r w:rsidRPr="0057637F">
              <w:rPr>
                <w:rFonts w:cs="Arial"/>
              </w:rPr>
              <w:t>46,490</w:t>
            </w:r>
          </w:p>
        </w:tc>
        <w:tc>
          <w:tcPr>
            <w:tcW w:w="1590" w:type="dxa"/>
            <w:hideMark/>
          </w:tcPr>
          <w:p w14:paraId="0B29A90D" w14:textId="77777777" w:rsidR="0057637F" w:rsidRPr="0057637F" w:rsidRDefault="0057637F" w:rsidP="00FC3A9F">
            <w:pPr>
              <w:jc w:val="center"/>
              <w:rPr>
                <w:rFonts w:cs="Arial"/>
              </w:rPr>
            </w:pPr>
            <w:r w:rsidRPr="0057637F">
              <w:rPr>
                <w:rFonts w:cs="Arial"/>
              </w:rPr>
              <w:t>83.5%</w:t>
            </w:r>
          </w:p>
        </w:tc>
        <w:tc>
          <w:tcPr>
            <w:tcW w:w="1590" w:type="dxa"/>
            <w:hideMark/>
          </w:tcPr>
          <w:p w14:paraId="5847025B" w14:textId="77777777" w:rsidR="0057637F" w:rsidRPr="0057637F" w:rsidRDefault="0057637F" w:rsidP="00FC3A9F">
            <w:pPr>
              <w:jc w:val="center"/>
              <w:rPr>
                <w:rFonts w:cs="Arial"/>
              </w:rPr>
            </w:pPr>
            <w:r w:rsidRPr="0057637F">
              <w:rPr>
                <w:rFonts w:cs="Arial"/>
              </w:rPr>
              <w:t>89.3%</w:t>
            </w:r>
          </w:p>
        </w:tc>
        <w:tc>
          <w:tcPr>
            <w:tcW w:w="1590" w:type="dxa"/>
            <w:hideMark/>
          </w:tcPr>
          <w:p w14:paraId="37324476" w14:textId="77777777" w:rsidR="0057637F" w:rsidRPr="0057637F" w:rsidRDefault="0057637F" w:rsidP="00FC3A9F">
            <w:pPr>
              <w:jc w:val="center"/>
              <w:rPr>
                <w:rFonts w:cs="Arial"/>
              </w:rPr>
            </w:pPr>
            <w:r w:rsidRPr="0057637F">
              <w:rPr>
                <w:rFonts w:cs="Arial"/>
              </w:rPr>
              <w:t>91.3%</w:t>
            </w:r>
          </w:p>
        </w:tc>
        <w:tc>
          <w:tcPr>
            <w:tcW w:w="1537" w:type="dxa"/>
            <w:hideMark/>
          </w:tcPr>
          <w:p w14:paraId="1E792FD2" w14:textId="77777777" w:rsidR="0057637F" w:rsidRPr="0057637F" w:rsidRDefault="0057637F" w:rsidP="00FC3A9F">
            <w:pPr>
              <w:jc w:val="center"/>
              <w:rPr>
                <w:rFonts w:cs="Arial"/>
              </w:rPr>
            </w:pPr>
            <w:r w:rsidRPr="0057637F">
              <w:rPr>
                <w:rFonts w:cs="Arial"/>
              </w:rPr>
              <w:t>94.9%</w:t>
            </w:r>
          </w:p>
        </w:tc>
      </w:tr>
      <w:tr w:rsidR="0057637F" w:rsidRPr="0057637F" w14:paraId="23D041AA" w14:textId="77777777" w:rsidTr="008D3624">
        <w:trPr>
          <w:cantSplit/>
          <w:trHeight w:val="670"/>
        </w:trPr>
        <w:tc>
          <w:tcPr>
            <w:tcW w:w="1657" w:type="dxa"/>
            <w:hideMark/>
          </w:tcPr>
          <w:p w14:paraId="0192B2CC" w14:textId="77777777" w:rsidR="0057637F" w:rsidRPr="00CC1737" w:rsidRDefault="0057637F" w:rsidP="0057637F">
            <w:pPr>
              <w:rPr>
                <w:rFonts w:cs="Arial"/>
                <w:b/>
                <w:bCs/>
              </w:rPr>
            </w:pPr>
            <w:r w:rsidRPr="00CC1737">
              <w:rPr>
                <w:rFonts w:cs="Arial"/>
                <w:b/>
                <w:bCs/>
              </w:rPr>
              <w:t>Pacific Islander</w:t>
            </w:r>
          </w:p>
        </w:tc>
        <w:tc>
          <w:tcPr>
            <w:tcW w:w="1590" w:type="dxa"/>
            <w:hideMark/>
          </w:tcPr>
          <w:p w14:paraId="73E1F042" w14:textId="77777777" w:rsidR="0057637F" w:rsidRPr="0057637F" w:rsidRDefault="0057637F" w:rsidP="00FC3A9F">
            <w:pPr>
              <w:jc w:val="center"/>
              <w:rPr>
                <w:rFonts w:cs="Arial"/>
              </w:rPr>
            </w:pPr>
            <w:r w:rsidRPr="0057637F">
              <w:rPr>
                <w:rFonts w:cs="Arial"/>
              </w:rPr>
              <w:t>653</w:t>
            </w:r>
          </w:p>
        </w:tc>
        <w:tc>
          <w:tcPr>
            <w:tcW w:w="1590" w:type="dxa"/>
            <w:hideMark/>
          </w:tcPr>
          <w:p w14:paraId="3DCAFE00" w14:textId="77777777" w:rsidR="0057637F" w:rsidRPr="0057637F" w:rsidRDefault="0057637F" w:rsidP="00FC3A9F">
            <w:pPr>
              <w:jc w:val="center"/>
              <w:rPr>
                <w:rFonts w:cs="Arial"/>
              </w:rPr>
            </w:pPr>
            <w:r w:rsidRPr="0057637F">
              <w:rPr>
                <w:rFonts w:cs="Arial"/>
              </w:rPr>
              <w:t>525</w:t>
            </w:r>
          </w:p>
        </w:tc>
        <w:tc>
          <w:tcPr>
            <w:tcW w:w="1590" w:type="dxa"/>
            <w:hideMark/>
          </w:tcPr>
          <w:p w14:paraId="2F7F2C47" w14:textId="77777777" w:rsidR="0057637F" w:rsidRPr="0057637F" w:rsidRDefault="0057637F" w:rsidP="00FC3A9F">
            <w:pPr>
              <w:jc w:val="center"/>
              <w:rPr>
                <w:rFonts w:cs="Arial"/>
              </w:rPr>
            </w:pPr>
            <w:r w:rsidRPr="0057637F">
              <w:rPr>
                <w:rFonts w:cs="Arial"/>
              </w:rPr>
              <w:t>610</w:t>
            </w:r>
          </w:p>
        </w:tc>
        <w:tc>
          <w:tcPr>
            <w:tcW w:w="1537" w:type="dxa"/>
            <w:hideMark/>
          </w:tcPr>
          <w:p w14:paraId="3CD2774F" w14:textId="77777777" w:rsidR="0057637F" w:rsidRPr="0057637F" w:rsidRDefault="0057637F" w:rsidP="00FC3A9F">
            <w:pPr>
              <w:jc w:val="center"/>
              <w:rPr>
                <w:rFonts w:cs="Arial"/>
              </w:rPr>
            </w:pPr>
            <w:r w:rsidRPr="0057637F">
              <w:rPr>
                <w:rFonts w:cs="Arial"/>
              </w:rPr>
              <w:t>357</w:t>
            </w:r>
          </w:p>
        </w:tc>
        <w:tc>
          <w:tcPr>
            <w:tcW w:w="1590" w:type="dxa"/>
            <w:hideMark/>
          </w:tcPr>
          <w:p w14:paraId="7137F188" w14:textId="77777777" w:rsidR="0057637F" w:rsidRPr="0057637F" w:rsidRDefault="0057637F" w:rsidP="00FC3A9F">
            <w:pPr>
              <w:jc w:val="center"/>
              <w:rPr>
                <w:rFonts w:cs="Arial"/>
              </w:rPr>
            </w:pPr>
            <w:r w:rsidRPr="0057637F">
              <w:rPr>
                <w:rFonts w:cs="Arial"/>
              </w:rPr>
              <w:t>80.7%</w:t>
            </w:r>
          </w:p>
        </w:tc>
        <w:tc>
          <w:tcPr>
            <w:tcW w:w="1590" w:type="dxa"/>
            <w:hideMark/>
          </w:tcPr>
          <w:p w14:paraId="0A39D476" w14:textId="77777777" w:rsidR="0057637F" w:rsidRPr="0057637F" w:rsidRDefault="0057637F" w:rsidP="00FC3A9F">
            <w:pPr>
              <w:jc w:val="center"/>
              <w:rPr>
                <w:rFonts w:cs="Arial"/>
              </w:rPr>
            </w:pPr>
            <w:r w:rsidRPr="0057637F">
              <w:rPr>
                <w:rFonts w:cs="Arial"/>
              </w:rPr>
              <w:t>88.4%</w:t>
            </w:r>
          </w:p>
        </w:tc>
        <w:tc>
          <w:tcPr>
            <w:tcW w:w="1590" w:type="dxa"/>
            <w:hideMark/>
          </w:tcPr>
          <w:p w14:paraId="679875A0" w14:textId="77777777" w:rsidR="0057637F" w:rsidRPr="0057637F" w:rsidRDefault="0057637F" w:rsidP="00FC3A9F">
            <w:pPr>
              <w:jc w:val="center"/>
              <w:rPr>
                <w:rFonts w:cs="Arial"/>
              </w:rPr>
            </w:pPr>
            <w:r w:rsidRPr="0057637F">
              <w:rPr>
                <w:rFonts w:cs="Arial"/>
              </w:rPr>
              <w:t>89.5%</w:t>
            </w:r>
          </w:p>
        </w:tc>
        <w:tc>
          <w:tcPr>
            <w:tcW w:w="1537" w:type="dxa"/>
            <w:hideMark/>
          </w:tcPr>
          <w:p w14:paraId="5EE57542" w14:textId="77777777" w:rsidR="0057637F" w:rsidRPr="0057637F" w:rsidRDefault="0057637F" w:rsidP="00FC3A9F">
            <w:pPr>
              <w:jc w:val="center"/>
              <w:rPr>
                <w:rFonts w:cs="Arial"/>
              </w:rPr>
            </w:pPr>
            <w:r w:rsidRPr="0057637F">
              <w:rPr>
                <w:rFonts w:cs="Arial"/>
              </w:rPr>
              <w:t>93.6%</w:t>
            </w:r>
          </w:p>
        </w:tc>
      </w:tr>
      <w:tr w:rsidR="0057637F" w:rsidRPr="0057637F" w14:paraId="40B0F812" w14:textId="77777777" w:rsidTr="008D3624">
        <w:trPr>
          <w:cantSplit/>
          <w:trHeight w:val="670"/>
        </w:trPr>
        <w:tc>
          <w:tcPr>
            <w:tcW w:w="1657" w:type="dxa"/>
            <w:hideMark/>
          </w:tcPr>
          <w:p w14:paraId="0773E4B0" w14:textId="77777777" w:rsidR="0057637F" w:rsidRPr="00CC1737" w:rsidRDefault="0057637F" w:rsidP="0057637F">
            <w:pPr>
              <w:rPr>
                <w:rFonts w:cs="Arial"/>
                <w:b/>
                <w:bCs/>
              </w:rPr>
            </w:pPr>
            <w:r w:rsidRPr="00CC1737">
              <w:rPr>
                <w:rFonts w:cs="Arial"/>
                <w:b/>
                <w:bCs/>
              </w:rPr>
              <w:t>White</w:t>
            </w:r>
          </w:p>
        </w:tc>
        <w:tc>
          <w:tcPr>
            <w:tcW w:w="1590" w:type="dxa"/>
            <w:hideMark/>
          </w:tcPr>
          <w:p w14:paraId="0418E3D2" w14:textId="77777777" w:rsidR="0057637F" w:rsidRPr="0057637F" w:rsidRDefault="0057637F" w:rsidP="00FC3A9F">
            <w:pPr>
              <w:jc w:val="center"/>
              <w:rPr>
                <w:rFonts w:cs="Arial"/>
              </w:rPr>
            </w:pPr>
            <w:r w:rsidRPr="0057637F">
              <w:rPr>
                <w:rFonts w:cs="Arial"/>
              </w:rPr>
              <w:t>25,005</w:t>
            </w:r>
          </w:p>
        </w:tc>
        <w:tc>
          <w:tcPr>
            <w:tcW w:w="1590" w:type="dxa"/>
            <w:hideMark/>
          </w:tcPr>
          <w:p w14:paraId="49E8A563" w14:textId="77777777" w:rsidR="0057637F" w:rsidRPr="0057637F" w:rsidRDefault="0057637F" w:rsidP="00FC3A9F">
            <w:pPr>
              <w:jc w:val="center"/>
              <w:rPr>
                <w:rFonts w:cs="Arial"/>
              </w:rPr>
            </w:pPr>
            <w:r w:rsidRPr="0057637F">
              <w:rPr>
                <w:rFonts w:cs="Arial"/>
              </w:rPr>
              <w:t>21,342</w:t>
            </w:r>
          </w:p>
        </w:tc>
        <w:tc>
          <w:tcPr>
            <w:tcW w:w="1590" w:type="dxa"/>
            <w:hideMark/>
          </w:tcPr>
          <w:p w14:paraId="7D1DA658" w14:textId="77777777" w:rsidR="0057637F" w:rsidRPr="0057637F" w:rsidRDefault="0057637F" w:rsidP="00FC3A9F">
            <w:pPr>
              <w:jc w:val="center"/>
              <w:rPr>
                <w:rFonts w:cs="Arial"/>
              </w:rPr>
            </w:pPr>
            <w:r w:rsidRPr="0057637F">
              <w:rPr>
                <w:rFonts w:cs="Arial"/>
              </w:rPr>
              <w:t>29,462</w:t>
            </w:r>
          </w:p>
        </w:tc>
        <w:tc>
          <w:tcPr>
            <w:tcW w:w="1537" w:type="dxa"/>
            <w:hideMark/>
          </w:tcPr>
          <w:p w14:paraId="758386EF" w14:textId="77777777" w:rsidR="0057637F" w:rsidRPr="0057637F" w:rsidRDefault="0057637F" w:rsidP="00FC3A9F">
            <w:pPr>
              <w:jc w:val="center"/>
              <w:rPr>
                <w:rFonts w:cs="Arial"/>
              </w:rPr>
            </w:pPr>
            <w:r w:rsidRPr="0057637F">
              <w:rPr>
                <w:rFonts w:cs="Arial"/>
              </w:rPr>
              <w:t>19,295</w:t>
            </w:r>
          </w:p>
        </w:tc>
        <w:tc>
          <w:tcPr>
            <w:tcW w:w="1590" w:type="dxa"/>
            <w:hideMark/>
          </w:tcPr>
          <w:p w14:paraId="51DC8086" w14:textId="77777777" w:rsidR="0057637F" w:rsidRPr="0057637F" w:rsidRDefault="0057637F" w:rsidP="00FC3A9F">
            <w:pPr>
              <w:jc w:val="center"/>
              <w:rPr>
                <w:rFonts w:cs="Arial"/>
              </w:rPr>
            </w:pPr>
            <w:r w:rsidRPr="0057637F">
              <w:rPr>
                <w:rFonts w:cs="Arial"/>
              </w:rPr>
              <w:t>87.4%</w:t>
            </w:r>
          </w:p>
        </w:tc>
        <w:tc>
          <w:tcPr>
            <w:tcW w:w="1590" w:type="dxa"/>
            <w:hideMark/>
          </w:tcPr>
          <w:p w14:paraId="133B7EB5" w14:textId="77777777" w:rsidR="0057637F" w:rsidRPr="0057637F" w:rsidRDefault="0057637F" w:rsidP="00FC3A9F">
            <w:pPr>
              <w:jc w:val="center"/>
              <w:rPr>
                <w:rFonts w:cs="Arial"/>
              </w:rPr>
            </w:pPr>
            <w:r w:rsidRPr="0057637F">
              <w:rPr>
                <w:rFonts w:cs="Arial"/>
              </w:rPr>
              <w:t>91.5%</w:t>
            </w:r>
          </w:p>
        </w:tc>
        <w:tc>
          <w:tcPr>
            <w:tcW w:w="1590" w:type="dxa"/>
            <w:hideMark/>
          </w:tcPr>
          <w:p w14:paraId="6C789A0D" w14:textId="77777777" w:rsidR="0057637F" w:rsidRPr="0057637F" w:rsidRDefault="0057637F" w:rsidP="00FC3A9F">
            <w:pPr>
              <w:jc w:val="center"/>
              <w:rPr>
                <w:rFonts w:cs="Arial"/>
              </w:rPr>
            </w:pPr>
            <w:r w:rsidRPr="0057637F">
              <w:rPr>
                <w:rFonts w:cs="Arial"/>
              </w:rPr>
              <w:t>92.2%</w:t>
            </w:r>
          </w:p>
        </w:tc>
        <w:tc>
          <w:tcPr>
            <w:tcW w:w="1537" w:type="dxa"/>
            <w:hideMark/>
          </w:tcPr>
          <w:p w14:paraId="69BADCAE" w14:textId="77777777" w:rsidR="0057637F" w:rsidRPr="0057637F" w:rsidRDefault="0057637F" w:rsidP="00FC3A9F">
            <w:pPr>
              <w:jc w:val="center"/>
              <w:rPr>
                <w:rFonts w:cs="Arial"/>
              </w:rPr>
            </w:pPr>
            <w:r w:rsidRPr="0057637F">
              <w:rPr>
                <w:rFonts w:cs="Arial"/>
              </w:rPr>
              <w:t>95.1%</w:t>
            </w:r>
          </w:p>
        </w:tc>
      </w:tr>
      <w:tr w:rsidR="0057637F" w:rsidRPr="0057637F" w14:paraId="52F598B6" w14:textId="77777777" w:rsidTr="008D3624">
        <w:trPr>
          <w:cantSplit/>
          <w:trHeight w:val="670"/>
        </w:trPr>
        <w:tc>
          <w:tcPr>
            <w:tcW w:w="1657" w:type="dxa"/>
            <w:hideMark/>
          </w:tcPr>
          <w:p w14:paraId="6029A3DA" w14:textId="77777777" w:rsidR="0057637F" w:rsidRPr="00CC1737" w:rsidRDefault="0057637F" w:rsidP="0057637F">
            <w:pPr>
              <w:rPr>
                <w:rFonts w:cs="Arial"/>
                <w:b/>
                <w:bCs/>
              </w:rPr>
            </w:pPr>
            <w:r w:rsidRPr="00CC1737">
              <w:rPr>
                <w:rFonts w:cs="Arial"/>
                <w:b/>
                <w:bCs/>
              </w:rPr>
              <w:t>Two or More Races</w:t>
            </w:r>
          </w:p>
        </w:tc>
        <w:tc>
          <w:tcPr>
            <w:tcW w:w="1590" w:type="dxa"/>
            <w:hideMark/>
          </w:tcPr>
          <w:p w14:paraId="387FCFD1" w14:textId="77777777" w:rsidR="0057637F" w:rsidRPr="0057637F" w:rsidRDefault="0057637F" w:rsidP="00FC3A9F">
            <w:pPr>
              <w:jc w:val="center"/>
              <w:rPr>
                <w:rFonts w:cs="Arial"/>
              </w:rPr>
            </w:pPr>
            <w:r w:rsidRPr="0057637F">
              <w:rPr>
                <w:rFonts w:cs="Arial"/>
              </w:rPr>
              <w:t>4,964</w:t>
            </w:r>
          </w:p>
        </w:tc>
        <w:tc>
          <w:tcPr>
            <w:tcW w:w="1590" w:type="dxa"/>
            <w:hideMark/>
          </w:tcPr>
          <w:p w14:paraId="1A5454CD" w14:textId="77777777" w:rsidR="0057637F" w:rsidRPr="0057637F" w:rsidRDefault="0057637F" w:rsidP="00FC3A9F">
            <w:pPr>
              <w:jc w:val="center"/>
              <w:rPr>
                <w:rFonts w:cs="Arial"/>
              </w:rPr>
            </w:pPr>
            <w:r w:rsidRPr="0057637F">
              <w:rPr>
                <w:rFonts w:cs="Arial"/>
              </w:rPr>
              <w:t>3,981</w:t>
            </w:r>
          </w:p>
        </w:tc>
        <w:tc>
          <w:tcPr>
            <w:tcW w:w="1590" w:type="dxa"/>
            <w:hideMark/>
          </w:tcPr>
          <w:p w14:paraId="30460814" w14:textId="77777777" w:rsidR="0057637F" w:rsidRPr="0057637F" w:rsidRDefault="0057637F" w:rsidP="00FC3A9F">
            <w:pPr>
              <w:jc w:val="center"/>
              <w:rPr>
                <w:rFonts w:cs="Arial"/>
              </w:rPr>
            </w:pPr>
            <w:r w:rsidRPr="0057637F">
              <w:rPr>
                <w:rFonts w:cs="Arial"/>
              </w:rPr>
              <w:t>4,954</w:t>
            </w:r>
          </w:p>
        </w:tc>
        <w:tc>
          <w:tcPr>
            <w:tcW w:w="1537" w:type="dxa"/>
            <w:hideMark/>
          </w:tcPr>
          <w:p w14:paraId="09B0A54F" w14:textId="77777777" w:rsidR="0057637F" w:rsidRPr="0057637F" w:rsidRDefault="0057637F" w:rsidP="00FC3A9F">
            <w:pPr>
              <w:jc w:val="center"/>
              <w:rPr>
                <w:rFonts w:cs="Arial"/>
              </w:rPr>
            </w:pPr>
            <w:r w:rsidRPr="0057637F">
              <w:rPr>
                <w:rFonts w:cs="Arial"/>
              </w:rPr>
              <w:t>2,863</w:t>
            </w:r>
          </w:p>
        </w:tc>
        <w:tc>
          <w:tcPr>
            <w:tcW w:w="1590" w:type="dxa"/>
            <w:hideMark/>
          </w:tcPr>
          <w:p w14:paraId="58C28A76" w14:textId="77777777" w:rsidR="0057637F" w:rsidRPr="0057637F" w:rsidRDefault="0057637F" w:rsidP="00FC3A9F">
            <w:pPr>
              <w:jc w:val="center"/>
              <w:rPr>
                <w:rFonts w:cs="Arial"/>
              </w:rPr>
            </w:pPr>
            <w:r w:rsidRPr="0057637F">
              <w:rPr>
                <w:rFonts w:cs="Arial"/>
              </w:rPr>
              <w:t>86.4%</w:t>
            </w:r>
          </w:p>
        </w:tc>
        <w:tc>
          <w:tcPr>
            <w:tcW w:w="1590" w:type="dxa"/>
            <w:hideMark/>
          </w:tcPr>
          <w:p w14:paraId="3A46A4A3" w14:textId="77777777" w:rsidR="0057637F" w:rsidRPr="0057637F" w:rsidRDefault="0057637F" w:rsidP="00FC3A9F">
            <w:pPr>
              <w:jc w:val="center"/>
              <w:rPr>
                <w:rFonts w:cs="Arial"/>
              </w:rPr>
            </w:pPr>
            <w:r w:rsidRPr="0057637F">
              <w:rPr>
                <w:rFonts w:cs="Arial"/>
              </w:rPr>
              <w:t>91.1%</w:t>
            </w:r>
          </w:p>
        </w:tc>
        <w:tc>
          <w:tcPr>
            <w:tcW w:w="1590" w:type="dxa"/>
            <w:hideMark/>
          </w:tcPr>
          <w:p w14:paraId="4326DDE7" w14:textId="77777777" w:rsidR="0057637F" w:rsidRPr="0057637F" w:rsidRDefault="0057637F" w:rsidP="00FC3A9F">
            <w:pPr>
              <w:jc w:val="center"/>
              <w:rPr>
                <w:rFonts w:cs="Arial"/>
              </w:rPr>
            </w:pPr>
            <w:r w:rsidRPr="0057637F">
              <w:rPr>
                <w:rFonts w:cs="Arial"/>
              </w:rPr>
              <w:t>92.0%</w:t>
            </w:r>
          </w:p>
        </w:tc>
        <w:tc>
          <w:tcPr>
            <w:tcW w:w="1537" w:type="dxa"/>
            <w:hideMark/>
          </w:tcPr>
          <w:p w14:paraId="451BB4D8" w14:textId="77777777" w:rsidR="0057637F" w:rsidRPr="0057637F" w:rsidRDefault="0057637F" w:rsidP="00FC3A9F">
            <w:pPr>
              <w:jc w:val="center"/>
              <w:rPr>
                <w:rFonts w:cs="Arial"/>
              </w:rPr>
            </w:pPr>
            <w:r w:rsidRPr="0057637F">
              <w:rPr>
                <w:rFonts w:cs="Arial"/>
              </w:rPr>
              <w:t>95.4%</w:t>
            </w:r>
          </w:p>
        </w:tc>
      </w:tr>
    </w:tbl>
    <w:p w14:paraId="50FFC609" w14:textId="774DB04B" w:rsidR="00077DD2" w:rsidRDefault="00077DD2" w:rsidP="003E5976">
      <w:pPr>
        <w:rPr>
          <w:rFonts w:eastAsia="Calibri" w:cs="Arial"/>
          <w:b/>
          <w:sz w:val="28"/>
        </w:rPr>
      </w:pPr>
    </w:p>
    <w:p w14:paraId="6CA38F94" w14:textId="77777777" w:rsidR="00077DD2" w:rsidRPr="00C3382B" w:rsidRDefault="00077DD2" w:rsidP="00077DD2">
      <w:pPr>
        <w:rPr>
          <w:rFonts w:eastAsiaTheme="minorHAnsi" w:cs="Arial"/>
        </w:rPr>
        <w:sectPr w:rsidR="00077DD2" w:rsidRPr="00C3382B" w:rsidSect="00A0487A">
          <w:pgSz w:w="15840" w:h="12240" w:orient="landscape" w:code="1"/>
          <w:pgMar w:top="1440" w:right="1440" w:bottom="1440" w:left="1440" w:header="720" w:footer="720" w:gutter="0"/>
          <w:cols w:space="720"/>
          <w:docGrid w:linePitch="360"/>
        </w:sectPr>
      </w:pPr>
    </w:p>
    <w:p w14:paraId="66146EDE" w14:textId="1BE29FB4" w:rsidR="0057637F" w:rsidRPr="005147E0" w:rsidRDefault="00F722D6" w:rsidP="005147E0">
      <w:pPr>
        <w:pStyle w:val="Heading2"/>
        <w:rPr>
          <w:rFonts w:eastAsia="Calibri"/>
        </w:rPr>
      </w:pPr>
      <w:bookmarkStart w:id="45" w:name="_Toc158883516"/>
      <w:r w:rsidRPr="00425845">
        <w:rPr>
          <w:rFonts w:eastAsia="Calibri"/>
        </w:rPr>
        <w:lastRenderedPageBreak/>
        <w:t xml:space="preserve">Appendix </w:t>
      </w:r>
      <w:r>
        <w:rPr>
          <w:rFonts w:eastAsia="Calibri"/>
        </w:rPr>
        <w:t>C: 2021</w:t>
      </w:r>
      <w:r w:rsidR="00122BFE">
        <w:rPr>
          <w:rFonts w:eastAsia="Calibri"/>
        </w:rPr>
        <w:t>–</w:t>
      </w:r>
      <w:r>
        <w:rPr>
          <w:rFonts w:eastAsia="Calibri"/>
        </w:rPr>
        <w:t>22 A</w:t>
      </w:r>
      <w:r w:rsidR="004025DB">
        <w:rPr>
          <w:rFonts w:eastAsia="Calibri"/>
        </w:rPr>
        <w:t xml:space="preserve">cademic </w:t>
      </w:r>
      <w:r>
        <w:rPr>
          <w:rFonts w:eastAsia="Calibri"/>
        </w:rPr>
        <w:t>Y</w:t>
      </w:r>
      <w:r w:rsidR="004025DB">
        <w:rPr>
          <w:rFonts w:eastAsia="Calibri"/>
        </w:rPr>
        <w:t>ear (AY)</w:t>
      </w:r>
      <w:r>
        <w:rPr>
          <w:rFonts w:eastAsia="Calibri"/>
        </w:rPr>
        <w:t xml:space="preserve"> Non-C</w:t>
      </w:r>
      <w:r w:rsidR="004025DB">
        <w:rPr>
          <w:rFonts w:eastAsia="Calibri"/>
        </w:rPr>
        <w:t xml:space="preserve">areer </w:t>
      </w:r>
      <w:r>
        <w:rPr>
          <w:rFonts w:eastAsia="Calibri"/>
        </w:rPr>
        <w:t>T</w:t>
      </w:r>
      <w:r w:rsidR="004025DB">
        <w:rPr>
          <w:rFonts w:eastAsia="Calibri"/>
        </w:rPr>
        <w:t xml:space="preserve">echnical </w:t>
      </w:r>
      <w:r>
        <w:rPr>
          <w:rFonts w:eastAsia="Calibri"/>
        </w:rPr>
        <w:t>E</w:t>
      </w:r>
      <w:r w:rsidR="004025DB">
        <w:rPr>
          <w:rFonts w:eastAsia="Calibri"/>
        </w:rPr>
        <w:t xml:space="preserve">ducation </w:t>
      </w:r>
      <w:r>
        <w:rPr>
          <w:rFonts w:eastAsia="Calibri"/>
        </w:rPr>
        <w:t>I</w:t>
      </w:r>
      <w:r w:rsidR="004025DB">
        <w:rPr>
          <w:rFonts w:eastAsia="Calibri"/>
        </w:rPr>
        <w:t xml:space="preserve">ncentive </w:t>
      </w:r>
      <w:r>
        <w:rPr>
          <w:rFonts w:eastAsia="Calibri"/>
        </w:rPr>
        <w:t>G</w:t>
      </w:r>
      <w:r w:rsidR="004025DB">
        <w:rPr>
          <w:rFonts w:eastAsia="Calibri"/>
        </w:rPr>
        <w:t>rant (CTEIG)</w:t>
      </w:r>
      <w:r>
        <w:rPr>
          <w:rFonts w:eastAsia="Calibri"/>
        </w:rPr>
        <w:t xml:space="preserve"> Attendance Rates by Race</w:t>
      </w:r>
      <w:r w:rsidR="005147E0">
        <w:rPr>
          <w:rFonts w:eastAsia="Calibri"/>
        </w:rPr>
        <w:br/>
      </w:r>
      <w:r w:rsidRPr="00F722D6">
        <w:t>2021</w:t>
      </w:r>
      <w:r w:rsidR="00122BFE">
        <w:t>–</w:t>
      </w:r>
      <w:r w:rsidRPr="00F722D6">
        <w:t xml:space="preserve">22 </w:t>
      </w:r>
      <w:r w:rsidR="00A408A6">
        <w:t xml:space="preserve">AY </w:t>
      </w:r>
      <w:r w:rsidRPr="00F722D6">
        <w:t>Attendance Rate</w:t>
      </w:r>
      <w:r w:rsidR="00122BFE">
        <w:t>s</w:t>
      </w:r>
      <w:r>
        <w:t xml:space="preserve"> </w:t>
      </w:r>
      <w:r w:rsidR="00122BFE">
        <w:t xml:space="preserve">among </w:t>
      </w:r>
      <w:r>
        <w:t>Non–</w:t>
      </w:r>
      <w:r w:rsidRPr="00F722D6">
        <w:t>CTEIG L</w:t>
      </w:r>
      <w:r w:rsidR="004025DB">
        <w:t xml:space="preserve">ocal </w:t>
      </w:r>
      <w:r w:rsidRPr="00F722D6">
        <w:t>E</w:t>
      </w:r>
      <w:r w:rsidR="004025DB">
        <w:t xml:space="preserve">ducational </w:t>
      </w:r>
      <w:r w:rsidRPr="00F722D6">
        <w:t>A</w:t>
      </w:r>
      <w:r w:rsidR="004025DB">
        <w:t>gencie</w:t>
      </w:r>
      <w:r>
        <w:t>s</w:t>
      </w:r>
      <w:r w:rsidR="00F12E90">
        <w:t xml:space="preserve"> (</w:t>
      </w:r>
      <w:r>
        <w:t>A</w:t>
      </w:r>
      <w:r w:rsidRPr="00F722D6">
        <w:t>ll 4 years</w:t>
      </w:r>
      <w:r w:rsidR="00122BFE">
        <w:t xml:space="preserve"> of cohort</w:t>
      </w:r>
      <w:r w:rsidR="00F12E90">
        <w:t>)</w:t>
      </w:r>
      <w:bookmarkEnd w:id="45"/>
    </w:p>
    <w:tbl>
      <w:tblPr>
        <w:tblStyle w:val="GridTable41"/>
        <w:tblW w:w="14271" w:type="dxa"/>
        <w:tblInd w:w="-660" w:type="dxa"/>
        <w:tblLook w:val="04A0" w:firstRow="1" w:lastRow="0" w:firstColumn="1" w:lastColumn="0" w:noHBand="0" w:noVBand="1"/>
        <w:tblDescription w:val="21-22 Non-CTEIG Attendance Rates by Race"/>
      </w:tblPr>
      <w:tblGrid>
        <w:gridCol w:w="1764"/>
        <w:gridCol w:w="1590"/>
        <w:gridCol w:w="1590"/>
        <w:gridCol w:w="1590"/>
        <w:gridCol w:w="1537"/>
        <w:gridCol w:w="1590"/>
        <w:gridCol w:w="1590"/>
        <w:gridCol w:w="1590"/>
        <w:gridCol w:w="1537"/>
      </w:tblGrid>
      <w:tr w:rsidR="00F12E90" w:rsidRPr="00F722D6" w14:paraId="29A2C865" w14:textId="77777777" w:rsidTr="00FD3A2C">
        <w:trPr>
          <w:cnfStyle w:val="100000000000" w:firstRow="1" w:lastRow="0" w:firstColumn="0" w:lastColumn="0" w:oddVBand="0" w:evenVBand="0" w:oddHBand="0" w:evenHBand="0" w:firstRowFirstColumn="0" w:firstRowLastColumn="0" w:lastRowFirstColumn="0" w:lastRowLastColumn="0"/>
          <w:cantSplit/>
          <w:trHeight w:val="908"/>
          <w:tblHeader/>
        </w:trPr>
        <w:tc>
          <w:tcPr>
            <w:cnfStyle w:val="001000000000" w:firstRow="0" w:lastRow="0" w:firstColumn="1" w:lastColumn="0" w:oddVBand="0" w:evenVBand="0" w:oddHBand="0" w:evenHBand="0" w:firstRowFirstColumn="0" w:firstRowLastColumn="0" w:lastRowFirstColumn="0" w:lastRowLastColumn="0"/>
            <w:tcW w:w="0" w:type="dxa"/>
            <w:hideMark/>
          </w:tcPr>
          <w:p w14:paraId="16A58371" w14:textId="08A0B43E" w:rsidR="00F722D6" w:rsidRPr="00F722D6" w:rsidRDefault="00F07A7A" w:rsidP="00F722D6">
            <w:pPr>
              <w:rPr>
                <w:rFonts w:cs="Arial"/>
              </w:rPr>
            </w:pPr>
            <w:r>
              <w:rPr>
                <w:rFonts w:cs="Arial"/>
              </w:rPr>
              <w:t>Ethnicity</w:t>
            </w:r>
          </w:p>
        </w:tc>
        <w:tc>
          <w:tcPr>
            <w:tcW w:w="0" w:type="dxa"/>
            <w:hideMark/>
          </w:tcPr>
          <w:p w14:paraId="66B04C1B" w14:textId="4823D3D7" w:rsidR="00F722D6" w:rsidRPr="00F722D6" w:rsidRDefault="00AE03C8" w:rsidP="00F722D6">
            <w:pPr>
              <w:cnfStyle w:val="100000000000" w:firstRow="1" w:lastRow="0" w:firstColumn="0" w:lastColumn="0" w:oddVBand="0" w:evenVBand="0" w:oddHBand="0" w:evenHBand="0" w:firstRowFirstColumn="0" w:firstRowLastColumn="0" w:lastRowFirstColumn="0" w:lastRowLastColumn="0"/>
              <w:rPr>
                <w:rFonts w:cs="Arial"/>
              </w:rPr>
            </w:pPr>
            <w:r w:rsidRPr="00F722D6">
              <w:rPr>
                <w:rFonts w:cs="Arial"/>
              </w:rPr>
              <w:t>Non-Career</w:t>
            </w:r>
            <w:r w:rsidR="004025DB">
              <w:rPr>
                <w:rFonts w:cs="Arial"/>
              </w:rPr>
              <w:t xml:space="preserve"> </w:t>
            </w:r>
            <w:r w:rsidR="00F722D6" w:rsidRPr="00F722D6">
              <w:rPr>
                <w:rFonts w:cs="Arial"/>
              </w:rPr>
              <w:t>T</w:t>
            </w:r>
            <w:r w:rsidR="004025DB">
              <w:rPr>
                <w:rFonts w:cs="Arial"/>
              </w:rPr>
              <w:t xml:space="preserve">echnical </w:t>
            </w:r>
            <w:r w:rsidR="00F722D6" w:rsidRPr="00F722D6">
              <w:rPr>
                <w:rFonts w:cs="Arial"/>
              </w:rPr>
              <w:t>E</w:t>
            </w:r>
            <w:r w:rsidR="004025DB">
              <w:rPr>
                <w:rFonts w:cs="Arial"/>
              </w:rPr>
              <w:t>ducation (CTE)</w:t>
            </w:r>
            <w:r w:rsidR="00F722D6" w:rsidRPr="00F722D6">
              <w:rPr>
                <w:rFonts w:cs="Arial"/>
              </w:rPr>
              <w:t xml:space="preserve"> Participants</w:t>
            </w:r>
            <w:r w:rsidR="007555ED">
              <w:rPr>
                <w:rFonts w:cs="Arial"/>
              </w:rPr>
              <w:t xml:space="preserve"> Cohort Counts</w:t>
            </w:r>
          </w:p>
        </w:tc>
        <w:tc>
          <w:tcPr>
            <w:tcW w:w="0" w:type="dxa"/>
            <w:hideMark/>
          </w:tcPr>
          <w:p w14:paraId="1464A1A5" w14:textId="2EEB9603" w:rsidR="00F722D6" w:rsidRPr="00F722D6" w:rsidRDefault="00F722D6" w:rsidP="00F722D6">
            <w:pPr>
              <w:cnfStyle w:val="100000000000" w:firstRow="1" w:lastRow="0" w:firstColumn="0" w:lastColumn="0" w:oddVBand="0" w:evenVBand="0" w:oddHBand="0" w:evenHBand="0" w:firstRowFirstColumn="0" w:firstRowLastColumn="0" w:lastRowFirstColumn="0" w:lastRowLastColumn="0"/>
              <w:rPr>
                <w:rFonts w:cs="Arial"/>
              </w:rPr>
            </w:pPr>
            <w:r w:rsidRPr="00F722D6">
              <w:rPr>
                <w:rFonts w:cs="Arial"/>
              </w:rPr>
              <w:t>CTE Participants Single</w:t>
            </w:r>
            <w:r w:rsidR="007555ED">
              <w:rPr>
                <w:rFonts w:cs="Arial"/>
              </w:rPr>
              <w:t xml:space="preserve"> Cohort Counts</w:t>
            </w:r>
          </w:p>
        </w:tc>
        <w:tc>
          <w:tcPr>
            <w:tcW w:w="0" w:type="dxa"/>
            <w:hideMark/>
          </w:tcPr>
          <w:p w14:paraId="7399F7C0" w14:textId="20479098" w:rsidR="00F722D6" w:rsidRPr="00F722D6" w:rsidRDefault="00F722D6" w:rsidP="00F722D6">
            <w:pPr>
              <w:cnfStyle w:val="100000000000" w:firstRow="1" w:lastRow="0" w:firstColumn="0" w:lastColumn="0" w:oddVBand="0" w:evenVBand="0" w:oddHBand="0" w:evenHBand="0" w:firstRowFirstColumn="0" w:firstRowLastColumn="0" w:lastRowFirstColumn="0" w:lastRowLastColumn="0"/>
              <w:rPr>
                <w:rFonts w:cs="Arial"/>
              </w:rPr>
            </w:pPr>
            <w:r w:rsidRPr="00F722D6">
              <w:rPr>
                <w:rFonts w:cs="Arial"/>
              </w:rPr>
              <w:t>CTE Participants 2 or more</w:t>
            </w:r>
            <w:r w:rsidR="007555ED">
              <w:rPr>
                <w:rFonts w:cs="Arial"/>
              </w:rPr>
              <w:t xml:space="preserve"> Cohort Counts</w:t>
            </w:r>
          </w:p>
        </w:tc>
        <w:tc>
          <w:tcPr>
            <w:tcW w:w="0" w:type="dxa"/>
            <w:hideMark/>
          </w:tcPr>
          <w:p w14:paraId="74C28585" w14:textId="6262E722" w:rsidR="00F722D6" w:rsidRPr="00F722D6" w:rsidRDefault="00F722D6" w:rsidP="00F722D6">
            <w:pPr>
              <w:cnfStyle w:val="100000000000" w:firstRow="1" w:lastRow="0" w:firstColumn="0" w:lastColumn="0" w:oddVBand="0" w:evenVBand="0" w:oddHBand="0" w:evenHBand="0" w:firstRowFirstColumn="0" w:firstRowLastColumn="0" w:lastRowFirstColumn="0" w:lastRowLastColumn="0"/>
              <w:rPr>
                <w:rFonts w:cs="Arial"/>
              </w:rPr>
            </w:pPr>
            <w:r w:rsidRPr="00F722D6">
              <w:rPr>
                <w:rFonts w:cs="Arial"/>
              </w:rPr>
              <w:t>CTE Completers</w:t>
            </w:r>
            <w:r w:rsidR="007555ED">
              <w:rPr>
                <w:rFonts w:cs="Arial"/>
              </w:rPr>
              <w:t xml:space="preserve"> Cohort Counts</w:t>
            </w:r>
          </w:p>
        </w:tc>
        <w:tc>
          <w:tcPr>
            <w:tcW w:w="0" w:type="dxa"/>
            <w:hideMark/>
          </w:tcPr>
          <w:p w14:paraId="65893A6C" w14:textId="47B6529F" w:rsidR="00F722D6" w:rsidRPr="00F722D6" w:rsidRDefault="00F722D6" w:rsidP="00F722D6">
            <w:pPr>
              <w:cnfStyle w:val="100000000000" w:firstRow="1" w:lastRow="0" w:firstColumn="0" w:lastColumn="0" w:oddVBand="0" w:evenVBand="0" w:oddHBand="0" w:evenHBand="0" w:firstRowFirstColumn="0" w:firstRowLastColumn="0" w:lastRowFirstColumn="0" w:lastRowLastColumn="0"/>
              <w:rPr>
                <w:rFonts w:cs="Arial"/>
              </w:rPr>
            </w:pPr>
            <w:r w:rsidRPr="00F722D6">
              <w:rPr>
                <w:rFonts w:cs="Arial"/>
              </w:rPr>
              <w:t>Non CTE Participants</w:t>
            </w:r>
            <w:r w:rsidR="007555ED">
              <w:rPr>
                <w:rFonts w:cs="Arial"/>
              </w:rPr>
              <w:t xml:space="preserve"> Attendance Rate</w:t>
            </w:r>
          </w:p>
        </w:tc>
        <w:tc>
          <w:tcPr>
            <w:tcW w:w="0" w:type="dxa"/>
            <w:hideMark/>
          </w:tcPr>
          <w:p w14:paraId="5C932BDB" w14:textId="309C2536" w:rsidR="00F722D6" w:rsidRPr="00F722D6" w:rsidRDefault="00F722D6" w:rsidP="00F722D6">
            <w:pPr>
              <w:cnfStyle w:val="100000000000" w:firstRow="1" w:lastRow="0" w:firstColumn="0" w:lastColumn="0" w:oddVBand="0" w:evenVBand="0" w:oddHBand="0" w:evenHBand="0" w:firstRowFirstColumn="0" w:firstRowLastColumn="0" w:lastRowFirstColumn="0" w:lastRowLastColumn="0"/>
              <w:rPr>
                <w:rFonts w:cs="Arial"/>
              </w:rPr>
            </w:pPr>
            <w:r w:rsidRPr="00F722D6">
              <w:rPr>
                <w:rFonts w:cs="Arial"/>
              </w:rPr>
              <w:t>CTE Participants Single</w:t>
            </w:r>
            <w:r w:rsidR="007555ED">
              <w:rPr>
                <w:rFonts w:cs="Arial"/>
              </w:rPr>
              <w:t xml:space="preserve"> Attendance Rate</w:t>
            </w:r>
          </w:p>
        </w:tc>
        <w:tc>
          <w:tcPr>
            <w:tcW w:w="0" w:type="dxa"/>
            <w:hideMark/>
          </w:tcPr>
          <w:p w14:paraId="15065C9C" w14:textId="76A3CDC6" w:rsidR="00F722D6" w:rsidRPr="00F722D6" w:rsidRDefault="00F722D6" w:rsidP="00F722D6">
            <w:pPr>
              <w:cnfStyle w:val="100000000000" w:firstRow="1" w:lastRow="0" w:firstColumn="0" w:lastColumn="0" w:oddVBand="0" w:evenVBand="0" w:oddHBand="0" w:evenHBand="0" w:firstRowFirstColumn="0" w:firstRowLastColumn="0" w:lastRowFirstColumn="0" w:lastRowLastColumn="0"/>
              <w:rPr>
                <w:rFonts w:cs="Arial"/>
              </w:rPr>
            </w:pPr>
            <w:r w:rsidRPr="00F722D6">
              <w:rPr>
                <w:rFonts w:cs="Arial"/>
              </w:rPr>
              <w:t>CTE Participants 2 or more</w:t>
            </w:r>
            <w:r w:rsidR="007555ED">
              <w:rPr>
                <w:rFonts w:cs="Arial"/>
              </w:rPr>
              <w:t xml:space="preserve"> Attendance Rate</w:t>
            </w:r>
          </w:p>
        </w:tc>
        <w:tc>
          <w:tcPr>
            <w:tcW w:w="0" w:type="dxa"/>
            <w:hideMark/>
          </w:tcPr>
          <w:p w14:paraId="301B7D4D" w14:textId="474D5AAB" w:rsidR="00F722D6" w:rsidRPr="00F722D6" w:rsidRDefault="00F722D6" w:rsidP="00F722D6">
            <w:pPr>
              <w:cnfStyle w:val="100000000000" w:firstRow="1" w:lastRow="0" w:firstColumn="0" w:lastColumn="0" w:oddVBand="0" w:evenVBand="0" w:oddHBand="0" w:evenHBand="0" w:firstRowFirstColumn="0" w:firstRowLastColumn="0" w:lastRowFirstColumn="0" w:lastRowLastColumn="0"/>
              <w:rPr>
                <w:rFonts w:cs="Arial"/>
              </w:rPr>
            </w:pPr>
            <w:r w:rsidRPr="00F722D6">
              <w:rPr>
                <w:rFonts w:cs="Arial"/>
              </w:rPr>
              <w:t>CTE Completers</w:t>
            </w:r>
            <w:r w:rsidR="007555ED">
              <w:rPr>
                <w:rFonts w:cs="Arial"/>
              </w:rPr>
              <w:t xml:space="preserve"> Attendance Rate</w:t>
            </w:r>
          </w:p>
        </w:tc>
      </w:tr>
      <w:tr w:rsidR="00F12E90" w:rsidRPr="00F722D6" w14:paraId="3B7D38CA" w14:textId="77777777" w:rsidTr="008D3624">
        <w:trPr>
          <w:cnfStyle w:val="000000100000" w:firstRow="0" w:lastRow="0" w:firstColumn="0" w:lastColumn="0" w:oddVBand="0" w:evenVBand="0" w:oddHBand="1" w:evenHBand="0" w:firstRowFirstColumn="0" w:firstRowLastColumn="0" w:lastRowFirstColumn="0" w:lastRowLastColumn="0"/>
          <w:cantSplit/>
          <w:trHeight w:val="685"/>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hideMark/>
          </w:tcPr>
          <w:p w14:paraId="64EE80DD" w14:textId="77777777" w:rsidR="00F722D6" w:rsidRPr="00F722D6" w:rsidRDefault="00F722D6" w:rsidP="00F722D6">
            <w:pPr>
              <w:rPr>
                <w:rFonts w:cs="Arial"/>
              </w:rPr>
            </w:pPr>
            <w:r w:rsidRPr="00F722D6">
              <w:rPr>
                <w:rFonts w:cs="Arial"/>
              </w:rPr>
              <w:t>American Indian/Alaska Native</w:t>
            </w:r>
          </w:p>
        </w:tc>
        <w:tc>
          <w:tcPr>
            <w:tcW w:w="1590" w:type="dxa"/>
            <w:shd w:val="clear" w:color="auto" w:fill="auto"/>
            <w:hideMark/>
          </w:tcPr>
          <w:p w14:paraId="2CD284A4"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269</w:t>
            </w:r>
          </w:p>
        </w:tc>
        <w:tc>
          <w:tcPr>
            <w:tcW w:w="1590" w:type="dxa"/>
            <w:shd w:val="clear" w:color="auto" w:fill="auto"/>
            <w:hideMark/>
          </w:tcPr>
          <w:p w14:paraId="23373FB4"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140</w:t>
            </w:r>
          </w:p>
        </w:tc>
        <w:tc>
          <w:tcPr>
            <w:tcW w:w="1590" w:type="dxa"/>
            <w:shd w:val="clear" w:color="auto" w:fill="auto"/>
            <w:hideMark/>
          </w:tcPr>
          <w:p w14:paraId="199391BE"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156</w:t>
            </w:r>
          </w:p>
        </w:tc>
        <w:tc>
          <w:tcPr>
            <w:tcW w:w="1537" w:type="dxa"/>
            <w:shd w:val="clear" w:color="auto" w:fill="auto"/>
            <w:hideMark/>
          </w:tcPr>
          <w:p w14:paraId="4D4AE616"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36</w:t>
            </w:r>
          </w:p>
        </w:tc>
        <w:tc>
          <w:tcPr>
            <w:tcW w:w="1590" w:type="dxa"/>
            <w:shd w:val="clear" w:color="auto" w:fill="auto"/>
            <w:hideMark/>
          </w:tcPr>
          <w:p w14:paraId="4D69BF72"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73.6%</w:t>
            </w:r>
          </w:p>
        </w:tc>
        <w:tc>
          <w:tcPr>
            <w:tcW w:w="1590" w:type="dxa"/>
            <w:shd w:val="clear" w:color="auto" w:fill="auto"/>
            <w:hideMark/>
          </w:tcPr>
          <w:p w14:paraId="6CE25001" w14:textId="5CC8B0BE"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76.8%</w:t>
            </w:r>
          </w:p>
        </w:tc>
        <w:tc>
          <w:tcPr>
            <w:tcW w:w="1590" w:type="dxa"/>
            <w:shd w:val="clear" w:color="auto" w:fill="auto"/>
            <w:hideMark/>
          </w:tcPr>
          <w:p w14:paraId="41241D2A"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81.9%</w:t>
            </w:r>
          </w:p>
        </w:tc>
        <w:tc>
          <w:tcPr>
            <w:tcW w:w="1537" w:type="dxa"/>
            <w:shd w:val="clear" w:color="auto" w:fill="auto"/>
            <w:hideMark/>
          </w:tcPr>
          <w:p w14:paraId="217FB631"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90.3%</w:t>
            </w:r>
          </w:p>
        </w:tc>
      </w:tr>
      <w:tr w:rsidR="00F12E90" w:rsidRPr="00F722D6" w14:paraId="06D4963C" w14:textId="77777777" w:rsidTr="008D3624">
        <w:trPr>
          <w:cantSplit/>
          <w:trHeight w:val="685"/>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hideMark/>
          </w:tcPr>
          <w:p w14:paraId="4DF85FB2" w14:textId="77777777" w:rsidR="00F722D6" w:rsidRPr="00F722D6" w:rsidRDefault="00F722D6" w:rsidP="00F722D6">
            <w:pPr>
              <w:rPr>
                <w:rFonts w:cs="Arial"/>
              </w:rPr>
            </w:pPr>
            <w:r w:rsidRPr="00F722D6">
              <w:rPr>
                <w:rFonts w:cs="Arial"/>
              </w:rPr>
              <w:t>Asian</w:t>
            </w:r>
          </w:p>
        </w:tc>
        <w:tc>
          <w:tcPr>
            <w:tcW w:w="1590" w:type="dxa"/>
            <w:shd w:val="clear" w:color="auto" w:fill="auto"/>
            <w:hideMark/>
          </w:tcPr>
          <w:p w14:paraId="4C7BFFFD"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2,300</w:t>
            </w:r>
          </w:p>
        </w:tc>
        <w:tc>
          <w:tcPr>
            <w:tcW w:w="1590" w:type="dxa"/>
            <w:shd w:val="clear" w:color="auto" w:fill="auto"/>
            <w:hideMark/>
          </w:tcPr>
          <w:p w14:paraId="4C185BF6"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824</w:t>
            </w:r>
          </w:p>
        </w:tc>
        <w:tc>
          <w:tcPr>
            <w:tcW w:w="1590" w:type="dxa"/>
            <w:shd w:val="clear" w:color="auto" w:fill="auto"/>
            <w:hideMark/>
          </w:tcPr>
          <w:p w14:paraId="5D8CB80B"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777</w:t>
            </w:r>
          </w:p>
        </w:tc>
        <w:tc>
          <w:tcPr>
            <w:tcW w:w="1537" w:type="dxa"/>
            <w:shd w:val="clear" w:color="auto" w:fill="auto"/>
            <w:hideMark/>
          </w:tcPr>
          <w:p w14:paraId="7A7D695D"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354</w:t>
            </w:r>
          </w:p>
        </w:tc>
        <w:tc>
          <w:tcPr>
            <w:tcW w:w="1590" w:type="dxa"/>
            <w:shd w:val="clear" w:color="auto" w:fill="auto"/>
            <w:hideMark/>
          </w:tcPr>
          <w:p w14:paraId="38402027"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88.0%</w:t>
            </w:r>
          </w:p>
        </w:tc>
        <w:tc>
          <w:tcPr>
            <w:tcW w:w="1590" w:type="dxa"/>
            <w:shd w:val="clear" w:color="auto" w:fill="auto"/>
            <w:hideMark/>
          </w:tcPr>
          <w:p w14:paraId="0F1E4C51"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90.6%</w:t>
            </w:r>
          </w:p>
        </w:tc>
        <w:tc>
          <w:tcPr>
            <w:tcW w:w="1590" w:type="dxa"/>
            <w:shd w:val="clear" w:color="auto" w:fill="auto"/>
            <w:hideMark/>
          </w:tcPr>
          <w:p w14:paraId="1862723B"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91.8%</w:t>
            </w:r>
          </w:p>
        </w:tc>
        <w:tc>
          <w:tcPr>
            <w:tcW w:w="1537" w:type="dxa"/>
            <w:shd w:val="clear" w:color="auto" w:fill="auto"/>
            <w:hideMark/>
          </w:tcPr>
          <w:p w14:paraId="13C4FAC2"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95.9%</w:t>
            </w:r>
          </w:p>
        </w:tc>
      </w:tr>
      <w:tr w:rsidR="00F12E90" w:rsidRPr="00F722D6" w14:paraId="1BF61225" w14:textId="77777777" w:rsidTr="008D3624">
        <w:trPr>
          <w:cnfStyle w:val="000000100000" w:firstRow="0" w:lastRow="0" w:firstColumn="0" w:lastColumn="0" w:oddVBand="0" w:evenVBand="0" w:oddHBand="1" w:evenHBand="0" w:firstRowFirstColumn="0" w:firstRowLastColumn="0" w:lastRowFirstColumn="0" w:lastRowLastColumn="0"/>
          <w:cantSplit/>
          <w:trHeight w:val="685"/>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hideMark/>
          </w:tcPr>
          <w:p w14:paraId="2494204A" w14:textId="77777777" w:rsidR="00F722D6" w:rsidRPr="00F722D6" w:rsidRDefault="00F722D6" w:rsidP="00F722D6">
            <w:pPr>
              <w:rPr>
                <w:rFonts w:cs="Arial"/>
              </w:rPr>
            </w:pPr>
            <w:r w:rsidRPr="00F722D6">
              <w:rPr>
                <w:rFonts w:cs="Arial"/>
              </w:rPr>
              <w:t>Black</w:t>
            </w:r>
          </w:p>
        </w:tc>
        <w:tc>
          <w:tcPr>
            <w:tcW w:w="1590" w:type="dxa"/>
            <w:shd w:val="clear" w:color="auto" w:fill="auto"/>
            <w:hideMark/>
          </w:tcPr>
          <w:p w14:paraId="61A77BF7"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2,854</w:t>
            </w:r>
          </w:p>
        </w:tc>
        <w:tc>
          <w:tcPr>
            <w:tcW w:w="1590" w:type="dxa"/>
            <w:shd w:val="clear" w:color="auto" w:fill="auto"/>
            <w:hideMark/>
          </w:tcPr>
          <w:p w14:paraId="714B9EB3"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940</w:t>
            </w:r>
          </w:p>
        </w:tc>
        <w:tc>
          <w:tcPr>
            <w:tcW w:w="1590" w:type="dxa"/>
            <w:shd w:val="clear" w:color="auto" w:fill="auto"/>
            <w:hideMark/>
          </w:tcPr>
          <w:p w14:paraId="7D142F69"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755</w:t>
            </w:r>
          </w:p>
        </w:tc>
        <w:tc>
          <w:tcPr>
            <w:tcW w:w="1537" w:type="dxa"/>
            <w:shd w:val="clear" w:color="auto" w:fill="auto"/>
            <w:hideMark/>
          </w:tcPr>
          <w:p w14:paraId="0A6BCF0D"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184</w:t>
            </w:r>
          </w:p>
        </w:tc>
        <w:tc>
          <w:tcPr>
            <w:tcW w:w="1590" w:type="dxa"/>
            <w:shd w:val="clear" w:color="auto" w:fill="auto"/>
            <w:hideMark/>
          </w:tcPr>
          <w:p w14:paraId="64F2DB98"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68.3%</w:t>
            </w:r>
          </w:p>
        </w:tc>
        <w:tc>
          <w:tcPr>
            <w:tcW w:w="1590" w:type="dxa"/>
            <w:shd w:val="clear" w:color="auto" w:fill="auto"/>
            <w:hideMark/>
          </w:tcPr>
          <w:p w14:paraId="53DF470F"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72.5%</w:t>
            </w:r>
          </w:p>
        </w:tc>
        <w:tc>
          <w:tcPr>
            <w:tcW w:w="1590" w:type="dxa"/>
            <w:shd w:val="clear" w:color="auto" w:fill="auto"/>
            <w:hideMark/>
          </w:tcPr>
          <w:p w14:paraId="37B5F96B"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80.0%</w:t>
            </w:r>
          </w:p>
        </w:tc>
        <w:tc>
          <w:tcPr>
            <w:tcW w:w="1537" w:type="dxa"/>
            <w:shd w:val="clear" w:color="auto" w:fill="auto"/>
            <w:hideMark/>
          </w:tcPr>
          <w:p w14:paraId="5B2E5815"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86.5%</w:t>
            </w:r>
          </w:p>
        </w:tc>
      </w:tr>
      <w:tr w:rsidR="00F12E90" w:rsidRPr="00F722D6" w14:paraId="09147965" w14:textId="77777777" w:rsidTr="008D3624">
        <w:trPr>
          <w:cantSplit/>
          <w:trHeight w:val="685"/>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hideMark/>
          </w:tcPr>
          <w:p w14:paraId="4A22DA3A" w14:textId="77777777" w:rsidR="00F722D6" w:rsidRPr="00F722D6" w:rsidRDefault="00F722D6" w:rsidP="00F722D6">
            <w:pPr>
              <w:rPr>
                <w:rFonts w:cs="Arial"/>
              </w:rPr>
            </w:pPr>
            <w:r w:rsidRPr="00F722D6">
              <w:rPr>
                <w:rFonts w:cs="Arial"/>
              </w:rPr>
              <w:t>Hispanic</w:t>
            </w:r>
          </w:p>
        </w:tc>
        <w:tc>
          <w:tcPr>
            <w:tcW w:w="1590" w:type="dxa"/>
            <w:shd w:val="clear" w:color="auto" w:fill="auto"/>
            <w:hideMark/>
          </w:tcPr>
          <w:p w14:paraId="361AB32B"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22,551</w:t>
            </w:r>
          </w:p>
        </w:tc>
        <w:tc>
          <w:tcPr>
            <w:tcW w:w="1590" w:type="dxa"/>
            <w:shd w:val="clear" w:color="auto" w:fill="auto"/>
            <w:hideMark/>
          </w:tcPr>
          <w:p w14:paraId="39585921"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7,320</w:t>
            </w:r>
          </w:p>
        </w:tc>
        <w:tc>
          <w:tcPr>
            <w:tcW w:w="1590" w:type="dxa"/>
            <w:shd w:val="clear" w:color="auto" w:fill="auto"/>
            <w:hideMark/>
          </w:tcPr>
          <w:p w14:paraId="0D601F08"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7,411</w:t>
            </w:r>
          </w:p>
        </w:tc>
        <w:tc>
          <w:tcPr>
            <w:tcW w:w="1537" w:type="dxa"/>
            <w:shd w:val="clear" w:color="auto" w:fill="auto"/>
            <w:hideMark/>
          </w:tcPr>
          <w:p w14:paraId="3B9339CB"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1,948</w:t>
            </w:r>
          </w:p>
        </w:tc>
        <w:tc>
          <w:tcPr>
            <w:tcW w:w="1590" w:type="dxa"/>
            <w:shd w:val="clear" w:color="auto" w:fill="auto"/>
            <w:hideMark/>
          </w:tcPr>
          <w:p w14:paraId="1A1CE9F4"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78.6%</w:t>
            </w:r>
          </w:p>
        </w:tc>
        <w:tc>
          <w:tcPr>
            <w:tcW w:w="1590" w:type="dxa"/>
            <w:shd w:val="clear" w:color="auto" w:fill="auto"/>
            <w:hideMark/>
          </w:tcPr>
          <w:p w14:paraId="6247FADF"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77.7%</w:t>
            </w:r>
          </w:p>
        </w:tc>
        <w:tc>
          <w:tcPr>
            <w:tcW w:w="1590" w:type="dxa"/>
            <w:shd w:val="clear" w:color="auto" w:fill="auto"/>
            <w:hideMark/>
          </w:tcPr>
          <w:p w14:paraId="7E7036EB"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84.8%</w:t>
            </w:r>
          </w:p>
        </w:tc>
        <w:tc>
          <w:tcPr>
            <w:tcW w:w="1537" w:type="dxa"/>
            <w:shd w:val="clear" w:color="auto" w:fill="auto"/>
            <w:hideMark/>
          </w:tcPr>
          <w:p w14:paraId="31F7C384"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90.6%</w:t>
            </w:r>
          </w:p>
        </w:tc>
      </w:tr>
      <w:tr w:rsidR="00F12E90" w:rsidRPr="00F722D6" w14:paraId="53682A52" w14:textId="77777777" w:rsidTr="008D3624">
        <w:trPr>
          <w:cnfStyle w:val="000000100000" w:firstRow="0" w:lastRow="0" w:firstColumn="0" w:lastColumn="0" w:oddVBand="0" w:evenVBand="0" w:oddHBand="1" w:evenHBand="0" w:firstRowFirstColumn="0" w:firstRowLastColumn="0" w:lastRowFirstColumn="0" w:lastRowLastColumn="0"/>
          <w:cantSplit/>
          <w:trHeight w:val="685"/>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hideMark/>
          </w:tcPr>
          <w:p w14:paraId="7181D461" w14:textId="77777777" w:rsidR="00F722D6" w:rsidRPr="00F722D6" w:rsidRDefault="00F722D6" w:rsidP="00F722D6">
            <w:pPr>
              <w:rPr>
                <w:rFonts w:cs="Arial"/>
              </w:rPr>
            </w:pPr>
            <w:r w:rsidRPr="00F722D6">
              <w:rPr>
                <w:rFonts w:cs="Arial"/>
              </w:rPr>
              <w:t>Pacific Islander</w:t>
            </w:r>
          </w:p>
        </w:tc>
        <w:tc>
          <w:tcPr>
            <w:tcW w:w="1590" w:type="dxa"/>
            <w:shd w:val="clear" w:color="auto" w:fill="auto"/>
            <w:hideMark/>
          </w:tcPr>
          <w:p w14:paraId="1CBD9263"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133</w:t>
            </w:r>
          </w:p>
        </w:tc>
        <w:tc>
          <w:tcPr>
            <w:tcW w:w="1590" w:type="dxa"/>
            <w:shd w:val="clear" w:color="auto" w:fill="auto"/>
            <w:hideMark/>
          </w:tcPr>
          <w:p w14:paraId="2FA5B143"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56</w:t>
            </w:r>
          </w:p>
        </w:tc>
        <w:tc>
          <w:tcPr>
            <w:tcW w:w="1590" w:type="dxa"/>
            <w:shd w:val="clear" w:color="auto" w:fill="auto"/>
            <w:hideMark/>
          </w:tcPr>
          <w:p w14:paraId="028E3441"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45</w:t>
            </w:r>
          </w:p>
        </w:tc>
        <w:tc>
          <w:tcPr>
            <w:tcW w:w="1537" w:type="dxa"/>
            <w:shd w:val="clear" w:color="auto" w:fill="auto"/>
            <w:hideMark/>
          </w:tcPr>
          <w:p w14:paraId="24775E15"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12</w:t>
            </w:r>
          </w:p>
        </w:tc>
        <w:tc>
          <w:tcPr>
            <w:tcW w:w="1590" w:type="dxa"/>
            <w:shd w:val="clear" w:color="auto" w:fill="auto"/>
            <w:hideMark/>
          </w:tcPr>
          <w:p w14:paraId="12611583"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73.4%</w:t>
            </w:r>
          </w:p>
        </w:tc>
        <w:tc>
          <w:tcPr>
            <w:tcW w:w="1590" w:type="dxa"/>
            <w:shd w:val="clear" w:color="auto" w:fill="auto"/>
            <w:hideMark/>
          </w:tcPr>
          <w:p w14:paraId="318310D1"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78.5%</w:t>
            </w:r>
          </w:p>
        </w:tc>
        <w:tc>
          <w:tcPr>
            <w:tcW w:w="1590" w:type="dxa"/>
            <w:shd w:val="clear" w:color="auto" w:fill="auto"/>
            <w:hideMark/>
          </w:tcPr>
          <w:p w14:paraId="0C28EDAF"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83.2%</w:t>
            </w:r>
          </w:p>
        </w:tc>
        <w:tc>
          <w:tcPr>
            <w:tcW w:w="1537" w:type="dxa"/>
            <w:shd w:val="clear" w:color="auto" w:fill="auto"/>
            <w:hideMark/>
          </w:tcPr>
          <w:p w14:paraId="1932F831"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88.9%</w:t>
            </w:r>
          </w:p>
        </w:tc>
      </w:tr>
      <w:tr w:rsidR="00F12E90" w:rsidRPr="00F722D6" w14:paraId="4C3F1971" w14:textId="77777777" w:rsidTr="008D3624">
        <w:trPr>
          <w:cantSplit/>
          <w:trHeight w:val="685"/>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hideMark/>
          </w:tcPr>
          <w:p w14:paraId="5E2C604F" w14:textId="77777777" w:rsidR="00F722D6" w:rsidRPr="00F722D6" w:rsidRDefault="00F722D6" w:rsidP="00F722D6">
            <w:pPr>
              <w:rPr>
                <w:rFonts w:cs="Arial"/>
              </w:rPr>
            </w:pPr>
            <w:r w:rsidRPr="00F722D6">
              <w:rPr>
                <w:rFonts w:cs="Arial"/>
              </w:rPr>
              <w:t>White</w:t>
            </w:r>
          </w:p>
        </w:tc>
        <w:tc>
          <w:tcPr>
            <w:tcW w:w="1590" w:type="dxa"/>
            <w:shd w:val="clear" w:color="auto" w:fill="auto"/>
            <w:hideMark/>
          </w:tcPr>
          <w:p w14:paraId="67778C57"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7,597</w:t>
            </w:r>
          </w:p>
        </w:tc>
        <w:tc>
          <w:tcPr>
            <w:tcW w:w="1590" w:type="dxa"/>
            <w:shd w:val="clear" w:color="auto" w:fill="auto"/>
            <w:hideMark/>
          </w:tcPr>
          <w:p w14:paraId="704FD70B"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3,410</w:t>
            </w:r>
          </w:p>
        </w:tc>
        <w:tc>
          <w:tcPr>
            <w:tcW w:w="1590" w:type="dxa"/>
            <w:shd w:val="clear" w:color="auto" w:fill="auto"/>
            <w:hideMark/>
          </w:tcPr>
          <w:p w14:paraId="41F9C159"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3,712</w:t>
            </w:r>
          </w:p>
        </w:tc>
        <w:tc>
          <w:tcPr>
            <w:tcW w:w="1537" w:type="dxa"/>
            <w:shd w:val="clear" w:color="auto" w:fill="auto"/>
            <w:hideMark/>
          </w:tcPr>
          <w:p w14:paraId="257B5304"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1,243</w:t>
            </w:r>
          </w:p>
        </w:tc>
        <w:tc>
          <w:tcPr>
            <w:tcW w:w="1590" w:type="dxa"/>
            <w:shd w:val="clear" w:color="auto" w:fill="auto"/>
            <w:hideMark/>
          </w:tcPr>
          <w:p w14:paraId="072C9893"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77.8%</w:t>
            </w:r>
          </w:p>
        </w:tc>
        <w:tc>
          <w:tcPr>
            <w:tcW w:w="1590" w:type="dxa"/>
            <w:shd w:val="clear" w:color="auto" w:fill="auto"/>
            <w:hideMark/>
          </w:tcPr>
          <w:p w14:paraId="54E5E3E4"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80.7%</w:t>
            </w:r>
          </w:p>
        </w:tc>
        <w:tc>
          <w:tcPr>
            <w:tcW w:w="1590" w:type="dxa"/>
            <w:shd w:val="clear" w:color="auto" w:fill="auto"/>
            <w:hideMark/>
          </w:tcPr>
          <w:p w14:paraId="12648D47"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83.4%</w:t>
            </w:r>
          </w:p>
        </w:tc>
        <w:tc>
          <w:tcPr>
            <w:tcW w:w="1537" w:type="dxa"/>
            <w:shd w:val="clear" w:color="auto" w:fill="auto"/>
            <w:hideMark/>
          </w:tcPr>
          <w:p w14:paraId="368CA267" w14:textId="77777777" w:rsidR="00F722D6" w:rsidRPr="00F722D6" w:rsidRDefault="00F722D6" w:rsidP="00FC3A9F">
            <w:pPr>
              <w:jc w:val="center"/>
              <w:cnfStyle w:val="000000000000" w:firstRow="0" w:lastRow="0" w:firstColumn="0" w:lastColumn="0" w:oddVBand="0" w:evenVBand="0" w:oddHBand="0" w:evenHBand="0" w:firstRowFirstColumn="0" w:firstRowLastColumn="0" w:lastRowFirstColumn="0" w:lastRowLastColumn="0"/>
              <w:rPr>
                <w:rFonts w:cs="Arial"/>
              </w:rPr>
            </w:pPr>
            <w:r w:rsidRPr="00F722D6">
              <w:rPr>
                <w:rFonts w:cs="Arial"/>
              </w:rPr>
              <w:t>89.5%</w:t>
            </w:r>
          </w:p>
        </w:tc>
      </w:tr>
      <w:tr w:rsidR="00F12E90" w:rsidRPr="00F722D6" w14:paraId="1D4AEB89" w14:textId="77777777" w:rsidTr="008D3624">
        <w:trPr>
          <w:cnfStyle w:val="000000100000" w:firstRow="0" w:lastRow="0" w:firstColumn="0" w:lastColumn="0" w:oddVBand="0" w:evenVBand="0" w:oddHBand="1" w:evenHBand="0" w:firstRowFirstColumn="0" w:firstRowLastColumn="0" w:lastRowFirstColumn="0" w:lastRowLastColumn="0"/>
          <w:cantSplit/>
          <w:trHeight w:val="685"/>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hideMark/>
          </w:tcPr>
          <w:p w14:paraId="2BBFDD97" w14:textId="77777777" w:rsidR="00F722D6" w:rsidRPr="00F722D6" w:rsidRDefault="00F722D6" w:rsidP="00F722D6">
            <w:pPr>
              <w:rPr>
                <w:rFonts w:cs="Arial"/>
              </w:rPr>
            </w:pPr>
            <w:r w:rsidRPr="00F722D6">
              <w:rPr>
                <w:rFonts w:cs="Arial"/>
              </w:rPr>
              <w:t>Two or More Races</w:t>
            </w:r>
          </w:p>
        </w:tc>
        <w:tc>
          <w:tcPr>
            <w:tcW w:w="1590" w:type="dxa"/>
            <w:shd w:val="clear" w:color="auto" w:fill="auto"/>
            <w:hideMark/>
          </w:tcPr>
          <w:p w14:paraId="7AA4C604"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2,009</w:t>
            </w:r>
          </w:p>
        </w:tc>
        <w:tc>
          <w:tcPr>
            <w:tcW w:w="1590" w:type="dxa"/>
            <w:shd w:val="clear" w:color="auto" w:fill="auto"/>
            <w:hideMark/>
          </w:tcPr>
          <w:p w14:paraId="1E4D7154"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758</w:t>
            </w:r>
          </w:p>
        </w:tc>
        <w:tc>
          <w:tcPr>
            <w:tcW w:w="1590" w:type="dxa"/>
            <w:shd w:val="clear" w:color="auto" w:fill="auto"/>
            <w:hideMark/>
          </w:tcPr>
          <w:p w14:paraId="1C017052"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712</w:t>
            </w:r>
          </w:p>
        </w:tc>
        <w:tc>
          <w:tcPr>
            <w:tcW w:w="1537" w:type="dxa"/>
            <w:shd w:val="clear" w:color="auto" w:fill="auto"/>
            <w:hideMark/>
          </w:tcPr>
          <w:p w14:paraId="7E3EB43B"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183</w:t>
            </w:r>
          </w:p>
        </w:tc>
        <w:tc>
          <w:tcPr>
            <w:tcW w:w="1590" w:type="dxa"/>
            <w:shd w:val="clear" w:color="auto" w:fill="auto"/>
            <w:hideMark/>
          </w:tcPr>
          <w:p w14:paraId="46952F59"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75.6%</w:t>
            </w:r>
          </w:p>
        </w:tc>
        <w:tc>
          <w:tcPr>
            <w:tcW w:w="1590" w:type="dxa"/>
            <w:shd w:val="clear" w:color="auto" w:fill="auto"/>
            <w:hideMark/>
          </w:tcPr>
          <w:p w14:paraId="6446432B"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77.7%</w:t>
            </w:r>
          </w:p>
        </w:tc>
        <w:tc>
          <w:tcPr>
            <w:tcW w:w="1590" w:type="dxa"/>
            <w:shd w:val="clear" w:color="auto" w:fill="auto"/>
            <w:hideMark/>
          </w:tcPr>
          <w:p w14:paraId="768BC0A7"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82.7%</w:t>
            </w:r>
          </w:p>
        </w:tc>
        <w:tc>
          <w:tcPr>
            <w:tcW w:w="1537" w:type="dxa"/>
            <w:shd w:val="clear" w:color="auto" w:fill="auto"/>
            <w:hideMark/>
          </w:tcPr>
          <w:p w14:paraId="6A6AC66B" w14:textId="77777777" w:rsidR="00F722D6" w:rsidRPr="00F722D6" w:rsidRDefault="00F722D6" w:rsidP="00FC3A9F">
            <w:pPr>
              <w:jc w:val="center"/>
              <w:cnfStyle w:val="000000100000" w:firstRow="0" w:lastRow="0" w:firstColumn="0" w:lastColumn="0" w:oddVBand="0" w:evenVBand="0" w:oddHBand="1" w:evenHBand="0" w:firstRowFirstColumn="0" w:firstRowLastColumn="0" w:lastRowFirstColumn="0" w:lastRowLastColumn="0"/>
              <w:rPr>
                <w:rFonts w:cs="Arial"/>
              </w:rPr>
            </w:pPr>
            <w:r w:rsidRPr="00F722D6">
              <w:rPr>
                <w:rFonts w:cs="Arial"/>
              </w:rPr>
              <w:t>89.8%</w:t>
            </w:r>
          </w:p>
        </w:tc>
      </w:tr>
    </w:tbl>
    <w:p w14:paraId="013A3EA4" w14:textId="4C4F4341" w:rsidR="00CC1737" w:rsidRDefault="00CC1737" w:rsidP="00CC1737">
      <w:pPr>
        <w:rPr>
          <w:rFonts w:eastAsia="Calibri"/>
        </w:rPr>
      </w:pPr>
    </w:p>
    <w:p w14:paraId="59C8155A" w14:textId="77777777" w:rsidR="00077DD2" w:rsidRPr="00C3382B" w:rsidRDefault="00077DD2" w:rsidP="00077DD2">
      <w:pPr>
        <w:rPr>
          <w:rFonts w:eastAsiaTheme="minorHAnsi" w:cs="Arial"/>
        </w:rPr>
        <w:sectPr w:rsidR="00077DD2" w:rsidRPr="00C3382B" w:rsidSect="00A0487A">
          <w:pgSz w:w="15840" w:h="12240" w:orient="landscape"/>
          <w:pgMar w:top="1440" w:right="1440" w:bottom="1440" w:left="1440" w:header="720" w:footer="720" w:gutter="0"/>
          <w:cols w:space="720"/>
          <w:docGrid w:linePitch="360"/>
        </w:sectPr>
      </w:pPr>
    </w:p>
    <w:p w14:paraId="56F1A11A" w14:textId="6FF56C26" w:rsidR="00AC4BB7" w:rsidRPr="005147E0" w:rsidRDefault="00096E2A" w:rsidP="005147E0">
      <w:pPr>
        <w:pStyle w:val="Heading2"/>
        <w:rPr>
          <w:rFonts w:eastAsia="Calibri"/>
        </w:rPr>
      </w:pPr>
      <w:bookmarkStart w:id="46" w:name="_Toc158883517"/>
      <w:r w:rsidRPr="00EE1A0F">
        <w:rPr>
          <w:rFonts w:eastAsia="Calibri"/>
        </w:rPr>
        <w:lastRenderedPageBreak/>
        <w:t xml:space="preserve">Appendix </w:t>
      </w:r>
      <w:r w:rsidR="008D5AD6" w:rsidRPr="00EE1A0F">
        <w:rPr>
          <w:rFonts w:eastAsia="Calibri"/>
        </w:rPr>
        <w:t>D</w:t>
      </w:r>
      <w:r w:rsidRPr="00EE1A0F">
        <w:rPr>
          <w:rFonts w:eastAsia="Calibri"/>
        </w:rPr>
        <w:t>: 2021</w:t>
      </w:r>
      <w:r w:rsidR="00122BFE" w:rsidRPr="00EE1A0F">
        <w:rPr>
          <w:rFonts w:eastAsia="Calibri"/>
        </w:rPr>
        <w:t>–</w:t>
      </w:r>
      <w:r w:rsidRPr="00EE1A0F">
        <w:rPr>
          <w:rFonts w:eastAsia="Calibri"/>
        </w:rPr>
        <w:t>22 A</w:t>
      </w:r>
      <w:r w:rsidR="004025DB">
        <w:rPr>
          <w:rFonts w:eastAsia="Calibri"/>
        </w:rPr>
        <w:t xml:space="preserve">cademic </w:t>
      </w:r>
      <w:r w:rsidRPr="00EE1A0F">
        <w:rPr>
          <w:rFonts w:eastAsia="Calibri"/>
        </w:rPr>
        <w:t>Y</w:t>
      </w:r>
      <w:r w:rsidR="004025DB">
        <w:rPr>
          <w:rFonts w:eastAsia="Calibri"/>
        </w:rPr>
        <w:t>ear (AY)</w:t>
      </w:r>
      <w:r w:rsidRPr="00EE1A0F">
        <w:rPr>
          <w:rFonts w:eastAsia="Calibri"/>
        </w:rPr>
        <w:t xml:space="preserve"> </w:t>
      </w:r>
      <w:r w:rsidR="00122BFE" w:rsidRPr="00EE1A0F">
        <w:rPr>
          <w:rFonts w:eastAsia="Calibri"/>
        </w:rPr>
        <w:t xml:space="preserve">Cohort </w:t>
      </w:r>
      <w:r w:rsidRPr="00EE1A0F">
        <w:rPr>
          <w:rFonts w:eastAsia="Calibri"/>
        </w:rPr>
        <w:t>Graduation Rates</w:t>
      </w:r>
      <w:r w:rsidR="008D5AD6" w:rsidRPr="00EE1A0F">
        <w:rPr>
          <w:rFonts w:eastAsia="Calibri"/>
        </w:rPr>
        <w:t xml:space="preserve"> by Rac</w:t>
      </w:r>
      <w:r w:rsidR="00E8383C" w:rsidRPr="00EE1A0F">
        <w:rPr>
          <w:rFonts w:eastAsia="Calibri"/>
        </w:rPr>
        <w:t>e</w:t>
      </w:r>
      <w:r w:rsidR="005147E0">
        <w:rPr>
          <w:rFonts w:eastAsia="Calibri"/>
        </w:rPr>
        <w:br/>
      </w:r>
      <w:r w:rsidR="008D5AD6" w:rsidRPr="00EE1A0F">
        <w:rPr>
          <w:rFonts w:eastAsia="Calibri"/>
        </w:rPr>
        <w:t>2021</w:t>
      </w:r>
      <w:r w:rsidR="00122BFE" w:rsidRPr="00EE1A0F">
        <w:rPr>
          <w:rFonts w:eastAsia="Calibri"/>
        </w:rPr>
        <w:t>–</w:t>
      </w:r>
      <w:r w:rsidR="008D5AD6" w:rsidRPr="00EE1A0F">
        <w:rPr>
          <w:rFonts w:eastAsia="Calibri"/>
        </w:rPr>
        <w:t xml:space="preserve">22 </w:t>
      </w:r>
      <w:r w:rsidR="00A408A6" w:rsidRPr="00EE1A0F">
        <w:rPr>
          <w:rFonts w:eastAsia="Calibri"/>
        </w:rPr>
        <w:t xml:space="preserve">AY </w:t>
      </w:r>
      <w:r w:rsidR="008D5AD6" w:rsidRPr="00EE1A0F">
        <w:rPr>
          <w:rFonts w:eastAsia="Calibri"/>
        </w:rPr>
        <w:t xml:space="preserve">Cohort </w:t>
      </w:r>
      <w:r w:rsidR="00122BFE" w:rsidRPr="00EE1A0F">
        <w:rPr>
          <w:rFonts w:eastAsia="Calibri"/>
        </w:rPr>
        <w:t>Graduation</w:t>
      </w:r>
      <w:r w:rsidR="008D5AD6" w:rsidRPr="00EE1A0F">
        <w:rPr>
          <w:rFonts w:eastAsia="Calibri"/>
        </w:rPr>
        <w:t xml:space="preserve"> Rate</w:t>
      </w:r>
      <w:r w:rsidR="00122BFE" w:rsidRPr="00EE1A0F">
        <w:rPr>
          <w:rFonts w:eastAsia="Calibri"/>
        </w:rPr>
        <w:t xml:space="preserve">s </w:t>
      </w:r>
      <w:r w:rsidR="008D5AD6" w:rsidRPr="00EE1A0F">
        <w:rPr>
          <w:rFonts w:eastAsia="Calibri"/>
        </w:rPr>
        <w:t>(All 4 years</w:t>
      </w:r>
      <w:r w:rsidR="00122BFE" w:rsidRPr="00EE1A0F">
        <w:rPr>
          <w:rFonts w:eastAsia="Calibri"/>
        </w:rPr>
        <w:t xml:space="preserve"> of cohort</w:t>
      </w:r>
      <w:r w:rsidR="008D5AD6" w:rsidRPr="00EE1A0F">
        <w:rPr>
          <w:rFonts w:eastAsia="Calibri"/>
        </w:rPr>
        <w:t>)</w:t>
      </w:r>
      <w:bookmarkEnd w:id="46"/>
    </w:p>
    <w:tbl>
      <w:tblPr>
        <w:tblStyle w:val="GridTable41"/>
        <w:tblW w:w="13945" w:type="dxa"/>
        <w:tblInd w:w="-495" w:type="dxa"/>
        <w:tblLayout w:type="fixed"/>
        <w:tblLook w:val="04A0" w:firstRow="1" w:lastRow="0" w:firstColumn="1" w:lastColumn="0" w:noHBand="0" w:noVBand="1"/>
        <w:tblDescription w:val="21-22 Graduation Rates by Race"/>
      </w:tblPr>
      <w:tblGrid>
        <w:gridCol w:w="1480"/>
        <w:gridCol w:w="2025"/>
        <w:gridCol w:w="1620"/>
        <w:gridCol w:w="1440"/>
        <w:gridCol w:w="1350"/>
        <w:gridCol w:w="1440"/>
        <w:gridCol w:w="1530"/>
        <w:gridCol w:w="1530"/>
        <w:gridCol w:w="1530"/>
      </w:tblGrid>
      <w:tr w:rsidR="00393A47" w14:paraId="0808B37B" w14:textId="77777777" w:rsidTr="00FD3A2C">
        <w:trPr>
          <w:cnfStyle w:val="100000000000" w:firstRow="1" w:lastRow="0" w:firstColumn="0" w:lastColumn="0" w:oddVBand="0" w:evenVBand="0" w:oddHBand="0" w:evenHBand="0" w:firstRowFirstColumn="0" w:firstRowLastColumn="0" w:lastRowFirstColumn="0" w:lastRowLastColumn="0"/>
          <w:cantSplit/>
          <w:trHeight w:val="962"/>
          <w:tblHeader/>
        </w:trPr>
        <w:tc>
          <w:tcPr>
            <w:cnfStyle w:val="001000000000" w:firstRow="0" w:lastRow="0" w:firstColumn="1" w:lastColumn="0" w:oddVBand="0" w:evenVBand="0" w:oddHBand="0" w:evenHBand="0" w:firstRowFirstColumn="0" w:firstRowLastColumn="0" w:lastRowFirstColumn="0" w:lastRowLastColumn="0"/>
            <w:tcW w:w="0" w:type="dxa"/>
            <w:noWrap/>
            <w:hideMark/>
          </w:tcPr>
          <w:p w14:paraId="295AA89E" w14:textId="0517EE37" w:rsidR="00B713EA" w:rsidRPr="00E44FB9" w:rsidRDefault="00B713EA" w:rsidP="00B713EA">
            <w:pPr>
              <w:rPr>
                <w:rFonts w:cs="Arial"/>
                <w:color w:val="FFFFFF" w:themeColor="background1"/>
              </w:rPr>
            </w:pPr>
            <w:r w:rsidRPr="00E44FB9">
              <w:rPr>
                <w:rFonts w:cs="Arial"/>
                <w:color w:val="FFFFFF" w:themeColor="background1"/>
              </w:rPr>
              <w:t>Ethnicity</w:t>
            </w:r>
          </w:p>
          <w:p w14:paraId="2D34F999" w14:textId="561268C5" w:rsidR="00B713EA" w:rsidRPr="00B713EA" w:rsidRDefault="00B713EA" w:rsidP="00B713EA">
            <w:pPr>
              <w:rPr>
                <w:rFonts w:cs="Arial"/>
              </w:rPr>
            </w:pPr>
          </w:p>
        </w:tc>
        <w:tc>
          <w:tcPr>
            <w:tcW w:w="0" w:type="dxa"/>
          </w:tcPr>
          <w:p w14:paraId="02353CF8" w14:textId="4A0A9BC6" w:rsidR="00B713EA" w:rsidRPr="00B713EA" w:rsidRDefault="00AE03C8" w:rsidP="00B713EA">
            <w:pPr>
              <w:cnfStyle w:val="100000000000" w:firstRow="1" w:lastRow="0" w:firstColumn="0" w:lastColumn="0" w:oddVBand="0" w:evenVBand="0" w:oddHBand="0" w:evenHBand="0" w:firstRowFirstColumn="0" w:firstRowLastColumn="0" w:lastRowFirstColumn="0" w:lastRowLastColumn="0"/>
              <w:rPr>
                <w:rFonts w:cs="Arial"/>
              </w:rPr>
            </w:pPr>
            <w:r>
              <w:rPr>
                <w:rFonts w:cs="Arial"/>
              </w:rPr>
              <w:t>Non-Career</w:t>
            </w:r>
            <w:r w:rsidR="004025DB">
              <w:rPr>
                <w:rFonts w:cs="Arial"/>
              </w:rPr>
              <w:t xml:space="preserve"> </w:t>
            </w:r>
            <w:r w:rsidR="00B713EA">
              <w:rPr>
                <w:rFonts w:cs="Arial"/>
              </w:rPr>
              <w:t>T</w:t>
            </w:r>
            <w:r w:rsidR="004025DB">
              <w:rPr>
                <w:rFonts w:cs="Arial"/>
              </w:rPr>
              <w:t xml:space="preserve">echnical </w:t>
            </w:r>
            <w:r w:rsidR="00B713EA">
              <w:rPr>
                <w:rFonts w:cs="Arial"/>
              </w:rPr>
              <w:t>E</w:t>
            </w:r>
            <w:r w:rsidR="004025DB">
              <w:rPr>
                <w:rFonts w:cs="Arial"/>
              </w:rPr>
              <w:t>ducation (CTE)</w:t>
            </w:r>
            <w:r w:rsidR="00B713EA">
              <w:rPr>
                <w:rFonts w:cs="Arial"/>
              </w:rPr>
              <w:t xml:space="preserve"> Participants</w:t>
            </w:r>
            <w:r w:rsidR="00885C9F">
              <w:rPr>
                <w:rFonts w:cs="Arial"/>
              </w:rPr>
              <w:t xml:space="preserve"> Cohort Counts</w:t>
            </w:r>
          </w:p>
        </w:tc>
        <w:tc>
          <w:tcPr>
            <w:tcW w:w="0" w:type="dxa"/>
          </w:tcPr>
          <w:p w14:paraId="2DC24E74" w14:textId="5C50E350" w:rsidR="00B713EA" w:rsidRPr="00B713EA" w:rsidRDefault="00B713EA" w:rsidP="00B713EA">
            <w:pPr>
              <w:cnfStyle w:val="100000000000" w:firstRow="1" w:lastRow="0" w:firstColumn="0" w:lastColumn="0" w:oddVBand="0" w:evenVBand="0" w:oddHBand="0" w:evenHBand="0" w:firstRowFirstColumn="0" w:firstRowLastColumn="0" w:lastRowFirstColumn="0" w:lastRowLastColumn="0"/>
              <w:rPr>
                <w:rFonts w:cs="Arial"/>
              </w:rPr>
            </w:pPr>
            <w:r>
              <w:rPr>
                <w:rFonts w:cs="Arial"/>
              </w:rPr>
              <w:t>CTE Participants Single</w:t>
            </w:r>
            <w:r w:rsidR="00885C9F">
              <w:rPr>
                <w:rFonts w:cs="Arial"/>
              </w:rPr>
              <w:t xml:space="preserve"> Cohort Counts</w:t>
            </w:r>
          </w:p>
        </w:tc>
        <w:tc>
          <w:tcPr>
            <w:tcW w:w="0" w:type="dxa"/>
          </w:tcPr>
          <w:p w14:paraId="160374DE" w14:textId="7AE7E828" w:rsidR="00B713EA" w:rsidRPr="00B713EA" w:rsidRDefault="00B713EA" w:rsidP="00DC03B7">
            <w:pPr>
              <w:ind w:left="-60" w:right="-130"/>
              <w:cnfStyle w:val="100000000000" w:firstRow="1" w:lastRow="0" w:firstColumn="0" w:lastColumn="0" w:oddVBand="0" w:evenVBand="0" w:oddHBand="0" w:evenHBand="0" w:firstRowFirstColumn="0" w:firstRowLastColumn="0" w:lastRowFirstColumn="0" w:lastRowLastColumn="0"/>
              <w:rPr>
                <w:rFonts w:cs="Arial"/>
              </w:rPr>
            </w:pPr>
            <w:r w:rsidRPr="00B713EA">
              <w:rPr>
                <w:rFonts w:cs="Arial"/>
              </w:rPr>
              <w:t>Non CTE Participants</w:t>
            </w:r>
          </w:p>
          <w:p w14:paraId="22CF0462" w14:textId="6004D79B" w:rsidR="00B713EA" w:rsidRPr="00B713EA" w:rsidRDefault="00885C9F" w:rsidP="000B4474">
            <w:pPr>
              <w:ind w:left="-60" w:right="-130"/>
              <w:cnfStyle w:val="100000000000" w:firstRow="1" w:lastRow="0" w:firstColumn="0" w:lastColumn="0" w:oddVBand="0" w:evenVBand="0" w:oddHBand="0" w:evenHBand="0" w:firstRowFirstColumn="0" w:firstRowLastColumn="0" w:lastRowFirstColumn="0" w:lastRowLastColumn="0"/>
              <w:rPr>
                <w:rFonts w:cs="Arial"/>
              </w:rPr>
            </w:pPr>
            <w:r>
              <w:rPr>
                <w:rFonts w:cs="Arial"/>
              </w:rPr>
              <w:t>Cohort Counts</w:t>
            </w:r>
          </w:p>
        </w:tc>
        <w:tc>
          <w:tcPr>
            <w:tcW w:w="0" w:type="dxa"/>
          </w:tcPr>
          <w:p w14:paraId="412D0455" w14:textId="316B8F4A" w:rsidR="00B713EA" w:rsidRPr="00B713EA" w:rsidRDefault="00B713EA" w:rsidP="000B4474">
            <w:pPr>
              <w:ind w:left="-60" w:right="-130"/>
              <w:cnfStyle w:val="100000000000" w:firstRow="1" w:lastRow="0" w:firstColumn="0" w:lastColumn="0" w:oddVBand="0" w:evenVBand="0" w:oddHBand="0" w:evenHBand="0" w:firstRowFirstColumn="0" w:firstRowLastColumn="0" w:lastRowFirstColumn="0" w:lastRowLastColumn="0"/>
              <w:rPr>
                <w:rFonts w:cs="Arial"/>
              </w:rPr>
            </w:pPr>
            <w:r w:rsidRPr="00B713EA">
              <w:rPr>
                <w:rFonts w:cs="Arial"/>
              </w:rPr>
              <w:t>CTE Completers</w:t>
            </w:r>
            <w:r w:rsidR="00885C9F">
              <w:rPr>
                <w:rFonts w:cs="Arial"/>
              </w:rPr>
              <w:t xml:space="preserve"> Cohort Counts</w:t>
            </w:r>
          </w:p>
        </w:tc>
        <w:tc>
          <w:tcPr>
            <w:tcW w:w="0" w:type="dxa"/>
          </w:tcPr>
          <w:p w14:paraId="264B11BE" w14:textId="684A388A" w:rsidR="00B713EA" w:rsidRPr="00B713EA" w:rsidRDefault="00B713EA" w:rsidP="000B4474">
            <w:pPr>
              <w:ind w:left="-60" w:right="-130"/>
              <w:cnfStyle w:val="100000000000" w:firstRow="1" w:lastRow="0" w:firstColumn="0" w:lastColumn="0" w:oddVBand="0" w:evenVBand="0" w:oddHBand="0" w:evenHBand="0" w:firstRowFirstColumn="0" w:firstRowLastColumn="0" w:lastRowFirstColumn="0" w:lastRowLastColumn="0"/>
              <w:rPr>
                <w:rFonts w:cs="Arial"/>
              </w:rPr>
            </w:pPr>
            <w:r w:rsidRPr="00B713EA">
              <w:rPr>
                <w:rFonts w:cs="Arial"/>
              </w:rPr>
              <w:t>Non CTE Participants</w:t>
            </w:r>
            <w:r w:rsidR="00885C9F">
              <w:rPr>
                <w:rFonts w:cs="Arial"/>
              </w:rPr>
              <w:t xml:space="preserve"> </w:t>
            </w:r>
            <w:r w:rsidR="001E2D78">
              <w:rPr>
                <w:rFonts w:cs="Arial"/>
              </w:rPr>
              <w:t>Graduation</w:t>
            </w:r>
            <w:r w:rsidR="00885C9F">
              <w:rPr>
                <w:rFonts w:cs="Arial"/>
              </w:rPr>
              <w:t xml:space="preserve"> Rate</w:t>
            </w:r>
          </w:p>
        </w:tc>
        <w:tc>
          <w:tcPr>
            <w:tcW w:w="0" w:type="dxa"/>
          </w:tcPr>
          <w:p w14:paraId="211A4F41" w14:textId="2F4C6A9E" w:rsidR="00B713EA" w:rsidRPr="00B713EA" w:rsidRDefault="00B713EA" w:rsidP="000B4474">
            <w:pPr>
              <w:ind w:left="-60" w:right="-130"/>
              <w:cnfStyle w:val="100000000000" w:firstRow="1" w:lastRow="0" w:firstColumn="0" w:lastColumn="0" w:oddVBand="0" w:evenVBand="0" w:oddHBand="0" w:evenHBand="0" w:firstRowFirstColumn="0" w:firstRowLastColumn="0" w:lastRowFirstColumn="0" w:lastRowLastColumn="0"/>
              <w:rPr>
                <w:rFonts w:cs="Arial"/>
              </w:rPr>
            </w:pPr>
            <w:r w:rsidRPr="00B713EA">
              <w:rPr>
                <w:rFonts w:cs="Arial"/>
              </w:rPr>
              <w:t>CTE Participants Single</w:t>
            </w:r>
            <w:r w:rsidR="00885C9F">
              <w:rPr>
                <w:rFonts w:cs="Arial"/>
              </w:rPr>
              <w:t xml:space="preserve"> </w:t>
            </w:r>
            <w:r w:rsidR="001E2D78">
              <w:rPr>
                <w:rFonts w:cs="Arial"/>
              </w:rPr>
              <w:t>Graduation</w:t>
            </w:r>
            <w:r w:rsidR="00885C9F">
              <w:rPr>
                <w:rFonts w:cs="Arial"/>
              </w:rPr>
              <w:t xml:space="preserve"> Rate</w:t>
            </w:r>
          </w:p>
        </w:tc>
        <w:tc>
          <w:tcPr>
            <w:tcW w:w="0" w:type="dxa"/>
          </w:tcPr>
          <w:p w14:paraId="32E7C4C8" w14:textId="497C8520" w:rsidR="00B713EA" w:rsidRPr="00B713EA" w:rsidRDefault="00B713EA" w:rsidP="000B4474">
            <w:pPr>
              <w:ind w:left="-60" w:right="-130"/>
              <w:cnfStyle w:val="100000000000" w:firstRow="1" w:lastRow="0" w:firstColumn="0" w:lastColumn="0" w:oddVBand="0" w:evenVBand="0" w:oddHBand="0" w:evenHBand="0" w:firstRowFirstColumn="0" w:firstRowLastColumn="0" w:lastRowFirstColumn="0" w:lastRowLastColumn="0"/>
              <w:rPr>
                <w:rFonts w:cs="Arial"/>
              </w:rPr>
            </w:pPr>
            <w:r w:rsidRPr="00B713EA">
              <w:rPr>
                <w:rFonts w:cs="Arial"/>
              </w:rPr>
              <w:t>CTE Participants Dabblers</w:t>
            </w:r>
            <w:r w:rsidR="00885C9F">
              <w:rPr>
                <w:rFonts w:cs="Arial"/>
              </w:rPr>
              <w:t xml:space="preserve"> </w:t>
            </w:r>
            <w:r w:rsidR="001E2D78">
              <w:rPr>
                <w:rFonts w:cs="Arial"/>
              </w:rPr>
              <w:t>Graduation</w:t>
            </w:r>
            <w:r w:rsidR="00885C9F">
              <w:rPr>
                <w:rFonts w:cs="Arial"/>
              </w:rPr>
              <w:t xml:space="preserve"> Rate</w:t>
            </w:r>
          </w:p>
        </w:tc>
        <w:tc>
          <w:tcPr>
            <w:tcW w:w="0" w:type="dxa"/>
          </w:tcPr>
          <w:p w14:paraId="0601A44C" w14:textId="7E778CB7" w:rsidR="00B713EA" w:rsidRPr="00B713EA" w:rsidRDefault="00B713EA" w:rsidP="00DC03B7">
            <w:pPr>
              <w:ind w:left="-60" w:right="-130" w:firstLine="60"/>
              <w:cnfStyle w:val="100000000000" w:firstRow="1" w:lastRow="0" w:firstColumn="0" w:lastColumn="0" w:oddVBand="0" w:evenVBand="0" w:oddHBand="0" w:evenHBand="0" w:firstRowFirstColumn="0" w:firstRowLastColumn="0" w:lastRowFirstColumn="0" w:lastRowLastColumn="0"/>
              <w:rPr>
                <w:rFonts w:cs="Arial"/>
              </w:rPr>
            </w:pPr>
            <w:r w:rsidRPr="00B713EA">
              <w:rPr>
                <w:rFonts w:cs="Arial"/>
              </w:rPr>
              <w:t>CTE Completers</w:t>
            </w:r>
            <w:r w:rsidR="00885C9F">
              <w:rPr>
                <w:rFonts w:cs="Arial"/>
              </w:rPr>
              <w:t xml:space="preserve">  </w:t>
            </w:r>
            <w:r w:rsidR="001E2D78">
              <w:rPr>
                <w:rFonts w:cs="Arial"/>
              </w:rPr>
              <w:t xml:space="preserve">Graduation </w:t>
            </w:r>
            <w:r w:rsidR="00885C9F">
              <w:rPr>
                <w:rFonts w:cs="Arial"/>
              </w:rPr>
              <w:t>Rate</w:t>
            </w:r>
          </w:p>
        </w:tc>
      </w:tr>
      <w:tr w:rsidR="00393A47" w14:paraId="518257BA" w14:textId="77777777" w:rsidTr="008D3624">
        <w:trPr>
          <w:cnfStyle w:val="000000100000" w:firstRow="0" w:lastRow="0" w:firstColumn="0" w:lastColumn="0" w:oddVBand="0" w:evenVBand="0" w:oddHBand="1" w:evenHBand="0" w:firstRowFirstColumn="0" w:firstRowLastColumn="0" w:lastRowFirstColumn="0" w:lastRowLastColumn="0"/>
          <w:cantSplit/>
          <w:trHeight w:val="673"/>
        </w:trPr>
        <w:tc>
          <w:tcPr>
            <w:cnfStyle w:val="001000000000" w:firstRow="0" w:lastRow="0" w:firstColumn="1" w:lastColumn="0" w:oddVBand="0" w:evenVBand="0" w:oddHBand="0" w:evenHBand="0" w:firstRowFirstColumn="0" w:firstRowLastColumn="0" w:lastRowFirstColumn="0" w:lastRowLastColumn="0"/>
            <w:tcW w:w="1480" w:type="dxa"/>
            <w:shd w:val="clear" w:color="auto" w:fill="auto"/>
            <w:noWrap/>
            <w:hideMark/>
          </w:tcPr>
          <w:p w14:paraId="1CF86311" w14:textId="77777777" w:rsidR="00AC4BB7" w:rsidRPr="00DC03B7" w:rsidRDefault="00AC4BB7">
            <w:pPr>
              <w:rPr>
                <w:rFonts w:cs="Arial"/>
                <w:color w:val="000000"/>
              </w:rPr>
            </w:pPr>
            <w:r w:rsidRPr="00DC03B7">
              <w:rPr>
                <w:rFonts w:cs="Arial"/>
                <w:color w:val="000000"/>
              </w:rPr>
              <w:t>Native American/Alaska Native</w:t>
            </w:r>
          </w:p>
        </w:tc>
        <w:tc>
          <w:tcPr>
            <w:tcW w:w="2025" w:type="dxa"/>
            <w:shd w:val="clear" w:color="auto" w:fill="auto"/>
            <w:noWrap/>
            <w:hideMark/>
          </w:tcPr>
          <w:p w14:paraId="7FFD54FE"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852</w:t>
            </w:r>
          </w:p>
        </w:tc>
        <w:tc>
          <w:tcPr>
            <w:tcW w:w="1620" w:type="dxa"/>
            <w:shd w:val="clear" w:color="auto" w:fill="auto"/>
            <w:noWrap/>
            <w:hideMark/>
          </w:tcPr>
          <w:p w14:paraId="34B2A1F7"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552</w:t>
            </w:r>
          </w:p>
        </w:tc>
        <w:tc>
          <w:tcPr>
            <w:tcW w:w="1440" w:type="dxa"/>
            <w:shd w:val="clear" w:color="auto" w:fill="auto"/>
            <w:noWrap/>
            <w:hideMark/>
          </w:tcPr>
          <w:p w14:paraId="43FC46CA"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798</w:t>
            </w:r>
          </w:p>
        </w:tc>
        <w:tc>
          <w:tcPr>
            <w:tcW w:w="1350" w:type="dxa"/>
            <w:shd w:val="clear" w:color="auto" w:fill="auto"/>
            <w:noWrap/>
            <w:hideMark/>
          </w:tcPr>
          <w:p w14:paraId="403486DA"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378</w:t>
            </w:r>
          </w:p>
        </w:tc>
        <w:tc>
          <w:tcPr>
            <w:tcW w:w="1440" w:type="dxa"/>
            <w:shd w:val="clear" w:color="auto" w:fill="auto"/>
            <w:noWrap/>
            <w:hideMark/>
          </w:tcPr>
          <w:p w14:paraId="3A26405F" w14:textId="074EAC5B"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60.68</w:t>
            </w:r>
            <w:r w:rsidR="00885C9F">
              <w:rPr>
                <w:rFonts w:cs="Arial"/>
                <w:color w:val="000000"/>
              </w:rPr>
              <w:t>%</w:t>
            </w:r>
          </w:p>
        </w:tc>
        <w:tc>
          <w:tcPr>
            <w:tcW w:w="1530" w:type="dxa"/>
            <w:shd w:val="clear" w:color="auto" w:fill="auto"/>
            <w:noWrap/>
            <w:hideMark/>
          </w:tcPr>
          <w:p w14:paraId="68805AEB" w14:textId="23EA6F56"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79.35</w:t>
            </w:r>
            <w:r w:rsidR="00885C9F">
              <w:rPr>
                <w:rFonts w:cs="Arial"/>
                <w:color w:val="000000"/>
              </w:rPr>
              <w:t>%</w:t>
            </w:r>
          </w:p>
        </w:tc>
        <w:tc>
          <w:tcPr>
            <w:tcW w:w="1530" w:type="dxa"/>
            <w:shd w:val="clear" w:color="auto" w:fill="auto"/>
            <w:noWrap/>
            <w:hideMark/>
          </w:tcPr>
          <w:p w14:paraId="1F2CE47B" w14:textId="73BE02D1"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88.97</w:t>
            </w:r>
            <w:r w:rsidR="00885C9F">
              <w:rPr>
                <w:rFonts w:cs="Arial"/>
                <w:color w:val="000000"/>
              </w:rPr>
              <w:t>%</w:t>
            </w:r>
          </w:p>
        </w:tc>
        <w:tc>
          <w:tcPr>
            <w:tcW w:w="1530" w:type="dxa"/>
            <w:shd w:val="clear" w:color="auto" w:fill="auto"/>
            <w:noWrap/>
            <w:hideMark/>
          </w:tcPr>
          <w:p w14:paraId="184606DF" w14:textId="5B7F09B1"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97.09</w:t>
            </w:r>
            <w:r w:rsidR="00885C9F">
              <w:rPr>
                <w:rFonts w:cs="Arial"/>
                <w:color w:val="000000"/>
              </w:rPr>
              <w:t>%</w:t>
            </w:r>
          </w:p>
        </w:tc>
      </w:tr>
      <w:tr w:rsidR="000420E7" w14:paraId="2865A3F8" w14:textId="77777777" w:rsidTr="008D3624">
        <w:trPr>
          <w:cantSplit/>
          <w:trHeight w:val="737"/>
        </w:trPr>
        <w:tc>
          <w:tcPr>
            <w:cnfStyle w:val="001000000000" w:firstRow="0" w:lastRow="0" w:firstColumn="1" w:lastColumn="0" w:oddVBand="0" w:evenVBand="0" w:oddHBand="0" w:evenHBand="0" w:firstRowFirstColumn="0" w:firstRowLastColumn="0" w:lastRowFirstColumn="0" w:lastRowLastColumn="0"/>
            <w:tcW w:w="1480" w:type="dxa"/>
            <w:shd w:val="clear" w:color="auto" w:fill="auto"/>
            <w:noWrap/>
            <w:hideMark/>
          </w:tcPr>
          <w:p w14:paraId="106C55B0" w14:textId="77777777" w:rsidR="00AC4BB7" w:rsidRPr="00DC03B7" w:rsidRDefault="00AC4BB7">
            <w:pPr>
              <w:rPr>
                <w:rFonts w:cs="Arial"/>
                <w:color w:val="000000"/>
              </w:rPr>
            </w:pPr>
            <w:r w:rsidRPr="00DC03B7">
              <w:rPr>
                <w:rFonts w:cs="Arial"/>
                <w:color w:val="000000"/>
              </w:rPr>
              <w:t>Asian</w:t>
            </w:r>
          </w:p>
        </w:tc>
        <w:tc>
          <w:tcPr>
            <w:tcW w:w="2025" w:type="dxa"/>
            <w:shd w:val="clear" w:color="auto" w:fill="auto"/>
            <w:noWrap/>
            <w:hideMark/>
          </w:tcPr>
          <w:p w14:paraId="271FEF9F"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18,589</w:t>
            </w:r>
          </w:p>
        </w:tc>
        <w:tc>
          <w:tcPr>
            <w:tcW w:w="1620" w:type="dxa"/>
            <w:shd w:val="clear" w:color="auto" w:fill="auto"/>
            <w:noWrap/>
            <w:hideMark/>
          </w:tcPr>
          <w:p w14:paraId="0F386076"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14,337</w:t>
            </w:r>
          </w:p>
        </w:tc>
        <w:tc>
          <w:tcPr>
            <w:tcW w:w="1440" w:type="dxa"/>
            <w:shd w:val="clear" w:color="auto" w:fill="auto"/>
            <w:noWrap/>
            <w:hideMark/>
          </w:tcPr>
          <w:p w14:paraId="00D93D1A"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16,099</w:t>
            </w:r>
          </w:p>
        </w:tc>
        <w:tc>
          <w:tcPr>
            <w:tcW w:w="1350" w:type="dxa"/>
            <w:shd w:val="clear" w:color="auto" w:fill="auto"/>
            <w:noWrap/>
            <w:hideMark/>
          </w:tcPr>
          <w:p w14:paraId="2909C4B2"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11,662</w:t>
            </w:r>
          </w:p>
        </w:tc>
        <w:tc>
          <w:tcPr>
            <w:tcW w:w="1440" w:type="dxa"/>
            <w:shd w:val="clear" w:color="auto" w:fill="auto"/>
            <w:noWrap/>
            <w:hideMark/>
          </w:tcPr>
          <w:p w14:paraId="76CBA79F" w14:textId="33A3B3FA"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90.22</w:t>
            </w:r>
            <w:r w:rsidR="00885C9F">
              <w:rPr>
                <w:rFonts w:cs="Arial"/>
                <w:color w:val="000000"/>
              </w:rPr>
              <w:t>%</w:t>
            </w:r>
          </w:p>
        </w:tc>
        <w:tc>
          <w:tcPr>
            <w:tcW w:w="1530" w:type="dxa"/>
            <w:shd w:val="clear" w:color="auto" w:fill="auto"/>
            <w:noWrap/>
            <w:hideMark/>
          </w:tcPr>
          <w:p w14:paraId="7DEA64A0" w14:textId="2A3C4E25"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95.80</w:t>
            </w:r>
            <w:r w:rsidR="00885C9F">
              <w:rPr>
                <w:rFonts w:cs="Arial"/>
                <w:color w:val="000000"/>
              </w:rPr>
              <w:t>%</w:t>
            </w:r>
          </w:p>
        </w:tc>
        <w:tc>
          <w:tcPr>
            <w:tcW w:w="1530" w:type="dxa"/>
            <w:shd w:val="clear" w:color="auto" w:fill="auto"/>
            <w:noWrap/>
            <w:hideMark/>
          </w:tcPr>
          <w:p w14:paraId="242338E6" w14:textId="668EB07D"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97.54</w:t>
            </w:r>
            <w:r w:rsidR="00885C9F">
              <w:rPr>
                <w:rFonts w:cs="Arial"/>
                <w:color w:val="000000"/>
              </w:rPr>
              <w:t>%</w:t>
            </w:r>
          </w:p>
        </w:tc>
        <w:tc>
          <w:tcPr>
            <w:tcW w:w="1530" w:type="dxa"/>
            <w:shd w:val="clear" w:color="auto" w:fill="auto"/>
            <w:noWrap/>
            <w:hideMark/>
          </w:tcPr>
          <w:p w14:paraId="764AA33F" w14:textId="0B159D74"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99.43</w:t>
            </w:r>
            <w:r w:rsidR="00885C9F">
              <w:rPr>
                <w:rFonts w:cs="Arial"/>
                <w:color w:val="000000"/>
              </w:rPr>
              <w:t>%</w:t>
            </w:r>
          </w:p>
        </w:tc>
      </w:tr>
      <w:tr w:rsidR="00393A47" w14:paraId="3461FC3B" w14:textId="77777777" w:rsidTr="008D3624">
        <w:trPr>
          <w:cnfStyle w:val="000000100000" w:firstRow="0" w:lastRow="0" w:firstColumn="0" w:lastColumn="0" w:oddVBand="0" w:evenVBand="0" w:oddHBand="1" w:evenHBand="0" w:firstRowFirstColumn="0" w:firstRowLastColumn="0" w:lastRowFirstColumn="0" w:lastRowLastColumn="0"/>
          <w:cantSplit/>
          <w:trHeight w:val="710"/>
        </w:trPr>
        <w:tc>
          <w:tcPr>
            <w:cnfStyle w:val="001000000000" w:firstRow="0" w:lastRow="0" w:firstColumn="1" w:lastColumn="0" w:oddVBand="0" w:evenVBand="0" w:oddHBand="0" w:evenHBand="0" w:firstRowFirstColumn="0" w:firstRowLastColumn="0" w:lastRowFirstColumn="0" w:lastRowLastColumn="0"/>
            <w:tcW w:w="1480" w:type="dxa"/>
            <w:shd w:val="clear" w:color="auto" w:fill="auto"/>
            <w:noWrap/>
            <w:hideMark/>
          </w:tcPr>
          <w:p w14:paraId="5E503324" w14:textId="77777777" w:rsidR="00AC4BB7" w:rsidRPr="00DC03B7" w:rsidRDefault="00AC4BB7">
            <w:pPr>
              <w:rPr>
                <w:rFonts w:cs="Arial"/>
                <w:color w:val="000000"/>
              </w:rPr>
            </w:pPr>
            <w:r w:rsidRPr="00DC03B7">
              <w:rPr>
                <w:rFonts w:cs="Arial"/>
                <w:color w:val="000000"/>
              </w:rPr>
              <w:t>Black</w:t>
            </w:r>
          </w:p>
        </w:tc>
        <w:tc>
          <w:tcPr>
            <w:tcW w:w="2025" w:type="dxa"/>
            <w:shd w:val="clear" w:color="auto" w:fill="auto"/>
            <w:noWrap/>
            <w:hideMark/>
          </w:tcPr>
          <w:p w14:paraId="45C6C1F2"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9,817</w:t>
            </w:r>
          </w:p>
        </w:tc>
        <w:tc>
          <w:tcPr>
            <w:tcW w:w="1620" w:type="dxa"/>
            <w:shd w:val="clear" w:color="auto" w:fill="auto"/>
            <w:noWrap/>
            <w:hideMark/>
          </w:tcPr>
          <w:p w14:paraId="750B40E5"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6,129</w:t>
            </w:r>
          </w:p>
        </w:tc>
        <w:tc>
          <w:tcPr>
            <w:tcW w:w="1440" w:type="dxa"/>
            <w:shd w:val="clear" w:color="auto" w:fill="auto"/>
            <w:noWrap/>
            <w:hideMark/>
          </w:tcPr>
          <w:p w14:paraId="4BC5852E"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7,427</w:t>
            </w:r>
          </w:p>
        </w:tc>
        <w:tc>
          <w:tcPr>
            <w:tcW w:w="1350" w:type="dxa"/>
            <w:shd w:val="clear" w:color="auto" w:fill="auto"/>
            <w:noWrap/>
            <w:hideMark/>
          </w:tcPr>
          <w:p w14:paraId="73931671"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3,450</w:t>
            </w:r>
          </w:p>
        </w:tc>
        <w:tc>
          <w:tcPr>
            <w:tcW w:w="1440" w:type="dxa"/>
            <w:shd w:val="clear" w:color="auto" w:fill="auto"/>
            <w:noWrap/>
            <w:hideMark/>
          </w:tcPr>
          <w:p w14:paraId="6CD0D9FE" w14:textId="57463026"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60.96</w:t>
            </w:r>
            <w:r w:rsidR="00885C9F">
              <w:rPr>
                <w:rFonts w:cs="Arial"/>
                <w:color w:val="000000"/>
              </w:rPr>
              <w:t>%</w:t>
            </w:r>
          </w:p>
        </w:tc>
        <w:tc>
          <w:tcPr>
            <w:tcW w:w="1530" w:type="dxa"/>
            <w:shd w:val="clear" w:color="auto" w:fill="auto"/>
            <w:noWrap/>
            <w:hideMark/>
          </w:tcPr>
          <w:p w14:paraId="2347E9AC" w14:textId="3AB206CF"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80.54</w:t>
            </w:r>
            <w:r w:rsidR="00885C9F">
              <w:rPr>
                <w:rFonts w:cs="Arial"/>
                <w:color w:val="000000"/>
              </w:rPr>
              <w:t>%</w:t>
            </w:r>
          </w:p>
        </w:tc>
        <w:tc>
          <w:tcPr>
            <w:tcW w:w="1530" w:type="dxa"/>
            <w:shd w:val="clear" w:color="auto" w:fill="auto"/>
            <w:noWrap/>
            <w:hideMark/>
          </w:tcPr>
          <w:p w14:paraId="18DC43D4" w14:textId="5ABC0758"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91.23</w:t>
            </w:r>
            <w:r w:rsidR="00885C9F">
              <w:rPr>
                <w:rFonts w:cs="Arial"/>
                <w:color w:val="000000"/>
              </w:rPr>
              <w:t>%</w:t>
            </w:r>
          </w:p>
        </w:tc>
        <w:tc>
          <w:tcPr>
            <w:tcW w:w="1530" w:type="dxa"/>
            <w:shd w:val="clear" w:color="auto" w:fill="auto"/>
            <w:noWrap/>
            <w:hideMark/>
          </w:tcPr>
          <w:p w14:paraId="5522D569" w14:textId="7A729421"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97.77</w:t>
            </w:r>
            <w:r w:rsidR="00885C9F">
              <w:rPr>
                <w:rFonts w:cs="Arial"/>
                <w:color w:val="000000"/>
              </w:rPr>
              <w:t>%</w:t>
            </w:r>
          </w:p>
        </w:tc>
      </w:tr>
      <w:tr w:rsidR="000420E7" w14:paraId="5B3972D4" w14:textId="77777777" w:rsidTr="008D3624">
        <w:trPr>
          <w:cantSplit/>
          <w:trHeight w:val="720"/>
        </w:trPr>
        <w:tc>
          <w:tcPr>
            <w:cnfStyle w:val="001000000000" w:firstRow="0" w:lastRow="0" w:firstColumn="1" w:lastColumn="0" w:oddVBand="0" w:evenVBand="0" w:oddHBand="0" w:evenHBand="0" w:firstRowFirstColumn="0" w:firstRowLastColumn="0" w:lastRowFirstColumn="0" w:lastRowLastColumn="0"/>
            <w:tcW w:w="1480" w:type="dxa"/>
            <w:shd w:val="clear" w:color="auto" w:fill="auto"/>
            <w:noWrap/>
            <w:hideMark/>
          </w:tcPr>
          <w:p w14:paraId="2E162A2B" w14:textId="77777777" w:rsidR="00AC4BB7" w:rsidRPr="00DC03B7" w:rsidRDefault="00AC4BB7">
            <w:pPr>
              <w:rPr>
                <w:rFonts w:cs="Arial"/>
                <w:color w:val="000000"/>
              </w:rPr>
            </w:pPr>
            <w:r w:rsidRPr="00DC03B7">
              <w:rPr>
                <w:rFonts w:cs="Arial"/>
                <w:color w:val="000000"/>
              </w:rPr>
              <w:t>Hispanic</w:t>
            </w:r>
          </w:p>
        </w:tc>
        <w:tc>
          <w:tcPr>
            <w:tcW w:w="2025" w:type="dxa"/>
            <w:shd w:val="clear" w:color="auto" w:fill="auto"/>
            <w:noWrap/>
            <w:hideMark/>
          </w:tcPr>
          <w:p w14:paraId="235C7915"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86,690</w:t>
            </w:r>
          </w:p>
        </w:tc>
        <w:tc>
          <w:tcPr>
            <w:tcW w:w="1620" w:type="dxa"/>
            <w:shd w:val="clear" w:color="auto" w:fill="auto"/>
            <w:noWrap/>
            <w:hideMark/>
          </w:tcPr>
          <w:p w14:paraId="2D9DDCB8"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58,751</w:t>
            </w:r>
          </w:p>
        </w:tc>
        <w:tc>
          <w:tcPr>
            <w:tcW w:w="1440" w:type="dxa"/>
            <w:shd w:val="clear" w:color="auto" w:fill="auto"/>
            <w:noWrap/>
            <w:hideMark/>
          </w:tcPr>
          <w:p w14:paraId="1C293A44"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80,095</w:t>
            </w:r>
          </w:p>
        </w:tc>
        <w:tc>
          <w:tcPr>
            <w:tcW w:w="1350" w:type="dxa"/>
            <w:shd w:val="clear" w:color="auto" w:fill="auto"/>
            <w:noWrap/>
            <w:hideMark/>
          </w:tcPr>
          <w:p w14:paraId="74ACF7C0"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48,438</w:t>
            </w:r>
          </w:p>
        </w:tc>
        <w:tc>
          <w:tcPr>
            <w:tcW w:w="1440" w:type="dxa"/>
            <w:shd w:val="clear" w:color="auto" w:fill="auto"/>
            <w:noWrap/>
            <w:hideMark/>
          </w:tcPr>
          <w:p w14:paraId="2AA971AB" w14:textId="18A9BC0A"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70.56</w:t>
            </w:r>
            <w:r w:rsidR="00885C9F">
              <w:rPr>
                <w:rFonts w:cs="Arial"/>
                <w:color w:val="000000"/>
              </w:rPr>
              <w:t>%</w:t>
            </w:r>
          </w:p>
        </w:tc>
        <w:tc>
          <w:tcPr>
            <w:tcW w:w="1530" w:type="dxa"/>
            <w:shd w:val="clear" w:color="auto" w:fill="auto"/>
            <w:noWrap/>
            <w:hideMark/>
          </w:tcPr>
          <w:p w14:paraId="417A7CC5" w14:textId="429F7D76"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83.87</w:t>
            </w:r>
            <w:r w:rsidR="00885C9F">
              <w:rPr>
                <w:rFonts w:cs="Arial"/>
                <w:color w:val="000000"/>
              </w:rPr>
              <w:t>%</w:t>
            </w:r>
          </w:p>
        </w:tc>
        <w:tc>
          <w:tcPr>
            <w:tcW w:w="1530" w:type="dxa"/>
            <w:shd w:val="clear" w:color="auto" w:fill="auto"/>
            <w:noWrap/>
            <w:hideMark/>
          </w:tcPr>
          <w:p w14:paraId="13116EA1" w14:textId="7B9CE9B0"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92.29</w:t>
            </w:r>
            <w:r w:rsidR="00885C9F">
              <w:rPr>
                <w:rFonts w:cs="Arial"/>
                <w:color w:val="000000"/>
              </w:rPr>
              <w:t>%</w:t>
            </w:r>
          </w:p>
        </w:tc>
        <w:tc>
          <w:tcPr>
            <w:tcW w:w="1530" w:type="dxa"/>
            <w:shd w:val="clear" w:color="auto" w:fill="auto"/>
            <w:noWrap/>
            <w:hideMark/>
          </w:tcPr>
          <w:p w14:paraId="1ECDE0E5" w14:textId="4DBDEC43"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98.44</w:t>
            </w:r>
            <w:r w:rsidR="00885C9F">
              <w:rPr>
                <w:rFonts w:cs="Arial"/>
                <w:color w:val="000000"/>
              </w:rPr>
              <w:t>%</w:t>
            </w:r>
          </w:p>
        </w:tc>
      </w:tr>
      <w:tr w:rsidR="00393A47" w14:paraId="352C9C36" w14:textId="77777777" w:rsidTr="008D3624">
        <w:trPr>
          <w:cnfStyle w:val="000000100000" w:firstRow="0" w:lastRow="0" w:firstColumn="0" w:lastColumn="0" w:oddVBand="0" w:evenVBand="0" w:oddHBand="1" w:evenHBand="0" w:firstRowFirstColumn="0" w:firstRowLastColumn="0" w:lastRowFirstColumn="0" w:lastRowLastColumn="0"/>
          <w:cantSplit/>
          <w:trHeight w:val="791"/>
        </w:trPr>
        <w:tc>
          <w:tcPr>
            <w:cnfStyle w:val="001000000000" w:firstRow="0" w:lastRow="0" w:firstColumn="1" w:lastColumn="0" w:oddVBand="0" w:evenVBand="0" w:oddHBand="0" w:evenHBand="0" w:firstRowFirstColumn="0" w:firstRowLastColumn="0" w:lastRowFirstColumn="0" w:lastRowLastColumn="0"/>
            <w:tcW w:w="1480" w:type="dxa"/>
            <w:shd w:val="clear" w:color="auto" w:fill="auto"/>
            <w:noWrap/>
            <w:hideMark/>
          </w:tcPr>
          <w:p w14:paraId="45F70D5A" w14:textId="77777777" w:rsidR="00AC4BB7" w:rsidRPr="00DC03B7" w:rsidRDefault="00AC4BB7">
            <w:pPr>
              <w:rPr>
                <w:rFonts w:cs="Arial"/>
                <w:color w:val="000000"/>
              </w:rPr>
            </w:pPr>
            <w:r w:rsidRPr="00DC03B7">
              <w:rPr>
                <w:rFonts w:cs="Arial"/>
                <w:color w:val="000000"/>
              </w:rPr>
              <w:t>Pacific Islander</w:t>
            </w:r>
          </w:p>
        </w:tc>
        <w:tc>
          <w:tcPr>
            <w:tcW w:w="2025" w:type="dxa"/>
            <w:shd w:val="clear" w:color="auto" w:fill="auto"/>
            <w:noWrap/>
            <w:hideMark/>
          </w:tcPr>
          <w:p w14:paraId="31C80379"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786</w:t>
            </w:r>
          </w:p>
        </w:tc>
        <w:tc>
          <w:tcPr>
            <w:tcW w:w="1620" w:type="dxa"/>
            <w:shd w:val="clear" w:color="auto" w:fill="auto"/>
            <w:noWrap/>
            <w:hideMark/>
          </w:tcPr>
          <w:p w14:paraId="613A0143"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581</w:t>
            </w:r>
          </w:p>
        </w:tc>
        <w:tc>
          <w:tcPr>
            <w:tcW w:w="1440" w:type="dxa"/>
            <w:shd w:val="clear" w:color="auto" w:fill="auto"/>
            <w:noWrap/>
            <w:hideMark/>
          </w:tcPr>
          <w:p w14:paraId="094F4C0C"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655</w:t>
            </w:r>
          </w:p>
        </w:tc>
        <w:tc>
          <w:tcPr>
            <w:tcW w:w="1350" w:type="dxa"/>
            <w:shd w:val="clear" w:color="auto" w:fill="auto"/>
            <w:noWrap/>
            <w:hideMark/>
          </w:tcPr>
          <w:p w14:paraId="422520A1"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369</w:t>
            </w:r>
          </w:p>
        </w:tc>
        <w:tc>
          <w:tcPr>
            <w:tcW w:w="1440" w:type="dxa"/>
            <w:shd w:val="clear" w:color="auto" w:fill="auto"/>
            <w:noWrap/>
            <w:hideMark/>
          </w:tcPr>
          <w:p w14:paraId="2561AA24" w14:textId="0A1DB2C4"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70.61</w:t>
            </w:r>
            <w:r w:rsidR="00885C9F">
              <w:rPr>
                <w:rFonts w:cs="Arial"/>
                <w:color w:val="000000"/>
              </w:rPr>
              <w:t>%</w:t>
            </w:r>
          </w:p>
        </w:tc>
        <w:tc>
          <w:tcPr>
            <w:tcW w:w="1530" w:type="dxa"/>
            <w:shd w:val="clear" w:color="auto" w:fill="auto"/>
            <w:noWrap/>
            <w:hideMark/>
          </w:tcPr>
          <w:p w14:paraId="2EC8DEE7" w14:textId="305FB650"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87.44</w:t>
            </w:r>
            <w:r w:rsidR="00885C9F">
              <w:rPr>
                <w:rFonts w:cs="Arial"/>
                <w:color w:val="000000"/>
              </w:rPr>
              <w:t>%</w:t>
            </w:r>
          </w:p>
        </w:tc>
        <w:tc>
          <w:tcPr>
            <w:tcW w:w="1530" w:type="dxa"/>
            <w:shd w:val="clear" w:color="auto" w:fill="auto"/>
            <w:noWrap/>
            <w:hideMark/>
          </w:tcPr>
          <w:p w14:paraId="6B1C03C1" w14:textId="62E1DBE0"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91.91</w:t>
            </w:r>
            <w:r w:rsidR="00885C9F">
              <w:rPr>
                <w:rFonts w:cs="Arial"/>
                <w:color w:val="000000"/>
              </w:rPr>
              <w:t>%</w:t>
            </w:r>
          </w:p>
        </w:tc>
        <w:tc>
          <w:tcPr>
            <w:tcW w:w="1530" w:type="dxa"/>
            <w:shd w:val="clear" w:color="auto" w:fill="auto"/>
            <w:noWrap/>
            <w:hideMark/>
          </w:tcPr>
          <w:p w14:paraId="2CC8FA07" w14:textId="0DBCFECA"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98.37</w:t>
            </w:r>
            <w:r w:rsidR="00885C9F">
              <w:rPr>
                <w:rFonts w:cs="Arial"/>
                <w:color w:val="000000"/>
              </w:rPr>
              <w:t>%</w:t>
            </w:r>
          </w:p>
        </w:tc>
      </w:tr>
      <w:tr w:rsidR="000420E7" w14:paraId="13C536BA" w14:textId="77777777" w:rsidTr="008D3624">
        <w:trPr>
          <w:cantSplit/>
          <w:trHeight w:val="710"/>
        </w:trPr>
        <w:tc>
          <w:tcPr>
            <w:cnfStyle w:val="001000000000" w:firstRow="0" w:lastRow="0" w:firstColumn="1" w:lastColumn="0" w:oddVBand="0" w:evenVBand="0" w:oddHBand="0" w:evenHBand="0" w:firstRowFirstColumn="0" w:firstRowLastColumn="0" w:lastRowFirstColumn="0" w:lastRowLastColumn="0"/>
            <w:tcW w:w="1480" w:type="dxa"/>
            <w:shd w:val="clear" w:color="auto" w:fill="auto"/>
            <w:noWrap/>
            <w:hideMark/>
          </w:tcPr>
          <w:p w14:paraId="0B7189E7" w14:textId="77777777" w:rsidR="00AC4BB7" w:rsidRPr="00DC03B7" w:rsidRDefault="00AC4BB7">
            <w:pPr>
              <w:rPr>
                <w:rFonts w:cs="Arial"/>
                <w:color w:val="000000"/>
              </w:rPr>
            </w:pPr>
            <w:r w:rsidRPr="00DC03B7">
              <w:rPr>
                <w:rFonts w:cs="Arial"/>
                <w:color w:val="000000"/>
              </w:rPr>
              <w:t>White</w:t>
            </w:r>
          </w:p>
        </w:tc>
        <w:tc>
          <w:tcPr>
            <w:tcW w:w="2025" w:type="dxa"/>
            <w:shd w:val="clear" w:color="auto" w:fill="auto"/>
            <w:noWrap/>
            <w:hideMark/>
          </w:tcPr>
          <w:p w14:paraId="1DC424EF"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32,602</w:t>
            </w:r>
          </w:p>
        </w:tc>
        <w:tc>
          <w:tcPr>
            <w:tcW w:w="1620" w:type="dxa"/>
            <w:shd w:val="clear" w:color="auto" w:fill="auto"/>
            <w:noWrap/>
            <w:hideMark/>
          </w:tcPr>
          <w:p w14:paraId="08C99947"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24,752</w:t>
            </w:r>
          </w:p>
        </w:tc>
        <w:tc>
          <w:tcPr>
            <w:tcW w:w="1440" w:type="dxa"/>
            <w:shd w:val="clear" w:color="auto" w:fill="auto"/>
            <w:noWrap/>
            <w:hideMark/>
          </w:tcPr>
          <w:p w14:paraId="3909F1F7"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33,174</w:t>
            </w:r>
          </w:p>
        </w:tc>
        <w:tc>
          <w:tcPr>
            <w:tcW w:w="1350" w:type="dxa"/>
            <w:shd w:val="clear" w:color="auto" w:fill="auto"/>
            <w:noWrap/>
            <w:hideMark/>
          </w:tcPr>
          <w:p w14:paraId="4D945AE9"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20,538</w:t>
            </w:r>
          </w:p>
        </w:tc>
        <w:tc>
          <w:tcPr>
            <w:tcW w:w="1440" w:type="dxa"/>
            <w:shd w:val="clear" w:color="auto" w:fill="auto"/>
            <w:noWrap/>
            <w:hideMark/>
          </w:tcPr>
          <w:p w14:paraId="4F706FBD" w14:textId="56DD330B"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81.46</w:t>
            </w:r>
            <w:r w:rsidR="00885C9F">
              <w:rPr>
                <w:rFonts w:cs="Arial"/>
                <w:color w:val="000000"/>
              </w:rPr>
              <w:t>%</w:t>
            </w:r>
          </w:p>
        </w:tc>
        <w:tc>
          <w:tcPr>
            <w:tcW w:w="1530" w:type="dxa"/>
            <w:shd w:val="clear" w:color="auto" w:fill="auto"/>
            <w:noWrap/>
            <w:hideMark/>
          </w:tcPr>
          <w:p w14:paraId="277B905C" w14:textId="7EFC081B"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90.51</w:t>
            </w:r>
            <w:r w:rsidR="00885C9F">
              <w:rPr>
                <w:rFonts w:cs="Arial"/>
                <w:color w:val="000000"/>
              </w:rPr>
              <w:t>%</w:t>
            </w:r>
          </w:p>
        </w:tc>
        <w:tc>
          <w:tcPr>
            <w:tcW w:w="1530" w:type="dxa"/>
            <w:shd w:val="clear" w:color="auto" w:fill="auto"/>
            <w:noWrap/>
            <w:hideMark/>
          </w:tcPr>
          <w:p w14:paraId="4A5DE613" w14:textId="25CFEF38"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94.71</w:t>
            </w:r>
            <w:r w:rsidR="00885C9F">
              <w:rPr>
                <w:rFonts w:cs="Arial"/>
                <w:color w:val="000000"/>
              </w:rPr>
              <w:t>%</w:t>
            </w:r>
          </w:p>
        </w:tc>
        <w:tc>
          <w:tcPr>
            <w:tcW w:w="1530" w:type="dxa"/>
            <w:shd w:val="clear" w:color="auto" w:fill="auto"/>
            <w:noWrap/>
            <w:hideMark/>
          </w:tcPr>
          <w:p w14:paraId="0F5039C7" w14:textId="3518F11D"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98.75</w:t>
            </w:r>
            <w:r w:rsidR="00885C9F">
              <w:rPr>
                <w:rFonts w:cs="Arial"/>
                <w:color w:val="000000"/>
              </w:rPr>
              <w:t>%</w:t>
            </w:r>
          </w:p>
        </w:tc>
      </w:tr>
      <w:tr w:rsidR="00393A47" w14:paraId="22777E41" w14:textId="77777777" w:rsidTr="008D3624">
        <w:trPr>
          <w:cnfStyle w:val="000000100000" w:firstRow="0" w:lastRow="0" w:firstColumn="0" w:lastColumn="0" w:oddVBand="0" w:evenVBand="0" w:oddHBand="1" w:evenHBand="0" w:firstRowFirstColumn="0" w:firstRowLastColumn="0" w:lastRowFirstColumn="0" w:lastRowLastColumn="0"/>
          <w:cantSplit/>
          <w:trHeight w:val="800"/>
        </w:trPr>
        <w:tc>
          <w:tcPr>
            <w:cnfStyle w:val="001000000000" w:firstRow="0" w:lastRow="0" w:firstColumn="1" w:lastColumn="0" w:oddVBand="0" w:evenVBand="0" w:oddHBand="0" w:evenHBand="0" w:firstRowFirstColumn="0" w:firstRowLastColumn="0" w:lastRowFirstColumn="0" w:lastRowLastColumn="0"/>
            <w:tcW w:w="1480" w:type="dxa"/>
            <w:shd w:val="clear" w:color="auto" w:fill="auto"/>
            <w:noWrap/>
            <w:hideMark/>
          </w:tcPr>
          <w:p w14:paraId="0FD1303A" w14:textId="77777777" w:rsidR="00AC4BB7" w:rsidRPr="00DC03B7" w:rsidRDefault="00AC4BB7">
            <w:pPr>
              <w:rPr>
                <w:rFonts w:cs="Arial"/>
                <w:color w:val="000000"/>
              </w:rPr>
            </w:pPr>
            <w:r w:rsidRPr="00DC03B7">
              <w:rPr>
                <w:rFonts w:cs="Arial"/>
                <w:color w:val="000000"/>
              </w:rPr>
              <w:t>Two or More Races</w:t>
            </w:r>
          </w:p>
        </w:tc>
        <w:tc>
          <w:tcPr>
            <w:tcW w:w="2025" w:type="dxa"/>
            <w:shd w:val="clear" w:color="auto" w:fill="auto"/>
            <w:noWrap/>
            <w:hideMark/>
          </w:tcPr>
          <w:p w14:paraId="6733CC74"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6,973</w:t>
            </w:r>
          </w:p>
        </w:tc>
        <w:tc>
          <w:tcPr>
            <w:tcW w:w="1620" w:type="dxa"/>
            <w:shd w:val="clear" w:color="auto" w:fill="auto"/>
            <w:noWrap/>
            <w:hideMark/>
          </w:tcPr>
          <w:p w14:paraId="49375E80"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4,739</w:t>
            </w:r>
          </w:p>
        </w:tc>
        <w:tc>
          <w:tcPr>
            <w:tcW w:w="1440" w:type="dxa"/>
            <w:shd w:val="clear" w:color="auto" w:fill="auto"/>
            <w:noWrap/>
            <w:hideMark/>
          </w:tcPr>
          <w:p w14:paraId="6C311E9A"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5,666</w:t>
            </w:r>
          </w:p>
        </w:tc>
        <w:tc>
          <w:tcPr>
            <w:tcW w:w="1350" w:type="dxa"/>
            <w:shd w:val="clear" w:color="auto" w:fill="auto"/>
            <w:noWrap/>
            <w:hideMark/>
          </w:tcPr>
          <w:p w14:paraId="336FEC70"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3,046</w:t>
            </w:r>
          </w:p>
        </w:tc>
        <w:tc>
          <w:tcPr>
            <w:tcW w:w="1440" w:type="dxa"/>
            <w:shd w:val="clear" w:color="auto" w:fill="auto"/>
            <w:noWrap/>
            <w:hideMark/>
          </w:tcPr>
          <w:p w14:paraId="67CE4D24" w14:textId="18E6C11A"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75.69</w:t>
            </w:r>
            <w:r w:rsidR="00885C9F">
              <w:rPr>
                <w:rFonts w:cs="Arial"/>
                <w:color w:val="000000"/>
              </w:rPr>
              <w:t>%</w:t>
            </w:r>
          </w:p>
        </w:tc>
        <w:tc>
          <w:tcPr>
            <w:tcW w:w="1530" w:type="dxa"/>
            <w:shd w:val="clear" w:color="auto" w:fill="auto"/>
            <w:noWrap/>
            <w:hideMark/>
          </w:tcPr>
          <w:p w14:paraId="707250B7" w14:textId="678AB492"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87.95</w:t>
            </w:r>
            <w:r w:rsidR="00885C9F">
              <w:rPr>
                <w:rFonts w:cs="Arial"/>
                <w:color w:val="000000"/>
              </w:rPr>
              <w:t>%</w:t>
            </w:r>
          </w:p>
        </w:tc>
        <w:tc>
          <w:tcPr>
            <w:tcW w:w="1530" w:type="dxa"/>
            <w:shd w:val="clear" w:color="auto" w:fill="auto"/>
            <w:noWrap/>
            <w:hideMark/>
          </w:tcPr>
          <w:p w14:paraId="6C8F793C" w14:textId="4F3E32BC"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93.03</w:t>
            </w:r>
            <w:r w:rsidR="00885C9F">
              <w:rPr>
                <w:rFonts w:cs="Arial"/>
                <w:color w:val="000000"/>
              </w:rPr>
              <w:t>%</w:t>
            </w:r>
          </w:p>
        </w:tc>
        <w:tc>
          <w:tcPr>
            <w:tcW w:w="1530" w:type="dxa"/>
            <w:shd w:val="clear" w:color="auto" w:fill="auto"/>
            <w:noWrap/>
            <w:hideMark/>
          </w:tcPr>
          <w:p w14:paraId="572ADD45" w14:textId="202D2D24"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98.65</w:t>
            </w:r>
            <w:r w:rsidR="00885C9F">
              <w:rPr>
                <w:rFonts w:cs="Arial"/>
                <w:color w:val="000000"/>
              </w:rPr>
              <w:t>%</w:t>
            </w:r>
          </w:p>
        </w:tc>
      </w:tr>
    </w:tbl>
    <w:p w14:paraId="57ECBA85" w14:textId="77777777" w:rsidR="00077DD2" w:rsidRPr="00C3382B" w:rsidRDefault="00077DD2" w:rsidP="00077DD2">
      <w:pPr>
        <w:rPr>
          <w:rFonts w:eastAsiaTheme="minorHAnsi" w:cs="Arial"/>
        </w:rPr>
        <w:sectPr w:rsidR="00077DD2" w:rsidRPr="00C3382B" w:rsidSect="00A0487A">
          <w:pgSz w:w="15840" w:h="12240" w:orient="landscape"/>
          <w:pgMar w:top="1440" w:right="1440" w:bottom="1440" w:left="1440" w:header="720" w:footer="720" w:gutter="0"/>
          <w:cols w:space="720"/>
          <w:docGrid w:linePitch="360"/>
        </w:sectPr>
      </w:pPr>
    </w:p>
    <w:p w14:paraId="6053A68E" w14:textId="47CF9B2F" w:rsidR="00E8383C" w:rsidRPr="005147E0" w:rsidRDefault="008D5AD6" w:rsidP="005147E0">
      <w:pPr>
        <w:pStyle w:val="Heading2"/>
        <w:rPr>
          <w:rFonts w:eastAsia="Calibri"/>
        </w:rPr>
      </w:pPr>
      <w:bookmarkStart w:id="47" w:name="_Toc158883518"/>
      <w:r w:rsidRPr="00EE1A0F">
        <w:rPr>
          <w:rFonts w:eastAsia="Calibri"/>
        </w:rPr>
        <w:lastRenderedPageBreak/>
        <w:t>Appendix E: 2021</w:t>
      </w:r>
      <w:r w:rsidR="00122BFE" w:rsidRPr="00EE1A0F">
        <w:rPr>
          <w:rFonts w:eastAsia="Calibri"/>
        </w:rPr>
        <w:t>–</w:t>
      </w:r>
      <w:r w:rsidRPr="00EE1A0F">
        <w:rPr>
          <w:rFonts w:eastAsia="Calibri"/>
        </w:rPr>
        <w:t>22 A</w:t>
      </w:r>
      <w:r w:rsidR="004025DB">
        <w:rPr>
          <w:rFonts w:eastAsia="Calibri"/>
        </w:rPr>
        <w:t xml:space="preserve">cademic </w:t>
      </w:r>
      <w:r w:rsidRPr="00EE1A0F">
        <w:rPr>
          <w:rFonts w:eastAsia="Calibri"/>
        </w:rPr>
        <w:t>Y</w:t>
      </w:r>
      <w:r w:rsidR="004025DB">
        <w:rPr>
          <w:rFonts w:eastAsia="Calibri"/>
        </w:rPr>
        <w:t>ear (AY)</w:t>
      </w:r>
      <w:r w:rsidRPr="00EE1A0F">
        <w:rPr>
          <w:rFonts w:eastAsia="Calibri"/>
        </w:rPr>
        <w:t xml:space="preserve"> C</w:t>
      </w:r>
      <w:r w:rsidR="004025DB">
        <w:rPr>
          <w:rFonts w:eastAsia="Calibri"/>
        </w:rPr>
        <w:t xml:space="preserve">areer </w:t>
      </w:r>
      <w:r w:rsidRPr="00EE1A0F">
        <w:rPr>
          <w:rFonts w:eastAsia="Calibri"/>
        </w:rPr>
        <w:t>T</w:t>
      </w:r>
      <w:r w:rsidR="004025DB">
        <w:rPr>
          <w:rFonts w:eastAsia="Calibri"/>
        </w:rPr>
        <w:t xml:space="preserve">echnical </w:t>
      </w:r>
      <w:r w:rsidRPr="00EE1A0F">
        <w:rPr>
          <w:rFonts w:eastAsia="Calibri"/>
        </w:rPr>
        <w:t>E</w:t>
      </w:r>
      <w:r w:rsidR="004025DB">
        <w:rPr>
          <w:rFonts w:eastAsia="Calibri"/>
        </w:rPr>
        <w:t xml:space="preserve">ducation </w:t>
      </w:r>
      <w:r w:rsidRPr="00EE1A0F">
        <w:rPr>
          <w:rFonts w:eastAsia="Calibri"/>
        </w:rPr>
        <w:t>I</w:t>
      </w:r>
      <w:r w:rsidR="004025DB">
        <w:rPr>
          <w:rFonts w:eastAsia="Calibri"/>
        </w:rPr>
        <w:t xml:space="preserve">ncentive </w:t>
      </w:r>
      <w:r w:rsidRPr="00EE1A0F">
        <w:rPr>
          <w:rFonts w:eastAsia="Calibri"/>
        </w:rPr>
        <w:t>G</w:t>
      </w:r>
      <w:r w:rsidR="004025DB">
        <w:rPr>
          <w:rFonts w:eastAsia="Calibri"/>
        </w:rPr>
        <w:t>rant (CTEIG)</w:t>
      </w:r>
      <w:r w:rsidRPr="00EE1A0F">
        <w:rPr>
          <w:rFonts w:eastAsia="Calibri"/>
        </w:rPr>
        <w:t xml:space="preserve"> Graduation Rates by Race</w:t>
      </w:r>
      <w:bookmarkStart w:id="48" w:name="_Hlk156489129"/>
      <w:r w:rsidR="005147E0">
        <w:rPr>
          <w:rFonts w:eastAsia="Calibri"/>
        </w:rPr>
        <w:br/>
      </w:r>
      <w:r w:rsidR="00122BFE" w:rsidRPr="00EE1A0F">
        <w:rPr>
          <w:rFonts w:eastAsia="Calibri"/>
        </w:rPr>
        <w:t xml:space="preserve">2021–22 </w:t>
      </w:r>
      <w:r w:rsidR="00A408A6" w:rsidRPr="00EE1A0F">
        <w:rPr>
          <w:rFonts w:eastAsia="Calibri"/>
        </w:rPr>
        <w:t xml:space="preserve">AY </w:t>
      </w:r>
      <w:r w:rsidR="00122BFE" w:rsidRPr="00EE1A0F">
        <w:rPr>
          <w:rFonts w:eastAsia="Calibri"/>
        </w:rPr>
        <w:t>Graduation Rates among CTEIG L</w:t>
      </w:r>
      <w:r w:rsidR="004025DB">
        <w:rPr>
          <w:rFonts w:eastAsia="Calibri"/>
        </w:rPr>
        <w:t xml:space="preserve">ocal </w:t>
      </w:r>
      <w:r w:rsidR="00122BFE" w:rsidRPr="00EE1A0F">
        <w:rPr>
          <w:rFonts w:eastAsia="Calibri"/>
        </w:rPr>
        <w:t>E</w:t>
      </w:r>
      <w:r w:rsidR="004025DB">
        <w:rPr>
          <w:rFonts w:eastAsia="Calibri"/>
        </w:rPr>
        <w:t xml:space="preserve">ducational </w:t>
      </w:r>
      <w:r w:rsidR="00122BFE" w:rsidRPr="00EE1A0F">
        <w:rPr>
          <w:rFonts w:eastAsia="Calibri"/>
        </w:rPr>
        <w:t>A</w:t>
      </w:r>
      <w:r w:rsidR="004025DB">
        <w:rPr>
          <w:rFonts w:eastAsia="Calibri"/>
        </w:rPr>
        <w:t>gencie</w:t>
      </w:r>
      <w:r w:rsidR="00122BFE" w:rsidRPr="00EE1A0F">
        <w:rPr>
          <w:rFonts w:eastAsia="Calibri"/>
        </w:rPr>
        <w:t>s (All 4 years</w:t>
      </w:r>
      <w:r w:rsidR="00D30288" w:rsidRPr="00EE1A0F">
        <w:rPr>
          <w:rFonts w:eastAsia="Calibri"/>
        </w:rPr>
        <w:t xml:space="preserve"> of cohort</w:t>
      </w:r>
      <w:r w:rsidR="00122BFE" w:rsidRPr="00EE1A0F">
        <w:rPr>
          <w:rFonts w:eastAsia="Calibri"/>
        </w:rPr>
        <w:t>)</w:t>
      </w:r>
      <w:bookmarkEnd w:id="47"/>
      <w:bookmarkEnd w:id="48"/>
    </w:p>
    <w:tbl>
      <w:tblPr>
        <w:tblStyle w:val="GridTable41"/>
        <w:tblW w:w="14490" w:type="dxa"/>
        <w:tblInd w:w="-725" w:type="dxa"/>
        <w:tblLayout w:type="fixed"/>
        <w:tblLook w:val="04A0" w:firstRow="1" w:lastRow="0" w:firstColumn="1" w:lastColumn="0" w:noHBand="0" w:noVBand="1"/>
        <w:tblDescription w:val="21-22 CTEIG Graduation Rates by Race"/>
      </w:tblPr>
      <w:tblGrid>
        <w:gridCol w:w="1530"/>
        <w:gridCol w:w="1620"/>
        <w:gridCol w:w="1620"/>
        <w:gridCol w:w="1620"/>
        <w:gridCol w:w="1620"/>
        <w:gridCol w:w="1620"/>
        <w:gridCol w:w="1620"/>
        <w:gridCol w:w="1620"/>
        <w:gridCol w:w="1620"/>
      </w:tblGrid>
      <w:tr w:rsidR="0057772C" w14:paraId="360A0D53" w14:textId="77777777" w:rsidTr="00FD3A2C">
        <w:trPr>
          <w:cnfStyle w:val="100000000000" w:firstRow="1" w:lastRow="0" w:firstColumn="0" w:lastColumn="0" w:oddVBand="0" w:evenVBand="0" w:oddHBand="0" w:evenHBand="0" w:firstRowFirstColumn="0" w:firstRowLastColumn="0" w:lastRowFirstColumn="0" w:lastRowLastColumn="0"/>
          <w:cantSplit/>
          <w:trHeight w:val="989"/>
          <w:tblHeader/>
        </w:trPr>
        <w:tc>
          <w:tcPr>
            <w:cnfStyle w:val="001000000000" w:firstRow="0" w:lastRow="0" w:firstColumn="1" w:lastColumn="0" w:oddVBand="0" w:evenVBand="0" w:oddHBand="0" w:evenHBand="0" w:firstRowFirstColumn="0" w:firstRowLastColumn="0" w:lastRowFirstColumn="0" w:lastRowLastColumn="0"/>
            <w:tcW w:w="0" w:type="dxa"/>
            <w:noWrap/>
            <w:hideMark/>
          </w:tcPr>
          <w:p w14:paraId="6777F19B" w14:textId="49CF6325" w:rsidR="0057772C" w:rsidRPr="0057772C" w:rsidRDefault="0057772C" w:rsidP="00F25E34">
            <w:pPr>
              <w:rPr>
                <w:rFonts w:cs="Arial"/>
              </w:rPr>
            </w:pPr>
            <w:r>
              <w:rPr>
                <w:rFonts w:cs="Arial"/>
              </w:rPr>
              <w:t>Ethnicity</w:t>
            </w:r>
          </w:p>
        </w:tc>
        <w:tc>
          <w:tcPr>
            <w:tcW w:w="0" w:type="dxa"/>
          </w:tcPr>
          <w:p w14:paraId="2A223909" w14:textId="77327DB3" w:rsidR="0057772C" w:rsidRPr="0057772C" w:rsidRDefault="00AE03C8" w:rsidP="000C52FF">
            <w:pPr>
              <w:cnfStyle w:val="100000000000" w:firstRow="1" w:lastRow="0" w:firstColumn="0" w:lastColumn="0" w:oddVBand="0" w:evenVBand="0" w:oddHBand="0" w:evenHBand="0" w:firstRowFirstColumn="0" w:firstRowLastColumn="0" w:lastRowFirstColumn="0" w:lastRowLastColumn="0"/>
              <w:rPr>
                <w:rFonts w:cs="Arial"/>
              </w:rPr>
            </w:pPr>
            <w:r>
              <w:rPr>
                <w:rFonts w:cs="Arial"/>
              </w:rPr>
              <w:t>Non-Career</w:t>
            </w:r>
            <w:r w:rsidR="004025DB">
              <w:rPr>
                <w:rFonts w:cs="Arial"/>
              </w:rPr>
              <w:t xml:space="preserve"> </w:t>
            </w:r>
            <w:r w:rsidR="000C52FF">
              <w:rPr>
                <w:rFonts w:cs="Arial"/>
              </w:rPr>
              <w:t>T</w:t>
            </w:r>
            <w:r w:rsidR="004025DB">
              <w:rPr>
                <w:rFonts w:cs="Arial"/>
              </w:rPr>
              <w:t xml:space="preserve">echnical </w:t>
            </w:r>
            <w:r w:rsidR="000C52FF">
              <w:rPr>
                <w:rFonts w:cs="Arial"/>
              </w:rPr>
              <w:t>E</w:t>
            </w:r>
            <w:r w:rsidR="004025DB">
              <w:rPr>
                <w:rFonts w:cs="Arial"/>
              </w:rPr>
              <w:t>ducation (CTE)</w:t>
            </w:r>
            <w:r w:rsidR="000C52FF">
              <w:rPr>
                <w:rFonts w:cs="Arial"/>
              </w:rPr>
              <w:t xml:space="preserve"> Participants</w:t>
            </w:r>
            <w:r w:rsidR="001516B5">
              <w:rPr>
                <w:rFonts w:cs="Arial"/>
              </w:rPr>
              <w:t xml:space="preserve"> Cohort Counts</w:t>
            </w:r>
          </w:p>
        </w:tc>
        <w:tc>
          <w:tcPr>
            <w:tcW w:w="0" w:type="dxa"/>
          </w:tcPr>
          <w:p w14:paraId="414F771A" w14:textId="1A64B1A3" w:rsidR="0057772C" w:rsidRPr="0057772C" w:rsidRDefault="0057772C" w:rsidP="000C52FF">
            <w:pPr>
              <w:cnfStyle w:val="100000000000" w:firstRow="1" w:lastRow="0" w:firstColumn="0" w:lastColumn="0" w:oddVBand="0" w:evenVBand="0" w:oddHBand="0" w:evenHBand="0" w:firstRowFirstColumn="0" w:firstRowLastColumn="0" w:lastRowFirstColumn="0" w:lastRowLastColumn="0"/>
              <w:rPr>
                <w:rFonts w:cs="Arial"/>
              </w:rPr>
            </w:pPr>
            <w:r w:rsidRPr="0057772C">
              <w:rPr>
                <w:rFonts w:cs="Arial"/>
              </w:rPr>
              <w:t>CTE Participants Single</w:t>
            </w:r>
            <w:r w:rsidR="001516B5">
              <w:rPr>
                <w:rFonts w:cs="Arial"/>
              </w:rPr>
              <w:t xml:space="preserve"> Cohort Counts</w:t>
            </w:r>
          </w:p>
        </w:tc>
        <w:tc>
          <w:tcPr>
            <w:tcW w:w="0" w:type="dxa"/>
          </w:tcPr>
          <w:p w14:paraId="42DADEFE" w14:textId="2F189DA2" w:rsidR="0057772C" w:rsidRPr="0057772C" w:rsidRDefault="0057772C" w:rsidP="000C52FF">
            <w:pPr>
              <w:cnfStyle w:val="100000000000" w:firstRow="1" w:lastRow="0" w:firstColumn="0" w:lastColumn="0" w:oddVBand="0" w:evenVBand="0" w:oddHBand="0" w:evenHBand="0" w:firstRowFirstColumn="0" w:firstRowLastColumn="0" w:lastRowFirstColumn="0" w:lastRowLastColumn="0"/>
              <w:rPr>
                <w:rFonts w:cs="Arial"/>
              </w:rPr>
            </w:pPr>
            <w:r w:rsidRPr="0057772C">
              <w:rPr>
                <w:rFonts w:cs="Arial"/>
              </w:rPr>
              <w:t>CTE Participants Dabblers</w:t>
            </w:r>
            <w:r w:rsidR="001516B5">
              <w:rPr>
                <w:rFonts w:cs="Arial"/>
              </w:rPr>
              <w:t xml:space="preserve"> Cohort Counts</w:t>
            </w:r>
          </w:p>
        </w:tc>
        <w:tc>
          <w:tcPr>
            <w:tcW w:w="0" w:type="dxa"/>
          </w:tcPr>
          <w:p w14:paraId="125861DB" w14:textId="467459EE" w:rsidR="0057772C" w:rsidRPr="0057772C" w:rsidRDefault="0057772C" w:rsidP="000C52FF">
            <w:pPr>
              <w:cnfStyle w:val="100000000000" w:firstRow="1" w:lastRow="0" w:firstColumn="0" w:lastColumn="0" w:oddVBand="0" w:evenVBand="0" w:oddHBand="0" w:evenHBand="0" w:firstRowFirstColumn="0" w:firstRowLastColumn="0" w:lastRowFirstColumn="0" w:lastRowLastColumn="0"/>
              <w:rPr>
                <w:rFonts w:cs="Arial"/>
              </w:rPr>
            </w:pPr>
            <w:r w:rsidRPr="0057772C">
              <w:rPr>
                <w:rFonts w:cs="Arial"/>
              </w:rPr>
              <w:t>CTE Completers</w:t>
            </w:r>
            <w:r w:rsidR="00AE1769">
              <w:rPr>
                <w:rFonts w:cs="Arial"/>
              </w:rPr>
              <w:t xml:space="preserve"> Cohort Counts</w:t>
            </w:r>
          </w:p>
        </w:tc>
        <w:tc>
          <w:tcPr>
            <w:tcW w:w="0" w:type="dxa"/>
          </w:tcPr>
          <w:p w14:paraId="403433FF" w14:textId="3ECBC642" w:rsidR="0057772C" w:rsidRPr="0057772C" w:rsidRDefault="0057772C" w:rsidP="000C52FF">
            <w:pPr>
              <w:cnfStyle w:val="100000000000" w:firstRow="1" w:lastRow="0" w:firstColumn="0" w:lastColumn="0" w:oddVBand="0" w:evenVBand="0" w:oddHBand="0" w:evenHBand="0" w:firstRowFirstColumn="0" w:firstRowLastColumn="0" w:lastRowFirstColumn="0" w:lastRowLastColumn="0"/>
              <w:rPr>
                <w:rFonts w:cs="Arial"/>
              </w:rPr>
            </w:pPr>
            <w:r w:rsidRPr="0057772C">
              <w:rPr>
                <w:rFonts w:cs="Arial"/>
              </w:rPr>
              <w:t xml:space="preserve">Non CTE </w:t>
            </w:r>
            <w:r w:rsidR="00266CC0" w:rsidRPr="0057772C">
              <w:rPr>
                <w:rFonts w:cs="Arial"/>
              </w:rPr>
              <w:t>Participants</w:t>
            </w:r>
            <w:r w:rsidR="00266CC0">
              <w:rPr>
                <w:rFonts w:cs="Arial"/>
              </w:rPr>
              <w:t xml:space="preserve"> Graduation </w:t>
            </w:r>
            <w:r w:rsidR="00AE1769">
              <w:rPr>
                <w:rFonts w:cs="Arial"/>
              </w:rPr>
              <w:t>Rate</w:t>
            </w:r>
            <w:r w:rsidR="00266CC0">
              <w:rPr>
                <w:rFonts w:cs="Arial"/>
              </w:rPr>
              <w:t xml:space="preserve"> </w:t>
            </w:r>
          </w:p>
        </w:tc>
        <w:tc>
          <w:tcPr>
            <w:tcW w:w="0" w:type="dxa"/>
          </w:tcPr>
          <w:p w14:paraId="65410098" w14:textId="288CDB74" w:rsidR="0057772C" w:rsidRPr="0057772C" w:rsidRDefault="0057772C" w:rsidP="000C52FF">
            <w:pPr>
              <w:cnfStyle w:val="100000000000" w:firstRow="1" w:lastRow="0" w:firstColumn="0" w:lastColumn="0" w:oddVBand="0" w:evenVBand="0" w:oddHBand="0" w:evenHBand="0" w:firstRowFirstColumn="0" w:firstRowLastColumn="0" w:lastRowFirstColumn="0" w:lastRowLastColumn="0"/>
              <w:rPr>
                <w:rFonts w:cs="Arial"/>
              </w:rPr>
            </w:pPr>
            <w:r w:rsidRPr="0057772C">
              <w:rPr>
                <w:rFonts w:cs="Arial"/>
              </w:rPr>
              <w:t>CTE Participants Single</w:t>
            </w:r>
            <w:r w:rsidR="00AE1769">
              <w:rPr>
                <w:rFonts w:cs="Arial"/>
              </w:rPr>
              <w:t xml:space="preserve"> </w:t>
            </w:r>
            <w:r w:rsidR="00266CC0">
              <w:rPr>
                <w:rFonts w:cs="Arial"/>
              </w:rPr>
              <w:t>Graduation</w:t>
            </w:r>
            <w:r w:rsidR="00AE1769">
              <w:rPr>
                <w:rFonts w:cs="Arial"/>
              </w:rPr>
              <w:t xml:space="preserve"> Rate</w:t>
            </w:r>
          </w:p>
        </w:tc>
        <w:tc>
          <w:tcPr>
            <w:tcW w:w="0" w:type="dxa"/>
          </w:tcPr>
          <w:p w14:paraId="107497DB" w14:textId="324222F8" w:rsidR="0057772C" w:rsidRPr="0057772C" w:rsidRDefault="0057772C" w:rsidP="000C52FF">
            <w:pPr>
              <w:cnfStyle w:val="100000000000" w:firstRow="1" w:lastRow="0" w:firstColumn="0" w:lastColumn="0" w:oddVBand="0" w:evenVBand="0" w:oddHBand="0" w:evenHBand="0" w:firstRowFirstColumn="0" w:firstRowLastColumn="0" w:lastRowFirstColumn="0" w:lastRowLastColumn="0"/>
              <w:rPr>
                <w:rFonts w:cs="Arial"/>
              </w:rPr>
            </w:pPr>
            <w:r w:rsidRPr="0057772C">
              <w:rPr>
                <w:rFonts w:cs="Arial"/>
              </w:rPr>
              <w:t>CTE Participants Dabblers</w:t>
            </w:r>
            <w:r w:rsidR="00AE1769">
              <w:rPr>
                <w:rFonts w:cs="Arial"/>
              </w:rPr>
              <w:t xml:space="preserve"> </w:t>
            </w:r>
            <w:r w:rsidR="00266CC0">
              <w:rPr>
                <w:rFonts w:cs="Arial"/>
              </w:rPr>
              <w:t>Graduation</w:t>
            </w:r>
            <w:r w:rsidR="00AE1769">
              <w:rPr>
                <w:rFonts w:cs="Arial"/>
              </w:rPr>
              <w:t xml:space="preserve"> Rates</w:t>
            </w:r>
          </w:p>
        </w:tc>
        <w:tc>
          <w:tcPr>
            <w:tcW w:w="0" w:type="dxa"/>
          </w:tcPr>
          <w:p w14:paraId="3102086D" w14:textId="47ADAC70" w:rsidR="0057772C" w:rsidRPr="0057772C" w:rsidRDefault="0057772C" w:rsidP="000C52FF">
            <w:pPr>
              <w:cnfStyle w:val="100000000000" w:firstRow="1" w:lastRow="0" w:firstColumn="0" w:lastColumn="0" w:oddVBand="0" w:evenVBand="0" w:oddHBand="0" w:evenHBand="0" w:firstRowFirstColumn="0" w:firstRowLastColumn="0" w:lastRowFirstColumn="0" w:lastRowLastColumn="0"/>
              <w:rPr>
                <w:rFonts w:cs="Arial"/>
              </w:rPr>
            </w:pPr>
            <w:r w:rsidRPr="0057772C">
              <w:rPr>
                <w:rFonts w:cs="Arial"/>
              </w:rPr>
              <w:t>CTE Completers</w:t>
            </w:r>
            <w:r w:rsidR="00AE1769">
              <w:rPr>
                <w:rFonts w:cs="Arial"/>
              </w:rPr>
              <w:t xml:space="preserve"> </w:t>
            </w:r>
            <w:r w:rsidR="00992645">
              <w:rPr>
                <w:rFonts w:cs="Arial"/>
              </w:rPr>
              <w:t>Graduation Rate</w:t>
            </w:r>
          </w:p>
        </w:tc>
      </w:tr>
      <w:tr w:rsidR="001516B5" w14:paraId="0A744795" w14:textId="77777777" w:rsidTr="009B6051">
        <w:trPr>
          <w:cnfStyle w:val="000000100000" w:firstRow="0" w:lastRow="0" w:firstColumn="0" w:lastColumn="0" w:oddVBand="0" w:evenVBand="0" w:oddHBand="1" w:evenHBand="0" w:firstRowFirstColumn="0" w:firstRowLastColumn="0" w:lastRowFirstColumn="0" w:lastRowLastColumn="0"/>
          <w:cantSplit/>
          <w:trHeight w:val="79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noWrap/>
            <w:hideMark/>
          </w:tcPr>
          <w:p w14:paraId="0BD2D2C4" w14:textId="77777777" w:rsidR="00D30288" w:rsidRPr="00D30288" w:rsidRDefault="00D30288">
            <w:pPr>
              <w:rPr>
                <w:rFonts w:cs="Arial"/>
                <w:color w:val="000000"/>
              </w:rPr>
            </w:pPr>
            <w:r w:rsidRPr="00D30288">
              <w:rPr>
                <w:rFonts w:cs="Arial"/>
                <w:color w:val="000000"/>
              </w:rPr>
              <w:t>Native American/Alaska Native</w:t>
            </w:r>
          </w:p>
        </w:tc>
        <w:tc>
          <w:tcPr>
            <w:tcW w:w="1620" w:type="dxa"/>
            <w:shd w:val="clear" w:color="auto" w:fill="auto"/>
            <w:noWrap/>
            <w:hideMark/>
          </w:tcPr>
          <w:p w14:paraId="31EC7050" w14:textId="77777777"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583</w:t>
            </w:r>
          </w:p>
        </w:tc>
        <w:tc>
          <w:tcPr>
            <w:tcW w:w="1620" w:type="dxa"/>
            <w:shd w:val="clear" w:color="auto" w:fill="auto"/>
            <w:noWrap/>
            <w:hideMark/>
          </w:tcPr>
          <w:p w14:paraId="569D6F00" w14:textId="77777777"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412</w:t>
            </w:r>
          </w:p>
        </w:tc>
        <w:tc>
          <w:tcPr>
            <w:tcW w:w="1620" w:type="dxa"/>
            <w:shd w:val="clear" w:color="auto" w:fill="auto"/>
            <w:noWrap/>
            <w:hideMark/>
          </w:tcPr>
          <w:p w14:paraId="70B826D8" w14:textId="77777777"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642</w:t>
            </w:r>
          </w:p>
        </w:tc>
        <w:tc>
          <w:tcPr>
            <w:tcW w:w="1620" w:type="dxa"/>
            <w:shd w:val="clear" w:color="auto" w:fill="auto"/>
            <w:noWrap/>
            <w:hideMark/>
          </w:tcPr>
          <w:p w14:paraId="63B7101F" w14:textId="77777777"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342</w:t>
            </w:r>
          </w:p>
        </w:tc>
        <w:tc>
          <w:tcPr>
            <w:tcW w:w="1620" w:type="dxa"/>
            <w:shd w:val="clear" w:color="auto" w:fill="auto"/>
            <w:noWrap/>
            <w:hideMark/>
          </w:tcPr>
          <w:p w14:paraId="00F26595" w14:textId="441F5BC1"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63.5</w:t>
            </w:r>
            <w:r w:rsidR="001516B5">
              <w:rPr>
                <w:rFonts w:cs="Arial"/>
              </w:rPr>
              <w:t>%</w:t>
            </w:r>
          </w:p>
        </w:tc>
        <w:tc>
          <w:tcPr>
            <w:tcW w:w="1620" w:type="dxa"/>
            <w:shd w:val="clear" w:color="auto" w:fill="auto"/>
            <w:noWrap/>
            <w:hideMark/>
          </w:tcPr>
          <w:p w14:paraId="6E2FC351" w14:textId="0763217D"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82.3</w:t>
            </w:r>
            <w:r w:rsidR="001516B5">
              <w:rPr>
                <w:rFonts w:cs="Arial"/>
              </w:rPr>
              <w:t>%</w:t>
            </w:r>
          </w:p>
        </w:tc>
        <w:tc>
          <w:tcPr>
            <w:tcW w:w="1620" w:type="dxa"/>
            <w:shd w:val="clear" w:color="auto" w:fill="auto"/>
            <w:noWrap/>
            <w:hideMark/>
          </w:tcPr>
          <w:p w14:paraId="3964F17D" w14:textId="64B2ED24"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91.1</w:t>
            </w:r>
            <w:r w:rsidR="001516B5">
              <w:rPr>
                <w:rFonts w:cs="Arial"/>
              </w:rPr>
              <w:t>%</w:t>
            </w:r>
          </w:p>
        </w:tc>
        <w:tc>
          <w:tcPr>
            <w:tcW w:w="1620" w:type="dxa"/>
            <w:shd w:val="clear" w:color="auto" w:fill="auto"/>
            <w:noWrap/>
            <w:hideMark/>
          </w:tcPr>
          <w:p w14:paraId="70911F8D" w14:textId="5DBFCA50"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97.4</w:t>
            </w:r>
            <w:r w:rsidR="001516B5">
              <w:rPr>
                <w:rFonts w:cs="Arial"/>
              </w:rPr>
              <w:t>%</w:t>
            </w:r>
          </w:p>
        </w:tc>
      </w:tr>
      <w:tr w:rsidR="00D30288" w14:paraId="00EAB022" w14:textId="77777777" w:rsidTr="009B6051">
        <w:trPr>
          <w:cantSplit/>
          <w:trHeight w:val="944"/>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noWrap/>
            <w:hideMark/>
          </w:tcPr>
          <w:p w14:paraId="29EACD36" w14:textId="77777777" w:rsidR="00D30288" w:rsidRPr="00D30288" w:rsidRDefault="00D30288">
            <w:pPr>
              <w:rPr>
                <w:rFonts w:cs="Arial"/>
                <w:color w:val="000000"/>
              </w:rPr>
            </w:pPr>
            <w:r w:rsidRPr="00D30288">
              <w:rPr>
                <w:rFonts w:cs="Arial"/>
                <w:color w:val="000000"/>
              </w:rPr>
              <w:t>Asian</w:t>
            </w:r>
          </w:p>
        </w:tc>
        <w:tc>
          <w:tcPr>
            <w:tcW w:w="1620" w:type="dxa"/>
            <w:shd w:val="clear" w:color="auto" w:fill="auto"/>
            <w:noWrap/>
            <w:hideMark/>
          </w:tcPr>
          <w:p w14:paraId="2FCF5F4B" w14:textId="77777777"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16,289</w:t>
            </w:r>
          </w:p>
        </w:tc>
        <w:tc>
          <w:tcPr>
            <w:tcW w:w="1620" w:type="dxa"/>
            <w:shd w:val="clear" w:color="auto" w:fill="auto"/>
            <w:noWrap/>
            <w:hideMark/>
          </w:tcPr>
          <w:p w14:paraId="41878F72" w14:textId="77777777"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13,513</w:t>
            </w:r>
          </w:p>
        </w:tc>
        <w:tc>
          <w:tcPr>
            <w:tcW w:w="1620" w:type="dxa"/>
            <w:shd w:val="clear" w:color="auto" w:fill="auto"/>
            <w:noWrap/>
            <w:hideMark/>
          </w:tcPr>
          <w:p w14:paraId="0896E208" w14:textId="77777777"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15,322</w:t>
            </w:r>
          </w:p>
        </w:tc>
        <w:tc>
          <w:tcPr>
            <w:tcW w:w="1620" w:type="dxa"/>
            <w:shd w:val="clear" w:color="auto" w:fill="auto"/>
            <w:noWrap/>
            <w:hideMark/>
          </w:tcPr>
          <w:p w14:paraId="1F6A09AD" w14:textId="77777777"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11,308</w:t>
            </w:r>
          </w:p>
        </w:tc>
        <w:tc>
          <w:tcPr>
            <w:tcW w:w="1620" w:type="dxa"/>
            <w:shd w:val="clear" w:color="auto" w:fill="auto"/>
            <w:noWrap/>
            <w:hideMark/>
          </w:tcPr>
          <w:p w14:paraId="4201F13D" w14:textId="1803D1CF"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90.9</w:t>
            </w:r>
            <w:r w:rsidR="001516B5">
              <w:rPr>
                <w:rFonts w:cs="Arial"/>
              </w:rPr>
              <w:t>%</w:t>
            </w:r>
          </w:p>
        </w:tc>
        <w:tc>
          <w:tcPr>
            <w:tcW w:w="1620" w:type="dxa"/>
            <w:shd w:val="clear" w:color="auto" w:fill="auto"/>
            <w:noWrap/>
            <w:hideMark/>
          </w:tcPr>
          <w:p w14:paraId="5F907E43" w14:textId="418112EA"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96.0</w:t>
            </w:r>
            <w:r w:rsidR="001516B5">
              <w:rPr>
                <w:rFonts w:cs="Arial"/>
              </w:rPr>
              <w:t>%</w:t>
            </w:r>
          </w:p>
        </w:tc>
        <w:tc>
          <w:tcPr>
            <w:tcW w:w="1620" w:type="dxa"/>
            <w:shd w:val="clear" w:color="auto" w:fill="auto"/>
            <w:noWrap/>
            <w:hideMark/>
          </w:tcPr>
          <w:p w14:paraId="4548A6A8" w14:textId="589D9204"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97.7</w:t>
            </w:r>
            <w:r w:rsidR="001516B5">
              <w:rPr>
                <w:rFonts w:cs="Arial"/>
              </w:rPr>
              <w:t>%</w:t>
            </w:r>
          </w:p>
        </w:tc>
        <w:tc>
          <w:tcPr>
            <w:tcW w:w="1620" w:type="dxa"/>
            <w:shd w:val="clear" w:color="auto" w:fill="auto"/>
            <w:noWrap/>
            <w:hideMark/>
          </w:tcPr>
          <w:p w14:paraId="0F2E5E77" w14:textId="7138A2E3"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99.4</w:t>
            </w:r>
            <w:r w:rsidR="001516B5">
              <w:rPr>
                <w:rFonts w:cs="Arial"/>
              </w:rPr>
              <w:t>%</w:t>
            </w:r>
          </w:p>
        </w:tc>
      </w:tr>
      <w:tr w:rsidR="001516B5" w14:paraId="3367D0B4" w14:textId="77777777" w:rsidTr="009B6051">
        <w:trPr>
          <w:cnfStyle w:val="000000100000" w:firstRow="0" w:lastRow="0" w:firstColumn="0" w:lastColumn="0" w:oddVBand="0" w:evenVBand="0" w:oddHBand="1" w:evenHBand="0" w:firstRowFirstColumn="0" w:firstRowLastColumn="0" w:lastRowFirstColumn="0" w:lastRowLastColumn="0"/>
          <w:cantSplit/>
          <w:trHeight w:val="881"/>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noWrap/>
            <w:hideMark/>
          </w:tcPr>
          <w:p w14:paraId="4673C4F8" w14:textId="77777777" w:rsidR="00D30288" w:rsidRPr="00D30288" w:rsidRDefault="00D30288">
            <w:pPr>
              <w:rPr>
                <w:rFonts w:cs="Arial"/>
                <w:color w:val="000000"/>
              </w:rPr>
            </w:pPr>
            <w:r w:rsidRPr="00D30288">
              <w:rPr>
                <w:rFonts w:cs="Arial"/>
                <w:color w:val="000000"/>
              </w:rPr>
              <w:t>Black</w:t>
            </w:r>
          </w:p>
        </w:tc>
        <w:tc>
          <w:tcPr>
            <w:tcW w:w="1620" w:type="dxa"/>
            <w:shd w:val="clear" w:color="auto" w:fill="auto"/>
            <w:noWrap/>
            <w:hideMark/>
          </w:tcPr>
          <w:p w14:paraId="625835E9" w14:textId="77777777"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6,963</w:t>
            </w:r>
          </w:p>
        </w:tc>
        <w:tc>
          <w:tcPr>
            <w:tcW w:w="1620" w:type="dxa"/>
            <w:shd w:val="clear" w:color="auto" w:fill="auto"/>
            <w:noWrap/>
            <w:hideMark/>
          </w:tcPr>
          <w:p w14:paraId="6D190C73" w14:textId="77777777"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5,189</w:t>
            </w:r>
          </w:p>
        </w:tc>
        <w:tc>
          <w:tcPr>
            <w:tcW w:w="1620" w:type="dxa"/>
            <w:shd w:val="clear" w:color="auto" w:fill="auto"/>
            <w:noWrap/>
            <w:hideMark/>
          </w:tcPr>
          <w:p w14:paraId="74FF8BB0" w14:textId="77777777"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6,672</w:t>
            </w:r>
          </w:p>
        </w:tc>
        <w:tc>
          <w:tcPr>
            <w:tcW w:w="1620" w:type="dxa"/>
            <w:shd w:val="clear" w:color="auto" w:fill="auto"/>
            <w:noWrap/>
            <w:hideMark/>
          </w:tcPr>
          <w:p w14:paraId="0A9EDF25" w14:textId="77777777"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3,266</w:t>
            </w:r>
          </w:p>
        </w:tc>
        <w:tc>
          <w:tcPr>
            <w:tcW w:w="1620" w:type="dxa"/>
            <w:shd w:val="clear" w:color="auto" w:fill="auto"/>
            <w:noWrap/>
            <w:hideMark/>
          </w:tcPr>
          <w:p w14:paraId="0BE339D4" w14:textId="0B12AECE"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64.9</w:t>
            </w:r>
            <w:r w:rsidR="001516B5">
              <w:rPr>
                <w:rFonts w:cs="Arial"/>
              </w:rPr>
              <w:t>%</w:t>
            </w:r>
          </w:p>
        </w:tc>
        <w:tc>
          <w:tcPr>
            <w:tcW w:w="1620" w:type="dxa"/>
            <w:shd w:val="clear" w:color="auto" w:fill="auto"/>
            <w:noWrap/>
            <w:hideMark/>
          </w:tcPr>
          <w:p w14:paraId="272E3403" w14:textId="79A06DE1"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84.7</w:t>
            </w:r>
            <w:r w:rsidR="001516B5">
              <w:rPr>
                <w:rFonts w:cs="Arial"/>
              </w:rPr>
              <w:t>%</w:t>
            </w:r>
          </w:p>
        </w:tc>
        <w:tc>
          <w:tcPr>
            <w:tcW w:w="1620" w:type="dxa"/>
            <w:shd w:val="clear" w:color="auto" w:fill="auto"/>
            <w:noWrap/>
            <w:hideMark/>
          </w:tcPr>
          <w:p w14:paraId="328E2132" w14:textId="48C2A42A"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92.6</w:t>
            </w:r>
            <w:r w:rsidR="001516B5">
              <w:rPr>
                <w:rFonts w:cs="Arial"/>
              </w:rPr>
              <w:t>%</w:t>
            </w:r>
          </w:p>
        </w:tc>
        <w:tc>
          <w:tcPr>
            <w:tcW w:w="1620" w:type="dxa"/>
            <w:shd w:val="clear" w:color="auto" w:fill="auto"/>
            <w:noWrap/>
            <w:hideMark/>
          </w:tcPr>
          <w:p w14:paraId="119C474B" w14:textId="00DFF91D"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98.2</w:t>
            </w:r>
            <w:r w:rsidR="001516B5">
              <w:rPr>
                <w:rFonts w:cs="Arial"/>
              </w:rPr>
              <w:t>%</w:t>
            </w:r>
          </w:p>
        </w:tc>
      </w:tr>
      <w:tr w:rsidR="00D30288" w14:paraId="7E613E6E" w14:textId="77777777" w:rsidTr="009B6051">
        <w:trPr>
          <w:cantSplit/>
          <w:trHeight w:val="89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noWrap/>
            <w:hideMark/>
          </w:tcPr>
          <w:p w14:paraId="30BE55AB" w14:textId="77777777" w:rsidR="00D30288" w:rsidRPr="00D30288" w:rsidRDefault="00D30288">
            <w:pPr>
              <w:rPr>
                <w:rFonts w:cs="Arial"/>
                <w:color w:val="000000"/>
              </w:rPr>
            </w:pPr>
            <w:r w:rsidRPr="00D30288">
              <w:rPr>
                <w:rFonts w:cs="Arial"/>
                <w:color w:val="000000"/>
              </w:rPr>
              <w:t>Hispanic</w:t>
            </w:r>
          </w:p>
        </w:tc>
        <w:tc>
          <w:tcPr>
            <w:tcW w:w="1620" w:type="dxa"/>
            <w:shd w:val="clear" w:color="auto" w:fill="auto"/>
            <w:noWrap/>
            <w:hideMark/>
          </w:tcPr>
          <w:p w14:paraId="10E95784" w14:textId="77777777"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64,139</w:t>
            </w:r>
          </w:p>
        </w:tc>
        <w:tc>
          <w:tcPr>
            <w:tcW w:w="1620" w:type="dxa"/>
            <w:shd w:val="clear" w:color="auto" w:fill="auto"/>
            <w:noWrap/>
            <w:hideMark/>
          </w:tcPr>
          <w:p w14:paraId="62CF26FC" w14:textId="77777777"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51,431</w:t>
            </w:r>
          </w:p>
        </w:tc>
        <w:tc>
          <w:tcPr>
            <w:tcW w:w="1620" w:type="dxa"/>
            <w:shd w:val="clear" w:color="auto" w:fill="auto"/>
            <w:noWrap/>
            <w:hideMark/>
          </w:tcPr>
          <w:p w14:paraId="40178F0D" w14:textId="77777777"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72,684</w:t>
            </w:r>
          </w:p>
        </w:tc>
        <w:tc>
          <w:tcPr>
            <w:tcW w:w="1620" w:type="dxa"/>
            <w:shd w:val="clear" w:color="auto" w:fill="auto"/>
            <w:noWrap/>
            <w:hideMark/>
          </w:tcPr>
          <w:p w14:paraId="62D7C913" w14:textId="77777777"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46,490</w:t>
            </w:r>
          </w:p>
        </w:tc>
        <w:tc>
          <w:tcPr>
            <w:tcW w:w="1620" w:type="dxa"/>
            <w:shd w:val="clear" w:color="auto" w:fill="auto"/>
            <w:noWrap/>
            <w:hideMark/>
          </w:tcPr>
          <w:p w14:paraId="0B49D890" w14:textId="305E3FD8"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72.6</w:t>
            </w:r>
            <w:r w:rsidR="001516B5">
              <w:rPr>
                <w:rFonts w:cs="Arial"/>
              </w:rPr>
              <w:t>%</w:t>
            </w:r>
          </w:p>
        </w:tc>
        <w:tc>
          <w:tcPr>
            <w:tcW w:w="1620" w:type="dxa"/>
            <w:shd w:val="clear" w:color="auto" w:fill="auto"/>
            <w:noWrap/>
            <w:hideMark/>
          </w:tcPr>
          <w:p w14:paraId="2B05CD0D" w14:textId="4FCA0EF9"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86.4</w:t>
            </w:r>
            <w:r w:rsidR="001516B5">
              <w:rPr>
                <w:rFonts w:cs="Arial"/>
              </w:rPr>
              <w:t>%</w:t>
            </w:r>
          </w:p>
        </w:tc>
        <w:tc>
          <w:tcPr>
            <w:tcW w:w="1620" w:type="dxa"/>
            <w:shd w:val="clear" w:color="auto" w:fill="auto"/>
            <w:noWrap/>
            <w:hideMark/>
          </w:tcPr>
          <w:p w14:paraId="1898432B" w14:textId="17DCE888"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93.4</w:t>
            </w:r>
            <w:r w:rsidR="001516B5">
              <w:rPr>
                <w:rFonts w:cs="Arial"/>
              </w:rPr>
              <w:t>%</w:t>
            </w:r>
          </w:p>
        </w:tc>
        <w:tc>
          <w:tcPr>
            <w:tcW w:w="1620" w:type="dxa"/>
            <w:shd w:val="clear" w:color="auto" w:fill="auto"/>
            <w:noWrap/>
            <w:hideMark/>
          </w:tcPr>
          <w:p w14:paraId="24557B20" w14:textId="450629F1"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98.7</w:t>
            </w:r>
            <w:r w:rsidR="001516B5">
              <w:rPr>
                <w:rFonts w:cs="Arial"/>
              </w:rPr>
              <w:t>%</w:t>
            </w:r>
          </w:p>
        </w:tc>
      </w:tr>
      <w:tr w:rsidR="001516B5" w14:paraId="01C1C3A8" w14:textId="77777777" w:rsidTr="009B6051">
        <w:trPr>
          <w:cnfStyle w:val="000000100000" w:firstRow="0" w:lastRow="0" w:firstColumn="0" w:lastColumn="0" w:oddVBand="0" w:evenVBand="0" w:oddHBand="1" w:evenHBand="0" w:firstRowFirstColumn="0" w:firstRowLastColumn="0" w:lastRowFirstColumn="0" w:lastRowLastColumn="0"/>
          <w:cantSplit/>
          <w:trHeight w:val="89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noWrap/>
            <w:hideMark/>
          </w:tcPr>
          <w:p w14:paraId="73A510EC" w14:textId="77777777" w:rsidR="00D30288" w:rsidRPr="00D30288" w:rsidRDefault="00D30288">
            <w:pPr>
              <w:rPr>
                <w:rFonts w:cs="Arial"/>
                <w:color w:val="000000"/>
              </w:rPr>
            </w:pPr>
            <w:r w:rsidRPr="00D30288">
              <w:rPr>
                <w:rFonts w:cs="Arial"/>
                <w:color w:val="000000"/>
              </w:rPr>
              <w:t>Pacific Islander</w:t>
            </w:r>
          </w:p>
        </w:tc>
        <w:tc>
          <w:tcPr>
            <w:tcW w:w="1620" w:type="dxa"/>
            <w:shd w:val="clear" w:color="auto" w:fill="auto"/>
            <w:noWrap/>
            <w:hideMark/>
          </w:tcPr>
          <w:p w14:paraId="1E871D74" w14:textId="77777777"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653</w:t>
            </w:r>
          </w:p>
        </w:tc>
        <w:tc>
          <w:tcPr>
            <w:tcW w:w="1620" w:type="dxa"/>
            <w:shd w:val="clear" w:color="auto" w:fill="auto"/>
            <w:noWrap/>
            <w:hideMark/>
          </w:tcPr>
          <w:p w14:paraId="4081BE63" w14:textId="77777777"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525</w:t>
            </w:r>
          </w:p>
        </w:tc>
        <w:tc>
          <w:tcPr>
            <w:tcW w:w="1620" w:type="dxa"/>
            <w:shd w:val="clear" w:color="auto" w:fill="auto"/>
            <w:noWrap/>
            <w:hideMark/>
          </w:tcPr>
          <w:p w14:paraId="4C71AE3C" w14:textId="77777777"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610</w:t>
            </w:r>
          </w:p>
        </w:tc>
        <w:tc>
          <w:tcPr>
            <w:tcW w:w="1620" w:type="dxa"/>
            <w:shd w:val="clear" w:color="auto" w:fill="auto"/>
            <w:noWrap/>
            <w:hideMark/>
          </w:tcPr>
          <w:p w14:paraId="40361E92" w14:textId="77777777"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357</w:t>
            </w:r>
          </w:p>
        </w:tc>
        <w:tc>
          <w:tcPr>
            <w:tcW w:w="1620" w:type="dxa"/>
            <w:shd w:val="clear" w:color="auto" w:fill="auto"/>
            <w:noWrap/>
            <w:hideMark/>
          </w:tcPr>
          <w:p w14:paraId="773F9AA8" w14:textId="19D40A80"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73.5</w:t>
            </w:r>
            <w:r w:rsidR="001516B5">
              <w:rPr>
                <w:rFonts w:cs="Arial"/>
              </w:rPr>
              <w:t>%</w:t>
            </w:r>
          </w:p>
        </w:tc>
        <w:tc>
          <w:tcPr>
            <w:tcW w:w="1620" w:type="dxa"/>
            <w:shd w:val="clear" w:color="auto" w:fill="auto"/>
            <w:noWrap/>
            <w:hideMark/>
          </w:tcPr>
          <w:p w14:paraId="5E1D1425" w14:textId="76A39F06"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89.7</w:t>
            </w:r>
            <w:r w:rsidR="001516B5">
              <w:rPr>
                <w:rFonts w:cs="Arial"/>
              </w:rPr>
              <w:t>%</w:t>
            </w:r>
          </w:p>
        </w:tc>
        <w:tc>
          <w:tcPr>
            <w:tcW w:w="1620" w:type="dxa"/>
            <w:shd w:val="clear" w:color="auto" w:fill="auto"/>
            <w:noWrap/>
            <w:hideMark/>
          </w:tcPr>
          <w:p w14:paraId="1C9AA5B0" w14:textId="66F31CAC"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92.6</w:t>
            </w:r>
            <w:r w:rsidR="001516B5">
              <w:rPr>
                <w:rFonts w:cs="Arial"/>
              </w:rPr>
              <w:t>%</w:t>
            </w:r>
          </w:p>
        </w:tc>
        <w:tc>
          <w:tcPr>
            <w:tcW w:w="1620" w:type="dxa"/>
            <w:shd w:val="clear" w:color="auto" w:fill="auto"/>
            <w:noWrap/>
            <w:hideMark/>
          </w:tcPr>
          <w:p w14:paraId="73D30708" w14:textId="4A6FF4CA" w:rsidR="00D30288" w:rsidRPr="000C52FF" w:rsidRDefault="00D30288">
            <w:pPr>
              <w:jc w:val="center"/>
              <w:cnfStyle w:val="000000100000" w:firstRow="0" w:lastRow="0" w:firstColumn="0" w:lastColumn="0" w:oddVBand="0" w:evenVBand="0" w:oddHBand="1" w:evenHBand="0" w:firstRowFirstColumn="0" w:firstRowLastColumn="0" w:lastRowFirstColumn="0" w:lastRowLastColumn="0"/>
              <w:rPr>
                <w:rFonts w:cs="Arial"/>
              </w:rPr>
            </w:pPr>
            <w:r w:rsidRPr="000C52FF">
              <w:rPr>
                <w:rFonts w:cs="Arial"/>
              </w:rPr>
              <w:t>98.9</w:t>
            </w:r>
            <w:r w:rsidR="001516B5">
              <w:rPr>
                <w:rFonts w:cs="Arial"/>
              </w:rPr>
              <w:t>%</w:t>
            </w:r>
          </w:p>
        </w:tc>
      </w:tr>
      <w:tr w:rsidR="00D30288" w14:paraId="4DD768DD" w14:textId="77777777" w:rsidTr="009B6051">
        <w:trPr>
          <w:cantSplit/>
          <w:trHeight w:val="89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noWrap/>
            <w:hideMark/>
          </w:tcPr>
          <w:p w14:paraId="017BC05A" w14:textId="77777777" w:rsidR="00D30288" w:rsidRPr="00D30288" w:rsidRDefault="00D30288">
            <w:pPr>
              <w:rPr>
                <w:rFonts w:cs="Arial"/>
                <w:color w:val="000000"/>
              </w:rPr>
            </w:pPr>
            <w:r w:rsidRPr="00D30288">
              <w:rPr>
                <w:rFonts w:cs="Arial"/>
                <w:color w:val="000000"/>
              </w:rPr>
              <w:t>White</w:t>
            </w:r>
          </w:p>
        </w:tc>
        <w:tc>
          <w:tcPr>
            <w:tcW w:w="1620" w:type="dxa"/>
            <w:shd w:val="clear" w:color="auto" w:fill="auto"/>
            <w:noWrap/>
            <w:hideMark/>
          </w:tcPr>
          <w:p w14:paraId="038EF8A5" w14:textId="77777777"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25,005</w:t>
            </w:r>
          </w:p>
        </w:tc>
        <w:tc>
          <w:tcPr>
            <w:tcW w:w="1620" w:type="dxa"/>
            <w:shd w:val="clear" w:color="auto" w:fill="auto"/>
            <w:noWrap/>
            <w:hideMark/>
          </w:tcPr>
          <w:p w14:paraId="1EE5820B" w14:textId="77777777"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21,342</w:t>
            </w:r>
          </w:p>
        </w:tc>
        <w:tc>
          <w:tcPr>
            <w:tcW w:w="1620" w:type="dxa"/>
            <w:shd w:val="clear" w:color="auto" w:fill="auto"/>
            <w:noWrap/>
            <w:hideMark/>
          </w:tcPr>
          <w:p w14:paraId="65BA97DF" w14:textId="77777777"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29,462</w:t>
            </w:r>
          </w:p>
        </w:tc>
        <w:tc>
          <w:tcPr>
            <w:tcW w:w="1620" w:type="dxa"/>
            <w:shd w:val="clear" w:color="auto" w:fill="auto"/>
            <w:noWrap/>
            <w:hideMark/>
          </w:tcPr>
          <w:p w14:paraId="42613B0D" w14:textId="77777777"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19,295</w:t>
            </w:r>
          </w:p>
        </w:tc>
        <w:tc>
          <w:tcPr>
            <w:tcW w:w="1620" w:type="dxa"/>
            <w:shd w:val="clear" w:color="auto" w:fill="auto"/>
            <w:noWrap/>
            <w:hideMark/>
          </w:tcPr>
          <w:p w14:paraId="272330EC" w14:textId="44AB6A23"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84.4</w:t>
            </w:r>
            <w:r w:rsidR="001516B5">
              <w:rPr>
                <w:rFonts w:cs="Arial"/>
              </w:rPr>
              <w:t>%</w:t>
            </w:r>
          </w:p>
        </w:tc>
        <w:tc>
          <w:tcPr>
            <w:tcW w:w="1620" w:type="dxa"/>
            <w:shd w:val="clear" w:color="auto" w:fill="auto"/>
            <w:noWrap/>
            <w:hideMark/>
          </w:tcPr>
          <w:p w14:paraId="0C18A75A" w14:textId="7F139E72"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92.0</w:t>
            </w:r>
            <w:r w:rsidR="001516B5">
              <w:rPr>
                <w:rFonts w:cs="Arial"/>
              </w:rPr>
              <w:t>%</w:t>
            </w:r>
          </w:p>
        </w:tc>
        <w:tc>
          <w:tcPr>
            <w:tcW w:w="1620" w:type="dxa"/>
            <w:shd w:val="clear" w:color="auto" w:fill="auto"/>
            <w:noWrap/>
            <w:hideMark/>
          </w:tcPr>
          <w:p w14:paraId="28D8E477" w14:textId="32054953"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95.4</w:t>
            </w:r>
            <w:r w:rsidR="001516B5">
              <w:rPr>
                <w:rFonts w:cs="Arial"/>
              </w:rPr>
              <w:t>%</w:t>
            </w:r>
          </w:p>
        </w:tc>
        <w:tc>
          <w:tcPr>
            <w:tcW w:w="1620" w:type="dxa"/>
            <w:shd w:val="clear" w:color="auto" w:fill="auto"/>
            <w:noWrap/>
            <w:hideMark/>
          </w:tcPr>
          <w:p w14:paraId="23C1689F" w14:textId="1C95DFBC" w:rsidR="00D30288" w:rsidRPr="000C52FF" w:rsidRDefault="00D30288">
            <w:pPr>
              <w:jc w:val="center"/>
              <w:cnfStyle w:val="000000000000" w:firstRow="0" w:lastRow="0" w:firstColumn="0" w:lastColumn="0" w:oddVBand="0" w:evenVBand="0" w:oddHBand="0" w:evenHBand="0" w:firstRowFirstColumn="0" w:firstRowLastColumn="0" w:lastRowFirstColumn="0" w:lastRowLastColumn="0"/>
              <w:rPr>
                <w:rFonts w:cs="Arial"/>
              </w:rPr>
            </w:pPr>
            <w:r w:rsidRPr="000C52FF">
              <w:rPr>
                <w:rFonts w:cs="Arial"/>
              </w:rPr>
              <w:t>98.9</w:t>
            </w:r>
            <w:r w:rsidR="001516B5">
              <w:rPr>
                <w:rFonts w:cs="Arial"/>
              </w:rPr>
              <w:t>%</w:t>
            </w:r>
          </w:p>
        </w:tc>
      </w:tr>
      <w:tr w:rsidR="001516B5" w14:paraId="2FFA99F5" w14:textId="77777777" w:rsidTr="009B6051">
        <w:trPr>
          <w:cnfStyle w:val="000000100000" w:firstRow="0" w:lastRow="0" w:firstColumn="0" w:lastColumn="0" w:oddVBand="0" w:evenVBand="0" w:oddHBand="1" w:evenHBand="0" w:firstRowFirstColumn="0" w:firstRowLastColumn="0" w:lastRowFirstColumn="0" w:lastRowLastColumn="0"/>
          <w:cantSplit/>
          <w:trHeight w:val="89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noWrap/>
            <w:hideMark/>
          </w:tcPr>
          <w:p w14:paraId="5BDEBC9A" w14:textId="77777777" w:rsidR="00D30288" w:rsidRPr="00D30288" w:rsidRDefault="00D30288">
            <w:pPr>
              <w:rPr>
                <w:rFonts w:cs="Arial"/>
                <w:color w:val="000000"/>
              </w:rPr>
            </w:pPr>
            <w:r w:rsidRPr="00D30288">
              <w:rPr>
                <w:rFonts w:cs="Arial"/>
                <w:color w:val="000000"/>
              </w:rPr>
              <w:lastRenderedPageBreak/>
              <w:t>Two or More Races</w:t>
            </w:r>
          </w:p>
        </w:tc>
        <w:tc>
          <w:tcPr>
            <w:tcW w:w="1620" w:type="dxa"/>
            <w:shd w:val="clear" w:color="auto" w:fill="auto"/>
            <w:noWrap/>
            <w:hideMark/>
          </w:tcPr>
          <w:p w14:paraId="0AF64361" w14:textId="77777777" w:rsidR="00D30288" w:rsidRPr="00D30288" w:rsidRDefault="00D3028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30288">
              <w:rPr>
                <w:rFonts w:cs="Arial"/>
                <w:color w:val="000000"/>
              </w:rPr>
              <w:t>4,964</w:t>
            </w:r>
          </w:p>
        </w:tc>
        <w:tc>
          <w:tcPr>
            <w:tcW w:w="1620" w:type="dxa"/>
            <w:shd w:val="clear" w:color="auto" w:fill="auto"/>
            <w:noWrap/>
            <w:hideMark/>
          </w:tcPr>
          <w:p w14:paraId="24839524" w14:textId="77777777" w:rsidR="00D30288" w:rsidRPr="00D30288" w:rsidRDefault="00D3028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30288">
              <w:rPr>
                <w:rFonts w:cs="Arial"/>
                <w:color w:val="000000"/>
              </w:rPr>
              <w:t>3,981</w:t>
            </w:r>
          </w:p>
        </w:tc>
        <w:tc>
          <w:tcPr>
            <w:tcW w:w="1620" w:type="dxa"/>
            <w:shd w:val="clear" w:color="auto" w:fill="auto"/>
            <w:noWrap/>
            <w:hideMark/>
          </w:tcPr>
          <w:p w14:paraId="66FD42B1" w14:textId="77777777" w:rsidR="00D30288" w:rsidRPr="00D30288" w:rsidRDefault="00D3028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30288">
              <w:rPr>
                <w:rFonts w:cs="Arial"/>
                <w:color w:val="000000"/>
              </w:rPr>
              <w:t>4,954</w:t>
            </w:r>
          </w:p>
        </w:tc>
        <w:tc>
          <w:tcPr>
            <w:tcW w:w="1620" w:type="dxa"/>
            <w:shd w:val="clear" w:color="auto" w:fill="auto"/>
            <w:noWrap/>
            <w:hideMark/>
          </w:tcPr>
          <w:p w14:paraId="1CF47E7C" w14:textId="77777777" w:rsidR="00D30288" w:rsidRPr="00D30288" w:rsidRDefault="00D3028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30288">
              <w:rPr>
                <w:rFonts w:cs="Arial"/>
                <w:color w:val="000000"/>
              </w:rPr>
              <w:t>2,863</w:t>
            </w:r>
          </w:p>
        </w:tc>
        <w:tc>
          <w:tcPr>
            <w:tcW w:w="1620" w:type="dxa"/>
            <w:shd w:val="clear" w:color="auto" w:fill="auto"/>
            <w:noWrap/>
            <w:hideMark/>
          </w:tcPr>
          <w:p w14:paraId="6AA50A06" w14:textId="5F28D626" w:rsidR="00D30288" w:rsidRPr="00D30288" w:rsidRDefault="00D3028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30288">
              <w:rPr>
                <w:rFonts w:cs="Arial"/>
                <w:color w:val="000000"/>
              </w:rPr>
              <w:t>73.5</w:t>
            </w:r>
            <w:r w:rsidR="001516B5">
              <w:rPr>
                <w:rFonts w:cs="Arial"/>
              </w:rPr>
              <w:t>%</w:t>
            </w:r>
          </w:p>
        </w:tc>
        <w:tc>
          <w:tcPr>
            <w:tcW w:w="1620" w:type="dxa"/>
            <w:shd w:val="clear" w:color="auto" w:fill="auto"/>
            <w:noWrap/>
            <w:hideMark/>
          </w:tcPr>
          <w:p w14:paraId="587E841C" w14:textId="5EE99412" w:rsidR="00D30288" w:rsidRPr="00D30288" w:rsidRDefault="00D3028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30288">
              <w:rPr>
                <w:rFonts w:cs="Arial"/>
                <w:color w:val="000000"/>
              </w:rPr>
              <w:t>90.2</w:t>
            </w:r>
            <w:r w:rsidR="001516B5">
              <w:rPr>
                <w:rFonts w:cs="Arial"/>
              </w:rPr>
              <w:t>%</w:t>
            </w:r>
          </w:p>
        </w:tc>
        <w:tc>
          <w:tcPr>
            <w:tcW w:w="1620" w:type="dxa"/>
            <w:shd w:val="clear" w:color="auto" w:fill="auto"/>
            <w:noWrap/>
            <w:hideMark/>
          </w:tcPr>
          <w:p w14:paraId="089F10A6" w14:textId="4F675AE7" w:rsidR="00D30288" w:rsidRPr="00D30288" w:rsidRDefault="00D3028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30288">
              <w:rPr>
                <w:rFonts w:cs="Arial"/>
                <w:color w:val="000000"/>
              </w:rPr>
              <w:t>94.1</w:t>
            </w:r>
            <w:r w:rsidR="001516B5">
              <w:rPr>
                <w:rFonts w:cs="Arial"/>
              </w:rPr>
              <w:t>%</w:t>
            </w:r>
          </w:p>
        </w:tc>
        <w:tc>
          <w:tcPr>
            <w:tcW w:w="1620" w:type="dxa"/>
            <w:shd w:val="clear" w:color="auto" w:fill="auto"/>
            <w:noWrap/>
            <w:hideMark/>
          </w:tcPr>
          <w:p w14:paraId="594E680D" w14:textId="2BB86EFB" w:rsidR="00D30288" w:rsidRPr="00D30288" w:rsidRDefault="00D3028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30288">
              <w:rPr>
                <w:rFonts w:cs="Arial"/>
                <w:color w:val="000000"/>
              </w:rPr>
              <w:t>98.9</w:t>
            </w:r>
            <w:r w:rsidR="001516B5">
              <w:rPr>
                <w:rFonts w:cs="Arial"/>
              </w:rPr>
              <w:t>%</w:t>
            </w:r>
          </w:p>
        </w:tc>
      </w:tr>
    </w:tbl>
    <w:p w14:paraId="07E0925B" w14:textId="77777777" w:rsidR="00077DD2" w:rsidRPr="00C3382B" w:rsidRDefault="00077DD2" w:rsidP="00077DD2">
      <w:pPr>
        <w:rPr>
          <w:rFonts w:eastAsiaTheme="minorHAnsi" w:cs="Arial"/>
        </w:rPr>
        <w:sectPr w:rsidR="00077DD2" w:rsidRPr="00C3382B" w:rsidSect="00A0487A">
          <w:pgSz w:w="15840" w:h="12240" w:orient="landscape"/>
          <w:pgMar w:top="1440" w:right="1440" w:bottom="1440" w:left="1440" w:header="720" w:footer="720" w:gutter="0"/>
          <w:cols w:space="720"/>
          <w:docGrid w:linePitch="360"/>
        </w:sectPr>
      </w:pPr>
    </w:p>
    <w:p w14:paraId="20B19B48" w14:textId="74309AD1" w:rsidR="00E8383C" w:rsidRPr="005147E0" w:rsidRDefault="00122BFE" w:rsidP="005147E0">
      <w:pPr>
        <w:pStyle w:val="Heading2"/>
        <w:rPr>
          <w:rFonts w:eastAsia="Calibri"/>
        </w:rPr>
      </w:pPr>
      <w:bookmarkStart w:id="49" w:name="_Toc158883519"/>
      <w:r w:rsidRPr="00EE1A0F">
        <w:rPr>
          <w:rFonts w:eastAsia="Calibri"/>
        </w:rPr>
        <w:lastRenderedPageBreak/>
        <w:t>Appendix F: 2021–22 A</w:t>
      </w:r>
      <w:r w:rsidR="004025DB">
        <w:rPr>
          <w:rFonts w:eastAsia="Calibri"/>
        </w:rPr>
        <w:t xml:space="preserve">cademic </w:t>
      </w:r>
      <w:r w:rsidRPr="00EE1A0F">
        <w:rPr>
          <w:rFonts w:eastAsia="Calibri"/>
        </w:rPr>
        <w:t>Y</w:t>
      </w:r>
      <w:r w:rsidR="004025DB">
        <w:rPr>
          <w:rFonts w:eastAsia="Calibri"/>
        </w:rPr>
        <w:t>ear (AY)</w:t>
      </w:r>
      <w:r w:rsidRPr="00EE1A0F">
        <w:rPr>
          <w:rFonts w:eastAsia="Calibri"/>
        </w:rPr>
        <w:t xml:space="preserve"> Non–C</w:t>
      </w:r>
      <w:r w:rsidR="004025DB">
        <w:rPr>
          <w:rFonts w:eastAsia="Calibri"/>
        </w:rPr>
        <w:t xml:space="preserve">areer </w:t>
      </w:r>
      <w:r w:rsidRPr="00EE1A0F">
        <w:rPr>
          <w:rFonts w:eastAsia="Calibri"/>
        </w:rPr>
        <w:t>T</w:t>
      </w:r>
      <w:r w:rsidR="004025DB">
        <w:rPr>
          <w:rFonts w:eastAsia="Calibri"/>
        </w:rPr>
        <w:t xml:space="preserve">echnical </w:t>
      </w:r>
      <w:r w:rsidRPr="00EE1A0F">
        <w:rPr>
          <w:rFonts w:eastAsia="Calibri"/>
        </w:rPr>
        <w:t>E</w:t>
      </w:r>
      <w:r w:rsidR="004025DB">
        <w:rPr>
          <w:rFonts w:eastAsia="Calibri"/>
        </w:rPr>
        <w:t xml:space="preserve">ducation </w:t>
      </w:r>
      <w:r w:rsidRPr="00EE1A0F">
        <w:rPr>
          <w:rFonts w:eastAsia="Calibri"/>
        </w:rPr>
        <w:t>I</w:t>
      </w:r>
      <w:r w:rsidR="004025DB">
        <w:rPr>
          <w:rFonts w:eastAsia="Calibri"/>
        </w:rPr>
        <w:t xml:space="preserve">ncentive </w:t>
      </w:r>
      <w:r w:rsidRPr="00EE1A0F">
        <w:rPr>
          <w:rFonts w:eastAsia="Calibri"/>
        </w:rPr>
        <w:t>G</w:t>
      </w:r>
      <w:r w:rsidR="004025DB">
        <w:rPr>
          <w:rFonts w:eastAsia="Calibri"/>
        </w:rPr>
        <w:t>rant (CTEIG)</w:t>
      </w:r>
      <w:r w:rsidRPr="00EE1A0F">
        <w:rPr>
          <w:rFonts w:eastAsia="Calibri"/>
        </w:rPr>
        <w:t xml:space="preserve"> Graduation Rates by Race</w:t>
      </w:r>
      <w:r w:rsidR="005147E0">
        <w:rPr>
          <w:rFonts w:eastAsia="Calibri"/>
        </w:rPr>
        <w:br/>
      </w:r>
      <w:r w:rsidRPr="00EE1A0F">
        <w:rPr>
          <w:rFonts w:eastAsia="Calibri"/>
        </w:rPr>
        <w:t xml:space="preserve">2021–22 </w:t>
      </w:r>
      <w:r w:rsidR="00A408A6" w:rsidRPr="00EE1A0F">
        <w:rPr>
          <w:rFonts w:eastAsia="Calibri"/>
        </w:rPr>
        <w:t xml:space="preserve">AY </w:t>
      </w:r>
      <w:r w:rsidRPr="00EE1A0F">
        <w:rPr>
          <w:rFonts w:eastAsia="Calibri"/>
        </w:rPr>
        <w:t xml:space="preserve">Graduation Rates among Non–CTEIG </w:t>
      </w:r>
      <w:r w:rsidR="000B4474" w:rsidRPr="00EE1A0F">
        <w:rPr>
          <w:rFonts w:eastAsia="Calibri"/>
        </w:rPr>
        <w:t>students</w:t>
      </w:r>
      <w:r w:rsidRPr="00EE1A0F">
        <w:rPr>
          <w:rFonts w:eastAsia="Calibri"/>
        </w:rPr>
        <w:t xml:space="preserve"> (All 4 years of cohort)</w:t>
      </w:r>
      <w:bookmarkEnd w:id="49"/>
    </w:p>
    <w:tbl>
      <w:tblPr>
        <w:tblStyle w:val="GridTable41"/>
        <w:tblW w:w="14035" w:type="dxa"/>
        <w:tblInd w:w="-540" w:type="dxa"/>
        <w:tblLayout w:type="fixed"/>
        <w:tblLook w:val="04A0" w:firstRow="1" w:lastRow="0" w:firstColumn="1" w:lastColumn="0" w:noHBand="0" w:noVBand="1"/>
        <w:tblDescription w:val="21-22 Non-CTEIG Graduation Rates by Race"/>
      </w:tblPr>
      <w:tblGrid>
        <w:gridCol w:w="1525"/>
        <w:gridCol w:w="1620"/>
        <w:gridCol w:w="1620"/>
        <w:gridCol w:w="1530"/>
        <w:gridCol w:w="1530"/>
        <w:gridCol w:w="1530"/>
        <w:gridCol w:w="1530"/>
        <w:gridCol w:w="1530"/>
        <w:gridCol w:w="1620"/>
      </w:tblGrid>
      <w:tr w:rsidR="00A408A6" w14:paraId="2C84D325" w14:textId="77777777" w:rsidTr="00FD3A2C">
        <w:trPr>
          <w:cnfStyle w:val="100000000000" w:firstRow="1" w:lastRow="0" w:firstColumn="0" w:lastColumn="0" w:oddVBand="0" w:evenVBand="0" w:oddHBand="0" w:evenHBand="0" w:firstRowFirstColumn="0" w:firstRowLastColumn="0" w:lastRowFirstColumn="0" w:lastRowLastColumn="0"/>
          <w:cantSplit/>
          <w:trHeight w:val="965"/>
          <w:tblHeader/>
        </w:trPr>
        <w:tc>
          <w:tcPr>
            <w:cnfStyle w:val="001000000000" w:firstRow="0" w:lastRow="0" w:firstColumn="1" w:lastColumn="0" w:oddVBand="0" w:evenVBand="0" w:oddHBand="0" w:evenHBand="0" w:firstRowFirstColumn="0" w:firstRowLastColumn="0" w:lastRowFirstColumn="0" w:lastRowLastColumn="0"/>
            <w:tcW w:w="0" w:type="dxa"/>
            <w:hideMark/>
          </w:tcPr>
          <w:p w14:paraId="6D2AE0DF" w14:textId="078CDE35" w:rsidR="00AC4BB7" w:rsidRPr="005B2FEB" w:rsidRDefault="00204B74" w:rsidP="00204B74">
            <w:pPr>
              <w:rPr>
                <w:rFonts w:cs="Arial"/>
                <w:color w:val="FFFFFF" w:themeColor="background1"/>
              </w:rPr>
            </w:pPr>
            <w:r w:rsidRPr="005B2FEB">
              <w:rPr>
                <w:rFonts w:cs="Arial"/>
                <w:color w:val="FFFFFF" w:themeColor="background1"/>
              </w:rPr>
              <w:t>Ethnicity</w:t>
            </w:r>
          </w:p>
        </w:tc>
        <w:tc>
          <w:tcPr>
            <w:tcW w:w="0" w:type="dxa"/>
            <w:hideMark/>
          </w:tcPr>
          <w:p w14:paraId="2101BDBB" w14:textId="0B14480F" w:rsidR="00AC4BB7" w:rsidRPr="005B2FEB" w:rsidRDefault="00AE03C8" w:rsidP="00204B74">
            <w:pPr>
              <w:ind w:right="-250"/>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Non-Career</w:t>
            </w:r>
            <w:r w:rsidR="00131067">
              <w:rPr>
                <w:rFonts w:cs="Arial"/>
                <w:color w:val="FFFFFF" w:themeColor="background1"/>
              </w:rPr>
              <w:t xml:space="preserve"> </w:t>
            </w:r>
            <w:r w:rsidR="00AC4BB7" w:rsidRPr="005B2FEB">
              <w:rPr>
                <w:rFonts w:cs="Arial"/>
                <w:color w:val="FFFFFF" w:themeColor="background1"/>
              </w:rPr>
              <w:t>T</w:t>
            </w:r>
            <w:r w:rsidR="00131067">
              <w:rPr>
                <w:rFonts w:cs="Arial"/>
                <w:color w:val="FFFFFF" w:themeColor="background1"/>
              </w:rPr>
              <w:t xml:space="preserve">echnical </w:t>
            </w:r>
            <w:r w:rsidR="00AC4BB7" w:rsidRPr="005B2FEB">
              <w:rPr>
                <w:rFonts w:cs="Arial"/>
                <w:color w:val="FFFFFF" w:themeColor="background1"/>
              </w:rPr>
              <w:t>E</w:t>
            </w:r>
            <w:r w:rsidR="00131067">
              <w:rPr>
                <w:rFonts w:cs="Arial"/>
                <w:color w:val="FFFFFF" w:themeColor="background1"/>
              </w:rPr>
              <w:t>ducation (CTE)</w:t>
            </w:r>
            <w:r w:rsidR="00AC4BB7" w:rsidRPr="005B2FEB">
              <w:rPr>
                <w:rFonts w:cs="Arial"/>
                <w:color w:val="FFFFFF" w:themeColor="background1"/>
              </w:rPr>
              <w:t xml:space="preserve"> Participants</w:t>
            </w:r>
            <w:r w:rsidR="005B2FEB">
              <w:rPr>
                <w:rFonts w:cs="Arial"/>
                <w:color w:val="FFFFFF" w:themeColor="background1"/>
              </w:rPr>
              <w:t xml:space="preserve"> Cohort Counts</w:t>
            </w:r>
          </w:p>
        </w:tc>
        <w:tc>
          <w:tcPr>
            <w:tcW w:w="0" w:type="dxa"/>
            <w:hideMark/>
          </w:tcPr>
          <w:p w14:paraId="5AD86601" w14:textId="3DC78C26" w:rsidR="00AC4BB7" w:rsidRPr="005B2FEB" w:rsidRDefault="00AC4BB7" w:rsidP="00204B74">
            <w:pPr>
              <w:ind w:left="-110" w:right="-250"/>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CTE Participants Single</w:t>
            </w:r>
            <w:r w:rsidR="005B2FEB">
              <w:rPr>
                <w:rFonts w:cs="Arial"/>
                <w:color w:val="FFFFFF" w:themeColor="background1"/>
              </w:rPr>
              <w:t xml:space="preserve"> Cohort Counts</w:t>
            </w:r>
          </w:p>
        </w:tc>
        <w:tc>
          <w:tcPr>
            <w:tcW w:w="0" w:type="dxa"/>
            <w:hideMark/>
          </w:tcPr>
          <w:p w14:paraId="3ACE219C" w14:textId="7DCA9D4F" w:rsidR="00AC4BB7" w:rsidRPr="005B2FEB" w:rsidRDefault="00AC4BB7" w:rsidP="00204B74">
            <w:pPr>
              <w:ind w:right="-250"/>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CTE Participants Dabblers</w:t>
            </w:r>
            <w:r w:rsidR="005B2FEB">
              <w:rPr>
                <w:rFonts w:cs="Arial"/>
                <w:color w:val="FFFFFF" w:themeColor="background1"/>
              </w:rPr>
              <w:t xml:space="preserve"> Cohort Counts</w:t>
            </w:r>
          </w:p>
        </w:tc>
        <w:tc>
          <w:tcPr>
            <w:tcW w:w="0" w:type="dxa"/>
            <w:hideMark/>
          </w:tcPr>
          <w:p w14:paraId="10EC3112" w14:textId="017D301D" w:rsidR="00AC4BB7" w:rsidRPr="005B2FEB" w:rsidRDefault="00AC4BB7" w:rsidP="00204B74">
            <w:pPr>
              <w:ind w:right="-250"/>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CTE Completers</w:t>
            </w:r>
            <w:r w:rsidR="005B2FEB">
              <w:rPr>
                <w:rFonts w:cs="Arial"/>
                <w:color w:val="FFFFFF" w:themeColor="background1"/>
              </w:rPr>
              <w:t xml:space="preserve"> Cohort Counts</w:t>
            </w:r>
          </w:p>
        </w:tc>
        <w:tc>
          <w:tcPr>
            <w:tcW w:w="0" w:type="dxa"/>
            <w:hideMark/>
          </w:tcPr>
          <w:p w14:paraId="50233962" w14:textId="7FE358B6" w:rsidR="00AC4BB7" w:rsidRPr="005B2FEB" w:rsidRDefault="00AC4BB7" w:rsidP="00204B74">
            <w:pPr>
              <w:ind w:right="-250"/>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Non CTE Participants</w:t>
            </w:r>
            <w:r w:rsidR="00132D5F">
              <w:rPr>
                <w:rFonts w:cs="Arial"/>
                <w:color w:val="FFFFFF" w:themeColor="background1"/>
              </w:rPr>
              <w:t xml:space="preserve"> </w:t>
            </w:r>
            <w:r w:rsidR="00452C25">
              <w:rPr>
                <w:rFonts w:cs="Arial"/>
                <w:color w:val="FFFFFF" w:themeColor="background1"/>
              </w:rPr>
              <w:t>Graduation</w:t>
            </w:r>
            <w:r w:rsidR="00132D5F">
              <w:rPr>
                <w:rFonts w:cs="Arial"/>
                <w:color w:val="FFFFFF" w:themeColor="background1"/>
              </w:rPr>
              <w:t xml:space="preserve"> Rate</w:t>
            </w:r>
          </w:p>
        </w:tc>
        <w:tc>
          <w:tcPr>
            <w:tcW w:w="0" w:type="dxa"/>
            <w:hideMark/>
          </w:tcPr>
          <w:p w14:paraId="725D4721" w14:textId="54AE8661" w:rsidR="00AC4BB7" w:rsidRPr="005B2FEB" w:rsidRDefault="00AC4BB7" w:rsidP="00204B74">
            <w:pPr>
              <w:ind w:right="-250"/>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CTE Participants Single</w:t>
            </w:r>
            <w:r w:rsidR="00132D5F">
              <w:rPr>
                <w:rFonts w:cs="Arial"/>
                <w:color w:val="FFFFFF" w:themeColor="background1"/>
              </w:rPr>
              <w:t xml:space="preserve"> </w:t>
            </w:r>
            <w:r w:rsidR="00452C25">
              <w:rPr>
                <w:rFonts w:cs="Arial"/>
                <w:color w:val="FFFFFF" w:themeColor="background1"/>
              </w:rPr>
              <w:t>Graduation</w:t>
            </w:r>
            <w:r w:rsidR="00132D5F">
              <w:rPr>
                <w:rFonts w:cs="Arial"/>
                <w:color w:val="FFFFFF" w:themeColor="background1"/>
              </w:rPr>
              <w:t xml:space="preserve"> Rate</w:t>
            </w:r>
          </w:p>
        </w:tc>
        <w:tc>
          <w:tcPr>
            <w:tcW w:w="0" w:type="dxa"/>
            <w:hideMark/>
          </w:tcPr>
          <w:p w14:paraId="7F7EB7B8" w14:textId="046021FD" w:rsidR="00AC4BB7" w:rsidRPr="005B2FEB" w:rsidRDefault="00AC4BB7" w:rsidP="00204B74">
            <w:pPr>
              <w:ind w:right="-250"/>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CTE Participants Dabblers</w:t>
            </w:r>
            <w:r w:rsidR="00132D5F">
              <w:rPr>
                <w:rFonts w:cs="Arial"/>
                <w:color w:val="FFFFFF" w:themeColor="background1"/>
              </w:rPr>
              <w:t xml:space="preserve"> </w:t>
            </w:r>
            <w:r w:rsidR="00452C25">
              <w:rPr>
                <w:rFonts w:cs="Arial"/>
                <w:color w:val="FFFFFF" w:themeColor="background1"/>
              </w:rPr>
              <w:t>Graduation</w:t>
            </w:r>
            <w:r w:rsidR="00132D5F">
              <w:rPr>
                <w:rFonts w:cs="Arial"/>
                <w:color w:val="FFFFFF" w:themeColor="background1"/>
              </w:rPr>
              <w:t xml:space="preserve"> Rate</w:t>
            </w:r>
          </w:p>
        </w:tc>
        <w:tc>
          <w:tcPr>
            <w:tcW w:w="0" w:type="dxa"/>
            <w:hideMark/>
          </w:tcPr>
          <w:p w14:paraId="3B5AFC10" w14:textId="61FCCA49" w:rsidR="00AC4BB7" w:rsidRPr="005B2FEB" w:rsidRDefault="00AC4BB7" w:rsidP="00204B74">
            <w:pPr>
              <w:ind w:right="-250"/>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CTE Completers</w:t>
            </w:r>
            <w:r w:rsidR="00132D5F">
              <w:rPr>
                <w:rFonts w:cs="Arial"/>
                <w:color w:val="FFFFFF" w:themeColor="background1"/>
              </w:rPr>
              <w:t xml:space="preserve"> </w:t>
            </w:r>
            <w:r w:rsidR="00452C25">
              <w:rPr>
                <w:rFonts w:cs="Arial"/>
                <w:color w:val="FFFFFF" w:themeColor="background1"/>
              </w:rPr>
              <w:t>Graduation</w:t>
            </w:r>
            <w:r w:rsidR="00132D5F">
              <w:rPr>
                <w:rFonts w:cs="Arial"/>
                <w:color w:val="FFFFFF" w:themeColor="background1"/>
              </w:rPr>
              <w:t xml:space="preserve"> Rate</w:t>
            </w:r>
          </w:p>
        </w:tc>
      </w:tr>
      <w:tr w:rsidR="003F11AD" w14:paraId="1A51A03E" w14:textId="77777777" w:rsidTr="009B6051">
        <w:trPr>
          <w:cnfStyle w:val="000000100000" w:firstRow="0" w:lastRow="0" w:firstColumn="0" w:lastColumn="0" w:oddVBand="0" w:evenVBand="0" w:oddHBand="1" w:evenHBand="0" w:firstRowFirstColumn="0" w:firstRowLastColumn="0" w:lastRowFirstColumn="0" w:lastRowLastColumn="0"/>
          <w:cantSplit/>
          <w:trHeight w:val="659"/>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hideMark/>
          </w:tcPr>
          <w:p w14:paraId="7EA50A67" w14:textId="77777777" w:rsidR="00AC4BB7" w:rsidRPr="00DC03B7" w:rsidRDefault="00AC4BB7">
            <w:pPr>
              <w:rPr>
                <w:rFonts w:cs="Arial"/>
                <w:color w:val="000000"/>
              </w:rPr>
            </w:pPr>
            <w:r w:rsidRPr="00DC03B7">
              <w:rPr>
                <w:rFonts w:cs="Arial"/>
                <w:color w:val="000000"/>
              </w:rPr>
              <w:t>Native American/Alaska Native</w:t>
            </w:r>
          </w:p>
        </w:tc>
        <w:tc>
          <w:tcPr>
            <w:tcW w:w="1620" w:type="dxa"/>
            <w:shd w:val="clear" w:color="auto" w:fill="auto"/>
            <w:noWrap/>
            <w:hideMark/>
          </w:tcPr>
          <w:p w14:paraId="1C8D1B10"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269</w:t>
            </w:r>
          </w:p>
        </w:tc>
        <w:tc>
          <w:tcPr>
            <w:tcW w:w="1620" w:type="dxa"/>
            <w:shd w:val="clear" w:color="auto" w:fill="auto"/>
            <w:noWrap/>
            <w:hideMark/>
          </w:tcPr>
          <w:p w14:paraId="6C540236" w14:textId="77777777" w:rsidR="00AC4BB7" w:rsidRPr="00DC03B7" w:rsidRDefault="00AC4BB7" w:rsidP="00124792">
            <w:pPr>
              <w:ind w:hanging="2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140</w:t>
            </w:r>
          </w:p>
        </w:tc>
        <w:tc>
          <w:tcPr>
            <w:tcW w:w="1530" w:type="dxa"/>
            <w:shd w:val="clear" w:color="auto" w:fill="auto"/>
            <w:noWrap/>
            <w:hideMark/>
          </w:tcPr>
          <w:p w14:paraId="6DE5C3CE"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156</w:t>
            </w:r>
          </w:p>
        </w:tc>
        <w:tc>
          <w:tcPr>
            <w:tcW w:w="1530" w:type="dxa"/>
            <w:shd w:val="clear" w:color="auto" w:fill="auto"/>
            <w:noWrap/>
            <w:hideMark/>
          </w:tcPr>
          <w:p w14:paraId="2295AF26"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36</w:t>
            </w:r>
          </w:p>
        </w:tc>
        <w:tc>
          <w:tcPr>
            <w:tcW w:w="1530" w:type="dxa"/>
            <w:shd w:val="clear" w:color="auto" w:fill="auto"/>
            <w:noWrap/>
            <w:hideMark/>
          </w:tcPr>
          <w:p w14:paraId="636CFB47" w14:textId="52DB8B29"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54.6</w:t>
            </w:r>
            <w:r w:rsidR="00132D5F">
              <w:rPr>
                <w:rFonts w:cs="Arial"/>
                <w:color w:val="000000"/>
              </w:rPr>
              <w:t>%</w:t>
            </w:r>
          </w:p>
        </w:tc>
        <w:tc>
          <w:tcPr>
            <w:tcW w:w="1530" w:type="dxa"/>
            <w:shd w:val="clear" w:color="auto" w:fill="auto"/>
            <w:noWrap/>
            <w:hideMark/>
          </w:tcPr>
          <w:p w14:paraId="66F0AEA7" w14:textId="4B76896C"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70.7</w:t>
            </w:r>
            <w:r w:rsidR="00132D5F">
              <w:rPr>
                <w:rFonts w:cs="Arial"/>
                <w:color w:val="000000"/>
              </w:rPr>
              <w:t>%</w:t>
            </w:r>
          </w:p>
        </w:tc>
        <w:tc>
          <w:tcPr>
            <w:tcW w:w="1530" w:type="dxa"/>
            <w:shd w:val="clear" w:color="auto" w:fill="auto"/>
            <w:noWrap/>
            <w:hideMark/>
          </w:tcPr>
          <w:p w14:paraId="3A693108" w14:textId="1D82D2CC"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80.1</w:t>
            </w:r>
            <w:r w:rsidR="00132D5F">
              <w:rPr>
                <w:rFonts w:cs="Arial"/>
                <w:color w:val="000000"/>
              </w:rPr>
              <w:t>%</w:t>
            </w:r>
          </w:p>
        </w:tc>
        <w:tc>
          <w:tcPr>
            <w:tcW w:w="1620" w:type="dxa"/>
            <w:shd w:val="clear" w:color="auto" w:fill="auto"/>
            <w:noWrap/>
            <w:hideMark/>
          </w:tcPr>
          <w:p w14:paraId="708ADD1D" w14:textId="3EDD986D"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94.4</w:t>
            </w:r>
            <w:r w:rsidR="00132D5F">
              <w:rPr>
                <w:rFonts w:cs="Arial"/>
                <w:color w:val="000000"/>
              </w:rPr>
              <w:t>%</w:t>
            </w:r>
          </w:p>
        </w:tc>
      </w:tr>
      <w:tr w:rsidR="00A408A6" w14:paraId="625440DB" w14:textId="77777777" w:rsidTr="009B6051">
        <w:trPr>
          <w:cantSplit/>
          <w:trHeight w:val="591"/>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noWrap/>
            <w:hideMark/>
          </w:tcPr>
          <w:p w14:paraId="487D23FE" w14:textId="77777777" w:rsidR="00AC4BB7" w:rsidRPr="00DC03B7" w:rsidRDefault="00AC4BB7">
            <w:pPr>
              <w:rPr>
                <w:rFonts w:cs="Arial"/>
                <w:color w:val="000000"/>
              </w:rPr>
            </w:pPr>
            <w:r w:rsidRPr="00DC03B7">
              <w:rPr>
                <w:rFonts w:cs="Arial"/>
                <w:color w:val="000000"/>
              </w:rPr>
              <w:t>Asian</w:t>
            </w:r>
          </w:p>
        </w:tc>
        <w:tc>
          <w:tcPr>
            <w:tcW w:w="1620" w:type="dxa"/>
            <w:shd w:val="clear" w:color="auto" w:fill="auto"/>
            <w:noWrap/>
            <w:hideMark/>
          </w:tcPr>
          <w:p w14:paraId="03DAAD54"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2,300</w:t>
            </w:r>
          </w:p>
        </w:tc>
        <w:tc>
          <w:tcPr>
            <w:tcW w:w="1620" w:type="dxa"/>
            <w:shd w:val="clear" w:color="auto" w:fill="auto"/>
            <w:noWrap/>
            <w:hideMark/>
          </w:tcPr>
          <w:p w14:paraId="77383220"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824</w:t>
            </w:r>
          </w:p>
        </w:tc>
        <w:tc>
          <w:tcPr>
            <w:tcW w:w="1530" w:type="dxa"/>
            <w:shd w:val="clear" w:color="auto" w:fill="auto"/>
            <w:noWrap/>
            <w:hideMark/>
          </w:tcPr>
          <w:p w14:paraId="41E7E1D2"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777</w:t>
            </w:r>
          </w:p>
        </w:tc>
        <w:tc>
          <w:tcPr>
            <w:tcW w:w="1530" w:type="dxa"/>
            <w:shd w:val="clear" w:color="auto" w:fill="auto"/>
            <w:noWrap/>
            <w:hideMark/>
          </w:tcPr>
          <w:p w14:paraId="77CF1A37"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354</w:t>
            </w:r>
          </w:p>
        </w:tc>
        <w:tc>
          <w:tcPr>
            <w:tcW w:w="1530" w:type="dxa"/>
            <w:shd w:val="clear" w:color="auto" w:fill="auto"/>
            <w:noWrap/>
            <w:hideMark/>
          </w:tcPr>
          <w:p w14:paraId="5F2DA385" w14:textId="562D6FE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85.2</w:t>
            </w:r>
            <w:r w:rsidR="00132D5F">
              <w:rPr>
                <w:rFonts w:cs="Arial"/>
                <w:color w:val="000000"/>
              </w:rPr>
              <w:t>%</w:t>
            </w:r>
          </w:p>
        </w:tc>
        <w:tc>
          <w:tcPr>
            <w:tcW w:w="1530" w:type="dxa"/>
            <w:shd w:val="clear" w:color="auto" w:fill="auto"/>
            <w:noWrap/>
            <w:hideMark/>
          </w:tcPr>
          <w:p w14:paraId="74E702C0" w14:textId="282AD6BF"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92.1</w:t>
            </w:r>
            <w:r w:rsidR="00132D5F">
              <w:rPr>
                <w:rFonts w:cs="Arial"/>
                <w:color w:val="000000"/>
              </w:rPr>
              <w:t>%</w:t>
            </w:r>
          </w:p>
        </w:tc>
        <w:tc>
          <w:tcPr>
            <w:tcW w:w="1530" w:type="dxa"/>
            <w:shd w:val="clear" w:color="auto" w:fill="auto"/>
            <w:noWrap/>
            <w:hideMark/>
          </w:tcPr>
          <w:p w14:paraId="5D616CFE" w14:textId="0E7D3176"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93.8</w:t>
            </w:r>
            <w:r w:rsidR="00132D5F">
              <w:rPr>
                <w:rFonts w:cs="Arial"/>
                <w:color w:val="000000"/>
              </w:rPr>
              <w:t>%</w:t>
            </w:r>
          </w:p>
        </w:tc>
        <w:tc>
          <w:tcPr>
            <w:tcW w:w="1620" w:type="dxa"/>
            <w:shd w:val="clear" w:color="auto" w:fill="auto"/>
            <w:noWrap/>
            <w:hideMark/>
          </w:tcPr>
          <w:p w14:paraId="7D9F462E" w14:textId="73DF27B3"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98.9</w:t>
            </w:r>
            <w:r w:rsidR="00132D5F">
              <w:rPr>
                <w:rFonts w:cs="Arial"/>
                <w:color w:val="000000"/>
              </w:rPr>
              <w:t>%</w:t>
            </w:r>
          </w:p>
        </w:tc>
      </w:tr>
      <w:tr w:rsidR="003F11AD" w14:paraId="23D6D9B1" w14:textId="77777777" w:rsidTr="009B6051">
        <w:trPr>
          <w:cnfStyle w:val="000000100000" w:firstRow="0" w:lastRow="0" w:firstColumn="0" w:lastColumn="0" w:oddVBand="0" w:evenVBand="0" w:oddHBand="1" w:evenHBand="0" w:firstRowFirstColumn="0" w:firstRowLastColumn="0" w:lastRowFirstColumn="0" w:lastRowLastColumn="0"/>
          <w:cantSplit/>
          <w:trHeight w:val="591"/>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noWrap/>
            <w:hideMark/>
          </w:tcPr>
          <w:p w14:paraId="5548EBFF" w14:textId="77777777" w:rsidR="00AC4BB7" w:rsidRPr="00DC03B7" w:rsidRDefault="00AC4BB7">
            <w:pPr>
              <w:rPr>
                <w:rFonts w:cs="Arial"/>
                <w:color w:val="000000"/>
              </w:rPr>
            </w:pPr>
            <w:r w:rsidRPr="00DC03B7">
              <w:rPr>
                <w:rFonts w:cs="Arial"/>
                <w:color w:val="000000"/>
              </w:rPr>
              <w:t>Black</w:t>
            </w:r>
          </w:p>
        </w:tc>
        <w:tc>
          <w:tcPr>
            <w:tcW w:w="1620" w:type="dxa"/>
            <w:shd w:val="clear" w:color="auto" w:fill="auto"/>
            <w:noWrap/>
            <w:hideMark/>
          </w:tcPr>
          <w:p w14:paraId="699278B1"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2,854</w:t>
            </w:r>
          </w:p>
        </w:tc>
        <w:tc>
          <w:tcPr>
            <w:tcW w:w="1620" w:type="dxa"/>
            <w:shd w:val="clear" w:color="auto" w:fill="auto"/>
            <w:noWrap/>
            <w:hideMark/>
          </w:tcPr>
          <w:p w14:paraId="332CFD16"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940</w:t>
            </w:r>
          </w:p>
        </w:tc>
        <w:tc>
          <w:tcPr>
            <w:tcW w:w="1530" w:type="dxa"/>
            <w:shd w:val="clear" w:color="auto" w:fill="auto"/>
            <w:noWrap/>
            <w:hideMark/>
          </w:tcPr>
          <w:p w14:paraId="5FF60636"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755</w:t>
            </w:r>
          </w:p>
        </w:tc>
        <w:tc>
          <w:tcPr>
            <w:tcW w:w="1530" w:type="dxa"/>
            <w:shd w:val="clear" w:color="auto" w:fill="auto"/>
            <w:noWrap/>
            <w:hideMark/>
          </w:tcPr>
          <w:p w14:paraId="7C5941EB"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184</w:t>
            </w:r>
          </w:p>
        </w:tc>
        <w:tc>
          <w:tcPr>
            <w:tcW w:w="1530" w:type="dxa"/>
            <w:shd w:val="clear" w:color="auto" w:fill="auto"/>
            <w:noWrap/>
            <w:hideMark/>
          </w:tcPr>
          <w:p w14:paraId="0742E1B1" w14:textId="5302E1D5"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51.4</w:t>
            </w:r>
            <w:r w:rsidR="00132D5F">
              <w:rPr>
                <w:rFonts w:cs="Arial"/>
                <w:color w:val="000000"/>
              </w:rPr>
              <w:t>%</w:t>
            </w:r>
          </w:p>
        </w:tc>
        <w:tc>
          <w:tcPr>
            <w:tcW w:w="1530" w:type="dxa"/>
            <w:shd w:val="clear" w:color="auto" w:fill="auto"/>
            <w:noWrap/>
            <w:hideMark/>
          </w:tcPr>
          <w:p w14:paraId="2BD8E698" w14:textId="309E801F"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57.6</w:t>
            </w:r>
            <w:r w:rsidR="00132D5F">
              <w:rPr>
                <w:rFonts w:cs="Arial"/>
                <w:color w:val="000000"/>
              </w:rPr>
              <w:t>%</w:t>
            </w:r>
          </w:p>
        </w:tc>
        <w:tc>
          <w:tcPr>
            <w:tcW w:w="1530" w:type="dxa"/>
            <w:shd w:val="clear" w:color="auto" w:fill="auto"/>
            <w:noWrap/>
            <w:hideMark/>
          </w:tcPr>
          <w:p w14:paraId="3B131DE6" w14:textId="4BA5F3A3"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78.9</w:t>
            </w:r>
            <w:r w:rsidR="00132D5F">
              <w:rPr>
                <w:rFonts w:cs="Arial"/>
                <w:color w:val="000000"/>
              </w:rPr>
              <w:t>%</w:t>
            </w:r>
          </w:p>
        </w:tc>
        <w:tc>
          <w:tcPr>
            <w:tcW w:w="1620" w:type="dxa"/>
            <w:shd w:val="clear" w:color="auto" w:fill="auto"/>
            <w:noWrap/>
            <w:hideMark/>
          </w:tcPr>
          <w:p w14:paraId="676EE1BC" w14:textId="38808DE8"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89.7</w:t>
            </w:r>
            <w:r w:rsidR="00132D5F">
              <w:rPr>
                <w:rFonts w:cs="Arial"/>
                <w:color w:val="000000"/>
              </w:rPr>
              <w:t>%</w:t>
            </w:r>
          </w:p>
        </w:tc>
      </w:tr>
      <w:tr w:rsidR="00A408A6" w14:paraId="5F300B45" w14:textId="77777777" w:rsidTr="009B6051">
        <w:trPr>
          <w:cantSplit/>
          <w:trHeight w:val="678"/>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noWrap/>
            <w:hideMark/>
          </w:tcPr>
          <w:p w14:paraId="046A2077" w14:textId="77777777" w:rsidR="00AC4BB7" w:rsidRPr="00DC03B7" w:rsidRDefault="00AC4BB7">
            <w:pPr>
              <w:rPr>
                <w:rFonts w:cs="Arial"/>
                <w:color w:val="000000"/>
              </w:rPr>
            </w:pPr>
            <w:r w:rsidRPr="00DC03B7">
              <w:rPr>
                <w:rFonts w:cs="Arial"/>
                <w:color w:val="000000"/>
              </w:rPr>
              <w:t>Hispanic</w:t>
            </w:r>
          </w:p>
        </w:tc>
        <w:tc>
          <w:tcPr>
            <w:tcW w:w="1620" w:type="dxa"/>
            <w:shd w:val="clear" w:color="auto" w:fill="auto"/>
            <w:noWrap/>
            <w:hideMark/>
          </w:tcPr>
          <w:p w14:paraId="766C1B71"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22,551</w:t>
            </w:r>
          </w:p>
        </w:tc>
        <w:tc>
          <w:tcPr>
            <w:tcW w:w="1620" w:type="dxa"/>
            <w:shd w:val="clear" w:color="auto" w:fill="auto"/>
            <w:noWrap/>
            <w:hideMark/>
          </w:tcPr>
          <w:p w14:paraId="2C65B051"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7,320</w:t>
            </w:r>
          </w:p>
        </w:tc>
        <w:tc>
          <w:tcPr>
            <w:tcW w:w="1530" w:type="dxa"/>
            <w:shd w:val="clear" w:color="auto" w:fill="auto"/>
            <w:noWrap/>
            <w:hideMark/>
          </w:tcPr>
          <w:p w14:paraId="5429ED6A"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7,411</w:t>
            </w:r>
          </w:p>
        </w:tc>
        <w:tc>
          <w:tcPr>
            <w:tcW w:w="1530" w:type="dxa"/>
            <w:shd w:val="clear" w:color="auto" w:fill="auto"/>
            <w:noWrap/>
            <w:hideMark/>
          </w:tcPr>
          <w:p w14:paraId="6785DB1D"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1,948</w:t>
            </w:r>
          </w:p>
        </w:tc>
        <w:tc>
          <w:tcPr>
            <w:tcW w:w="1530" w:type="dxa"/>
            <w:shd w:val="clear" w:color="auto" w:fill="auto"/>
            <w:noWrap/>
            <w:hideMark/>
          </w:tcPr>
          <w:p w14:paraId="1533DF0C" w14:textId="36D0C104"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64.8</w:t>
            </w:r>
            <w:r w:rsidR="00132D5F">
              <w:rPr>
                <w:rFonts w:cs="Arial"/>
                <w:color w:val="000000"/>
              </w:rPr>
              <w:t>%</w:t>
            </w:r>
          </w:p>
        </w:tc>
        <w:tc>
          <w:tcPr>
            <w:tcW w:w="1530" w:type="dxa"/>
            <w:shd w:val="clear" w:color="auto" w:fill="auto"/>
            <w:noWrap/>
            <w:hideMark/>
          </w:tcPr>
          <w:p w14:paraId="02009E57" w14:textId="0189981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66.0</w:t>
            </w:r>
            <w:r w:rsidR="00132D5F">
              <w:rPr>
                <w:rFonts w:cs="Arial"/>
                <w:color w:val="000000"/>
              </w:rPr>
              <w:t>%</w:t>
            </w:r>
          </w:p>
        </w:tc>
        <w:tc>
          <w:tcPr>
            <w:tcW w:w="1530" w:type="dxa"/>
            <w:shd w:val="clear" w:color="auto" w:fill="auto"/>
            <w:noWrap/>
            <w:hideMark/>
          </w:tcPr>
          <w:p w14:paraId="6CC70DF3" w14:textId="169C5179"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81.8</w:t>
            </w:r>
            <w:r w:rsidR="00132D5F">
              <w:rPr>
                <w:rFonts w:cs="Arial"/>
                <w:color w:val="000000"/>
              </w:rPr>
              <w:t>%</w:t>
            </w:r>
          </w:p>
        </w:tc>
        <w:tc>
          <w:tcPr>
            <w:tcW w:w="1620" w:type="dxa"/>
            <w:shd w:val="clear" w:color="auto" w:fill="auto"/>
            <w:noWrap/>
            <w:hideMark/>
          </w:tcPr>
          <w:p w14:paraId="2B6F12C6" w14:textId="05EE3B65"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93.3</w:t>
            </w:r>
            <w:r w:rsidR="00132D5F">
              <w:rPr>
                <w:rFonts w:cs="Arial"/>
                <w:color w:val="000000"/>
              </w:rPr>
              <w:t>%</w:t>
            </w:r>
          </w:p>
        </w:tc>
      </w:tr>
      <w:tr w:rsidR="003F11AD" w14:paraId="13829403" w14:textId="77777777" w:rsidTr="009B6051">
        <w:trPr>
          <w:cnfStyle w:val="000000100000" w:firstRow="0" w:lastRow="0" w:firstColumn="0" w:lastColumn="0" w:oddVBand="0" w:evenVBand="0" w:oddHBand="1" w:evenHBand="0" w:firstRowFirstColumn="0" w:firstRowLastColumn="0" w:lastRowFirstColumn="0" w:lastRowLastColumn="0"/>
          <w:cantSplit/>
          <w:trHeight w:val="591"/>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noWrap/>
            <w:hideMark/>
          </w:tcPr>
          <w:p w14:paraId="512D51FF" w14:textId="77777777" w:rsidR="00AC4BB7" w:rsidRPr="00DC03B7" w:rsidRDefault="00AC4BB7">
            <w:pPr>
              <w:rPr>
                <w:rFonts w:cs="Arial"/>
                <w:color w:val="000000"/>
              </w:rPr>
            </w:pPr>
            <w:r w:rsidRPr="00DC03B7">
              <w:rPr>
                <w:rFonts w:cs="Arial"/>
                <w:color w:val="000000"/>
              </w:rPr>
              <w:t>Pacific Islander</w:t>
            </w:r>
          </w:p>
        </w:tc>
        <w:tc>
          <w:tcPr>
            <w:tcW w:w="1620" w:type="dxa"/>
            <w:shd w:val="clear" w:color="auto" w:fill="auto"/>
            <w:noWrap/>
            <w:hideMark/>
          </w:tcPr>
          <w:p w14:paraId="52AF8E1C"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133</w:t>
            </w:r>
          </w:p>
        </w:tc>
        <w:tc>
          <w:tcPr>
            <w:tcW w:w="1620" w:type="dxa"/>
            <w:shd w:val="clear" w:color="auto" w:fill="auto"/>
            <w:noWrap/>
            <w:hideMark/>
          </w:tcPr>
          <w:p w14:paraId="33EBA648"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56</w:t>
            </w:r>
          </w:p>
        </w:tc>
        <w:tc>
          <w:tcPr>
            <w:tcW w:w="1530" w:type="dxa"/>
            <w:shd w:val="clear" w:color="auto" w:fill="auto"/>
            <w:noWrap/>
            <w:hideMark/>
          </w:tcPr>
          <w:p w14:paraId="7256F763"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45</w:t>
            </w:r>
          </w:p>
        </w:tc>
        <w:tc>
          <w:tcPr>
            <w:tcW w:w="1530" w:type="dxa"/>
            <w:shd w:val="clear" w:color="auto" w:fill="auto"/>
            <w:noWrap/>
            <w:hideMark/>
          </w:tcPr>
          <w:p w14:paraId="0D5D8C00"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12</w:t>
            </w:r>
          </w:p>
        </w:tc>
        <w:tc>
          <w:tcPr>
            <w:tcW w:w="1530" w:type="dxa"/>
            <w:shd w:val="clear" w:color="auto" w:fill="auto"/>
            <w:noWrap/>
            <w:hideMark/>
          </w:tcPr>
          <w:p w14:paraId="58D0995D" w14:textId="1F6945A8"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56.4</w:t>
            </w:r>
            <w:r w:rsidR="00132D5F">
              <w:rPr>
                <w:rFonts w:cs="Arial"/>
                <w:color w:val="000000"/>
              </w:rPr>
              <w:t>%</w:t>
            </w:r>
          </w:p>
        </w:tc>
        <w:tc>
          <w:tcPr>
            <w:tcW w:w="1530" w:type="dxa"/>
            <w:shd w:val="clear" w:color="auto" w:fill="auto"/>
            <w:noWrap/>
            <w:hideMark/>
          </w:tcPr>
          <w:p w14:paraId="55987BEC" w14:textId="24A20374"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66.1</w:t>
            </w:r>
            <w:r w:rsidR="00132D5F">
              <w:rPr>
                <w:rFonts w:cs="Arial"/>
                <w:color w:val="000000"/>
              </w:rPr>
              <w:t>%</w:t>
            </w:r>
          </w:p>
        </w:tc>
        <w:tc>
          <w:tcPr>
            <w:tcW w:w="1530" w:type="dxa"/>
            <w:shd w:val="clear" w:color="auto" w:fill="auto"/>
            <w:noWrap/>
            <w:hideMark/>
          </w:tcPr>
          <w:p w14:paraId="55D6DF3B" w14:textId="766B4AEC"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82.2</w:t>
            </w:r>
            <w:r w:rsidR="00132D5F">
              <w:rPr>
                <w:rFonts w:cs="Arial"/>
                <w:color w:val="000000"/>
              </w:rPr>
              <w:t>%</w:t>
            </w:r>
          </w:p>
        </w:tc>
        <w:tc>
          <w:tcPr>
            <w:tcW w:w="1620" w:type="dxa"/>
            <w:shd w:val="clear" w:color="auto" w:fill="auto"/>
            <w:noWrap/>
            <w:hideMark/>
          </w:tcPr>
          <w:p w14:paraId="2F3EB3C0" w14:textId="0D2636C3"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83.3</w:t>
            </w:r>
            <w:r w:rsidR="00132D5F">
              <w:rPr>
                <w:rFonts w:cs="Arial"/>
                <w:color w:val="000000"/>
              </w:rPr>
              <w:t>%</w:t>
            </w:r>
          </w:p>
        </w:tc>
      </w:tr>
      <w:tr w:rsidR="00A408A6" w14:paraId="114EB479" w14:textId="77777777" w:rsidTr="009B6051">
        <w:trPr>
          <w:cantSplit/>
          <w:trHeight w:val="763"/>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noWrap/>
            <w:hideMark/>
          </w:tcPr>
          <w:p w14:paraId="1374E09A" w14:textId="77777777" w:rsidR="00AC4BB7" w:rsidRPr="00DC03B7" w:rsidRDefault="00AC4BB7">
            <w:pPr>
              <w:rPr>
                <w:rFonts w:cs="Arial"/>
                <w:color w:val="000000"/>
              </w:rPr>
            </w:pPr>
            <w:r w:rsidRPr="00DC03B7">
              <w:rPr>
                <w:rFonts w:cs="Arial"/>
                <w:color w:val="000000"/>
              </w:rPr>
              <w:t>White</w:t>
            </w:r>
          </w:p>
        </w:tc>
        <w:tc>
          <w:tcPr>
            <w:tcW w:w="1620" w:type="dxa"/>
            <w:shd w:val="clear" w:color="auto" w:fill="auto"/>
            <w:noWrap/>
            <w:hideMark/>
          </w:tcPr>
          <w:p w14:paraId="05D93F8D"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7,597</w:t>
            </w:r>
          </w:p>
        </w:tc>
        <w:tc>
          <w:tcPr>
            <w:tcW w:w="1620" w:type="dxa"/>
            <w:shd w:val="clear" w:color="auto" w:fill="auto"/>
            <w:noWrap/>
            <w:hideMark/>
          </w:tcPr>
          <w:p w14:paraId="7A67C243"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3,410</w:t>
            </w:r>
          </w:p>
        </w:tc>
        <w:tc>
          <w:tcPr>
            <w:tcW w:w="1530" w:type="dxa"/>
            <w:shd w:val="clear" w:color="auto" w:fill="auto"/>
            <w:noWrap/>
            <w:hideMark/>
          </w:tcPr>
          <w:p w14:paraId="79946D76"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3,712</w:t>
            </w:r>
          </w:p>
        </w:tc>
        <w:tc>
          <w:tcPr>
            <w:tcW w:w="1530" w:type="dxa"/>
            <w:shd w:val="clear" w:color="auto" w:fill="auto"/>
            <w:noWrap/>
            <w:hideMark/>
          </w:tcPr>
          <w:p w14:paraId="4E384213" w14:textId="77777777"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1,243</w:t>
            </w:r>
          </w:p>
        </w:tc>
        <w:tc>
          <w:tcPr>
            <w:tcW w:w="1530" w:type="dxa"/>
            <w:shd w:val="clear" w:color="auto" w:fill="auto"/>
            <w:noWrap/>
            <w:hideMark/>
          </w:tcPr>
          <w:p w14:paraId="5F4BB6A1" w14:textId="0E0F8BD1"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71.8</w:t>
            </w:r>
            <w:r w:rsidR="00132D5F">
              <w:rPr>
                <w:rFonts w:cs="Arial"/>
                <w:color w:val="000000"/>
              </w:rPr>
              <w:t>%</w:t>
            </w:r>
          </w:p>
        </w:tc>
        <w:tc>
          <w:tcPr>
            <w:tcW w:w="1530" w:type="dxa"/>
            <w:shd w:val="clear" w:color="auto" w:fill="auto"/>
            <w:noWrap/>
            <w:hideMark/>
          </w:tcPr>
          <w:p w14:paraId="76AA359F" w14:textId="05739484"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81.1</w:t>
            </w:r>
            <w:r w:rsidR="00132D5F">
              <w:rPr>
                <w:rFonts w:cs="Arial"/>
                <w:color w:val="000000"/>
              </w:rPr>
              <w:t>%</w:t>
            </w:r>
          </w:p>
        </w:tc>
        <w:tc>
          <w:tcPr>
            <w:tcW w:w="1530" w:type="dxa"/>
            <w:shd w:val="clear" w:color="auto" w:fill="auto"/>
            <w:noWrap/>
            <w:hideMark/>
          </w:tcPr>
          <w:p w14:paraId="7AD80D9E" w14:textId="3E153949"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89.6</w:t>
            </w:r>
            <w:r w:rsidR="00132D5F">
              <w:rPr>
                <w:rFonts w:cs="Arial"/>
                <w:color w:val="000000"/>
              </w:rPr>
              <w:t>%</w:t>
            </w:r>
          </w:p>
        </w:tc>
        <w:tc>
          <w:tcPr>
            <w:tcW w:w="1620" w:type="dxa"/>
            <w:shd w:val="clear" w:color="auto" w:fill="auto"/>
            <w:noWrap/>
            <w:hideMark/>
          </w:tcPr>
          <w:p w14:paraId="4D8F6627" w14:textId="4F437B3D" w:rsidR="00AC4BB7" w:rsidRPr="00DC03B7" w:rsidRDefault="00AC4BB7">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96.6</w:t>
            </w:r>
            <w:r w:rsidR="00132D5F">
              <w:rPr>
                <w:rFonts w:cs="Arial"/>
                <w:color w:val="000000"/>
              </w:rPr>
              <w:t>%</w:t>
            </w:r>
          </w:p>
        </w:tc>
      </w:tr>
      <w:tr w:rsidR="003F11AD" w14:paraId="107E66B7" w14:textId="77777777" w:rsidTr="009B6051">
        <w:trPr>
          <w:cnfStyle w:val="000000100000" w:firstRow="0" w:lastRow="0" w:firstColumn="0" w:lastColumn="0" w:oddVBand="0" w:evenVBand="0" w:oddHBand="1" w:evenHBand="0" w:firstRowFirstColumn="0" w:firstRowLastColumn="0" w:lastRowFirstColumn="0" w:lastRowLastColumn="0"/>
          <w:cantSplit/>
          <w:trHeight w:val="678"/>
        </w:trPr>
        <w:tc>
          <w:tcPr>
            <w:cnfStyle w:val="001000000000" w:firstRow="0" w:lastRow="0" w:firstColumn="1" w:lastColumn="0" w:oddVBand="0" w:evenVBand="0" w:oddHBand="0" w:evenHBand="0" w:firstRowFirstColumn="0" w:firstRowLastColumn="0" w:lastRowFirstColumn="0" w:lastRowLastColumn="0"/>
            <w:tcW w:w="1525" w:type="dxa"/>
            <w:shd w:val="clear" w:color="auto" w:fill="auto"/>
            <w:noWrap/>
            <w:hideMark/>
          </w:tcPr>
          <w:p w14:paraId="136E3251" w14:textId="77777777" w:rsidR="00AC4BB7" w:rsidRPr="00DC03B7" w:rsidRDefault="00AC4BB7">
            <w:pPr>
              <w:rPr>
                <w:rFonts w:cs="Arial"/>
                <w:color w:val="000000"/>
              </w:rPr>
            </w:pPr>
            <w:r w:rsidRPr="00DC03B7">
              <w:rPr>
                <w:rFonts w:cs="Arial"/>
                <w:color w:val="000000"/>
              </w:rPr>
              <w:t>Two or More Races</w:t>
            </w:r>
          </w:p>
        </w:tc>
        <w:tc>
          <w:tcPr>
            <w:tcW w:w="1620" w:type="dxa"/>
            <w:shd w:val="clear" w:color="auto" w:fill="auto"/>
            <w:noWrap/>
            <w:hideMark/>
          </w:tcPr>
          <w:p w14:paraId="058D1549"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2,009</w:t>
            </w:r>
          </w:p>
        </w:tc>
        <w:tc>
          <w:tcPr>
            <w:tcW w:w="1620" w:type="dxa"/>
            <w:shd w:val="clear" w:color="auto" w:fill="auto"/>
            <w:noWrap/>
            <w:hideMark/>
          </w:tcPr>
          <w:p w14:paraId="10764C6B"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758</w:t>
            </w:r>
          </w:p>
        </w:tc>
        <w:tc>
          <w:tcPr>
            <w:tcW w:w="1530" w:type="dxa"/>
            <w:shd w:val="clear" w:color="auto" w:fill="auto"/>
            <w:noWrap/>
            <w:hideMark/>
          </w:tcPr>
          <w:p w14:paraId="255E4F82"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712</w:t>
            </w:r>
          </w:p>
        </w:tc>
        <w:tc>
          <w:tcPr>
            <w:tcW w:w="1530" w:type="dxa"/>
            <w:shd w:val="clear" w:color="auto" w:fill="auto"/>
            <w:noWrap/>
            <w:hideMark/>
          </w:tcPr>
          <w:p w14:paraId="2E1CEF44" w14:textId="77777777"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183</w:t>
            </w:r>
          </w:p>
        </w:tc>
        <w:tc>
          <w:tcPr>
            <w:tcW w:w="1530" w:type="dxa"/>
            <w:shd w:val="clear" w:color="auto" w:fill="auto"/>
            <w:noWrap/>
            <w:hideMark/>
          </w:tcPr>
          <w:p w14:paraId="2713D0A8" w14:textId="6ADBA534"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64.0</w:t>
            </w:r>
            <w:r w:rsidR="00132D5F">
              <w:rPr>
                <w:rFonts w:cs="Arial"/>
                <w:color w:val="000000"/>
              </w:rPr>
              <w:t>%</w:t>
            </w:r>
          </w:p>
        </w:tc>
        <w:tc>
          <w:tcPr>
            <w:tcW w:w="1530" w:type="dxa"/>
            <w:shd w:val="clear" w:color="auto" w:fill="auto"/>
            <w:noWrap/>
            <w:hideMark/>
          </w:tcPr>
          <w:p w14:paraId="3E38856A" w14:textId="075DB820"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76.0</w:t>
            </w:r>
            <w:r w:rsidR="00132D5F">
              <w:rPr>
                <w:rFonts w:cs="Arial"/>
                <w:color w:val="000000"/>
              </w:rPr>
              <w:t>%</w:t>
            </w:r>
          </w:p>
        </w:tc>
        <w:tc>
          <w:tcPr>
            <w:tcW w:w="1530" w:type="dxa"/>
            <w:shd w:val="clear" w:color="auto" w:fill="auto"/>
            <w:noWrap/>
            <w:hideMark/>
          </w:tcPr>
          <w:p w14:paraId="1962F8D2" w14:textId="316D5D65"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85.8</w:t>
            </w:r>
            <w:r w:rsidR="00132D5F">
              <w:rPr>
                <w:rFonts w:cs="Arial"/>
                <w:color w:val="000000"/>
              </w:rPr>
              <w:t>%</w:t>
            </w:r>
          </w:p>
        </w:tc>
        <w:tc>
          <w:tcPr>
            <w:tcW w:w="1620" w:type="dxa"/>
            <w:shd w:val="clear" w:color="auto" w:fill="auto"/>
            <w:noWrap/>
            <w:hideMark/>
          </w:tcPr>
          <w:p w14:paraId="04F04471" w14:textId="4BA4C741" w:rsidR="00AC4BB7" w:rsidRPr="00DC03B7" w:rsidRDefault="00AC4BB7">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94.5</w:t>
            </w:r>
            <w:r w:rsidR="00132D5F">
              <w:rPr>
                <w:rFonts w:cs="Arial"/>
                <w:color w:val="000000"/>
              </w:rPr>
              <w:t>%</w:t>
            </w:r>
          </w:p>
        </w:tc>
      </w:tr>
    </w:tbl>
    <w:p w14:paraId="4F142BC0" w14:textId="77777777" w:rsidR="00077DD2" w:rsidRPr="00C3382B" w:rsidRDefault="005B2FEB" w:rsidP="00077DD2">
      <w:pPr>
        <w:rPr>
          <w:rFonts w:eastAsiaTheme="minorHAnsi" w:cs="Arial"/>
        </w:rPr>
        <w:sectPr w:rsidR="00077DD2" w:rsidRPr="00C3382B" w:rsidSect="00A0487A">
          <w:pgSz w:w="15840" w:h="12240" w:orient="landscape"/>
          <w:pgMar w:top="1440" w:right="1440" w:bottom="1440" w:left="1440" w:header="720" w:footer="720" w:gutter="0"/>
          <w:cols w:space="720"/>
          <w:docGrid w:linePitch="360"/>
        </w:sectPr>
      </w:pPr>
      <w:r>
        <w:rPr>
          <w:rFonts w:eastAsia="Calibri"/>
        </w:rPr>
        <w:t xml:space="preserve"> </w:t>
      </w:r>
    </w:p>
    <w:p w14:paraId="021C725D" w14:textId="6BB739C3" w:rsidR="00E8383C" w:rsidRPr="005147E0" w:rsidRDefault="006E25A8" w:rsidP="005147E0">
      <w:pPr>
        <w:pStyle w:val="Heading2"/>
        <w:rPr>
          <w:rFonts w:eastAsia="Calibri"/>
        </w:rPr>
      </w:pPr>
      <w:bookmarkStart w:id="50" w:name="_Toc158883520"/>
      <w:r w:rsidRPr="00EE1A0F">
        <w:rPr>
          <w:rFonts w:eastAsia="Calibri"/>
        </w:rPr>
        <w:lastRenderedPageBreak/>
        <w:t xml:space="preserve">Appendix </w:t>
      </w:r>
      <w:r w:rsidR="00122BFE" w:rsidRPr="00EE1A0F">
        <w:rPr>
          <w:rFonts w:eastAsia="Calibri"/>
        </w:rPr>
        <w:t>G</w:t>
      </w:r>
      <w:r w:rsidRPr="00EE1A0F">
        <w:rPr>
          <w:rFonts w:eastAsia="Calibri"/>
        </w:rPr>
        <w:t xml:space="preserve">: 2021–22 </w:t>
      </w:r>
      <w:r w:rsidR="00DF5BB2" w:rsidRPr="00EE1A0F">
        <w:rPr>
          <w:rFonts w:eastAsia="Calibri"/>
        </w:rPr>
        <w:t>A</w:t>
      </w:r>
      <w:r w:rsidR="00131067">
        <w:rPr>
          <w:rFonts w:eastAsia="Calibri"/>
        </w:rPr>
        <w:t xml:space="preserve">cademic </w:t>
      </w:r>
      <w:r w:rsidR="00DF5BB2" w:rsidRPr="00EE1A0F">
        <w:rPr>
          <w:rFonts w:eastAsia="Calibri"/>
        </w:rPr>
        <w:t>Y</w:t>
      </w:r>
      <w:r w:rsidR="00131067">
        <w:rPr>
          <w:rFonts w:eastAsia="Calibri"/>
        </w:rPr>
        <w:t>ear (AY)</w:t>
      </w:r>
      <w:r w:rsidR="00DF5BB2" w:rsidRPr="00EE1A0F">
        <w:rPr>
          <w:rFonts w:eastAsia="Calibri"/>
        </w:rPr>
        <w:t xml:space="preserve"> </w:t>
      </w:r>
      <w:r w:rsidR="00A408A6" w:rsidRPr="00EE1A0F">
        <w:t>Cohort Graduation Rates by C</w:t>
      </w:r>
      <w:r w:rsidR="00131067">
        <w:t xml:space="preserve">areer </w:t>
      </w:r>
      <w:r w:rsidR="00A408A6" w:rsidRPr="00EE1A0F">
        <w:t>T</w:t>
      </w:r>
      <w:r w:rsidR="00131067">
        <w:t xml:space="preserve">echnical </w:t>
      </w:r>
      <w:r w:rsidR="00A408A6" w:rsidRPr="00EE1A0F">
        <w:t>E</w:t>
      </w:r>
      <w:r w:rsidR="00131067">
        <w:t xml:space="preserve">ducation </w:t>
      </w:r>
      <w:r w:rsidR="00A408A6" w:rsidRPr="00EE1A0F">
        <w:t>I</w:t>
      </w:r>
      <w:r w:rsidR="00131067">
        <w:t xml:space="preserve">ncentive </w:t>
      </w:r>
      <w:r w:rsidR="00A408A6" w:rsidRPr="00EE1A0F">
        <w:t>G</w:t>
      </w:r>
      <w:r w:rsidR="00131067">
        <w:t>rant (CTEIG)</w:t>
      </w:r>
      <w:r w:rsidR="00A408A6" w:rsidRPr="00EE1A0F">
        <w:t xml:space="preserve"> Region</w:t>
      </w:r>
      <w:r w:rsidRPr="00EE1A0F">
        <w:rPr>
          <w:rFonts w:eastAsia="Calibri"/>
        </w:rPr>
        <w:t xml:space="preserve"> </w:t>
      </w:r>
      <w:r w:rsidR="005147E0">
        <w:rPr>
          <w:rFonts w:eastAsia="Calibri"/>
        </w:rPr>
        <w:br/>
      </w:r>
      <w:r w:rsidR="00A408A6" w:rsidRPr="00EE1A0F">
        <w:rPr>
          <w:rFonts w:eastAsia="Calibri"/>
        </w:rPr>
        <w:t>2021–22 AY Cohort Graduation Rates by CTEIG Region (All 4 years of cohort)</w:t>
      </w:r>
      <w:bookmarkEnd w:id="50"/>
    </w:p>
    <w:tbl>
      <w:tblPr>
        <w:tblStyle w:val="GridTable41"/>
        <w:tblW w:w="14073" w:type="dxa"/>
        <w:tblInd w:w="-560" w:type="dxa"/>
        <w:tblLook w:val="04A0" w:firstRow="1" w:lastRow="0" w:firstColumn="1" w:lastColumn="0" w:noHBand="0" w:noVBand="1"/>
        <w:tblDescription w:val="21-22 Graduation Rates by Region"/>
      </w:tblPr>
      <w:tblGrid>
        <w:gridCol w:w="1459"/>
        <w:gridCol w:w="1590"/>
        <w:gridCol w:w="1590"/>
        <w:gridCol w:w="1590"/>
        <w:gridCol w:w="1537"/>
        <w:gridCol w:w="1590"/>
        <w:gridCol w:w="1590"/>
        <w:gridCol w:w="1590"/>
        <w:gridCol w:w="1537"/>
      </w:tblGrid>
      <w:tr w:rsidR="007A7538" w:rsidRPr="007A7538" w14:paraId="23353B28" w14:textId="77777777" w:rsidTr="00FD3A2C">
        <w:trPr>
          <w:cnfStyle w:val="100000000000" w:firstRow="1" w:lastRow="0" w:firstColumn="0" w:lastColumn="0" w:oddVBand="0" w:evenVBand="0" w:oddHBand="0" w:evenHBand="0" w:firstRowFirstColumn="0" w:firstRowLastColumn="0" w:lastRowFirstColumn="0" w:lastRowLastColumn="0"/>
          <w:cantSplit/>
          <w:trHeight w:val="91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000000" w:themeFill="text1"/>
            <w:hideMark/>
          </w:tcPr>
          <w:bookmarkEnd w:id="42"/>
          <w:p w14:paraId="40EB4E64" w14:textId="3DEBD9AA" w:rsidR="00124792" w:rsidRPr="007A7538" w:rsidRDefault="00D87DBF" w:rsidP="003174C5">
            <w:pPr>
              <w:rPr>
                <w:rFonts w:cs="Arial"/>
                <w:color w:val="FFFFFF" w:themeColor="background1"/>
              </w:rPr>
            </w:pPr>
            <w:r>
              <w:rPr>
                <w:rFonts w:cs="Arial"/>
                <w:color w:val="FFFFFF" w:themeColor="background1"/>
              </w:rPr>
              <w:t>Regions</w:t>
            </w:r>
          </w:p>
        </w:tc>
        <w:tc>
          <w:tcPr>
            <w:tcW w:w="0" w:type="dxa"/>
            <w:shd w:val="clear" w:color="auto" w:fill="000000" w:themeFill="text1"/>
            <w:hideMark/>
          </w:tcPr>
          <w:p w14:paraId="1E2B3AB5" w14:textId="42891036" w:rsidR="00124792" w:rsidRPr="007A7538" w:rsidRDefault="00AE03C8" w:rsidP="003174C5">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Non-Career</w:t>
            </w:r>
            <w:r w:rsidR="00131067">
              <w:rPr>
                <w:rFonts w:cs="Arial"/>
                <w:color w:val="FFFFFF" w:themeColor="background1"/>
              </w:rPr>
              <w:t xml:space="preserve"> </w:t>
            </w:r>
            <w:r w:rsidR="004D799C" w:rsidRPr="005B2FEB">
              <w:rPr>
                <w:rFonts w:cs="Arial"/>
                <w:color w:val="FFFFFF" w:themeColor="background1"/>
              </w:rPr>
              <w:t>T</w:t>
            </w:r>
            <w:r w:rsidR="00131067">
              <w:rPr>
                <w:rFonts w:cs="Arial"/>
                <w:color w:val="FFFFFF" w:themeColor="background1"/>
              </w:rPr>
              <w:t xml:space="preserve">echnical </w:t>
            </w:r>
            <w:r w:rsidR="004D799C" w:rsidRPr="005B2FEB">
              <w:rPr>
                <w:rFonts w:cs="Arial"/>
                <w:color w:val="FFFFFF" w:themeColor="background1"/>
              </w:rPr>
              <w:t>E</w:t>
            </w:r>
            <w:r w:rsidR="00131067">
              <w:rPr>
                <w:rFonts w:cs="Arial"/>
                <w:color w:val="FFFFFF" w:themeColor="background1"/>
              </w:rPr>
              <w:t>ducation (CTE)</w:t>
            </w:r>
            <w:r w:rsidR="004D799C" w:rsidRPr="005B2FEB">
              <w:rPr>
                <w:rFonts w:cs="Arial"/>
                <w:color w:val="FFFFFF" w:themeColor="background1"/>
              </w:rPr>
              <w:t xml:space="preserve"> Participants</w:t>
            </w:r>
            <w:r w:rsidR="004D799C">
              <w:rPr>
                <w:rFonts w:cs="Arial"/>
                <w:color w:val="FFFFFF" w:themeColor="background1"/>
              </w:rPr>
              <w:t xml:space="preserve"> Cohort Counts</w:t>
            </w:r>
          </w:p>
        </w:tc>
        <w:tc>
          <w:tcPr>
            <w:tcW w:w="0" w:type="dxa"/>
            <w:shd w:val="clear" w:color="auto" w:fill="000000" w:themeFill="text1"/>
            <w:hideMark/>
          </w:tcPr>
          <w:p w14:paraId="7B77E633" w14:textId="22CBB73C" w:rsidR="00124792" w:rsidRPr="007A7538" w:rsidRDefault="004D799C" w:rsidP="003174C5">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CTE Participants Single</w:t>
            </w:r>
            <w:r>
              <w:rPr>
                <w:rFonts w:cs="Arial"/>
                <w:color w:val="FFFFFF" w:themeColor="background1"/>
              </w:rPr>
              <w:t xml:space="preserve"> Cohort Counts</w:t>
            </w:r>
          </w:p>
        </w:tc>
        <w:tc>
          <w:tcPr>
            <w:tcW w:w="0" w:type="dxa"/>
            <w:shd w:val="clear" w:color="auto" w:fill="000000" w:themeFill="text1"/>
            <w:hideMark/>
          </w:tcPr>
          <w:p w14:paraId="41C7386D" w14:textId="7301E513" w:rsidR="00124792" w:rsidRPr="007A7538" w:rsidRDefault="004D799C" w:rsidP="003174C5">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CTE Participants Dabblers</w:t>
            </w:r>
            <w:r>
              <w:rPr>
                <w:rFonts w:cs="Arial"/>
                <w:color w:val="FFFFFF" w:themeColor="background1"/>
              </w:rPr>
              <w:t xml:space="preserve"> Cohort Counts</w:t>
            </w:r>
          </w:p>
        </w:tc>
        <w:tc>
          <w:tcPr>
            <w:tcW w:w="0" w:type="dxa"/>
            <w:shd w:val="clear" w:color="auto" w:fill="000000" w:themeFill="text1"/>
            <w:hideMark/>
          </w:tcPr>
          <w:p w14:paraId="12CC77DB" w14:textId="19D5C591" w:rsidR="00124792" w:rsidRPr="007A7538" w:rsidRDefault="004D799C" w:rsidP="003174C5">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CTE Completers</w:t>
            </w:r>
            <w:r>
              <w:rPr>
                <w:rFonts w:cs="Arial"/>
                <w:color w:val="FFFFFF" w:themeColor="background1"/>
              </w:rPr>
              <w:t xml:space="preserve"> Cohort Counts</w:t>
            </w:r>
          </w:p>
        </w:tc>
        <w:tc>
          <w:tcPr>
            <w:tcW w:w="0" w:type="dxa"/>
            <w:shd w:val="clear" w:color="auto" w:fill="000000" w:themeFill="text1"/>
            <w:hideMark/>
          </w:tcPr>
          <w:p w14:paraId="491EC042" w14:textId="24BD11B2" w:rsidR="00124792" w:rsidRPr="007A7538" w:rsidRDefault="004D799C" w:rsidP="003174C5">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Non CTE Participants</w:t>
            </w:r>
            <w:r>
              <w:rPr>
                <w:rFonts w:cs="Arial"/>
                <w:color w:val="FFFFFF" w:themeColor="background1"/>
              </w:rPr>
              <w:t xml:space="preserve"> Graduation Rate</w:t>
            </w:r>
          </w:p>
        </w:tc>
        <w:tc>
          <w:tcPr>
            <w:tcW w:w="0" w:type="dxa"/>
            <w:shd w:val="clear" w:color="auto" w:fill="000000" w:themeFill="text1"/>
            <w:hideMark/>
          </w:tcPr>
          <w:p w14:paraId="3BC28A8E" w14:textId="13409A2D" w:rsidR="00124792" w:rsidRPr="007A7538" w:rsidRDefault="004D799C" w:rsidP="003174C5">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CTE Participants Single</w:t>
            </w:r>
            <w:r>
              <w:rPr>
                <w:rFonts w:cs="Arial"/>
                <w:color w:val="FFFFFF" w:themeColor="background1"/>
              </w:rPr>
              <w:t xml:space="preserve"> Graduation Rate</w:t>
            </w:r>
          </w:p>
        </w:tc>
        <w:tc>
          <w:tcPr>
            <w:tcW w:w="0" w:type="dxa"/>
            <w:shd w:val="clear" w:color="auto" w:fill="000000" w:themeFill="text1"/>
            <w:hideMark/>
          </w:tcPr>
          <w:p w14:paraId="314A369D" w14:textId="4077C955" w:rsidR="00124792" w:rsidRPr="007A7538" w:rsidRDefault="004D799C" w:rsidP="003174C5">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CTE Participants Dabblers</w:t>
            </w:r>
            <w:r>
              <w:rPr>
                <w:rFonts w:cs="Arial"/>
                <w:color w:val="FFFFFF" w:themeColor="background1"/>
              </w:rPr>
              <w:t xml:space="preserve"> Graduation Rate</w:t>
            </w:r>
          </w:p>
        </w:tc>
        <w:tc>
          <w:tcPr>
            <w:tcW w:w="0" w:type="dxa"/>
            <w:shd w:val="clear" w:color="auto" w:fill="000000" w:themeFill="text1"/>
            <w:hideMark/>
          </w:tcPr>
          <w:p w14:paraId="071DF463" w14:textId="0EB3EFBB" w:rsidR="00124792" w:rsidRPr="007A7538" w:rsidRDefault="004D799C" w:rsidP="003174C5">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5B2FEB">
              <w:rPr>
                <w:rFonts w:cs="Arial"/>
                <w:color w:val="FFFFFF" w:themeColor="background1"/>
              </w:rPr>
              <w:t>CTE Completers</w:t>
            </w:r>
            <w:r>
              <w:rPr>
                <w:rFonts w:cs="Arial"/>
                <w:color w:val="FFFFFF" w:themeColor="background1"/>
              </w:rPr>
              <w:t xml:space="preserve"> Graduation Rate</w:t>
            </w:r>
          </w:p>
        </w:tc>
      </w:tr>
      <w:tr w:rsidR="00124792" w14:paraId="1602A8AE" w14:textId="77777777" w:rsidTr="0013083B">
        <w:trPr>
          <w:cnfStyle w:val="000000100000" w:firstRow="0" w:lastRow="0" w:firstColumn="0" w:lastColumn="0" w:oddVBand="0" w:evenVBand="0" w:oddHBand="1" w:evenHBand="0" w:firstRowFirstColumn="0" w:firstRowLastColumn="0" w:lastRowFirstColumn="0" w:lastRowLastColumn="0"/>
          <w:cantSplit/>
          <w:trHeight w:val="664"/>
        </w:trPr>
        <w:tc>
          <w:tcPr>
            <w:cnfStyle w:val="001000000000" w:firstRow="0" w:lastRow="0" w:firstColumn="1" w:lastColumn="0" w:oddVBand="0" w:evenVBand="0" w:oddHBand="0" w:evenHBand="0" w:firstRowFirstColumn="0" w:firstRowLastColumn="0" w:lastRowFirstColumn="0" w:lastRowLastColumn="0"/>
            <w:tcW w:w="1459" w:type="dxa"/>
            <w:shd w:val="clear" w:color="auto" w:fill="auto"/>
            <w:noWrap/>
            <w:hideMark/>
          </w:tcPr>
          <w:p w14:paraId="4C2B220E" w14:textId="77777777" w:rsidR="00124792" w:rsidRPr="00077DD2" w:rsidRDefault="00124792">
            <w:pPr>
              <w:rPr>
                <w:rFonts w:cs="Arial"/>
                <w:color w:val="000000"/>
              </w:rPr>
            </w:pPr>
            <w:r w:rsidRPr="00077DD2">
              <w:rPr>
                <w:rFonts w:cs="Arial"/>
                <w:color w:val="000000"/>
              </w:rPr>
              <w:t>Region 1</w:t>
            </w:r>
          </w:p>
        </w:tc>
        <w:tc>
          <w:tcPr>
            <w:tcW w:w="1590" w:type="dxa"/>
            <w:shd w:val="clear" w:color="auto" w:fill="auto"/>
            <w:noWrap/>
            <w:hideMark/>
          </w:tcPr>
          <w:p w14:paraId="2DC65997"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2,334</w:t>
            </w:r>
          </w:p>
        </w:tc>
        <w:tc>
          <w:tcPr>
            <w:tcW w:w="1590" w:type="dxa"/>
            <w:shd w:val="clear" w:color="auto" w:fill="auto"/>
            <w:noWrap/>
            <w:hideMark/>
          </w:tcPr>
          <w:p w14:paraId="2D67BBEA"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1,720</w:t>
            </w:r>
          </w:p>
        </w:tc>
        <w:tc>
          <w:tcPr>
            <w:tcW w:w="1590" w:type="dxa"/>
            <w:shd w:val="clear" w:color="auto" w:fill="auto"/>
            <w:noWrap/>
            <w:hideMark/>
          </w:tcPr>
          <w:p w14:paraId="7FA0D379"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3,876</w:t>
            </w:r>
          </w:p>
        </w:tc>
        <w:tc>
          <w:tcPr>
            <w:tcW w:w="1537" w:type="dxa"/>
            <w:shd w:val="clear" w:color="auto" w:fill="auto"/>
            <w:noWrap/>
            <w:hideMark/>
          </w:tcPr>
          <w:p w14:paraId="57DDD67F"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1,774</w:t>
            </w:r>
          </w:p>
        </w:tc>
        <w:tc>
          <w:tcPr>
            <w:tcW w:w="1590" w:type="dxa"/>
            <w:shd w:val="clear" w:color="auto" w:fill="auto"/>
            <w:noWrap/>
            <w:hideMark/>
          </w:tcPr>
          <w:p w14:paraId="747AA49E" w14:textId="31A7F2DD"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57.9</w:t>
            </w:r>
            <w:r w:rsidR="005A719C">
              <w:rPr>
                <w:rFonts w:cs="Arial"/>
                <w:color w:val="000000"/>
              </w:rPr>
              <w:t>%</w:t>
            </w:r>
          </w:p>
        </w:tc>
        <w:tc>
          <w:tcPr>
            <w:tcW w:w="1590" w:type="dxa"/>
            <w:shd w:val="clear" w:color="auto" w:fill="auto"/>
            <w:noWrap/>
            <w:hideMark/>
          </w:tcPr>
          <w:p w14:paraId="200A437A" w14:textId="63F57FB1"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81.0</w:t>
            </w:r>
            <w:r w:rsidR="005A719C">
              <w:rPr>
                <w:rFonts w:cs="Arial"/>
                <w:color w:val="000000"/>
              </w:rPr>
              <w:t>%</w:t>
            </w:r>
          </w:p>
        </w:tc>
        <w:tc>
          <w:tcPr>
            <w:tcW w:w="1590" w:type="dxa"/>
            <w:shd w:val="clear" w:color="auto" w:fill="auto"/>
            <w:noWrap/>
            <w:hideMark/>
          </w:tcPr>
          <w:p w14:paraId="44CB5F62" w14:textId="2D144169"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92.4</w:t>
            </w:r>
            <w:r w:rsidR="005A719C">
              <w:rPr>
                <w:rFonts w:cs="Arial"/>
                <w:color w:val="000000"/>
              </w:rPr>
              <w:t>%</w:t>
            </w:r>
          </w:p>
        </w:tc>
        <w:tc>
          <w:tcPr>
            <w:tcW w:w="1537" w:type="dxa"/>
            <w:shd w:val="clear" w:color="auto" w:fill="auto"/>
            <w:noWrap/>
            <w:hideMark/>
          </w:tcPr>
          <w:p w14:paraId="4917180E" w14:textId="24EAFFF3"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97.8</w:t>
            </w:r>
            <w:r w:rsidR="005A719C">
              <w:rPr>
                <w:rFonts w:cs="Arial"/>
                <w:color w:val="000000"/>
              </w:rPr>
              <w:t>%</w:t>
            </w:r>
          </w:p>
        </w:tc>
      </w:tr>
      <w:tr w:rsidR="00124792" w14:paraId="217D08E9" w14:textId="77777777" w:rsidTr="0013083B">
        <w:trPr>
          <w:cantSplit/>
          <w:trHeight w:val="701"/>
        </w:trPr>
        <w:tc>
          <w:tcPr>
            <w:cnfStyle w:val="001000000000" w:firstRow="0" w:lastRow="0" w:firstColumn="1" w:lastColumn="0" w:oddVBand="0" w:evenVBand="0" w:oddHBand="0" w:evenHBand="0" w:firstRowFirstColumn="0" w:firstRowLastColumn="0" w:lastRowFirstColumn="0" w:lastRowLastColumn="0"/>
            <w:tcW w:w="1459" w:type="dxa"/>
            <w:shd w:val="clear" w:color="auto" w:fill="auto"/>
            <w:noWrap/>
            <w:hideMark/>
          </w:tcPr>
          <w:p w14:paraId="7F0DDBA5" w14:textId="77777777" w:rsidR="00124792" w:rsidRPr="00077DD2" w:rsidRDefault="00124792">
            <w:pPr>
              <w:rPr>
                <w:rFonts w:cs="Arial"/>
                <w:color w:val="000000"/>
              </w:rPr>
            </w:pPr>
            <w:r w:rsidRPr="00077DD2">
              <w:rPr>
                <w:rFonts w:cs="Arial"/>
                <w:color w:val="000000"/>
              </w:rPr>
              <w:t>Region 2</w:t>
            </w:r>
          </w:p>
        </w:tc>
        <w:tc>
          <w:tcPr>
            <w:tcW w:w="1590" w:type="dxa"/>
            <w:shd w:val="clear" w:color="auto" w:fill="auto"/>
            <w:noWrap/>
            <w:hideMark/>
          </w:tcPr>
          <w:p w14:paraId="51B0513C" w14:textId="77777777"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10,868</w:t>
            </w:r>
          </w:p>
        </w:tc>
        <w:tc>
          <w:tcPr>
            <w:tcW w:w="1590" w:type="dxa"/>
            <w:shd w:val="clear" w:color="auto" w:fill="auto"/>
            <w:noWrap/>
            <w:hideMark/>
          </w:tcPr>
          <w:p w14:paraId="74295438" w14:textId="77777777"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7,212</w:t>
            </w:r>
          </w:p>
        </w:tc>
        <w:tc>
          <w:tcPr>
            <w:tcW w:w="1590" w:type="dxa"/>
            <w:shd w:val="clear" w:color="auto" w:fill="auto"/>
            <w:noWrap/>
            <w:hideMark/>
          </w:tcPr>
          <w:p w14:paraId="7090D7FC" w14:textId="77777777"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11,760</w:t>
            </w:r>
          </w:p>
        </w:tc>
        <w:tc>
          <w:tcPr>
            <w:tcW w:w="1537" w:type="dxa"/>
            <w:shd w:val="clear" w:color="auto" w:fill="auto"/>
            <w:noWrap/>
            <w:hideMark/>
          </w:tcPr>
          <w:p w14:paraId="7FBAD142" w14:textId="77777777"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6,553</w:t>
            </w:r>
          </w:p>
        </w:tc>
        <w:tc>
          <w:tcPr>
            <w:tcW w:w="1590" w:type="dxa"/>
            <w:shd w:val="clear" w:color="auto" w:fill="auto"/>
            <w:noWrap/>
            <w:hideMark/>
          </w:tcPr>
          <w:p w14:paraId="3CFAD4C7" w14:textId="78DA6FB9"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73.4</w:t>
            </w:r>
            <w:r w:rsidR="005A719C">
              <w:rPr>
                <w:rFonts w:cs="Arial"/>
                <w:color w:val="000000"/>
              </w:rPr>
              <w:t>%</w:t>
            </w:r>
          </w:p>
        </w:tc>
        <w:tc>
          <w:tcPr>
            <w:tcW w:w="1590" w:type="dxa"/>
            <w:shd w:val="clear" w:color="auto" w:fill="auto"/>
            <w:noWrap/>
            <w:hideMark/>
          </w:tcPr>
          <w:p w14:paraId="7DC19D3F" w14:textId="5C30939F"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85.8</w:t>
            </w:r>
            <w:r w:rsidR="005A719C">
              <w:rPr>
                <w:rFonts w:cs="Arial"/>
                <w:color w:val="000000"/>
              </w:rPr>
              <w:t>%</w:t>
            </w:r>
          </w:p>
        </w:tc>
        <w:tc>
          <w:tcPr>
            <w:tcW w:w="1590" w:type="dxa"/>
            <w:shd w:val="clear" w:color="auto" w:fill="auto"/>
            <w:noWrap/>
            <w:hideMark/>
          </w:tcPr>
          <w:p w14:paraId="07BA7A9E" w14:textId="54774E5D"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92.7</w:t>
            </w:r>
            <w:r w:rsidR="005A719C">
              <w:rPr>
                <w:rFonts w:cs="Arial"/>
                <w:color w:val="000000"/>
              </w:rPr>
              <w:t>%</w:t>
            </w:r>
          </w:p>
        </w:tc>
        <w:tc>
          <w:tcPr>
            <w:tcW w:w="1537" w:type="dxa"/>
            <w:shd w:val="clear" w:color="auto" w:fill="auto"/>
            <w:noWrap/>
            <w:hideMark/>
          </w:tcPr>
          <w:p w14:paraId="17FEB546" w14:textId="3BBAACAA"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99.1</w:t>
            </w:r>
            <w:r w:rsidR="005A719C">
              <w:rPr>
                <w:rFonts w:cs="Arial"/>
                <w:color w:val="000000"/>
              </w:rPr>
              <w:t>%</w:t>
            </w:r>
          </w:p>
        </w:tc>
      </w:tr>
      <w:tr w:rsidR="00124792" w14:paraId="2ED577E1" w14:textId="77777777" w:rsidTr="0013083B">
        <w:trPr>
          <w:cnfStyle w:val="000000100000" w:firstRow="0" w:lastRow="0" w:firstColumn="0" w:lastColumn="0" w:oddVBand="0" w:evenVBand="0" w:oddHBand="1" w:evenHBand="0" w:firstRowFirstColumn="0" w:firstRowLastColumn="0" w:lastRowFirstColumn="0" w:lastRowLastColumn="0"/>
          <w:cantSplit/>
          <w:trHeight w:val="710"/>
        </w:trPr>
        <w:tc>
          <w:tcPr>
            <w:cnfStyle w:val="001000000000" w:firstRow="0" w:lastRow="0" w:firstColumn="1" w:lastColumn="0" w:oddVBand="0" w:evenVBand="0" w:oddHBand="0" w:evenHBand="0" w:firstRowFirstColumn="0" w:firstRowLastColumn="0" w:lastRowFirstColumn="0" w:lastRowLastColumn="0"/>
            <w:tcW w:w="1459" w:type="dxa"/>
            <w:shd w:val="clear" w:color="auto" w:fill="auto"/>
            <w:noWrap/>
            <w:hideMark/>
          </w:tcPr>
          <w:p w14:paraId="54CB9B40" w14:textId="77777777" w:rsidR="00124792" w:rsidRPr="00077DD2" w:rsidRDefault="00124792">
            <w:pPr>
              <w:rPr>
                <w:rFonts w:cs="Arial"/>
                <w:color w:val="000000"/>
              </w:rPr>
            </w:pPr>
            <w:r w:rsidRPr="00077DD2">
              <w:rPr>
                <w:rFonts w:cs="Arial"/>
                <w:color w:val="000000"/>
              </w:rPr>
              <w:t>Region 3</w:t>
            </w:r>
          </w:p>
        </w:tc>
        <w:tc>
          <w:tcPr>
            <w:tcW w:w="1590" w:type="dxa"/>
            <w:shd w:val="clear" w:color="auto" w:fill="auto"/>
            <w:noWrap/>
            <w:hideMark/>
          </w:tcPr>
          <w:p w14:paraId="220FC077"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33,869</w:t>
            </w:r>
          </w:p>
        </w:tc>
        <w:tc>
          <w:tcPr>
            <w:tcW w:w="1590" w:type="dxa"/>
            <w:shd w:val="clear" w:color="auto" w:fill="auto"/>
            <w:noWrap/>
            <w:hideMark/>
          </w:tcPr>
          <w:p w14:paraId="51576361"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20,649</w:t>
            </w:r>
          </w:p>
        </w:tc>
        <w:tc>
          <w:tcPr>
            <w:tcW w:w="1590" w:type="dxa"/>
            <w:shd w:val="clear" w:color="auto" w:fill="auto"/>
            <w:noWrap/>
            <w:hideMark/>
          </w:tcPr>
          <w:p w14:paraId="208C6B63"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22,225</w:t>
            </w:r>
          </w:p>
        </w:tc>
        <w:tc>
          <w:tcPr>
            <w:tcW w:w="1537" w:type="dxa"/>
            <w:shd w:val="clear" w:color="auto" w:fill="auto"/>
            <w:noWrap/>
            <w:hideMark/>
          </w:tcPr>
          <w:p w14:paraId="46008510"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13,341</w:t>
            </w:r>
          </w:p>
        </w:tc>
        <w:tc>
          <w:tcPr>
            <w:tcW w:w="1590" w:type="dxa"/>
            <w:shd w:val="clear" w:color="auto" w:fill="auto"/>
            <w:noWrap/>
            <w:hideMark/>
          </w:tcPr>
          <w:p w14:paraId="1CFD9753" w14:textId="6EFD0703"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71.3</w:t>
            </w:r>
            <w:r w:rsidR="005A719C">
              <w:rPr>
                <w:rFonts w:cs="Arial"/>
                <w:color w:val="000000"/>
              </w:rPr>
              <w:t>%</w:t>
            </w:r>
          </w:p>
        </w:tc>
        <w:tc>
          <w:tcPr>
            <w:tcW w:w="1590" w:type="dxa"/>
            <w:shd w:val="clear" w:color="auto" w:fill="auto"/>
            <w:noWrap/>
            <w:hideMark/>
          </w:tcPr>
          <w:p w14:paraId="47A2FCD4" w14:textId="03CFBCCA"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89.0</w:t>
            </w:r>
            <w:r w:rsidR="005A719C">
              <w:rPr>
                <w:rFonts w:cs="Arial"/>
                <w:color w:val="000000"/>
              </w:rPr>
              <w:t>%</w:t>
            </w:r>
          </w:p>
        </w:tc>
        <w:tc>
          <w:tcPr>
            <w:tcW w:w="1590" w:type="dxa"/>
            <w:shd w:val="clear" w:color="auto" w:fill="auto"/>
            <w:noWrap/>
            <w:hideMark/>
          </w:tcPr>
          <w:p w14:paraId="52CA3B43" w14:textId="000617FC"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94.6</w:t>
            </w:r>
            <w:r w:rsidR="005A719C">
              <w:rPr>
                <w:rFonts w:cs="Arial"/>
                <w:color w:val="000000"/>
              </w:rPr>
              <w:t>%</w:t>
            </w:r>
          </w:p>
        </w:tc>
        <w:tc>
          <w:tcPr>
            <w:tcW w:w="1537" w:type="dxa"/>
            <w:shd w:val="clear" w:color="auto" w:fill="auto"/>
            <w:noWrap/>
            <w:hideMark/>
          </w:tcPr>
          <w:p w14:paraId="335068E9" w14:textId="2B1190D3"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98.7</w:t>
            </w:r>
            <w:r w:rsidR="005A719C">
              <w:rPr>
                <w:rFonts w:cs="Arial"/>
                <w:color w:val="000000"/>
              </w:rPr>
              <w:t>%</w:t>
            </w:r>
          </w:p>
        </w:tc>
      </w:tr>
      <w:tr w:rsidR="00124792" w14:paraId="380B0102" w14:textId="77777777" w:rsidTr="0013083B">
        <w:trPr>
          <w:cantSplit/>
          <w:trHeight w:val="710"/>
        </w:trPr>
        <w:tc>
          <w:tcPr>
            <w:cnfStyle w:val="001000000000" w:firstRow="0" w:lastRow="0" w:firstColumn="1" w:lastColumn="0" w:oddVBand="0" w:evenVBand="0" w:oddHBand="0" w:evenHBand="0" w:firstRowFirstColumn="0" w:firstRowLastColumn="0" w:lastRowFirstColumn="0" w:lastRowLastColumn="0"/>
            <w:tcW w:w="1459" w:type="dxa"/>
            <w:shd w:val="clear" w:color="auto" w:fill="auto"/>
            <w:noWrap/>
            <w:hideMark/>
          </w:tcPr>
          <w:p w14:paraId="4E64C648" w14:textId="77777777" w:rsidR="00124792" w:rsidRPr="00077DD2" w:rsidRDefault="00124792">
            <w:pPr>
              <w:rPr>
                <w:rFonts w:cs="Arial"/>
                <w:color w:val="000000"/>
              </w:rPr>
            </w:pPr>
            <w:r w:rsidRPr="00077DD2">
              <w:rPr>
                <w:rFonts w:cs="Arial"/>
                <w:color w:val="000000"/>
              </w:rPr>
              <w:t>Region 4</w:t>
            </w:r>
          </w:p>
        </w:tc>
        <w:tc>
          <w:tcPr>
            <w:tcW w:w="1590" w:type="dxa"/>
            <w:shd w:val="clear" w:color="auto" w:fill="auto"/>
            <w:noWrap/>
            <w:hideMark/>
          </w:tcPr>
          <w:p w14:paraId="0B17A64E" w14:textId="77777777"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16,083</w:t>
            </w:r>
          </w:p>
        </w:tc>
        <w:tc>
          <w:tcPr>
            <w:tcW w:w="1590" w:type="dxa"/>
            <w:shd w:val="clear" w:color="auto" w:fill="auto"/>
            <w:noWrap/>
            <w:hideMark/>
          </w:tcPr>
          <w:p w14:paraId="2553B243" w14:textId="77777777"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13,576</w:t>
            </w:r>
          </w:p>
        </w:tc>
        <w:tc>
          <w:tcPr>
            <w:tcW w:w="1590" w:type="dxa"/>
            <w:shd w:val="clear" w:color="auto" w:fill="auto"/>
            <w:noWrap/>
            <w:hideMark/>
          </w:tcPr>
          <w:p w14:paraId="16EA8976" w14:textId="77777777"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23,165</w:t>
            </w:r>
          </w:p>
        </w:tc>
        <w:tc>
          <w:tcPr>
            <w:tcW w:w="1537" w:type="dxa"/>
            <w:shd w:val="clear" w:color="auto" w:fill="auto"/>
            <w:noWrap/>
            <w:hideMark/>
          </w:tcPr>
          <w:p w14:paraId="3EA83488" w14:textId="77777777"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17,579</w:t>
            </w:r>
          </w:p>
        </w:tc>
        <w:tc>
          <w:tcPr>
            <w:tcW w:w="1590" w:type="dxa"/>
            <w:shd w:val="clear" w:color="auto" w:fill="auto"/>
            <w:noWrap/>
            <w:hideMark/>
          </w:tcPr>
          <w:p w14:paraId="55F415E1" w14:textId="7C02F333"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69.6</w:t>
            </w:r>
            <w:r w:rsidR="005A719C">
              <w:rPr>
                <w:rFonts w:cs="Arial"/>
                <w:color w:val="000000"/>
              </w:rPr>
              <w:t>%</w:t>
            </w:r>
          </w:p>
        </w:tc>
        <w:tc>
          <w:tcPr>
            <w:tcW w:w="1590" w:type="dxa"/>
            <w:shd w:val="clear" w:color="auto" w:fill="auto"/>
            <w:noWrap/>
            <w:hideMark/>
          </w:tcPr>
          <w:p w14:paraId="0FF835BA" w14:textId="538A4F7F"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81.0</w:t>
            </w:r>
            <w:r w:rsidR="005A719C">
              <w:rPr>
                <w:rFonts w:cs="Arial"/>
                <w:color w:val="000000"/>
              </w:rPr>
              <w:t>%</w:t>
            </w:r>
          </w:p>
        </w:tc>
        <w:tc>
          <w:tcPr>
            <w:tcW w:w="1590" w:type="dxa"/>
            <w:shd w:val="clear" w:color="auto" w:fill="auto"/>
            <w:noWrap/>
            <w:hideMark/>
          </w:tcPr>
          <w:p w14:paraId="4031E402" w14:textId="72882A74"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91.4</w:t>
            </w:r>
            <w:r w:rsidR="005A719C">
              <w:rPr>
                <w:rFonts w:cs="Arial"/>
                <w:color w:val="000000"/>
              </w:rPr>
              <w:t>%</w:t>
            </w:r>
          </w:p>
        </w:tc>
        <w:tc>
          <w:tcPr>
            <w:tcW w:w="1537" w:type="dxa"/>
            <w:shd w:val="clear" w:color="auto" w:fill="auto"/>
            <w:noWrap/>
            <w:hideMark/>
          </w:tcPr>
          <w:p w14:paraId="5504E67C" w14:textId="21534569"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98.5</w:t>
            </w:r>
            <w:r w:rsidR="005A719C">
              <w:rPr>
                <w:rFonts w:cs="Arial"/>
                <w:color w:val="000000"/>
              </w:rPr>
              <w:t>%</w:t>
            </w:r>
          </w:p>
        </w:tc>
      </w:tr>
      <w:tr w:rsidR="00124792" w14:paraId="1F009C48" w14:textId="77777777" w:rsidTr="0013083B">
        <w:trPr>
          <w:cnfStyle w:val="000000100000" w:firstRow="0" w:lastRow="0" w:firstColumn="0" w:lastColumn="0" w:oddVBand="0" w:evenVBand="0" w:oddHBand="1" w:evenHBand="0" w:firstRowFirstColumn="0" w:firstRowLastColumn="0" w:lastRowFirstColumn="0" w:lastRowLastColumn="0"/>
          <w:cantSplit/>
          <w:trHeight w:val="710"/>
        </w:trPr>
        <w:tc>
          <w:tcPr>
            <w:cnfStyle w:val="001000000000" w:firstRow="0" w:lastRow="0" w:firstColumn="1" w:lastColumn="0" w:oddVBand="0" w:evenVBand="0" w:oddHBand="0" w:evenHBand="0" w:firstRowFirstColumn="0" w:firstRowLastColumn="0" w:lastRowFirstColumn="0" w:lastRowLastColumn="0"/>
            <w:tcW w:w="1459" w:type="dxa"/>
            <w:shd w:val="clear" w:color="auto" w:fill="auto"/>
            <w:noWrap/>
            <w:hideMark/>
          </w:tcPr>
          <w:p w14:paraId="19327B07" w14:textId="77777777" w:rsidR="00124792" w:rsidRPr="00077DD2" w:rsidRDefault="00124792">
            <w:pPr>
              <w:rPr>
                <w:rFonts w:cs="Arial"/>
                <w:color w:val="000000"/>
              </w:rPr>
            </w:pPr>
            <w:r w:rsidRPr="00077DD2">
              <w:rPr>
                <w:rFonts w:cs="Arial"/>
                <w:color w:val="000000"/>
              </w:rPr>
              <w:t>Region 5</w:t>
            </w:r>
          </w:p>
        </w:tc>
        <w:tc>
          <w:tcPr>
            <w:tcW w:w="1590" w:type="dxa"/>
            <w:shd w:val="clear" w:color="auto" w:fill="auto"/>
            <w:noWrap/>
            <w:hideMark/>
          </w:tcPr>
          <w:p w14:paraId="40A67217"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4,542</w:t>
            </w:r>
          </w:p>
        </w:tc>
        <w:tc>
          <w:tcPr>
            <w:tcW w:w="1590" w:type="dxa"/>
            <w:shd w:val="clear" w:color="auto" w:fill="auto"/>
            <w:noWrap/>
            <w:hideMark/>
          </w:tcPr>
          <w:p w14:paraId="4C73BF2F"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5,435</w:t>
            </w:r>
          </w:p>
        </w:tc>
        <w:tc>
          <w:tcPr>
            <w:tcW w:w="1590" w:type="dxa"/>
            <w:shd w:val="clear" w:color="auto" w:fill="auto"/>
            <w:noWrap/>
            <w:hideMark/>
          </w:tcPr>
          <w:p w14:paraId="0F7A5E52"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10,134</w:t>
            </w:r>
          </w:p>
        </w:tc>
        <w:tc>
          <w:tcPr>
            <w:tcW w:w="1537" w:type="dxa"/>
            <w:shd w:val="clear" w:color="auto" w:fill="auto"/>
            <w:noWrap/>
            <w:hideMark/>
          </w:tcPr>
          <w:p w14:paraId="64812702"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5,854</w:t>
            </w:r>
          </w:p>
        </w:tc>
        <w:tc>
          <w:tcPr>
            <w:tcW w:w="1590" w:type="dxa"/>
            <w:shd w:val="clear" w:color="auto" w:fill="auto"/>
            <w:noWrap/>
            <w:hideMark/>
          </w:tcPr>
          <w:p w14:paraId="49C272E9" w14:textId="1838E823"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72.5</w:t>
            </w:r>
            <w:r w:rsidR="005A719C">
              <w:rPr>
                <w:rFonts w:cs="Arial"/>
                <w:color w:val="000000"/>
              </w:rPr>
              <w:t>%</w:t>
            </w:r>
          </w:p>
        </w:tc>
        <w:tc>
          <w:tcPr>
            <w:tcW w:w="1590" w:type="dxa"/>
            <w:shd w:val="clear" w:color="auto" w:fill="auto"/>
            <w:noWrap/>
            <w:hideMark/>
          </w:tcPr>
          <w:p w14:paraId="43BF1FCC" w14:textId="0B7586FE"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86.1</w:t>
            </w:r>
            <w:r w:rsidR="005A719C">
              <w:rPr>
                <w:rFonts w:cs="Arial"/>
                <w:color w:val="000000"/>
              </w:rPr>
              <w:t>%</w:t>
            </w:r>
          </w:p>
        </w:tc>
        <w:tc>
          <w:tcPr>
            <w:tcW w:w="1590" w:type="dxa"/>
            <w:shd w:val="clear" w:color="auto" w:fill="auto"/>
            <w:noWrap/>
            <w:hideMark/>
          </w:tcPr>
          <w:p w14:paraId="1633B612" w14:textId="40625C5C"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94.3</w:t>
            </w:r>
            <w:r w:rsidR="005A719C">
              <w:rPr>
                <w:rFonts w:cs="Arial"/>
                <w:color w:val="000000"/>
              </w:rPr>
              <w:t>%</w:t>
            </w:r>
          </w:p>
        </w:tc>
        <w:tc>
          <w:tcPr>
            <w:tcW w:w="1537" w:type="dxa"/>
            <w:shd w:val="clear" w:color="auto" w:fill="auto"/>
            <w:noWrap/>
            <w:hideMark/>
          </w:tcPr>
          <w:p w14:paraId="58DC85A9" w14:textId="08C5CC65"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98.9</w:t>
            </w:r>
            <w:r w:rsidR="005A719C">
              <w:rPr>
                <w:rFonts w:cs="Arial"/>
                <w:color w:val="000000"/>
              </w:rPr>
              <w:t>%</w:t>
            </w:r>
          </w:p>
        </w:tc>
      </w:tr>
      <w:tr w:rsidR="00124792" w14:paraId="60D7CAC1" w14:textId="77777777" w:rsidTr="0013083B">
        <w:trPr>
          <w:cantSplit/>
          <w:trHeight w:val="710"/>
        </w:trPr>
        <w:tc>
          <w:tcPr>
            <w:cnfStyle w:val="001000000000" w:firstRow="0" w:lastRow="0" w:firstColumn="1" w:lastColumn="0" w:oddVBand="0" w:evenVBand="0" w:oddHBand="0" w:evenHBand="0" w:firstRowFirstColumn="0" w:firstRowLastColumn="0" w:lastRowFirstColumn="0" w:lastRowLastColumn="0"/>
            <w:tcW w:w="1459" w:type="dxa"/>
            <w:shd w:val="clear" w:color="auto" w:fill="auto"/>
            <w:noWrap/>
            <w:hideMark/>
          </w:tcPr>
          <w:p w14:paraId="7578419B" w14:textId="77777777" w:rsidR="00124792" w:rsidRPr="00077DD2" w:rsidRDefault="00124792">
            <w:pPr>
              <w:rPr>
                <w:rFonts w:cs="Arial"/>
                <w:color w:val="000000"/>
              </w:rPr>
            </w:pPr>
            <w:r w:rsidRPr="00077DD2">
              <w:rPr>
                <w:rFonts w:cs="Arial"/>
                <w:color w:val="000000"/>
              </w:rPr>
              <w:t>Region 6</w:t>
            </w:r>
          </w:p>
        </w:tc>
        <w:tc>
          <w:tcPr>
            <w:tcW w:w="1590" w:type="dxa"/>
            <w:shd w:val="clear" w:color="auto" w:fill="auto"/>
            <w:noWrap/>
            <w:hideMark/>
          </w:tcPr>
          <w:p w14:paraId="2179D424" w14:textId="77777777"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53,637</w:t>
            </w:r>
          </w:p>
        </w:tc>
        <w:tc>
          <w:tcPr>
            <w:tcW w:w="1590" w:type="dxa"/>
            <w:shd w:val="clear" w:color="auto" w:fill="auto"/>
            <w:noWrap/>
            <w:hideMark/>
          </w:tcPr>
          <w:p w14:paraId="59CC343B" w14:textId="77777777"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36,047</w:t>
            </w:r>
          </w:p>
        </w:tc>
        <w:tc>
          <w:tcPr>
            <w:tcW w:w="1590" w:type="dxa"/>
            <w:shd w:val="clear" w:color="auto" w:fill="auto"/>
            <w:noWrap/>
            <w:hideMark/>
          </w:tcPr>
          <w:p w14:paraId="09FC9C65" w14:textId="77777777"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42,062</w:t>
            </w:r>
          </w:p>
        </w:tc>
        <w:tc>
          <w:tcPr>
            <w:tcW w:w="1537" w:type="dxa"/>
            <w:shd w:val="clear" w:color="auto" w:fill="auto"/>
            <w:noWrap/>
            <w:hideMark/>
          </w:tcPr>
          <w:p w14:paraId="3B0883D1" w14:textId="77777777"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23,864</w:t>
            </w:r>
          </w:p>
        </w:tc>
        <w:tc>
          <w:tcPr>
            <w:tcW w:w="1590" w:type="dxa"/>
            <w:shd w:val="clear" w:color="auto" w:fill="auto"/>
            <w:noWrap/>
            <w:hideMark/>
          </w:tcPr>
          <w:p w14:paraId="50B5BA72" w14:textId="696A2593"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77.5</w:t>
            </w:r>
            <w:r w:rsidR="005A719C">
              <w:rPr>
                <w:rFonts w:cs="Arial"/>
                <w:color w:val="000000"/>
              </w:rPr>
              <w:t>%</w:t>
            </w:r>
          </w:p>
        </w:tc>
        <w:tc>
          <w:tcPr>
            <w:tcW w:w="1590" w:type="dxa"/>
            <w:shd w:val="clear" w:color="auto" w:fill="auto"/>
            <w:noWrap/>
            <w:hideMark/>
          </w:tcPr>
          <w:p w14:paraId="66BE993A" w14:textId="62D44478"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88.5</w:t>
            </w:r>
            <w:r w:rsidR="005A719C">
              <w:rPr>
                <w:rFonts w:cs="Arial"/>
                <w:color w:val="000000"/>
              </w:rPr>
              <w:t>%</w:t>
            </w:r>
          </w:p>
        </w:tc>
        <w:tc>
          <w:tcPr>
            <w:tcW w:w="1590" w:type="dxa"/>
            <w:shd w:val="clear" w:color="auto" w:fill="auto"/>
            <w:noWrap/>
            <w:hideMark/>
          </w:tcPr>
          <w:p w14:paraId="390942E7" w14:textId="6FE8656F"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94.0</w:t>
            </w:r>
            <w:r w:rsidR="005A719C">
              <w:rPr>
                <w:rFonts w:cs="Arial"/>
                <w:color w:val="000000"/>
              </w:rPr>
              <w:t>%</w:t>
            </w:r>
          </w:p>
        </w:tc>
        <w:tc>
          <w:tcPr>
            <w:tcW w:w="1537" w:type="dxa"/>
            <w:shd w:val="clear" w:color="auto" w:fill="auto"/>
            <w:noWrap/>
            <w:hideMark/>
          </w:tcPr>
          <w:p w14:paraId="335862EC" w14:textId="0B87640D" w:rsidR="00124792" w:rsidRDefault="00124792">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98.7</w:t>
            </w:r>
            <w:r w:rsidR="005A719C">
              <w:rPr>
                <w:rFonts w:cs="Arial"/>
                <w:color w:val="000000"/>
              </w:rPr>
              <w:t>%</w:t>
            </w:r>
          </w:p>
        </w:tc>
      </w:tr>
      <w:tr w:rsidR="00124792" w14:paraId="0CBEFCF1" w14:textId="77777777" w:rsidTr="0013083B">
        <w:trPr>
          <w:cnfStyle w:val="000000100000" w:firstRow="0" w:lastRow="0" w:firstColumn="0" w:lastColumn="0" w:oddVBand="0" w:evenVBand="0" w:oddHBand="1" w:evenHBand="0" w:firstRowFirstColumn="0" w:firstRowLastColumn="0" w:lastRowFirstColumn="0" w:lastRowLastColumn="0"/>
          <w:cantSplit/>
          <w:trHeight w:val="710"/>
        </w:trPr>
        <w:tc>
          <w:tcPr>
            <w:cnfStyle w:val="001000000000" w:firstRow="0" w:lastRow="0" w:firstColumn="1" w:lastColumn="0" w:oddVBand="0" w:evenVBand="0" w:oddHBand="0" w:evenHBand="0" w:firstRowFirstColumn="0" w:firstRowLastColumn="0" w:lastRowFirstColumn="0" w:lastRowLastColumn="0"/>
            <w:tcW w:w="1459" w:type="dxa"/>
            <w:shd w:val="clear" w:color="auto" w:fill="auto"/>
            <w:noWrap/>
            <w:hideMark/>
          </w:tcPr>
          <w:p w14:paraId="518A31D8" w14:textId="77777777" w:rsidR="00124792" w:rsidRPr="00077DD2" w:rsidRDefault="00124792">
            <w:pPr>
              <w:rPr>
                <w:rFonts w:cs="Arial"/>
                <w:color w:val="000000"/>
              </w:rPr>
            </w:pPr>
            <w:r w:rsidRPr="00077DD2">
              <w:rPr>
                <w:rFonts w:cs="Arial"/>
                <w:color w:val="000000"/>
              </w:rPr>
              <w:t>Region 7</w:t>
            </w:r>
          </w:p>
        </w:tc>
        <w:tc>
          <w:tcPr>
            <w:tcW w:w="1590" w:type="dxa"/>
            <w:shd w:val="clear" w:color="auto" w:fill="auto"/>
            <w:noWrap/>
            <w:hideMark/>
          </w:tcPr>
          <w:p w14:paraId="3DA6FC3E"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34,976</w:t>
            </w:r>
          </w:p>
        </w:tc>
        <w:tc>
          <w:tcPr>
            <w:tcW w:w="1590" w:type="dxa"/>
            <w:shd w:val="clear" w:color="auto" w:fill="auto"/>
            <w:noWrap/>
            <w:hideMark/>
          </w:tcPr>
          <w:p w14:paraId="4A27A905"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25,202</w:t>
            </w:r>
          </w:p>
        </w:tc>
        <w:tc>
          <w:tcPr>
            <w:tcW w:w="1590" w:type="dxa"/>
            <w:shd w:val="clear" w:color="auto" w:fill="auto"/>
            <w:noWrap/>
            <w:hideMark/>
          </w:tcPr>
          <w:p w14:paraId="6E8BFE21"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30,692</w:t>
            </w:r>
          </w:p>
        </w:tc>
        <w:tc>
          <w:tcPr>
            <w:tcW w:w="1537" w:type="dxa"/>
            <w:shd w:val="clear" w:color="auto" w:fill="auto"/>
            <w:noWrap/>
            <w:hideMark/>
          </w:tcPr>
          <w:p w14:paraId="0BA1259D" w14:textId="77777777"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18,916</w:t>
            </w:r>
          </w:p>
        </w:tc>
        <w:tc>
          <w:tcPr>
            <w:tcW w:w="1590" w:type="dxa"/>
            <w:shd w:val="clear" w:color="auto" w:fill="auto"/>
            <w:noWrap/>
            <w:hideMark/>
          </w:tcPr>
          <w:p w14:paraId="402CA19F" w14:textId="7B00ACE3"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78.0</w:t>
            </w:r>
            <w:r w:rsidR="005A719C">
              <w:rPr>
                <w:rFonts w:cs="Arial"/>
                <w:color w:val="000000"/>
              </w:rPr>
              <w:t>%</w:t>
            </w:r>
          </w:p>
        </w:tc>
        <w:tc>
          <w:tcPr>
            <w:tcW w:w="1590" w:type="dxa"/>
            <w:shd w:val="clear" w:color="auto" w:fill="auto"/>
            <w:noWrap/>
            <w:hideMark/>
          </w:tcPr>
          <w:p w14:paraId="0B412356" w14:textId="7A51BEDE"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87.0</w:t>
            </w:r>
            <w:r w:rsidR="005A719C">
              <w:rPr>
                <w:rFonts w:cs="Arial"/>
                <w:color w:val="000000"/>
              </w:rPr>
              <w:t>%</w:t>
            </w:r>
          </w:p>
        </w:tc>
        <w:tc>
          <w:tcPr>
            <w:tcW w:w="1590" w:type="dxa"/>
            <w:shd w:val="clear" w:color="auto" w:fill="auto"/>
            <w:noWrap/>
            <w:hideMark/>
          </w:tcPr>
          <w:p w14:paraId="5CF55429" w14:textId="41884C7C"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93.3</w:t>
            </w:r>
            <w:r w:rsidR="005A719C">
              <w:rPr>
                <w:rFonts w:cs="Arial"/>
                <w:color w:val="000000"/>
              </w:rPr>
              <w:t>%</w:t>
            </w:r>
          </w:p>
        </w:tc>
        <w:tc>
          <w:tcPr>
            <w:tcW w:w="1537" w:type="dxa"/>
            <w:shd w:val="clear" w:color="auto" w:fill="auto"/>
            <w:noWrap/>
            <w:hideMark/>
          </w:tcPr>
          <w:p w14:paraId="4AAA9265" w14:textId="301B283D" w:rsidR="00124792" w:rsidRDefault="00124792">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98.4</w:t>
            </w:r>
            <w:r w:rsidR="005A719C">
              <w:rPr>
                <w:rFonts w:cs="Arial"/>
                <w:color w:val="000000"/>
              </w:rPr>
              <w:t>%</w:t>
            </w:r>
          </w:p>
        </w:tc>
      </w:tr>
    </w:tbl>
    <w:p w14:paraId="5DBD5676" w14:textId="77777777" w:rsidR="00077DD2" w:rsidRPr="00C3382B" w:rsidRDefault="00077DD2" w:rsidP="00077DD2">
      <w:pPr>
        <w:rPr>
          <w:rFonts w:eastAsiaTheme="minorHAnsi" w:cs="Arial"/>
        </w:rPr>
        <w:sectPr w:rsidR="00077DD2" w:rsidRPr="00C3382B" w:rsidSect="00A0487A">
          <w:pgSz w:w="15840" w:h="12240" w:orient="landscape"/>
          <w:pgMar w:top="1440" w:right="1440" w:bottom="1440" w:left="1440" w:header="720" w:footer="720" w:gutter="0"/>
          <w:cols w:space="720"/>
          <w:docGrid w:linePitch="360"/>
        </w:sectPr>
      </w:pPr>
      <w:bookmarkStart w:id="51" w:name="_Hlk156945850"/>
    </w:p>
    <w:p w14:paraId="49DC8BF2" w14:textId="00DEE4B4" w:rsidR="00B93014" w:rsidRPr="00B93014" w:rsidRDefault="00B172CE" w:rsidP="005147E0">
      <w:pPr>
        <w:pStyle w:val="Heading2"/>
        <w:rPr>
          <w:rFonts w:eastAsia="Calibri"/>
        </w:rPr>
      </w:pPr>
      <w:bookmarkStart w:id="52" w:name="_Toc158883521"/>
      <w:r w:rsidRPr="00EE1A0F">
        <w:rPr>
          <w:rFonts w:eastAsia="Calibri"/>
        </w:rPr>
        <w:lastRenderedPageBreak/>
        <w:t xml:space="preserve">Appendix </w:t>
      </w:r>
      <w:r w:rsidR="00722C27" w:rsidRPr="00EE1A0F">
        <w:rPr>
          <w:rFonts w:eastAsia="Calibri"/>
        </w:rPr>
        <w:t>H</w:t>
      </w:r>
      <w:r w:rsidRPr="00EE1A0F">
        <w:rPr>
          <w:rFonts w:eastAsia="Calibri"/>
        </w:rPr>
        <w:t>: 202</w:t>
      </w:r>
      <w:r w:rsidR="00CD2077" w:rsidRPr="00EE1A0F">
        <w:rPr>
          <w:rFonts w:eastAsia="Calibri"/>
        </w:rPr>
        <w:t>1</w:t>
      </w:r>
      <w:r w:rsidR="00131067" w:rsidRPr="00EE1A0F">
        <w:rPr>
          <w:rFonts w:eastAsia="Calibri"/>
        </w:rPr>
        <w:t>–</w:t>
      </w:r>
      <w:r w:rsidRPr="00EE1A0F">
        <w:rPr>
          <w:rFonts w:eastAsia="Calibri"/>
        </w:rPr>
        <w:t>2</w:t>
      </w:r>
      <w:r w:rsidR="00CD2077" w:rsidRPr="00EE1A0F">
        <w:rPr>
          <w:rFonts w:eastAsia="Calibri"/>
        </w:rPr>
        <w:t>2</w:t>
      </w:r>
      <w:r w:rsidRPr="00EE1A0F">
        <w:rPr>
          <w:rFonts w:eastAsia="Calibri"/>
        </w:rPr>
        <w:t xml:space="preserve"> A</w:t>
      </w:r>
      <w:r w:rsidR="00131067">
        <w:rPr>
          <w:rFonts w:eastAsia="Calibri"/>
        </w:rPr>
        <w:t xml:space="preserve">cademic </w:t>
      </w:r>
      <w:r w:rsidRPr="00EE1A0F">
        <w:rPr>
          <w:rFonts w:eastAsia="Calibri"/>
        </w:rPr>
        <w:t>Y</w:t>
      </w:r>
      <w:r w:rsidR="00131067">
        <w:rPr>
          <w:rFonts w:eastAsia="Calibri"/>
        </w:rPr>
        <w:t>ear (AY)</w:t>
      </w:r>
      <w:r w:rsidR="00A408A6" w:rsidRPr="00EE1A0F">
        <w:rPr>
          <w:rFonts w:eastAsia="Calibri"/>
        </w:rPr>
        <w:t xml:space="preserve"> Cohort </w:t>
      </w:r>
      <w:r w:rsidR="003F6939" w:rsidRPr="00EE1A0F">
        <w:rPr>
          <w:rFonts w:eastAsia="Calibri"/>
        </w:rPr>
        <w:t>Attendance Rates by C</w:t>
      </w:r>
      <w:r w:rsidR="00131067">
        <w:rPr>
          <w:rFonts w:eastAsia="Calibri"/>
        </w:rPr>
        <w:t xml:space="preserve">areer </w:t>
      </w:r>
      <w:r w:rsidR="003F6939" w:rsidRPr="00EE1A0F">
        <w:rPr>
          <w:rFonts w:eastAsia="Calibri"/>
        </w:rPr>
        <w:t>T</w:t>
      </w:r>
      <w:r w:rsidR="00131067">
        <w:rPr>
          <w:rFonts w:eastAsia="Calibri"/>
        </w:rPr>
        <w:t xml:space="preserve">echnical </w:t>
      </w:r>
      <w:r w:rsidR="003F6939" w:rsidRPr="00EE1A0F">
        <w:rPr>
          <w:rFonts w:eastAsia="Calibri"/>
        </w:rPr>
        <w:t>E</w:t>
      </w:r>
      <w:r w:rsidR="00131067">
        <w:rPr>
          <w:rFonts w:eastAsia="Calibri"/>
        </w:rPr>
        <w:t xml:space="preserve">ducation </w:t>
      </w:r>
      <w:r w:rsidR="003F6939" w:rsidRPr="00EE1A0F">
        <w:rPr>
          <w:rFonts w:eastAsia="Calibri"/>
        </w:rPr>
        <w:t>I</w:t>
      </w:r>
      <w:r w:rsidR="00131067">
        <w:rPr>
          <w:rFonts w:eastAsia="Calibri"/>
        </w:rPr>
        <w:t xml:space="preserve">ncentive </w:t>
      </w:r>
      <w:r w:rsidR="003F6939" w:rsidRPr="00EE1A0F">
        <w:rPr>
          <w:rFonts w:eastAsia="Calibri"/>
        </w:rPr>
        <w:t>G</w:t>
      </w:r>
      <w:r w:rsidR="00131067">
        <w:rPr>
          <w:rFonts w:eastAsia="Calibri"/>
        </w:rPr>
        <w:t>rant (CTEIG)</w:t>
      </w:r>
      <w:r w:rsidR="003F6939" w:rsidRPr="00EE1A0F">
        <w:rPr>
          <w:rFonts w:eastAsia="Calibri"/>
        </w:rPr>
        <w:t xml:space="preserve"> Region</w:t>
      </w:r>
      <w:bookmarkEnd w:id="51"/>
      <w:r w:rsidR="005147E0">
        <w:rPr>
          <w:rFonts w:eastAsia="Calibri"/>
        </w:rPr>
        <w:br/>
      </w:r>
      <w:r w:rsidR="003F6939" w:rsidRPr="00EE1A0F">
        <w:rPr>
          <w:rFonts w:eastAsia="Calibri"/>
        </w:rPr>
        <w:t>2021–22 AY Cohort Attendance Rates by CTEIG Region (All 4 years of cohort)</w:t>
      </w:r>
      <w:bookmarkEnd w:id="52"/>
    </w:p>
    <w:tbl>
      <w:tblPr>
        <w:tblStyle w:val="GridTable41"/>
        <w:tblW w:w="14061" w:type="dxa"/>
        <w:tblInd w:w="-555" w:type="dxa"/>
        <w:tblLook w:val="04A0" w:firstRow="1" w:lastRow="0" w:firstColumn="1" w:lastColumn="0" w:noHBand="0" w:noVBand="1"/>
        <w:tblDescription w:val="21-22 Regional Attendance Rates"/>
      </w:tblPr>
      <w:tblGrid>
        <w:gridCol w:w="1447"/>
        <w:gridCol w:w="1590"/>
        <w:gridCol w:w="1590"/>
        <w:gridCol w:w="1590"/>
        <w:gridCol w:w="1537"/>
        <w:gridCol w:w="1590"/>
        <w:gridCol w:w="1590"/>
        <w:gridCol w:w="1590"/>
        <w:gridCol w:w="1537"/>
      </w:tblGrid>
      <w:tr w:rsidR="00DB2689" w14:paraId="7A908848" w14:textId="77777777" w:rsidTr="00FD3A2C">
        <w:trPr>
          <w:cnfStyle w:val="100000000000" w:firstRow="1" w:lastRow="0" w:firstColumn="0" w:lastColumn="0" w:oddVBand="0" w:evenVBand="0" w:oddHBand="0" w:evenHBand="0" w:firstRowFirstColumn="0" w:firstRowLastColumn="0" w:lastRowFirstColumn="0" w:lastRowLastColumn="0"/>
          <w:cantSplit/>
          <w:trHeight w:val="1195"/>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000000" w:themeFill="text1"/>
            <w:hideMark/>
          </w:tcPr>
          <w:p w14:paraId="501120B4" w14:textId="3018AE84" w:rsidR="00A408A6" w:rsidRPr="00DB2689" w:rsidRDefault="00D87DBF" w:rsidP="00FF3F61">
            <w:pPr>
              <w:rPr>
                <w:rFonts w:cs="Arial"/>
                <w:color w:val="FFFFFF" w:themeColor="background1"/>
              </w:rPr>
            </w:pPr>
            <w:r>
              <w:rPr>
                <w:rFonts w:cs="Arial"/>
                <w:color w:val="FFFFFF" w:themeColor="background1"/>
              </w:rPr>
              <w:t>Regions</w:t>
            </w:r>
          </w:p>
        </w:tc>
        <w:tc>
          <w:tcPr>
            <w:tcW w:w="0" w:type="dxa"/>
            <w:shd w:val="clear" w:color="auto" w:fill="000000" w:themeFill="text1"/>
            <w:hideMark/>
          </w:tcPr>
          <w:p w14:paraId="3C208510" w14:textId="7CAA0F61" w:rsidR="00A408A6" w:rsidRPr="00DB2689" w:rsidRDefault="00AE03C8" w:rsidP="00FF3F61">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DB2689">
              <w:rPr>
                <w:rFonts w:cs="Arial"/>
                <w:color w:val="FFFFFF" w:themeColor="background1"/>
              </w:rPr>
              <w:t>Non-Career</w:t>
            </w:r>
            <w:r w:rsidR="00131067">
              <w:rPr>
                <w:rFonts w:cs="Arial"/>
                <w:color w:val="FFFFFF" w:themeColor="background1"/>
              </w:rPr>
              <w:t xml:space="preserve"> </w:t>
            </w:r>
            <w:r w:rsidR="00A408A6" w:rsidRPr="00DB2689">
              <w:rPr>
                <w:rFonts w:cs="Arial"/>
                <w:color w:val="FFFFFF" w:themeColor="background1"/>
              </w:rPr>
              <w:t>T</w:t>
            </w:r>
            <w:r w:rsidR="00131067">
              <w:rPr>
                <w:rFonts w:cs="Arial"/>
                <w:color w:val="FFFFFF" w:themeColor="background1"/>
              </w:rPr>
              <w:t xml:space="preserve">echnical </w:t>
            </w:r>
            <w:r w:rsidR="00A408A6" w:rsidRPr="00DB2689">
              <w:rPr>
                <w:rFonts w:cs="Arial"/>
                <w:color w:val="FFFFFF" w:themeColor="background1"/>
              </w:rPr>
              <w:t>E</w:t>
            </w:r>
            <w:r w:rsidR="00131067">
              <w:rPr>
                <w:rFonts w:cs="Arial"/>
                <w:color w:val="FFFFFF" w:themeColor="background1"/>
              </w:rPr>
              <w:t>ducation (CTE)</w:t>
            </w:r>
            <w:r w:rsidR="00A408A6" w:rsidRPr="00DB2689">
              <w:rPr>
                <w:rFonts w:cs="Arial"/>
                <w:color w:val="FFFFFF" w:themeColor="background1"/>
              </w:rPr>
              <w:t xml:space="preserve"> Participants</w:t>
            </w:r>
            <w:r w:rsidR="00DB2689">
              <w:rPr>
                <w:rFonts w:cs="Arial"/>
                <w:color w:val="FFFFFF" w:themeColor="background1"/>
              </w:rPr>
              <w:t xml:space="preserve"> Cohort Counts</w:t>
            </w:r>
          </w:p>
        </w:tc>
        <w:tc>
          <w:tcPr>
            <w:tcW w:w="0" w:type="dxa"/>
            <w:shd w:val="clear" w:color="auto" w:fill="000000" w:themeFill="text1"/>
            <w:hideMark/>
          </w:tcPr>
          <w:p w14:paraId="469D9153" w14:textId="507E097F" w:rsidR="00A408A6" w:rsidRPr="00DB2689" w:rsidRDefault="00A408A6" w:rsidP="00FF3F61">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DB2689">
              <w:rPr>
                <w:rFonts w:cs="Arial"/>
                <w:color w:val="FFFFFF" w:themeColor="background1"/>
              </w:rPr>
              <w:t>CTE Participants Single</w:t>
            </w:r>
            <w:r w:rsidR="00DB2689">
              <w:rPr>
                <w:rFonts w:cs="Arial"/>
                <w:color w:val="FFFFFF" w:themeColor="background1"/>
              </w:rPr>
              <w:t xml:space="preserve"> Cohort Counts</w:t>
            </w:r>
          </w:p>
        </w:tc>
        <w:tc>
          <w:tcPr>
            <w:tcW w:w="0" w:type="dxa"/>
            <w:shd w:val="clear" w:color="auto" w:fill="000000" w:themeFill="text1"/>
            <w:hideMark/>
          </w:tcPr>
          <w:p w14:paraId="25DD072E" w14:textId="1BC3F850" w:rsidR="00A408A6" w:rsidRPr="00DB2689" w:rsidRDefault="00A408A6" w:rsidP="00FF3F61">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DB2689">
              <w:rPr>
                <w:rFonts w:cs="Arial"/>
                <w:color w:val="FFFFFF" w:themeColor="background1"/>
              </w:rPr>
              <w:t>CTE Participants Dabblers</w:t>
            </w:r>
            <w:r w:rsidR="00DB2689">
              <w:rPr>
                <w:rFonts w:cs="Arial"/>
                <w:color w:val="FFFFFF" w:themeColor="background1"/>
              </w:rPr>
              <w:t xml:space="preserve"> Cohort Counts</w:t>
            </w:r>
          </w:p>
        </w:tc>
        <w:tc>
          <w:tcPr>
            <w:tcW w:w="0" w:type="dxa"/>
            <w:shd w:val="clear" w:color="auto" w:fill="000000" w:themeFill="text1"/>
            <w:hideMark/>
          </w:tcPr>
          <w:p w14:paraId="2B692403" w14:textId="34A11DE1" w:rsidR="00A408A6" w:rsidRPr="00DB2689" w:rsidRDefault="00A408A6" w:rsidP="00FF3F61">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DB2689">
              <w:rPr>
                <w:rFonts w:cs="Arial"/>
                <w:color w:val="FFFFFF" w:themeColor="background1"/>
              </w:rPr>
              <w:t>CTE Completers</w:t>
            </w:r>
            <w:r w:rsidR="00DB2689">
              <w:rPr>
                <w:rFonts w:cs="Arial"/>
                <w:color w:val="FFFFFF" w:themeColor="background1"/>
              </w:rPr>
              <w:t xml:space="preserve"> Cohort Counts</w:t>
            </w:r>
          </w:p>
        </w:tc>
        <w:tc>
          <w:tcPr>
            <w:tcW w:w="0" w:type="dxa"/>
            <w:shd w:val="clear" w:color="auto" w:fill="000000" w:themeFill="text1"/>
            <w:hideMark/>
          </w:tcPr>
          <w:p w14:paraId="7B9758AF" w14:textId="26BEA5B2" w:rsidR="00A408A6" w:rsidRPr="00DB2689" w:rsidRDefault="00A408A6" w:rsidP="00FF3F61">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DB2689">
              <w:rPr>
                <w:rFonts w:cs="Arial"/>
                <w:color w:val="FFFFFF" w:themeColor="background1"/>
              </w:rPr>
              <w:t>Non CTE Participants</w:t>
            </w:r>
            <w:r w:rsidR="00DB2689">
              <w:rPr>
                <w:rFonts w:cs="Arial"/>
                <w:color w:val="FFFFFF" w:themeColor="background1"/>
              </w:rPr>
              <w:t xml:space="preserve"> Attendance Rate</w:t>
            </w:r>
          </w:p>
        </w:tc>
        <w:tc>
          <w:tcPr>
            <w:tcW w:w="0" w:type="dxa"/>
            <w:shd w:val="clear" w:color="auto" w:fill="000000" w:themeFill="text1"/>
            <w:hideMark/>
          </w:tcPr>
          <w:p w14:paraId="78322A5B" w14:textId="05C402DA" w:rsidR="00A408A6" w:rsidRPr="00DB2689" w:rsidRDefault="00A408A6" w:rsidP="00FF3F61">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DB2689">
              <w:rPr>
                <w:rFonts w:cs="Arial"/>
                <w:color w:val="FFFFFF" w:themeColor="background1"/>
              </w:rPr>
              <w:t>CTE Participants Single</w:t>
            </w:r>
            <w:r w:rsidR="00DB2689">
              <w:rPr>
                <w:rFonts w:cs="Arial"/>
                <w:color w:val="FFFFFF" w:themeColor="background1"/>
              </w:rPr>
              <w:t xml:space="preserve"> Attendance Rate</w:t>
            </w:r>
          </w:p>
        </w:tc>
        <w:tc>
          <w:tcPr>
            <w:tcW w:w="0" w:type="dxa"/>
            <w:shd w:val="clear" w:color="auto" w:fill="000000" w:themeFill="text1"/>
            <w:hideMark/>
          </w:tcPr>
          <w:p w14:paraId="378FDDC5" w14:textId="51628BC7" w:rsidR="00A408A6" w:rsidRPr="00DB2689" w:rsidRDefault="00A408A6" w:rsidP="00FF3F61">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DB2689">
              <w:rPr>
                <w:rFonts w:cs="Arial"/>
                <w:color w:val="FFFFFF" w:themeColor="background1"/>
              </w:rPr>
              <w:t>CTE Participants Dabblers</w:t>
            </w:r>
            <w:r w:rsidR="00DB2689">
              <w:rPr>
                <w:rFonts w:cs="Arial"/>
                <w:color w:val="FFFFFF" w:themeColor="background1"/>
              </w:rPr>
              <w:t xml:space="preserve"> Attendance Rate</w:t>
            </w:r>
          </w:p>
        </w:tc>
        <w:tc>
          <w:tcPr>
            <w:tcW w:w="0" w:type="dxa"/>
            <w:shd w:val="clear" w:color="auto" w:fill="000000" w:themeFill="text1"/>
            <w:hideMark/>
          </w:tcPr>
          <w:p w14:paraId="253B9A05" w14:textId="0EE4BF44" w:rsidR="00A408A6" w:rsidRPr="00DB2689" w:rsidRDefault="00A408A6" w:rsidP="00FF3F61">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DB2689">
              <w:rPr>
                <w:rFonts w:cs="Arial"/>
                <w:color w:val="FFFFFF" w:themeColor="background1"/>
              </w:rPr>
              <w:t>CTE Completers</w:t>
            </w:r>
            <w:r w:rsidR="00DB2689">
              <w:rPr>
                <w:rFonts w:cs="Arial"/>
                <w:color w:val="FFFFFF" w:themeColor="background1"/>
              </w:rPr>
              <w:t xml:space="preserve"> Attendance Rate</w:t>
            </w:r>
          </w:p>
        </w:tc>
      </w:tr>
      <w:tr w:rsidR="00A408A6" w14:paraId="0E934B45" w14:textId="77777777" w:rsidTr="0013083B">
        <w:trPr>
          <w:cnfStyle w:val="000000100000" w:firstRow="0" w:lastRow="0" w:firstColumn="0" w:lastColumn="0" w:oddVBand="0" w:evenVBand="0" w:oddHBand="1" w:evenHBand="0" w:firstRowFirstColumn="0" w:firstRowLastColumn="0" w:lastRowFirstColumn="0" w:lastRowLastColumn="0"/>
          <w:cantSplit/>
          <w:trHeight w:val="637"/>
        </w:trPr>
        <w:tc>
          <w:tcPr>
            <w:cnfStyle w:val="001000000000" w:firstRow="0" w:lastRow="0" w:firstColumn="1" w:lastColumn="0" w:oddVBand="0" w:evenVBand="0" w:oddHBand="0" w:evenHBand="0" w:firstRowFirstColumn="0" w:firstRowLastColumn="0" w:lastRowFirstColumn="0" w:lastRowLastColumn="0"/>
            <w:tcW w:w="1447" w:type="dxa"/>
            <w:shd w:val="clear" w:color="auto" w:fill="FFFFFF" w:themeFill="background1"/>
            <w:noWrap/>
            <w:hideMark/>
          </w:tcPr>
          <w:p w14:paraId="15C92387" w14:textId="77777777" w:rsidR="00A408A6" w:rsidRPr="00077DD2" w:rsidRDefault="00A408A6">
            <w:pPr>
              <w:rPr>
                <w:rFonts w:cs="Arial"/>
                <w:color w:val="000000"/>
              </w:rPr>
            </w:pPr>
            <w:r w:rsidRPr="00077DD2">
              <w:rPr>
                <w:rFonts w:cs="Arial"/>
                <w:color w:val="000000"/>
              </w:rPr>
              <w:t>Region 1</w:t>
            </w:r>
          </w:p>
        </w:tc>
        <w:tc>
          <w:tcPr>
            <w:tcW w:w="1590" w:type="dxa"/>
            <w:shd w:val="clear" w:color="auto" w:fill="FFFFFF" w:themeFill="background1"/>
            <w:noWrap/>
            <w:hideMark/>
          </w:tcPr>
          <w:p w14:paraId="60649EC6"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2,334</w:t>
            </w:r>
          </w:p>
        </w:tc>
        <w:tc>
          <w:tcPr>
            <w:tcW w:w="1590" w:type="dxa"/>
            <w:shd w:val="clear" w:color="auto" w:fill="FFFFFF" w:themeFill="background1"/>
            <w:noWrap/>
            <w:hideMark/>
          </w:tcPr>
          <w:p w14:paraId="0F2BFCA2"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1,720</w:t>
            </w:r>
          </w:p>
        </w:tc>
        <w:tc>
          <w:tcPr>
            <w:tcW w:w="1590" w:type="dxa"/>
            <w:shd w:val="clear" w:color="auto" w:fill="FFFFFF" w:themeFill="background1"/>
            <w:noWrap/>
            <w:hideMark/>
          </w:tcPr>
          <w:p w14:paraId="25877924"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3,876</w:t>
            </w:r>
          </w:p>
        </w:tc>
        <w:tc>
          <w:tcPr>
            <w:tcW w:w="1537" w:type="dxa"/>
            <w:shd w:val="clear" w:color="auto" w:fill="FFFFFF" w:themeFill="background1"/>
            <w:noWrap/>
            <w:hideMark/>
          </w:tcPr>
          <w:p w14:paraId="593F2CF3"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1,774</w:t>
            </w:r>
          </w:p>
        </w:tc>
        <w:tc>
          <w:tcPr>
            <w:tcW w:w="1590" w:type="dxa"/>
            <w:shd w:val="clear" w:color="auto" w:fill="FFFFFF" w:themeFill="background1"/>
            <w:noWrap/>
            <w:hideMark/>
          </w:tcPr>
          <w:p w14:paraId="67AC3C11" w14:textId="44AACCF6"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67.2</w:t>
            </w:r>
            <w:r w:rsidR="00226B5E">
              <w:rPr>
                <w:rFonts w:cs="Arial"/>
                <w:color w:val="000000"/>
              </w:rPr>
              <w:t>%</w:t>
            </w:r>
          </w:p>
        </w:tc>
        <w:tc>
          <w:tcPr>
            <w:tcW w:w="1590" w:type="dxa"/>
            <w:shd w:val="clear" w:color="auto" w:fill="FFFFFF" w:themeFill="background1"/>
            <w:noWrap/>
            <w:hideMark/>
          </w:tcPr>
          <w:p w14:paraId="5589578E" w14:textId="70B65846"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81.7</w:t>
            </w:r>
            <w:r w:rsidR="00226B5E">
              <w:rPr>
                <w:rFonts w:cs="Arial"/>
                <w:color w:val="000000"/>
              </w:rPr>
              <w:t>%</w:t>
            </w:r>
          </w:p>
        </w:tc>
        <w:tc>
          <w:tcPr>
            <w:tcW w:w="1590" w:type="dxa"/>
            <w:shd w:val="clear" w:color="auto" w:fill="FFFFFF" w:themeFill="background1"/>
            <w:noWrap/>
            <w:hideMark/>
          </w:tcPr>
          <w:p w14:paraId="10F0B456" w14:textId="2E085A4B"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87.3</w:t>
            </w:r>
            <w:r w:rsidR="00226B5E">
              <w:rPr>
                <w:rFonts w:cs="Arial"/>
                <w:color w:val="000000"/>
              </w:rPr>
              <w:t>%</w:t>
            </w:r>
          </w:p>
        </w:tc>
        <w:tc>
          <w:tcPr>
            <w:tcW w:w="1537" w:type="dxa"/>
            <w:shd w:val="clear" w:color="auto" w:fill="FFFFFF" w:themeFill="background1"/>
            <w:noWrap/>
            <w:hideMark/>
          </w:tcPr>
          <w:p w14:paraId="7D43013C" w14:textId="2B0E31F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92.7</w:t>
            </w:r>
            <w:r w:rsidR="00226B5E">
              <w:rPr>
                <w:rFonts w:cs="Arial"/>
                <w:color w:val="000000"/>
              </w:rPr>
              <w:t>%</w:t>
            </w:r>
          </w:p>
        </w:tc>
      </w:tr>
      <w:tr w:rsidR="00A408A6" w14:paraId="35FC1081" w14:textId="77777777" w:rsidTr="0013083B">
        <w:trPr>
          <w:cantSplit/>
          <w:trHeight w:val="710"/>
        </w:trPr>
        <w:tc>
          <w:tcPr>
            <w:cnfStyle w:val="001000000000" w:firstRow="0" w:lastRow="0" w:firstColumn="1" w:lastColumn="0" w:oddVBand="0" w:evenVBand="0" w:oddHBand="0" w:evenHBand="0" w:firstRowFirstColumn="0" w:firstRowLastColumn="0" w:lastRowFirstColumn="0" w:lastRowLastColumn="0"/>
            <w:tcW w:w="1447" w:type="dxa"/>
            <w:shd w:val="clear" w:color="auto" w:fill="FFFFFF" w:themeFill="background1"/>
            <w:noWrap/>
            <w:hideMark/>
          </w:tcPr>
          <w:p w14:paraId="43BB3BE8" w14:textId="77777777" w:rsidR="00A408A6" w:rsidRPr="00077DD2" w:rsidRDefault="00A408A6">
            <w:pPr>
              <w:rPr>
                <w:rFonts w:cs="Arial"/>
                <w:color w:val="000000"/>
              </w:rPr>
            </w:pPr>
            <w:r w:rsidRPr="00077DD2">
              <w:rPr>
                <w:rFonts w:cs="Arial"/>
                <w:color w:val="000000"/>
              </w:rPr>
              <w:t>Region 2</w:t>
            </w:r>
          </w:p>
        </w:tc>
        <w:tc>
          <w:tcPr>
            <w:tcW w:w="1590" w:type="dxa"/>
            <w:shd w:val="clear" w:color="auto" w:fill="FFFFFF" w:themeFill="background1"/>
            <w:noWrap/>
            <w:hideMark/>
          </w:tcPr>
          <w:p w14:paraId="00F602B6" w14:textId="77777777"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10,868</w:t>
            </w:r>
          </w:p>
        </w:tc>
        <w:tc>
          <w:tcPr>
            <w:tcW w:w="1590" w:type="dxa"/>
            <w:shd w:val="clear" w:color="auto" w:fill="FFFFFF" w:themeFill="background1"/>
            <w:noWrap/>
            <w:hideMark/>
          </w:tcPr>
          <w:p w14:paraId="78D2A1E8" w14:textId="77777777"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7,212</w:t>
            </w:r>
          </w:p>
        </w:tc>
        <w:tc>
          <w:tcPr>
            <w:tcW w:w="1590" w:type="dxa"/>
            <w:shd w:val="clear" w:color="auto" w:fill="FFFFFF" w:themeFill="background1"/>
            <w:noWrap/>
            <w:hideMark/>
          </w:tcPr>
          <w:p w14:paraId="439A3E6A" w14:textId="77777777"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11,760</w:t>
            </w:r>
          </w:p>
        </w:tc>
        <w:tc>
          <w:tcPr>
            <w:tcW w:w="1537" w:type="dxa"/>
            <w:shd w:val="clear" w:color="auto" w:fill="FFFFFF" w:themeFill="background1"/>
            <w:noWrap/>
            <w:hideMark/>
          </w:tcPr>
          <w:p w14:paraId="0F593490" w14:textId="77777777"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6,553</w:t>
            </w:r>
          </w:p>
        </w:tc>
        <w:tc>
          <w:tcPr>
            <w:tcW w:w="1590" w:type="dxa"/>
            <w:shd w:val="clear" w:color="auto" w:fill="FFFFFF" w:themeFill="background1"/>
            <w:noWrap/>
            <w:hideMark/>
          </w:tcPr>
          <w:p w14:paraId="6C4239CC" w14:textId="6AD8898D"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82.0</w:t>
            </w:r>
            <w:r w:rsidR="00226B5E">
              <w:rPr>
                <w:rFonts w:cs="Arial"/>
                <w:color w:val="000000"/>
              </w:rPr>
              <w:t>%</w:t>
            </w:r>
          </w:p>
        </w:tc>
        <w:tc>
          <w:tcPr>
            <w:tcW w:w="1590" w:type="dxa"/>
            <w:shd w:val="clear" w:color="auto" w:fill="FFFFFF" w:themeFill="background1"/>
            <w:noWrap/>
            <w:hideMark/>
          </w:tcPr>
          <w:p w14:paraId="43B03DDF" w14:textId="3DDB8C0A"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87.7</w:t>
            </w:r>
            <w:r w:rsidR="00226B5E">
              <w:rPr>
                <w:rFonts w:cs="Arial"/>
                <w:color w:val="000000"/>
              </w:rPr>
              <w:t>%</w:t>
            </w:r>
          </w:p>
        </w:tc>
        <w:tc>
          <w:tcPr>
            <w:tcW w:w="1590" w:type="dxa"/>
            <w:shd w:val="clear" w:color="auto" w:fill="FFFFFF" w:themeFill="background1"/>
            <w:noWrap/>
            <w:hideMark/>
          </w:tcPr>
          <w:p w14:paraId="5B426A1A" w14:textId="7DD6E109"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91.1</w:t>
            </w:r>
            <w:r w:rsidR="00226B5E">
              <w:rPr>
                <w:rFonts w:cs="Arial"/>
                <w:color w:val="000000"/>
              </w:rPr>
              <w:t>%</w:t>
            </w:r>
          </w:p>
        </w:tc>
        <w:tc>
          <w:tcPr>
            <w:tcW w:w="1537" w:type="dxa"/>
            <w:shd w:val="clear" w:color="auto" w:fill="FFFFFF" w:themeFill="background1"/>
            <w:noWrap/>
            <w:hideMark/>
          </w:tcPr>
          <w:p w14:paraId="1DED5C56" w14:textId="79A8E79E"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95.4</w:t>
            </w:r>
            <w:r w:rsidR="00226B5E">
              <w:rPr>
                <w:rFonts w:cs="Arial"/>
                <w:color w:val="000000"/>
              </w:rPr>
              <w:t>%</w:t>
            </w:r>
          </w:p>
        </w:tc>
      </w:tr>
      <w:tr w:rsidR="00A408A6" w14:paraId="7C9F4FCA" w14:textId="77777777" w:rsidTr="0013083B">
        <w:trPr>
          <w:cnfStyle w:val="000000100000" w:firstRow="0" w:lastRow="0" w:firstColumn="0" w:lastColumn="0" w:oddVBand="0" w:evenVBand="0" w:oddHBand="1" w:evenHBand="0" w:firstRowFirstColumn="0" w:firstRowLastColumn="0" w:lastRowFirstColumn="0" w:lastRowLastColumn="0"/>
          <w:cantSplit/>
          <w:trHeight w:val="710"/>
        </w:trPr>
        <w:tc>
          <w:tcPr>
            <w:cnfStyle w:val="001000000000" w:firstRow="0" w:lastRow="0" w:firstColumn="1" w:lastColumn="0" w:oddVBand="0" w:evenVBand="0" w:oddHBand="0" w:evenHBand="0" w:firstRowFirstColumn="0" w:firstRowLastColumn="0" w:lastRowFirstColumn="0" w:lastRowLastColumn="0"/>
            <w:tcW w:w="1447" w:type="dxa"/>
            <w:shd w:val="clear" w:color="auto" w:fill="FFFFFF" w:themeFill="background1"/>
            <w:noWrap/>
            <w:hideMark/>
          </w:tcPr>
          <w:p w14:paraId="221206B9" w14:textId="77777777" w:rsidR="00A408A6" w:rsidRPr="00077DD2" w:rsidRDefault="00A408A6">
            <w:pPr>
              <w:rPr>
                <w:rFonts w:cs="Arial"/>
                <w:color w:val="000000"/>
              </w:rPr>
            </w:pPr>
            <w:r w:rsidRPr="00077DD2">
              <w:rPr>
                <w:rFonts w:cs="Arial"/>
                <w:color w:val="000000"/>
              </w:rPr>
              <w:t>Region 3</w:t>
            </w:r>
          </w:p>
        </w:tc>
        <w:tc>
          <w:tcPr>
            <w:tcW w:w="1590" w:type="dxa"/>
            <w:shd w:val="clear" w:color="auto" w:fill="FFFFFF" w:themeFill="background1"/>
            <w:noWrap/>
            <w:hideMark/>
          </w:tcPr>
          <w:p w14:paraId="2898A33A"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33,869</w:t>
            </w:r>
          </w:p>
        </w:tc>
        <w:tc>
          <w:tcPr>
            <w:tcW w:w="1590" w:type="dxa"/>
            <w:shd w:val="clear" w:color="auto" w:fill="FFFFFF" w:themeFill="background1"/>
            <w:noWrap/>
            <w:hideMark/>
          </w:tcPr>
          <w:p w14:paraId="02BAAE82"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20,649</w:t>
            </w:r>
          </w:p>
        </w:tc>
        <w:tc>
          <w:tcPr>
            <w:tcW w:w="1590" w:type="dxa"/>
            <w:shd w:val="clear" w:color="auto" w:fill="FFFFFF" w:themeFill="background1"/>
            <w:noWrap/>
            <w:hideMark/>
          </w:tcPr>
          <w:p w14:paraId="4EC55AD0"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22,225</w:t>
            </w:r>
          </w:p>
        </w:tc>
        <w:tc>
          <w:tcPr>
            <w:tcW w:w="1537" w:type="dxa"/>
            <w:shd w:val="clear" w:color="auto" w:fill="FFFFFF" w:themeFill="background1"/>
            <w:noWrap/>
            <w:hideMark/>
          </w:tcPr>
          <w:p w14:paraId="0439B024"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13,341</w:t>
            </w:r>
          </w:p>
        </w:tc>
        <w:tc>
          <w:tcPr>
            <w:tcW w:w="1590" w:type="dxa"/>
            <w:shd w:val="clear" w:color="auto" w:fill="FFFFFF" w:themeFill="background1"/>
            <w:noWrap/>
            <w:hideMark/>
          </w:tcPr>
          <w:p w14:paraId="3426FFA3" w14:textId="04B2C6C6"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80.2</w:t>
            </w:r>
            <w:r w:rsidR="00226B5E">
              <w:rPr>
                <w:rFonts w:cs="Arial"/>
                <w:color w:val="000000"/>
              </w:rPr>
              <w:t>%</w:t>
            </w:r>
          </w:p>
        </w:tc>
        <w:tc>
          <w:tcPr>
            <w:tcW w:w="1590" w:type="dxa"/>
            <w:shd w:val="clear" w:color="auto" w:fill="FFFFFF" w:themeFill="background1"/>
            <w:noWrap/>
            <w:hideMark/>
          </w:tcPr>
          <w:p w14:paraId="5729F0A5" w14:textId="2A1863A0"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90.7</w:t>
            </w:r>
            <w:r w:rsidR="00226B5E">
              <w:rPr>
                <w:rFonts w:cs="Arial"/>
                <w:color w:val="000000"/>
              </w:rPr>
              <w:t>%</w:t>
            </w:r>
          </w:p>
        </w:tc>
        <w:tc>
          <w:tcPr>
            <w:tcW w:w="1590" w:type="dxa"/>
            <w:shd w:val="clear" w:color="auto" w:fill="FFFFFF" w:themeFill="background1"/>
            <w:noWrap/>
            <w:hideMark/>
          </w:tcPr>
          <w:p w14:paraId="7F01E160" w14:textId="0B28AEB5"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92.8</w:t>
            </w:r>
            <w:r w:rsidR="00226B5E">
              <w:rPr>
                <w:rFonts w:cs="Arial"/>
                <w:color w:val="000000"/>
              </w:rPr>
              <w:t>%</w:t>
            </w:r>
          </w:p>
        </w:tc>
        <w:tc>
          <w:tcPr>
            <w:tcW w:w="1537" w:type="dxa"/>
            <w:shd w:val="clear" w:color="auto" w:fill="FFFFFF" w:themeFill="background1"/>
            <w:noWrap/>
            <w:hideMark/>
          </w:tcPr>
          <w:p w14:paraId="06300E40" w14:textId="1B9DA4ED"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95.4</w:t>
            </w:r>
            <w:r w:rsidR="00226B5E">
              <w:rPr>
                <w:rFonts w:cs="Arial"/>
                <w:color w:val="000000"/>
              </w:rPr>
              <w:t>%</w:t>
            </w:r>
          </w:p>
        </w:tc>
      </w:tr>
      <w:tr w:rsidR="00A408A6" w14:paraId="0BEDF1BE" w14:textId="77777777" w:rsidTr="0013083B">
        <w:trPr>
          <w:cantSplit/>
          <w:trHeight w:val="710"/>
        </w:trPr>
        <w:tc>
          <w:tcPr>
            <w:cnfStyle w:val="001000000000" w:firstRow="0" w:lastRow="0" w:firstColumn="1" w:lastColumn="0" w:oddVBand="0" w:evenVBand="0" w:oddHBand="0" w:evenHBand="0" w:firstRowFirstColumn="0" w:firstRowLastColumn="0" w:lastRowFirstColumn="0" w:lastRowLastColumn="0"/>
            <w:tcW w:w="1447" w:type="dxa"/>
            <w:shd w:val="clear" w:color="auto" w:fill="FFFFFF" w:themeFill="background1"/>
            <w:noWrap/>
            <w:hideMark/>
          </w:tcPr>
          <w:p w14:paraId="06C4EE79" w14:textId="77777777" w:rsidR="00A408A6" w:rsidRPr="00077DD2" w:rsidRDefault="00A408A6">
            <w:pPr>
              <w:rPr>
                <w:rFonts w:cs="Arial"/>
                <w:color w:val="000000"/>
              </w:rPr>
            </w:pPr>
            <w:r w:rsidRPr="00077DD2">
              <w:rPr>
                <w:rFonts w:cs="Arial"/>
                <w:color w:val="000000"/>
              </w:rPr>
              <w:t>Region 4</w:t>
            </w:r>
          </w:p>
        </w:tc>
        <w:tc>
          <w:tcPr>
            <w:tcW w:w="1590" w:type="dxa"/>
            <w:shd w:val="clear" w:color="auto" w:fill="FFFFFF" w:themeFill="background1"/>
            <w:noWrap/>
            <w:hideMark/>
          </w:tcPr>
          <w:p w14:paraId="4BFD559F" w14:textId="77777777"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16,083</w:t>
            </w:r>
          </w:p>
        </w:tc>
        <w:tc>
          <w:tcPr>
            <w:tcW w:w="1590" w:type="dxa"/>
            <w:shd w:val="clear" w:color="auto" w:fill="FFFFFF" w:themeFill="background1"/>
            <w:noWrap/>
            <w:hideMark/>
          </w:tcPr>
          <w:p w14:paraId="50CAA168" w14:textId="77777777"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13,576</w:t>
            </w:r>
          </w:p>
        </w:tc>
        <w:tc>
          <w:tcPr>
            <w:tcW w:w="1590" w:type="dxa"/>
            <w:shd w:val="clear" w:color="auto" w:fill="FFFFFF" w:themeFill="background1"/>
            <w:noWrap/>
            <w:hideMark/>
          </w:tcPr>
          <w:p w14:paraId="089EFB29" w14:textId="77777777"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23,165</w:t>
            </w:r>
          </w:p>
        </w:tc>
        <w:tc>
          <w:tcPr>
            <w:tcW w:w="1537" w:type="dxa"/>
            <w:shd w:val="clear" w:color="auto" w:fill="FFFFFF" w:themeFill="background1"/>
            <w:noWrap/>
            <w:hideMark/>
          </w:tcPr>
          <w:p w14:paraId="56160858" w14:textId="77777777"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17,579</w:t>
            </w:r>
          </w:p>
        </w:tc>
        <w:tc>
          <w:tcPr>
            <w:tcW w:w="1590" w:type="dxa"/>
            <w:shd w:val="clear" w:color="auto" w:fill="FFFFFF" w:themeFill="background1"/>
            <w:noWrap/>
            <w:hideMark/>
          </w:tcPr>
          <w:p w14:paraId="264AF781" w14:textId="21159031"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82.0</w:t>
            </w:r>
            <w:r w:rsidR="00226B5E">
              <w:rPr>
                <w:rFonts w:cs="Arial"/>
                <w:color w:val="000000"/>
              </w:rPr>
              <w:t>%</w:t>
            </w:r>
          </w:p>
        </w:tc>
        <w:tc>
          <w:tcPr>
            <w:tcW w:w="1590" w:type="dxa"/>
            <w:shd w:val="clear" w:color="auto" w:fill="FFFFFF" w:themeFill="background1"/>
            <w:noWrap/>
            <w:hideMark/>
          </w:tcPr>
          <w:p w14:paraId="2505DA0B" w14:textId="3F61FCFA"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87.0</w:t>
            </w:r>
            <w:r w:rsidR="00226B5E">
              <w:rPr>
                <w:rFonts w:cs="Arial"/>
                <w:color w:val="000000"/>
              </w:rPr>
              <w:t>%</w:t>
            </w:r>
          </w:p>
        </w:tc>
        <w:tc>
          <w:tcPr>
            <w:tcW w:w="1590" w:type="dxa"/>
            <w:shd w:val="clear" w:color="auto" w:fill="FFFFFF" w:themeFill="background1"/>
            <w:noWrap/>
            <w:hideMark/>
          </w:tcPr>
          <w:p w14:paraId="6C8AAB17" w14:textId="2D32D3B5"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90.1</w:t>
            </w:r>
            <w:r w:rsidR="00226B5E">
              <w:rPr>
                <w:rFonts w:cs="Arial"/>
                <w:color w:val="000000"/>
              </w:rPr>
              <w:t>%</w:t>
            </w:r>
          </w:p>
        </w:tc>
        <w:tc>
          <w:tcPr>
            <w:tcW w:w="1537" w:type="dxa"/>
            <w:shd w:val="clear" w:color="auto" w:fill="FFFFFF" w:themeFill="background1"/>
            <w:noWrap/>
            <w:hideMark/>
          </w:tcPr>
          <w:p w14:paraId="1ED27C0E" w14:textId="11F0907D"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94.8</w:t>
            </w:r>
            <w:r w:rsidR="00226B5E">
              <w:rPr>
                <w:rFonts w:cs="Arial"/>
                <w:color w:val="000000"/>
              </w:rPr>
              <w:t>%</w:t>
            </w:r>
          </w:p>
        </w:tc>
      </w:tr>
      <w:tr w:rsidR="00A408A6" w14:paraId="470CE2DE" w14:textId="77777777" w:rsidTr="0013083B">
        <w:trPr>
          <w:cnfStyle w:val="000000100000" w:firstRow="0" w:lastRow="0" w:firstColumn="0" w:lastColumn="0" w:oddVBand="0" w:evenVBand="0" w:oddHBand="1" w:evenHBand="0" w:firstRowFirstColumn="0" w:firstRowLastColumn="0" w:lastRowFirstColumn="0" w:lastRowLastColumn="0"/>
          <w:cantSplit/>
          <w:trHeight w:val="710"/>
        </w:trPr>
        <w:tc>
          <w:tcPr>
            <w:cnfStyle w:val="001000000000" w:firstRow="0" w:lastRow="0" w:firstColumn="1" w:lastColumn="0" w:oddVBand="0" w:evenVBand="0" w:oddHBand="0" w:evenHBand="0" w:firstRowFirstColumn="0" w:firstRowLastColumn="0" w:lastRowFirstColumn="0" w:lastRowLastColumn="0"/>
            <w:tcW w:w="1447" w:type="dxa"/>
            <w:shd w:val="clear" w:color="auto" w:fill="FFFFFF" w:themeFill="background1"/>
            <w:noWrap/>
            <w:hideMark/>
          </w:tcPr>
          <w:p w14:paraId="425FB288" w14:textId="77777777" w:rsidR="00A408A6" w:rsidRPr="00077DD2" w:rsidRDefault="00A408A6">
            <w:pPr>
              <w:rPr>
                <w:rFonts w:cs="Arial"/>
                <w:color w:val="000000"/>
              </w:rPr>
            </w:pPr>
            <w:r w:rsidRPr="00077DD2">
              <w:rPr>
                <w:rFonts w:cs="Arial"/>
                <w:color w:val="000000"/>
              </w:rPr>
              <w:t>Region 5</w:t>
            </w:r>
          </w:p>
        </w:tc>
        <w:tc>
          <w:tcPr>
            <w:tcW w:w="1590" w:type="dxa"/>
            <w:shd w:val="clear" w:color="auto" w:fill="FFFFFF" w:themeFill="background1"/>
            <w:noWrap/>
            <w:hideMark/>
          </w:tcPr>
          <w:p w14:paraId="6C50E132"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4,542</w:t>
            </w:r>
          </w:p>
        </w:tc>
        <w:tc>
          <w:tcPr>
            <w:tcW w:w="1590" w:type="dxa"/>
            <w:shd w:val="clear" w:color="auto" w:fill="FFFFFF" w:themeFill="background1"/>
            <w:noWrap/>
            <w:hideMark/>
          </w:tcPr>
          <w:p w14:paraId="75DC3A8A"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5,435</w:t>
            </w:r>
          </w:p>
        </w:tc>
        <w:tc>
          <w:tcPr>
            <w:tcW w:w="1590" w:type="dxa"/>
            <w:shd w:val="clear" w:color="auto" w:fill="FFFFFF" w:themeFill="background1"/>
            <w:noWrap/>
            <w:hideMark/>
          </w:tcPr>
          <w:p w14:paraId="1CBEB83F"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10,134</w:t>
            </w:r>
          </w:p>
        </w:tc>
        <w:tc>
          <w:tcPr>
            <w:tcW w:w="1537" w:type="dxa"/>
            <w:shd w:val="clear" w:color="auto" w:fill="FFFFFF" w:themeFill="background1"/>
            <w:noWrap/>
            <w:hideMark/>
          </w:tcPr>
          <w:p w14:paraId="5BAF02F4"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5,854</w:t>
            </w:r>
          </w:p>
        </w:tc>
        <w:tc>
          <w:tcPr>
            <w:tcW w:w="1590" w:type="dxa"/>
            <w:shd w:val="clear" w:color="auto" w:fill="FFFFFF" w:themeFill="background1"/>
            <w:noWrap/>
            <w:hideMark/>
          </w:tcPr>
          <w:p w14:paraId="64114213" w14:textId="08FF2EB0"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85.2</w:t>
            </w:r>
            <w:r w:rsidR="00226B5E">
              <w:rPr>
                <w:rFonts w:cs="Arial"/>
                <w:color w:val="000000"/>
              </w:rPr>
              <w:t>%</w:t>
            </w:r>
          </w:p>
        </w:tc>
        <w:tc>
          <w:tcPr>
            <w:tcW w:w="1590" w:type="dxa"/>
            <w:shd w:val="clear" w:color="auto" w:fill="FFFFFF" w:themeFill="background1"/>
            <w:noWrap/>
            <w:hideMark/>
          </w:tcPr>
          <w:p w14:paraId="0520C147" w14:textId="0B35E1D2"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89.7</w:t>
            </w:r>
            <w:r w:rsidR="00226B5E">
              <w:rPr>
                <w:rFonts w:cs="Arial"/>
                <w:color w:val="000000"/>
              </w:rPr>
              <w:t>%</w:t>
            </w:r>
          </w:p>
        </w:tc>
        <w:tc>
          <w:tcPr>
            <w:tcW w:w="1590" w:type="dxa"/>
            <w:shd w:val="clear" w:color="auto" w:fill="FFFFFF" w:themeFill="background1"/>
            <w:noWrap/>
            <w:hideMark/>
          </w:tcPr>
          <w:p w14:paraId="54A36342" w14:textId="19237CEC"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92.2</w:t>
            </w:r>
            <w:r w:rsidR="00226B5E">
              <w:rPr>
                <w:rFonts w:cs="Arial"/>
                <w:color w:val="000000"/>
              </w:rPr>
              <w:t>%</w:t>
            </w:r>
          </w:p>
        </w:tc>
        <w:tc>
          <w:tcPr>
            <w:tcW w:w="1537" w:type="dxa"/>
            <w:shd w:val="clear" w:color="auto" w:fill="FFFFFF" w:themeFill="background1"/>
            <w:noWrap/>
            <w:hideMark/>
          </w:tcPr>
          <w:p w14:paraId="1B23CA19" w14:textId="0219ADF0"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95.6</w:t>
            </w:r>
            <w:r w:rsidR="00226B5E">
              <w:rPr>
                <w:rFonts w:cs="Arial"/>
                <w:color w:val="000000"/>
              </w:rPr>
              <w:t>%</w:t>
            </w:r>
          </w:p>
        </w:tc>
      </w:tr>
      <w:tr w:rsidR="00A408A6" w14:paraId="62827607" w14:textId="77777777" w:rsidTr="0013083B">
        <w:trPr>
          <w:cantSplit/>
          <w:trHeight w:val="710"/>
        </w:trPr>
        <w:tc>
          <w:tcPr>
            <w:cnfStyle w:val="001000000000" w:firstRow="0" w:lastRow="0" w:firstColumn="1" w:lastColumn="0" w:oddVBand="0" w:evenVBand="0" w:oddHBand="0" w:evenHBand="0" w:firstRowFirstColumn="0" w:firstRowLastColumn="0" w:lastRowFirstColumn="0" w:lastRowLastColumn="0"/>
            <w:tcW w:w="1447" w:type="dxa"/>
            <w:shd w:val="clear" w:color="auto" w:fill="FFFFFF" w:themeFill="background1"/>
            <w:noWrap/>
            <w:hideMark/>
          </w:tcPr>
          <w:p w14:paraId="54684AEB" w14:textId="77777777" w:rsidR="00A408A6" w:rsidRPr="00077DD2" w:rsidRDefault="00A408A6">
            <w:pPr>
              <w:rPr>
                <w:rFonts w:cs="Arial"/>
                <w:color w:val="000000"/>
              </w:rPr>
            </w:pPr>
            <w:r w:rsidRPr="00077DD2">
              <w:rPr>
                <w:rFonts w:cs="Arial"/>
                <w:color w:val="000000"/>
              </w:rPr>
              <w:t>Region 6</w:t>
            </w:r>
          </w:p>
        </w:tc>
        <w:tc>
          <w:tcPr>
            <w:tcW w:w="1590" w:type="dxa"/>
            <w:shd w:val="clear" w:color="auto" w:fill="FFFFFF" w:themeFill="background1"/>
            <w:noWrap/>
            <w:hideMark/>
          </w:tcPr>
          <w:p w14:paraId="400F0545" w14:textId="77777777"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53,637</w:t>
            </w:r>
          </w:p>
        </w:tc>
        <w:tc>
          <w:tcPr>
            <w:tcW w:w="1590" w:type="dxa"/>
            <w:shd w:val="clear" w:color="auto" w:fill="FFFFFF" w:themeFill="background1"/>
            <w:noWrap/>
            <w:hideMark/>
          </w:tcPr>
          <w:p w14:paraId="1B49F120" w14:textId="77777777"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36,047</w:t>
            </w:r>
          </w:p>
        </w:tc>
        <w:tc>
          <w:tcPr>
            <w:tcW w:w="1590" w:type="dxa"/>
            <w:shd w:val="clear" w:color="auto" w:fill="FFFFFF" w:themeFill="background1"/>
            <w:noWrap/>
            <w:hideMark/>
          </w:tcPr>
          <w:p w14:paraId="7EB40FEB" w14:textId="77777777"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42,062</w:t>
            </w:r>
          </w:p>
        </w:tc>
        <w:tc>
          <w:tcPr>
            <w:tcW w:w="1537" w:type="dxa"/>
            <w:shd w:val="clear" w:color="auto" w:fill="FFFFFF" w:themeFill="background1"/>
            <w:noWrap/>
            <w:hideMark/>
          </w:tcPr>
          <w:p w14:paraId="5CD3AC85" w14:textId="77777777"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23,864</w:t>
            </w:r>
          </w:p>
        </w:tc>
        <w:tc>
          <w:tcPr>
            <w:tcW w:w="1590" w:type="dxa"/>
            <w:shd w:val="clear" w:color="auto" w:fill="FFFFFF" w:themeFill="background1"/>
            <w:noWrap/>
            <w:hideMark/>
          </w:tcPr>
          <w:p w14:paraId="3F8E57C9" w14:textId="2E32920D"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86.7</w:t>
            </w:r>
            <w:r w:rsidR="00226B5E">
              <w:rPr>
                <w:rFonts w:cs="Arial"/>
                <w:color w:val="000000"/>
              </w:rPr>
              <w:t>%</w:t>
            </w:r>
          </w:p>
        </w:tc>
        <w:tc>
          <w:tcPr>
            <w:tcW w:w="1590" w:type="dxa"/>
            <w:shd w:val="clear" w:color="auto" w:fill="FFFFFF" w:themeFill="background1"/>
            <w:noWrap/>
            <w:hideMark/>
          </w:tcPr>
          <w:p w14:paraId="52CAA252" w14:textId="033E87B2"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90.6</w:t>
            </w:r>
            <w:r w:rsidR="00226B5E">
              <w:rPr>
                <w:rFonts w:cs="Arial"/>
                <w:color w:val="000000"/>
              </w:rPr>
              <w:t>%</w:t>
            </w:r>
          </w:p>
        </w:tc>
        <w:tc>
          <w:tcPr>
            <w:tcW w:w="1590" w:type="dxa"/>
            <w:shd w:val="clear" w:color="auto" w:fill="FFFFFF" w:themeFill="background1"/>
            <w:noWrap/>
            <w:hideMark/>
          </w:tcPr>
          <w:p w14:paraId="42C1F7A2" w14:textId="10E874CF"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92.2</w:t>
            </w:r>
            <w:r w:rsidR="00226B5E">
              <w:rPr>
                <w:rFonts w:cs="Arial"/>
                <w:color w:val="000000"/>
              </w:rPr>
              <w:t>%</w:t>
            </w:r>
          </w:p>
        </w:tc>
        <w:tc>
          <w:tcPr>
            <w:tcW w:w="1537" w:type="dxa"/>
            <w:shd w:val="clear" w:color="auto" w:fill="FFFFFF" w:themeFill="background1"/>
            <w:noWrap/>
            <w:hideMark/>
          </w:tcPr>
          <w:p w14:paraId="2645E582" w14:textId="40D5E512" w:rsidR="00A408A6" w:rsidRPr="00067D74" w:rsidRDefault="00A408A6">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067D74">
              <w:rPr>
                <w:rFonts w:cs="Arial"/>
                <w:color w:val="000000"/>
              </w:rPr>
              <w:t>95.5</w:t>
            </w:r>
            <w:r w:rsidR="00226B5E">
              <w:rPr>
                <w:rFonts w:cs="Arial"/>
                <w:color w:val="000000"/>
              </w:rPr>
              <w:t>%</w:t>
            </w:r>
          </w:p>
        </w:tc>
      </w:tr>
      <w:tr w:rsidR="00A408A6" w14:paraId="259A037F" w14:textId="77777777" w:rsidTr="0013083B">
        <w:trPr>
          <w:cnfStyle w:val="000000100000" w:firstRow="0" w:lastRow="0" w:firstColumn="0" w:lastColumn="0" w:oddVBand="0" w:evenVBand="0" w:oddHBand="1" w:evenHBand="0" w:firstRowFirstColumn="0" w:firstRowLastColumn="0" w:lastRowFirstColumn="0" w:lastRowLastColumn="0"/>
          <w:cantSplit/>
          <w:trHeight w:val="710"/>
        </w:trPr>
        <w:tc>
          <w:tcPr>
            <w:cnfStyle w:val="001000000000" w:firstRow="0" w:lastRow="0" w:firstColumn="1" w:lastColumn="0" w:oddVBand="0" w:evenVBand="0" w:oddHBand="0" w:evenHBand="0" w:firstRowFirstColumn="0" w:firstRowLastColumn="0" w:lastRowFirstColumn="0" w:lastRowLastColumn="0"/>
            <w:tcW w:w="1447" w:type="dxa"/>
            <w:shd w:val="clear" w:color="auto" w:fill="FFFFFF" w:themeFill="background1"/>
            <w:noWrap/>
            <w:hideMark/>
          </w:tcPr>
          <w:p w14:paraId="41F6E786" w14:textId="77777777" w:rsidR="00A408A6" w:rsidRPr="00077DD2" w:rsidRDefault="00A408A6">
            <w:pPr>
              <w:rPr>
                <w:rFonts w:cs="Arial"/>
                <w:color w:val="000000"/>
              </w:rPr>
            </w:pPr>
            <w:r w:rsidRPr="00077DD2">
              <w:rPr>
                <w:rFonts w:cs="Arial"/>
                <w:color w:val="000000"/>
              </w:rPr>
              <w:t>Region 7</w:t>
            </w:r>
          </w:p>
        </w:tc>
        <w:tc>
          <w:tcPr>
            <w:tcW w:w="1590" w:type="dxa"/>
            <w:shd w:val="clear" w:color="auto" w:fill="FFFFFF" w:themeFill="background1"/>
            <w:noWrap/>
            <w:hideMark/>
          </w:tcPr>
          <w:p w14:paraId="381CD89F"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34,976</w:t>
            </w:r>
          </w:p>
        </w:tc>
        <w:tc>
          <w:tcPr>
            <w:tcW w:w="1590" w:type="dxa"/>
            <w:shd w:val="clear" w:color="auto" w:fill="FFFFFF" w:themeFill="background1"/>
            <w:noWrap/>
            <w:hideMark/>
          </w:tcPr>
          <w:p w14:paraId="45AF168A"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25,202</w:t>
            </w:r>
          </w:p>
        </w:tc>
        <w:tc>
          <w:tcPr>
            <w:tcW w:w="1590" w:type="dxa"/>
            <w:shd w:val="clear" w:color="auto" w:fill="FFFFFF" w:themeFill="background1"/>
            <w:noWrap/>
            <w:hideMark/>
          </w:tcPr>
          <w:p w14:paraId="6900909C"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30,692</w:t>
            </w:r>
          </w:p>
        </w:tc>
        <w:tc>
          <w:tcPr>
            <w:tcW w:w="1537" w:type="dxa"/>
            <w:shd w:val="clear" w:color="auto" w:fill="FFFFFF" w:themeFill="background1"/>
            <w:noWrap/>
            <w:hideMark/>
          </w:tcPr>
          <w:p w14:paraId="55B8A0C3" w14:textId="7777777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18,916</w:t>
            </w:r>
          </w:p>
        </w:tc>
        <w:tc>
          <w:tcPr>
            <w:tcW w:w="1590" w:type="dxa"/>
            <w:shd w:val="clear" w:color="auto" w:fill="FFFFFF" w:themeFill="background1"/>
            <w:noWrap/>
            <w:hideMark/>
          </w:tcPr>
          <w:p w14:paraId="26FC4EDB" w14:textId="732D4A7E"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84.5</w:t>
            </w:r>
            <w:r w:rsidR="00226B5E">
              <w:rPr>
                <w:rFonts w:cs="Arial"/>
                <w:color w:val="000000"/>
              </w:rPr>
              <w:t>%</w:t>
            </w:r>
          </w:p>
        </w:tc>
        <w:tc>
          <w:tcPr>
            <w:tcW w:w="1590" w:type="dxa"/>
            <w:shd w:val="clear" w:color="auto" w:fill="FFFFFF" w:themeFill="background1"/>
            <w:noWrap/>
            <w:hideMark/>
          </w:tcPr>
          <w:p w14:paraId="3869DE42" w14:textId="2B8FB2E5"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87.9</w:t>
            </w:r>
            <w:r w:rsidR="00226B5E">
              <w:rPr>
                <w:rFonts w:cs="Arial"/>
                <w:color w:val="000000"/>
              </w:rPr>
              <w:t>%</w:t>
            </w:r>
          </w:p>
        </w:tc>
        <w:tc>
          <w:tcPr>
            <w:tcW w:w="1590" w:type="dxa"/>
            <w:shd w:val="clear" w:color="auto" w:fill="FFFFFF" w:themeFill="background1"/>
            <w:noWrap/>
            <w:hideMark/>
          </w:tcPr>
          <w:p w14:paraId="50805461" w14:textId="353FE4E5"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067D74">
              <w:rPr>
                <w:rFonts w:cs="Arial"/>
                <w:color w:val="000000"/>
              </w:rPr>
              <w:t>89.8</w:t>
            </w:r>
            <w:r w:rsidR="00226B5E">
              <w:rPr>
                <w:rFonts w:cs="Arial"/>
                <w:color w:val="000000"/>
              </w:rPr>
              <w:t>%</w:t>
            </w:r>
          </w:p>
        </w:tc>
        <w:tc>
          <w:tcPr>
            <w:tcW w:w="1537" w:type="dxa"/>
            <w:shd w:val="clear" w:color="auto" w:fill="FFFFFF" w:themeFill="background1"/>
            <w:noWrap/>
            <w:hideMark/>
          </w:tcPr>
          <w:p w14:paraId="6631F53D" w14:textId="08C0E7C7" w:rsidR="00A408A6" w:rsidRPr="00067D74" w:rsidRDefault="00A408A6">
            <w:pPr>
              <w:jc w:val="center"/>
              <w:cnfStyle w:val="000000100000" w:firstRow="0" w:lastRow="0" w:firstColumn="0" w:lastColumn="0" w:oddVBand="0" w:evenVBand="0" w:oddHBand="1" w:evenHBand="0" w:firstRowFirstColumn="0" w:firstRowLastColumn="0" w:lastRowFirstColumn="0" w:lastRowLastColumn="0"/>
              <w:rPr>
                <w:rFonts w:cs="Arial"/>
              </w:rPr>
            </w:pPr>
            <w:r w:rsidRPr="00067D74">
              <w:rPr>
                <w:rFonts w:cs="Arial"/>
                <w:color w:val="000000"/>
              </w:rPr>
              <w:t>94.3</w:t>
            </w:r>
            <w:r w:rsidR="00226B5E">
              <w:rPr>
                <w:rFonts w:cs="Arial"/>
                <w:color w:val="000000"/>
              </w:rPr>
              <w:t>%</w:t>
            </w:r>
          </w:p>
        </w:tc>
      </w:tr>
    </w:tbl>
    <w:p w14:paraId="01827864" w14:textId="77777777" w:rsidR="00077DD2" w:rsidRPr="00C3382B" w:rsidRDefault="00077DD2" w:rsidP="00077DD2">
      <w:pPr>
        <w:rPr>
          <w:rFonts w:eastAsiaTheme="minorHAnsi" w:cs="Arial"/>
        </w:rPr>
        <w:sectPr w:rsidR="00077DD2" w:rsidRPr="00C3382B" w:rsidSect="00A0487A">
          <w:pgSz w:w="15840" w:h="12240" w:orient="landscape"/>
          <w:pgMar w:top="1440" w:right="1440" w:bottom="1440" w:left="1440" w:header="720" w:footer="720" w:gutter="0"/>
          <w:cols w:space="720"/>
          <w:docGrid w:linePitch="360"/>
        </w:sectPr>
      </w:pPr>
      <w:bookmarkStart w:id="53" w:name="_Hlk156961900"/>
    </w:p>
    <w:p w14:paraId="7B27CB0D" w14:textId="09C2AC59" w:rsidR="00CA4E48" w:rsidRPr="00CA4E48" w:rsidRDefault="0046632D" w:rsidP="00E8383C">
      <w:pPr>
        <w:pStyle w:val="Heading2"/>
      </w:pPr>
      <w:bookmarkStart w:id="54" w:name="_Toc158883522"/>
      <w:r w:rsidRPr="0046632D">
        <w:lastRenderedPageBreak/>
        <w:t xml:space="preserve">Appendix </w:t>
      </w:r>
      <w:r>
        <w:t>I</w:t>
      </w:r>
      <w:r w:rsidRPr="0046632D">
        <w:t xml:space="preserve">: </w:t>
      </w:r>
      <w:r>
        <w:t>C</w:t>
      </w:r>
      <w:r w:rsidR="00131067">
        <w:t xml:space="preserve">areer </w:t>
      </w:r>
      <w:r>
        <w:t>T</w:t>
      </w:r>
      <w:r w:rsidR="00131067">
        <w:t xml:space="preserve">echnical </w:t>
      </w:r>
      <w:r>
        <w:t>E</w:t>
      </w:r>
      <w:r w:rsidR="00131067">
        <w:t xml:space="preserve">ducation </w:t>
      </w:r>
      <w:r>
        <w:t>I</w:t>
      </w:r>
      <w:r w:rsidR="00131067">
        <w:t xml:space="preserve">ncentive </w:t>
      </w:r>
      <w:r>
        <w:t>G</w:t>
      </w:r>
      <w:r w:rsidR="00131067">
        <w:t>rant</w:t>
      </w:r>
      <w:r>
        <w:t xml:space="preserve"> Region</w:t>
      </w:r>
      <w:r w:rsidR="000A0551">
        <w:t>s by County – Key</w:t>
      </w:r>
      <w:bookmarkEnd w:id="53"/>
      <w:bookmarkEnd w:id="54"/>
    </w:p>
    <w:tbl>
      <w:tblPr>
        <w:tblStyle w:val="ListTable3"/>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TEIG Regions and Counties"/>
      </w:tblPr>
      <w:tblGrid>
        <w:gridCol w:w="2270"/>
        <w:gridCol w:w="12125"/>
      </w:tblGrid>
      <w:tr w:rsidR="00CC1737" w14:paraId="1C74F4A3" w14:textId="77777777" w:rsidTr="00077DD2">
        <w:trPr>
          <w:cnfStyle w:val="100000000000" w:firstRow="1" w:lastRow="0" w:firstColumn="0" w:lastColumn="0" w:oddVBand="0" w:evenVBand="0" w:oddHBand="0" w:evenHBand="0" w:firstRowFirstColumn="0" w:firstRowLastColumn="0" w:lastRowFirstColumn="0" w:lastRowLastColumn="0"/>
          <w:trHeight w:val="840"/>
        </w:trPr>
        <w:tc>
          <w:tcPr>
            <w:cnfStyle w:val="001000000100" w:firstRow="0" w:lastRow="0" w:firstColumn="1" w:lastColumn="0" w:oddVBand="0" w:evenVBand="0" w:oddHBand="0" w:evenHBand="0" w:firstRowFirstColumn="1" w:firstRowLastColumn="0" w:lastRowFirstColumn="0" w:lastRowLastColumn="0"/>
            <w:tcW w:w="2270" w:type="dxa"/>
            <w:tcBorders>
              <w:bottom w:val="none" w:sz="0" w:space="0" w:color="auto"/>
              <w:right w:val="none" w:sz="0" w:space="0" w:color="auto"/>
            </w:tcBorders>
            <w:noWrap/>
            <w:vAlign w:val="center"/>
          </w:tcPr>
          <w:p w14:paraId="547F8B2F" w14:textId="000A0BAF" w:rsidR="00CC1737" w:rsidRPr="00CC1737" w:rsidRDefault="00CC1737" w:rsidP="00CC1737">
            <w:pPr>
              <w:jc w:val="center"/>
              <w:rPr>
                <w:rFonts w:cs="Arial"/>
                <w:sz w:val="28"/>
                <w:szCs w:val="28"/>
              </w:rPr>
            </w:pPr>
            <w:r w:rsidRPr="00CC1737">
              <w:rPr>
                <w:rFonts w:cs="Arial"/>
                <w:sz w:val="28"/>
                <w:szCs w:val="28"/>
              </w:rPr>
              <w:t>Regions</w:t>
            </w:r>
          </w:p>
        </w:tc>
        <w:tc>
          <w:tcPr>
            <w:tcW w:w="12125" w:type="dxa"/>
            <w:vAlign w:val="center"/>
          </w:tcPr>
          <w:p w14:paraId="3C0B66D6" w14:textId="1F198159" w:rsidR="00CC1737" w:rsidRPr="00CC1737" w:rsidRDefault="00CC1737" w:rsidP="00CC1737">
            <w:pPr>
              <w:jc w:val="center"/>
              <w:cnfStyle w:val="100000000000" w:firstRow="1" w:lastRow="0" w:firstColumn="0" w:lastColumn="0" w:oddVBand="0" w:evenVBand="0" w:oddHBand="0" w:evenHBand="0" w:firstRowFirstColumn="0" w:firstRowLastColumn="0" w:lastRowFirstColumn="0" w:lastRowLastColumn="0"/>
              <w:rPr>
                <w:rFonts w:cs="Arial"/>
                <w:sz w:val="28"/>
                <w:szCs w:val="28"/>
              </w:rPr>
            </w:pPr>
            <w:r w:rsidRPr="00CC1737">
              <w:rPr>
                <w:rFonts w:cs="Arial"/>
                <w:sz w:val="28"/>
                <w:szCs w:val="28"/>
              </w:rPr>
              <w:t>Counties</w:t>
            </w:r>
          </w:p>
        </w:tc>
      </w:tr>
      <w:tr w:rsidR="00CA4E48" w14:paraId="15AB9A34" w14:textId="77777777" w:rsidTr="0013083B">
        <w:trPr>
          <w:cnfStyle w:val="000000100000" w:firstRow="0" w:lastRow="0" w:firstColumn="0" w:lastColumn="0" w:oddVBand="0" w:evenVBand="0" w:oddHBand="1" w:evenHBand="0" w:firstRowFirstColumn="0" w:firstRowLastColumn="0" w:lastRowFirstColumn="0" w:lastRowLastColumn="0"/>
          <w:cantSplit/>
          <w:trHeight w:val="840"/>
        </w:trPr>
        <w:tc>
          <w:tcPr>
            <w:cnfStyle w:val="001000000000" w:firstRow="0" w:lastRow="0" w:firstColumn="1" w:lastColumn="0" w:oddVBand="0" w:evenVBand="0" w:oddHBand="0" w:evenHBand="0" w:firstRowFirstColumn="0" w:firstRowLastColumn="0" w:lastRowFirstColumn="0" w:lastRowLastColumn="0"/>
            <w:tcW w:w="2270" w:type="dxa"/>
            <w:tcBorders>
              <w:top w:val="none" w:sz="0" w:space="0" w:color="auto"/>
              <w:bottom w:val="none" w:sz="0" w:space="0" w:color="auto"/>
              <w:right w:val="none" w:sz="0" w:space="0" w:color="auto"/>
            </w:tcBorders>
            <w:noWrap/>
            <w:hideMark/>
          </w:tcPr>
          <w:p w14:paraId="04B09824" w14:textId="77777777" w:rsidR="00CA4E48" w:rsidRPr="00CC1737" w:rsidRDefault="00CA4E48">
            <w:pPr>
              <w:jc w:val="center"/>
              <w:rPr>
                <w:rFonts w:cs="Arial"/>
                <w:color w:val="000000"/>
              </w:rPr>
            </w:pPr>
            <w:r w:rsidRPr="00CC1737">
              <w:rPr>
                <w:rFonts w:cs="Arial"/>
                <w:color w:val="000000"/>
              </w:rPr>
              <w:t>Region 1</w:t>
            </w:r>
          </w:p>
        </w:tc>
        <w:tc>
          <w:tcPr>
            <w:tcW w:w="12125" w:type="dxa"/>
            <w:tcBorders>
              <w:top w:val="none" w:sz="0" w:space="0" w:color="auto"/>
              <w:bottom w:val="none" w:sz="0" w:space="0" w:color="auto"/>
            </w:tcBorders>
            <w:hideMark/>
          </w:tcPr>
          <w:p w14:paraId="05C946BE" w14:textId="5B70D2C9" w:rsidR="00CA4E48" w:rsidRDefault="00CA4E48">
            <w:pP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Butte, Del Norte, Humboldt, Lassen, Modoc, Nevada, </w:t>
            </w:r>
            <w:r w:rsidR="00C91EF0">
              <w:rPr>
                <w:rFonts w:cs="Arial"/>
                <w:color w:val="000000"/>
              </w:rPr>
              <w:t xml:space="preserve">Plumas, </w:t>
            </w:r>
            <w:r>
              <w:rPr>
                <w:rFonts w:cs="Arial"/>
                <w:color w:val="000000"/>
              </w:rPr>
              <w:t>Shasta, Sierra, Siskiyou, Tehama, and Trinity</w:t>
            </w:r>
          </w:p>
        </w:tc>
      </w:tr>
      <w:tr w:rsidR="00CA4E48" w14:paraId="1D89FF5E" w14:textId="77777777" w:rsidTr="0013083B">
        <w:trPr>
          <w:cantSplit/>
          <w:trHeight w:val="840"/>
        </w:trPr>
        <w:tc>
          <w:tcPr>
            <w:cnfStyle w:val="001000000000" w:firstRow="0" w:lastRow="0" w:firstColumn="1" w:lastColumn="0" w:oddVBand="0" w:evenVBand="0" w:oddHBand="0" w:evenHBand="0" w:firstRowFirstColumn="0" w:firstRowLastColumn="0" w:lastRowFirstColumn="0" w:lastRowLastColumn="0"/>
            <w:tcW w:w="2270" w:type="dxa"/>
            <w:tcBorders>
              <w:right w:val="none" w:sz="0" w:space="0" w:color="auto"/>
            </w:tcBorders>
            <w:noWrap/>
            <w:hideMark/>
          </w:tcPr>
          <w:p w14:paraId="734772B0" w14:textId="77777777" w:rsidR="00CA4E48" w:rsidRPr="00CC1737" w:rsidRDefault="00CA4E48">
            <w:pPr>
              <w:jc w:val="center"/>
              <w:rPr>
                <w:rFonts w:cs="Arial"/>
                <w:color w:val="000000"/>
              </w:rPr>
            </w:pPr>
            <w:r w:rsidRPr="00CC1737">
              <w:rPr>
                <w:rFonts w:cs="Arial"/>
                <w:color w:val="000000"/>
              </w:rPr>
              <w:t>Region 2</w:t>
            </w:r>
          </w:p>
        </w:tc>
        <w:tc>
          <w:tcPr>
            <w:tcW w:w="12125" w:type="dxa"/>
            <w:hideMark/>
          </w:tcPr>
          <w:p w14:paraId="1707B3D0" w14:textId="11A4FFDD" w:rsidR="00CA4E48" w:rsidRDefault="00CA4E48">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Amador, Calaveras, Colusa, El Dorado, Glenn, Placer, Sacramento, Sutter, Tuolumne, Yolo, and Yuba</w:t>
            </w:r>
          </w:p>
        </w:tc>
      </w:tr>
      <w:tr w:rsidR="00CA4E48" w14:paraId="12966E55" w14:textId="77777777" w:rsidTr="0013083B">
        <w:trPr>
          <w:cnfStyle w:val="000000100000" w:firstRow="0" w:lastRow="0" w:firstColumn="0" w:lastColumn="0" w:oddVBand="0" w:evenVBand="0" w:oddHBand="1" w:evenHBand="0" w:firstRowFirstColumn="0" w:firstRowLastColumn="0" w:lastRowFirstColumn="0" w:lastRowLastColumn="0"/>
          <w:cantSplit/>
          <w:trHeight w:val="840"/>
        </w:trPr>
        <w:tc>
          <w:tcPr>
            <w:cnfStyle w:val="001000000000" w:firstRow="0" w:lastRow="0" w:firstColumn="1" w:lastColumn="0" w:oddVBand="0" w:evenVBand="0" w:oddHBand="0" w:evenHBand="0" w:firstRowFirstColumn="0" w:firstRowLastColumn="0" w:lastRowFirstColumn="0" w:lastRowLastColumn="0"/>
            <w:tcW w:w="2270" w:type="dxa"/>
            <w:tcBorders>
              <w:top w:val="none" w:sz="0" w:space="0" w:color="auto"/>
              <w:bottom w:val="none" w:sz="0" w:space="0" w:color="auto"/>
              <w:right w:val="none" w:sz="0" w:space="0" w:color="auto"/>
            </w:tcBorders>
            <w:noWrap/>
            <w:hideMark/>
          </w:tcPr>
          <w:p w14:paraId="52167397" w14:textId="77777777" w:rsidR="00CA4E48" w:rsidRPr="00CC1737" w:rsidRDefault="00CA4E48">
            <w:pPr>
              <w:jc w:val="center"/>
              <w:rPr>
                <w:rFonts w:cs="Arial"/>
                <w:color w:val="000000"/>
              </w:rPr>
            </w:pPr>
            <w:r w:rsidRPr="00CC1737">
              <w:rPr>
                <w:rFonts w:cs="Arial"/>
                <w:color w:val="000000"/>
              </w:rPr>
              <w:t>Region 3</w:t>
            </w:r>
          </w:p>
        </w:tc>
        <w:tc>
          <w:tcPr>
            <w:tcW w:w="12125" w:type="dxa"/>
            <w:tcBorders>
              <w:top w:val="none" w:sz="0" w:space="0" w:color="auto"/>
              <w:bottom w:val="none" w:sz="0" w:space="0" w:color="auto"/>
            </w:tcBorders>
            <w:hideMark/>
          </w:tcPr>
          <w:p w14:paraId="425D5BC5" w14:textId="77777777" w:rsidR="00CA4E48" w:rsidRDefault="00CA4E48">
            <w:pP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Alameda, Contra Costa, Lake, Marin, Mendocino, Napa, San Francisco, San Mateo, Santa Clara, Santa Cruz, Solano, and Sonoma</w:t>
            </w:r>
          </w:p>
        </w:tc>
      </w:tr>
      <w:tr w:rsidR="00CA4E48" w14:paraId="15CA536E" w14:textId="77777777" w:rsidTr="0013083B">
        <w:trPr>
          <w:cantSplit/>
          <w:trHeight w:val="840"/>
        </w:trPr>
        <w:tc>
          <w:tcPr>
            <w:cnfStyle w:val="001000000000" w:firstRow="0" w:lastRow="0" w:firstColumn="1" w:lastColumn="0" w:oddVBand="0" w:evenVBand="0" w:oddHBand="0" w:evenHBand="0" w:firstRowFirstColumn="0" w:firstRowLastColumn="0" w:lastRowFirstColumn="0" w:lastRowLastColumn="0"/>
            <w:tcW w:w="2270" w:type="dxa"/>
            <w:tcBorders>
              <w:right w:val="none" w:sz="0" w:space="0" w:color="auto"/>
            </w:tcBorders>
            <w:noWrap/>
            <w:hideMark/>
          </w:tcPr>
          <w:p w14:paraId="30137D95" w14:textId="77777777" w:rsidR="00CA4E48" w:rsidRPr="00CC1737" w:rsidRDefault="00CA4E48">
            <w:pPr>
              <w:jc w:val="center"/>
              <w:rPr>
                <w:rFonts w:cs="Arial"/>
                <w:color w:val="000000"/>
              </w:rPr>
            </w:pPr>
            <w:r w:rsidRPr="00CC1737">
              <w:rPr>
                <w:rFonts w:cs="Arial"/>
                <w:color w:val="000000"/>
              </w:rPr>
              <w:t>Region 4</w:t>
            </w:r>
          </w:p>
        </w:tc>
        <w:tc>
          <w:tcPr>
            <w:tcW w:w="12125" w:type="dxa"/>
            <w:hideMark/>
          </w:tcPr>
          <w:p w14:paraId="76C59AA3" w14:textId="77777777" w:rsidR="00CA4E48" w:rsidRDefault="00CA4E48">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Alpine, Fresno, Inyo, Kern, Kings, Madera, Mariposa, Merced, Mono, San Joaquin, Stanislaus, and Tulare</w:t>
            </w:r>
          </w:p>
        </w:tc>
      </w:tr>
      <w:tr w:rsidR="00CA4E48" w14:paraId="6571FA23" w14:textId="77777777" w:rsidTr="0013083B">
        <w:trPr>
          <w:cnfStyle w:val="000000100000" w:firstRow="0" w:lastRow="0" w:firstColumn="0" w:lastColumn="0" w:oddVBand="0" w:evenVBand="0" w:oddHBand="1" w:evenHBand="0" w:firstRowFirstColumn="0" w:firstRowLastColumn="0" w:lastRowFirstColumn="0" w:lastRowLastColumn="0"/>
          <w:cantSplit/>
          <w:trHeight w:val="840"/>
        </w:trPr>
        <w:tc>
          <w:tcPr>
            <w:cnfStyle w:val="001000000000" w:firstRow="0" w:lastRow="0" w:firstColumn="1" w:lastColumn="0" w:oddVBand="0" w:evenVBand="0" w:oddHBand="0" w:evenHBand="0" w:firstRowFirstColumn="0" w:firstRowLastColumn="0" w:lastRowFirstColumn="0" w:lastRowLastColumn="0"/>
            <w:tcW w:w="2270" w:type="dxa"/>
            <w:tcBorders>
              <w:top w:val="none" w:sz="0" w:space="0" w:color="auto"/>
              <w:bottom w:val="none" w:sz="0" w:space="0" w:color="auto"/>
              <w:right w:val="none" w:sz="0" w:space="0" w:color="auto"/>
            </w:tcBorders>
            <w:noWrap/>
            <w:hideMark/>
          </w:tcPr>
          <w:p w14:paraId="0DEF7250" w14:textId="77777777" w:rsidR="00CA4E48" w:rsidRPr="00CC1737" w:rsidRDefault="00CA4E48">
            <w:pPr>
              <w:jc w:val="center"/>
              <w:rPr>
                <w:rFonts w:cs="Arial"/>
                <w:color w:val="000000"/>
              </w:rPr>
            </w:pPr>
            <w:r w:rsidRPr="00CC1737">
              <w:rPr>
                <w:rFonts w:cs="Arial"/>
                <w:color w:val="000000"/>
              </w:rPr>
              <w:t>Region 5</w:t>
            </w:r>
          </w:p>
        </w:tc>
        <w:tc>
          <w:tcPr>
            <w:tcW w:w="12125" w:type="dxa"/>
            <w:tcBorders>
              <w:top w:val="none" w:sz="0" w:space="0" w:color="auto"/>
              <w:bottom w:val="none" w:sz="0" w:space="0" w:color="auto"/>
            </w:tcBorders>
            <w:hideMark/>
          </w:tcPr>
          <w:p w14:paraId="36012840" w14:textId="77777777" w:rsidR="00CA4E48" w:rsidRDefault="00CA4E48">
            <w:pP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Monterey, San Benito, San Luis Obispo, Santa Barbara, Ventura</w:t>
            </w:r>
          </w:p>
        </w:tc>
      </w:tr>
      <w:tr w:rsidR="00CA4E48" w14:paraId="6C2273E3" w14:textId="77777777" w:rsidTr="0013083B">
        <w:trPr>
          <w:cantSplit/>
          <w:trHeight w:val="840"/>
        </w:trPr>
        <w:tc>
          <w:tcPr>
            <w:cnfStyle w:val="001000000000" w:firstRow="0" w:lastRow="0" w:firstColumn="1" w:lastColumn="0" w:oddVBand="0" w:evenVBand="0" w:oddHBand="0" w:evenHBand="0" w:firstRowFirstColumn="0" w:firstRowLastColumn="0" w:lastRowFirstColumn="0" w:lastRowLastColumn="0"/>
            <w:tcW w:w="2270" w:type="dxa"/>
            <w:tcBorders>
              <w:right w:val="none" w:sz="0" w:space="0" w:color="auto"/>
            </w:tcBorders>
            <w:noWrap/>
            <w:hideMark/>
          </w:tcPr>
          <w:p w14:paraId="6095F737" w14:textId="77777777" w:rsidR="00CA4E48" w:rsidRPr="00CC1737" w:rsidRDefault="00CA4E48">
            <w:pPr>
              <w:jc w:val="center"/>
              <w:rPr>
                <w:rFonts w:cs="Arial"/>
                <w:color w:val="000000"/>
              </w:rPr>
            </w:pPr>
            <w:r w:rsidRPr="00CC1737">
              <w:rPr>
                <w:rFonts w:cs="Arial"/>
                <w:color w:val="000000"/>
              </w:rPr>
              <w:t>Region 6</w:t>
            </w:r>
          </w:p>
        </w:tc>
        <w:tc>
          <w:tcPr>
            <w:tcW w:w="12125" w:type="dxa"/>
            <w:hideMark/>
          </w:tcPr>
          <w:p w14:paraId="7439E566" w14:textId="77777777" w:rsidR="00CA4E48" w:rsidRDefault="00CA4E48">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Los Angeles, Orange</w:t>
            </w:r>
          </w:p>
        </w:tc>
      </w:tr>
      <w:tr w:rsidR="00CA4E48" w14:paraId="02FC4150" w14:textId="77777777" w:rsidTr="0013083B">
        <w:trPr>
          <w:cnfStyle w:val="000000100000" w:firstRow="0" w:lastRow="0" w:firstColumn="0" w:lastColumn="0" w:oddVBand="0" w:evenVBand="0" w:oddHBand="1" w:evenHBand="0" w:firstRowFirstColumn="0" w:firstRowLastColumn="0" w:lastRowFirstColumn="0" w:lastRowLastColumn="0"/>
          <w:cantSplit/>
          <w:trHeight w:val="840"/>
        </w:trPr>
        <w:tc>
          <w:tcPr>
            <w:cnfStyle w:val="001000000000" w:firstRow="0" w:lastRow="0" w:firstColumn="1" w:lastColumn="0" w:oddVBand="0" w:evenVBand="0" w:oddHBand="0" w:evenHBand="0" w:firstRowFirstColumn="0" w:firstRowLastColumn="0" w:lastRowFirstColumn="0" w:lastRowLastColumn="0"/>
            <w:tcW w:w="2270" w:type="dxa"/>
            <w:tcBorders>
              <w:top w:val="none" w:sz="0" w:space="0" w:color="auto"/>
              <w:bottom w:val="none" w:sz="0" w:space="0" w:color="auto"/>
              <w:right w:val="none" w:sz="0" w:space="0" w:color="auto"/>
            </w:tcBorders>
            <w:noWrap/>
            <w:hideMark/>
          </w:tcPr>
          <w:p w14:paraId="00C4B2CC" w14:textId="77777777" w:rsidR="00CA4E48" w:rsidRPr="00CC1737" w:rsidRDefault="00CA4E48">
            <w:pPr>
              <w:jc w:val="center"/>
              <w:rPr>
                <w:rFonts w:cs="Arial"/>
                <w:color w:val="000000"/>
              </w:rPr>
            </w:pPr>
            <w:r w:rsidRPr="00CC1737">
              <w:rPr>
                <w:rFonts w:cs="Arial"/>
                <w:color w:val="000000"/>
              </w:rPr>
              <w:t>Region 7</w:t>
            </w:r>
          </w:p>
        </w:tc>
        <w:tc>
          <w:tcPr>
            <w:tcW w:w="12125" w:type="dxa"/>
            <w:tcBorders>
              <w:top w:val="none" w:sz="0" w:space="0" w:color="auto"/>
              <w:bottom w:val="none" w:sz="0" w:space="0" w:color="auto"/>
            </w:tcBorders>
            <w:hideMark/>
          </w:tcPr>
          <w:p w14:paraId="150BDBCF" w14:textId="77777777" w:rsidR="00CA4E48" w:rsidRDefault="00CA4E48">
            <w:pP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Imperial, Riverside, San Bernardino, San Diego</w:t>
            </w:r>
          </w:p>
        </w:tc>
      </w:tr>
    </w:tbl>
    <w:p w14:paraId="5FB8C3AE" w14:textId="77777777" w:rsidR="00CA4E48" w:rsidRDefault="00CA4E48" w:rsidP="00CA4E48">
      <w:pPr>
        <w:rPr>
          <w:rFonts w:cs="Arial"/>
          <w:b/>
          <w:sz w:val="28"/>
        </w:rPr>
      </w:pPr>
    </w:p>
    <w:p w14:paraId="596D63E6" w14:textId="170F40F2" w:rsidR="00CA4E48" w:rsidRPr="00CA4E48" w:rsidRDefault="00CA4E48" w:rsidP="00CA4E48">
      <w:pPr>
        <w:sectPr w:rsidR="00CA4E48" w:rsidRPr="00CA4E48" w:rsidSect="00A0487A">
          <w:pgSz w:w="15840" w:h="12240" w:orient="landscape"/>
          <w:pgMar w:top="720" w:right="720" w:bottom="720" w:left="720" w:header="720" w:footer="720" w:gutter="0"/>
          <w:cols w:space="720"/>
          <w:titlePg/>
          <w:docGrid w:linePitch="360"/>
        </w:sectPr>
      </w:pPr>
    </w:p>
    <w:p w14:paraId="567F474F" w14:textId="09EBBA71" w:rsidR="00B7387F" w:rsidRPr="005147E0" w:rsidRDefault="00D529E2" w:rsidP="005147E0">
      <w:pPr>
        <w:pStyle w:val="Heading2"/>
        <w:rPr>
          <w:rFonts w:eastAsia="Calibri"/>
        </w:rPr>
      </w:pPr>
      <w:bookmarkStart w:id="55" w:name="_Toc158883523"/>
      <w:r w:rsidRPr="00EF7736">
        <w:lastRenderedPageBreak/>
        <w:t xml:space="preserve">Appendix </w:t>
      </w:r>
      <w:r w:rsidR="0046632D">
        <w:t>J</w:t>
      </w:r>
      <w:r w:rsidRPr="00EF7736">
        <w:t>:</w:t>
      </w:r>
      <w:bookmarkStart w:id="56" w:name="_Hlk97646084"/>
      <w:r w:rsidR="00C15E69" w:rsidRPr="00EF7736">
        <w:t xml:space="preserve"> </w:t>
      </w:r>
      <w:bookmarkEnd w:id="56"/>
      <w:r w:rsidR="00B7387F">
        <w:rPr>
          <w:rFonts w:eastAsia="Calibri"/>
        </w:rPr>
        <w:t>2021–22 A</w:t>
      </w:r>
      <w:r w:rsidR="00131067">
        <w:rPr>
          <w:rFonts w:eastAsia="Calibri"/>
        </w:rPr>
        <w:t xml:space="preserve">cademic </w:t>
      </w:r>
      <w:r w:rsidR="00B7387F">
        <w:rPr>
          <w:rFonts w:eastAsia="Calibri"/>
        </w:rPr>
        <w:t>Y</w:t>
      </w:r>
      <w:r w:rsidR="00131067">
        <w:rPr>
          <w:rFonts w:eastAsia="Calibri"/>
        </w:rPr>
        <w:t>ear (AY)</w:t>
      </w:r>
      <w:r w:rsidR="00B7387F">
        <w:rPr>
          <w:rFonts w:eastAsia="Calibri"/>
        </w:rPr>
        <w:t xml:space="preserve"> Cohort Statewide Rates by Gender</w:t>
      </w:r>
      <w:r w:rsidR="005147E0">
        <w:rPr>
          <w:rFonts w:eastAsia="Calibri"/>
        </w:rPr>
        <w:br/>
      </w:r>
      <w:r w:rsidR="00B7387F" w:rsidRPr="0057637F">
        <w:rPr>
          <w:rFonts w:eastAsia="Calibri"/>
          <w:bCs/>
        </w:rPr>
        <w:t>2021</w:t>
      </w:r>
      <w:r w:rsidR="00B7387F">
        <w:rPr>
          <w:rFonts w:eastAsia="Calibri"/>
          <w:bCs/>
        </w:rPr>
        <w:t>–</w:t>
      </w:r>
      <w:r w:rsidR="00B7387F" w:rsidRPr="0057637F">
        <w:rPr>
          <w:rFonts w:eastAsia="Calibri"/>
          <w:bCs/>
        </w:rPr>
        <w:t xml:space="preserve">22 </w:t>
      </w:r>
      <w:r w:rsidR="00B7387F">
        <w:rPr>
          <w:rFonts w:eastAsia="Calibri"/>
          <w:bCs/>
        </w:rPr>
        <w:t>AY Cohort Graduation</w:t>
      </w:r>
      <w:r w:rsidR="00B7387F" w:rsidRPr="0057637F">
        <w:rPr>
          <w:rFonts w:eastAsia="Calibri"/>
          <w:bCs/>
        </w:rPr>
        <w:t xml:space="preserve"> </w:t>
      </w:r>
      <w:r w:rsidR="00B7387F">
        <w:rPr>
          <w:rFonts w:eastAsia="Calibri"/>
          <w:bCs/>
        </w:rPr>
        <w:t xml:space="preserve">and Attendance </w:t>
      </w:r>
      <w:r w:rsidR="00B7387F" w:rsidRPr="0057637F">
        <w:rPr>
          <w:rFonts w:eastAsia="Calibri"/>
          <w:bCs/>
        </w:rPr>
        <w:t>Rate</w:t>
      </w:r>
      <w:r w:rsidR="00B7387F">
        <w:rPr>
          <w:rFonts w:eastAsia="Calibri"/>
          <w:bCs/>
        </w:rPr>
        <w:t>s (A</w:t>
      </w:r>
      <w:r w:rsidR="00B7387F" w:rsidRPr="0057637F">
        <w:rPr>
          <w:rFonts w:eastAsia="Calibri"/>
          <w:bCs/>
        </w:rPr>
        <w:t>ll 4 years</w:t>
      </w:r>
      <w:r w:rsidR="00B7387F">
        <w:rPr>
          <w:rFonts w:eastAsia="Calibri"/>
          <w:bCs/>
        </w:rPr>
        <w:t>)</w:t>
      </w:r>
      <w:bookmarkEnd w:id="55"/>
    </w:p>
    <w:tbl>
      <w:tblPr>
        <w:tblStyle w:val="GridTable41"/>
        <w:tblW w:w="14405" w:type="dxa"/>
        <w:tblInd w:w="-730" w:type="dxa"/>
        <w:tblLayout w:type="fixed"/>
        <w:tblLook w:val="0620" w:firstRow="1" w:lastRow="0" w:firstColumn="0" w:lastColumn="0" w:noHBand="1" w:noVBand="1"/>
        <w:tblDescription w:val="21-22 Participation Status Table by Gender"/>
      </w:tblPr>
      <w:tblGrid>
        <w:gridCol w:w="3600"/>
        <w:gridCol w:w="1800"/>
        <w:gridCol w:w="1801"/>
        <w:gridCol w:w="1801"/>
        <w:gridCol w:w="1801"/>
        <w:gridCol w:w="1801"/>
        <w:gridCol w:w="1801"/>
      </w:tblGrid>
      <w:tr w:rsidR="00903B34" w:rsidRPr="00903B34" w14:paraId="7FDACF93" w14:textId="77777777" w:rsidTr="00FD3A2C">
        <w:trPr>
          <w:cnfStyle w:val="100000000000" w:firstRow="1" w:lastRow="0" w:firstColumn="0" w:lastColumn="0" w:oddVBand="0" w:evenVBand="0" w:oddHBand="0" w:evenHBand="0" w:firstRowFirstColumn="0" w:firstRowLastColumn="0" w:lastRowFirstColumn="0" w:lastRowLastColumn="0"/>
          <w:cantSplit/>
          <w:trHeight w:val="325"/>
          <w:tblHeader/>
        </w:trPr>
        <w:tc>
          <w:tcPr>
            <w:tcW w:w="3600" w:type="dxa"/>
            <w:hideMark/>
          </w:tcPr>
          <w:p w14:paraId="18F1EABE" w14:textId="76100A66" w:rsidR="00B7387F" w:rsidRPr="00CC1737" w:rsidRDefault="00077DD2" w:rsidP="0034191C">
            <w:pPr>
              <w:ind w:firstLine="30"/>
              <w:rPr>
                <w:rFonts w:cs="Arial"/>
                <w:color w:val="FFFFFF" w:themeColor="background1"/>
              </w:rPr>
            </w:pPr>
            <w:r>
              <w:rPr>
                <w:rFonts w:cs="Arial"/>
                <w:color w:val="FFFFFF" w:themeColor="background1"/>
              </w:rPr>
              <w:t xml:space="preserve">Participation </w:t>
            </w:r>
            <w:r w:rsidR="00CC1737" w:rsidRPr="00CC1737">
              <w:rPr>
                <w:rFonts w:cs="Arial"/>
                <w:color w:val="FFFFFF" w:themeColor="background1"/>
              </w:rPr>
              <w:t>Status</w:t>
            </w:r>
          </w:p>
        </w:tc>
        <w:tc>
          <w:tcPr>
            <w:tcW w:w="1800" w:type="dxa"/>
            <w:noWrap/>
            <w:hideMark/>
          </w:tcPr>
          <w:p w14:paraId="13C72CEE" w14:textId="5CF5B100" w:rsidR="00B7387F" w:rsidRPr="002838F9" w:rsidRDefault="00B7387F" w:rsidP="0034191C">
            <w:pPr>
              <w:ind w:firstLine="30"/>
              <w:rPr>
                <w:rFonts w:cs="Arial"/>
                <w:color w:val="FFFFFF" w:themeColor="background1"/>
              </w:rPr>
            </w:pPr>
            <w:r w:rsidRPr="002838F9">
              <w:rPr>
                <w:rFonts w:cs="Arial"/>
                <w:color w:val="FFFFFF" w:themeColor="background1"/>
              </w:rPr>
              <w:t>Female</w:t>
            </w:r>
            <w:r w:rsidR="002838F9">
              <w:rPr>
                <w:rFonts w:cs="Arial"/>
                <w:color w:val="FFFFFF" w:themeColor="background1"/>
              </w:rPr>
              <w:t xml:space="preserve"> Cohort Counts</w:t>
            </w:r>
          </w:p>
        </w:tc>
        <w:tc>
          <w:tcPr>
            <w:tcW w:w="1801" w:type="dxa"/>
            <w:noWrap/>
            <w:hideMark/>
          </w:tcPr>
          <w:p w14:paraId="5B1358E3" w14:textId="41CBC74E" w:rsidR="00B7387F" w:rsidRPr="002838F9" w:rsidRDefault="00B7387F" w:rsidP="0034191C">
            <w:pPr>
              <w:ind w:firstLine="30"/>
              <w:rPr>
                <w:rFonts w:cs="Arial"/>
                <w:color w:val="FFFFFF" w:themeColor="background1"/>
              </w:rPr>
            </w:pPr>
            <w:r w:rsidRPr="002838F9">
              <w:rPr>
                <w:rFonts w:cs="Arial"/>
                <w:color w:val="FFFFFF" w:themeColor="background1"/>
              </w:rPr>
              <w:t>Male</w:t>
            </w:r>
            <w:r w:rsidR="002838F9">
              <w:rPr>
                <w:rFonts w:cs="Arial"/>
                <w:color w:val="FFFFFF" w:themeColor="background1"/>
              </w:rPr>
              <w:t xml:space="preserve"> Cohort Counts</w:t>
            </w:r>
          </w:p>
        </w:tc>
        <w:tc>
          <w:tcPr>
            <w:tcW w:w="1801" w:type="dxa"/>
            <w:noWrap/>
            <w:hideMark/>
          </w:tcPr>
          <w:p w14:paraId="1045DFAC" w14:textId="6FFABCFE" w:rsidR="00B7387F" w:rsidRPr="002838F9" w:rsidRDefault="00B7387F" w:rsidP="0034191C">
            <w:pPr>
              <w:ind w:firstLine="30"/>
              <w:rPr>
                <w:rFonts w:cs="Arial"/>
                <w:color w:val="FFFFFF" w:themeColor="background1"/>
              </w:rPr>
            </w:pPr>
            <w:r w:rsidRPr="002838F9">
              <w:rPr>
                <w:rFonts w:cs="Arial"/>
                <w:color w:val="FFFFFF" w:themeColor="background1"/>
              </w:rPr>
              <w:t>Nonbinary</w:t>
            </w:r>
            <w:r w:rsidR="002838F9">
              <w:rPr>
                <w:rFonts w:cs="Arial"/>
                <w:color w:val="FFFFFF" w:themeColor="background1"/>
              </w:rPr>
              <w:t xml:space="preserve"> Cohort Counts</w:t>
            </w:r>
          </w:p>
        </w:tc>
        <w:tc>
          <w:tcPr>
            <w:tcW w:w="1801" w:type="dxa"/>
            <w:noWrap/>
            <w:hideMark/>
          </w:tcPr>
          <w:p w14:paraId="63A28FD7" w14:textId="50C79954" w:rsidR="00B7387F" w:rsidRPr="002838F9" w:rsidRDefault="00B7387F" w:rsidP="0034191C">
            <w:pPr>
              <w:ind w:firstLine="30"/>
              <w:rPr>
                <w:rFonts w:cs="Arial"/>
                <w:color w:val="FFFFFF" w:themeColor="background1"/>
              </w:rPr>
            </w:pPr>
            <w:r w:rsidRPr="002838F9">
              <w:rPr>
                <w:rFonts w:cs="Arial"/>
                <w:color w:val="FFFFFF" w:themeColor="background1"/>
              </w:rPr>
              <w:t>Female</w:t>
            </w:r>
            <w:r w:rsidR="002838F9">
              <w:rPr>
                <w:rFonts w:cs="Arial"/>
                <w:color w:val="FFFFFF" w:themeColor="background1"/>
              </w:rPr>
              <w:t xml:space="preserve"> Attendance Rate</w:t>
            </w:r>
          </w:p>
        </w:tc>
        <w:tc>
          <w:tcPr>
            <w:tcW w:w="1801" w:type="dxa"/>
            <w:noWrap/>
            <w:hideMark/>
          </w:tcPr>
          <w:p w14:paraId="6E751A72" w14:textId="261FF0BF" w:rsidR="00B7387F" w:rsidRPr="002838F9" w:rsidRDefault="00B7387F" w:rsidP="0034191C">
            <w:pPr>
              <w:ind w:firstLine="30"/>
              <w:rPr>
                <w:rFonts w:cs="Arial"/>
                <w:color w:val="FFFFFF" w:themeColor="background1"/>
              </w:rPr>
            </w:pPr>
            <w:r w:rsidRPr="002838F9">
              <w:rPr>
                <w:rFonts w:cs="Arial"/>
                <w:color w:val="FFFFFF" w:themeColor="background1"/>
              </w:rPr>
              <w:t>Male</w:t>
            </w:r>
            <w:r w:rsidR="002838F9">
              <w:rPr>
                <w:rFonts w:cs="Arial"/>
                <w:color w:val="FFFFFF" w:themeColor="background1"/>
              </w:rPr>
              <w:t xml:space="preserve"> Attendance Rate</w:t>
            </w:r>
          </w:p>
        </w:tc>
        <w:tc>
          <w:tcPr>
            <w:tcW w:w="1801" w:type="dxa"/>
            <w:noWrap/>
            <w:hideMark/>
          </w:tcPr>
          <w:p w14:paraId="1D848479" w14:textId="03966DE6" w:rsidR="00B7387F" w:rsidRPr="002838F9" w:rsidRDefault="00B7387F" w:rsidP="0034191C">
            <w:pPr>
              <w:ind w:firstLine="30"/>
              <w:rPr>
                <w:rFonts w:cs="Arial"/>
                <w:color w:val="FFFFFF" w:themeColor="background1"/>
              </w:rPr>
            </w:pPr>
            <w:r w:rsidRPr="002838F9">
              <w:rPr>
                <w:rFonts w:cs="Arial"/>
                <w:color w:val="FFFFFF" w:themeColor="background1"/>
              </w:rPr>
              <w:t>Nonbinary</w:t>
            </w:r>
            <w:r w:rsidR="002838F9">
              <w:rPr>
                <w:rFonts w:cs="Arial"/>
                <w:color w:val="FFFFFF" w:themeColor="background1"/>
              </w:rPr>
              <w:t xml:space="preserve"> Attendance Rate</w:t>
            </w:r>
          </w:p>
        </w:tc>
      </w:tr>
      <w:tr w:rsidR="00B7387F" w:rsidRPr="00DC03B7" w14:paraId="36F1B6CE" w14:textId="77777777" w:rsidTr="0013083B">
        <w:trPr>
          <w:cantSplit/>
          <w:trHeight w:val="431"/>
        </w:trPr>
        <w:tc>
          <w:tcPr>
            <w:tcW w:w="3600" w:type="dxa"/>
            <w:noWrap/>
            <w:hideMark/>
          </w:tcPr>
          <w:p w14:paraId="085A2E65" w14:textId="43F9BD74" w:rsidR="00B7387F" w:rsidRPr="00CC1737" w:rsidRDefault="00AE03C8">
            <w:pPr>
              <w:ind w:firstLine="30"/>
              <w:rPr>
                <w:rFonts w:cs="Arial"/>
                <w:b/>
                <w:bCs/>
                <w:color w:val="000000"/>
              </w:rPr>
            </w:pPr>
            <w:r w:rsidRPr="00CC1737">
              <w:rPr>
                <w:rFonts w:cs="Arial"/>
                <w:b/>
                <w:bCs/>
                <w:color w:val="000000"/>
              </w:rPr>
              <w:t>Non-Career</w:t>
            </w:r>
            <w:r w:rsidR="00BD2330">
              <w:rPr>
                <w:rFonts w:cs="Arial"/>
                <w:b/>
                <w:bCs/>
                <w:color w:val="000000"/>
              </w:rPr>
              <w:t xml:space="preserve"> </w:t>
            </w:r>
            <w:r w:rsidR="00B7387F" w:rsidRPr="00CC1737">
              <w:rPr>
                <w:rFonts w:cs="Arial"/>
                <w:b/>
                <w:bCs/>
                <w:color w:val="000000"/>
              </w:rPr>
              <w:t>T</w:t>
            </w:r>
            <w:r w:rsidR="00BD2330">
              <w:rPr>
                <w:rFonts w:cs="Arial"/>
                <w:b/>
                <w:bCs/>
                <w:color w:val="000000"/>
              </w:rPr>
              <w:t xml:space="preserve">echnical </w:t>
            </w:r>
            <w:r w:rsidR="00B7387F" w:rsidRPr="00CC1737">
              <w:rPr>
                <w:rFonts w:cs="Arial"/>
                <w:b/>
                <w:bCs/>
                <w:color w:val="000000"/>
              </w:rPr>
              <w:t>E</w:t>
            </w:r>
            <w:r w:rsidR="00BD2330">
              <w:rPr>
                <w:rFonts w:cs="Arial"/>
                <w:b/>
                <w:bCs/>
                <w:color w:val="000000"/>
              </w:rPr>
              <w:t>ducation (CTE)</w:t>
            </w:r>
            <w:r w:rsidR="00B7387F" w:rsidRPr="00CC1737">
              <w:rPr>
                <w:rFonts w:cs="Arial"/>
                <w:b/>
                <w:bCs/>
                <w:color w:val="000000"/>
              </w:rPr>
              <w:t xml:space="preserve"> Participants</w:t>
            </w:r>
          </w:p>
        </w:tc>
        <w:tc>
          <w:tcPr>
            <w:tcW w:w="1800" w:type="dxa"/>
            <w:noWrap/>
            <w:hideMark/>
          </w:tcPr>
          <w:p w14:paraId="06B29310" w14:textId="77777777" w:rsidR="00B7387F" w:rsidRPr="00DC03B7" w:rsidRDefault="00B7387F" w:rsidP="00DC03B7">
            <w:pPr>
              <w:ind w:firstLine="30"/>
              <w:jc w:val="center"/>
              <w:rPr>
                <w:rFonts w:cs="Arial"/>
                <w:color w:val="000000"/>
              </w:rPr>
            </w:pPr>
            <w:r w:rsidRPr="00DC03B7">
              <w:rPr>
                <w:rFonts w:cs="Arial"/>
                <w:color w:val="000000"/>
              </w:rPr>
              <w:t>81,957</w:t>
            </w:r>
          </w:p>
        </w:tc>
        <w:tc>
          <w:tcPr>
            <w:tcW w:w="1801" w:type="dxa"/>
            <w:noWrap/>
            <w:hideMark/>
          </w:tcPr>
          <w:p w14:paraId="0BC09366" w14:textId="77777777" w:rsidR="00B7387F" w:rsidRPr="00DC03B7" w:rsidRDefault="00B7387F" w:rsidP="00DC03B7">
            <w:pPr>
              <w:ind w:firstLine="30"/>
              <w:jc w:val="center"/>
              <w:rPr>
                <w:rFonts w:cs="Arial"/>
                <w:color w:val="000000"/>
              </w:rPr>
            </w:pPr>
            <w:r w:rsidRPr="00DC03B7">
              <w:rPr>
                <w:rFonts w:cs="Arial"/>
                <w:color w:val="000000"/>
              </w:rPr>
              <w:t>74,161</w:t>
            </w:r>
          </w:p>
        </w:tc>
        <w:tc>
          <w:tcPr>
            <w:tcW w:w="1801" w:type="dxa"/>
            <w:noWrap/>
            <w:hideMark/>
          </w:tcPr>
          <w:p w14:paraId="75E36793" w14:textId="77777777" w:rsidR="00B7387F" w:rsidRPr="00DC03B7" w:rsidRDefault="00B7387F" w:rsidP="00DC03B7">
            <w:pPr>
              <w:ind w:firstLine="30"/>
              <w:jc w:val="center"/>
              <w:rPr>
                <w:rFonts w:cs="Arial"/>
                <w:color w:val="000000"/>
              </w:rPr>
            </w:pPr>
            <w:r w:rsidRPr="00DC03B7">
              <w:rPr>
                <w:rFonts w:cs="Arial"/>
                <w:color w:val="000000"/>
              </w:rPr>
              <w:t>191</w:t>
            </w:r>
          </w:p>
        </w:tc>
        <w:tc>
          <w:tcPr>
            <w:tcW w:w="1801" w:type="dxa"/>
            <w:noWrap/>
            <w:hideMark/>
          </w:tcPr>
          <w:p w14:paraId="30096319" w14:textId="3D02BEF0" w:rsidR="00B7387F" w:rsidRPr="00DC03B7" w:rsidRDefault="00B7387F" w:rsidP="00DC03B7">
            <w:pPr>
              <w:ind w:firstLine="30"/>
              <w:jc w:val="center"/>
              <w:rPr>
                <w:rFonts w:cs="Arial"/>
                <w:color w:val="000000"/>
              </w:rPr>
            </w:pPr>
            <w:r w:rsidRPr="00DC03B7">
              <w:rPr>
                <w:rFonts w:cs="Arial"/>
                <w:color w:val="000000"/>
              </w:rPr>
              <w:t>81.0</w:t>
            </w:r>
            <w:r w:rsidR="002838F9">
              <w:rPr>
                <w:rFonts w:cs="Arial"/>
                <w:color w:val="000000"/>
              </w:rPr>
              <w:t>%</w:t>
            </w:r>
          </w:p>
        </w:tc>
        <w:tc>
          <w:tcPr>
            <w:tcW w:w="1801" w:type="dxa"/>
            <w:noWrap/>
            <w:hideMark/>
          </w:tcPr>
          <w:p w14:paraId="732B70C0" w14:textId="2D63C160" w:rsidR="00B7387F" w:rsidRPr="00DC03B7" w:rsidRDefault="00B7387F" w:rsidP="00DC03B7">
            <w:pPr>
              <w:ind w:firstLine="30"/>
              <w:jc w:val="center"/>
              <w:rPr>
                <w:rFonts w:cs="Arial"/>
                <w:color w:val="000000"/>
              </w:rPr>
            </w:pPr>
            <w:r w:rsidRPr="00DC03B7">
              <w:rPr>
                <w:rFonts w:cs="Arial"/>
                <w:color w:val="000000"/>
              </w:rPr>
              <w:t>67.8</w:t>
            </w:r>
            <w:r w:rsidR="002838F9">
              <w:rPr>
                <w:rFonts w:cs="Arial"/>
                <w:color w:val="000000"/>
              </w:rPr>
              <w:t>%</w:t>
            </w:r>
          </w:p>
        </w:tc>
        <w:tc>
          <w:tcPr>
            <w:tcW w:w="1801" w:type="dxa"/>
            <w:noWrap/>
            <w:hideMark/>
          </w:tcPr>
          <w:p w14:paraId="64915834" w14:textId="66FE3E97" w:rsidR="00B7387F" w:rsidRPr="00DC03B7" w:rsidRDefault="00B7387F" w:rsidP="00DC03B7">
            <w:pPr>
              <w:ind w:firstLine="30"/>
              <w:jc w:val="center"/>
              <w:rPr>
                <w:rFonts w:cs="Arial"/>
                <w:color w:val="000000"/>
              </w:rPr>
            </w:pPr>
            <w:r w:rsidRPr="00DC03B7">
              <w:rPr>
                <w:rFonts w:cs="Arial"/>
                <w:color w:val="000000"/>
              </w:rPr>
              <w:t>71.2</w:t>
            </w:r>
            <w:r w:rsidR="002838F9">
              <w:rPr>
                <w:rFonts w:cs="Arial"/>
                <w:color w:val="000000"/>
              </w:rPr>
              <w:t>%</w:t>
            </w:r>
          </w:p>
        </w:tc>
      </w:tr>
      <w:tr w:rsidR="00B7387F" w:rsidRPr="00DC03B7" w14:paraId="60EDC294" w14:textId="77777777" w:rsidTr="0013083B">
        <w:trPr>
          <w:cantSplit/>
          <w:trHeight w:val="440"/>
        </w:trPr>
        <w:tc>
          <w:tcPr>
            <w:tcW w:w="3600" w:type="dxa"/>
            <w:noWrap/>
            <w:hideMark/>
          </w:tcPr>
          <w:p w14:paraId="71FED699" w14:textId="77777777" w:rsidR="00B7387F" w:rsidRPr="00CC1737" w:rsidRDefault="00B7387F">
            <w:pPr>
              <w:ind w:firstLine="30"/>
              <w:rPr>
                <w:rFonts w:cs="Arial"/>
                <w:b/>
                <w:bCs/>
                <w:color w:val="000000"/>
              </w:rPr>
            </w:pPr>
            <w:r w:rsidRPr="00CC1737">
              <w:rPr>
                <w:rFonts w:cs="Arial"/>
                <w:b/>
                <w:bCs/>
                <w:color w:val="000000"/>
              </w:rPr>
              <w:t>CTE Participants Single</w:t>
            </w:r>
          </w:p>
        </w:tc>
        <w:tc>
          <w:tcPr>
            <w:tcW w:w="1800" w:type="dxa"/>
            <w:noWrap/>
            <w:hideMark/>
          </w:tcPr>
          <w:p w14:paraId="587B9CA6" w14:textId="77777777" w:rsidR="00B7387F" w:rsidRPr="00DC03B7" w:rsidRDefault="00B7387F" w:rsidP="00DC03B7">
            <w:pPr>
              <w:ind w:firstLine="30"/>
              <w:jc w:val="center"/>
              <w:rPr>
                <w:rFonts w:cs="Arial"/>
                <w:color w:val="000000"/>
              </w:rPr>
            </w:pPr>
            <w:r w:rsidRPr="00DC03B7">
              <w:rPr>
                <w:rFonts w:cs="Arial"/>
                <w:color w:val="000000"/>
              </w:rPr>
              <w:t>54,674</w:t>
            </w:r>
          </w:p>
        </w:tc>
        <w:tc>
          <w:tcPr>
            <w:tcW w:w="1801" w:type="dxa"/>
            <w:noWrap/>
            <w:hideMark/>
          </w:tcPr>
          <w:p w14:paraId="193569E5" w14:textId="77777777" w:rsidR="00B7387F" w:rsidRPr="00DC03B7" w:rsidRDefault="00B7387F" w:rsidP="00DC03B7">
            <w:pPr>
              <w:ind w:firstLine="30"/>
              <w:jc w:val="center"/>
              <w:rPr>
                <w:rFonts w:cs="Arial"/>
                <w:color w:val="000000"/>
              </w:rPr>
            </w:pPr>
            <w:r w:rsidRPr="00DC03B7">
              <w:rPr>
                <w:rFonts w:cs="Arial"/>
                <w:color w:val="000000"/>
              </w:rPr>
              <w:t>55,032</w:t>
            </w:r>
          </w:p>
        </w:tc>
        <w:tc>
          <w:tcPr>
            <w:tcW w:w="1801" w:type="dxa"/>
            <w:noWrap/>
            <w:hideMark/>
          </w:tcPr>
          <w:p w14:paraId="312C24A6" w14:textId="77777777" w:rsidR="00B7387F" w:rsidRPr="00DC03B7" w:rsidRDefault="00B7387F" w:rsidP="00DC03B7">
            <w:pPr>
              <w:ind w:firstLine="30"/>
              <w:jc w:val="center"/>
              <w:rPr>
                <w:rFonts w:cs="Arial"/>
                <w:color w:val="000000"/>
              </w:rPr>
            </w:pPr>
            <w:r w:rsidRPr="00DC03B7">
              <w:rPr>
                <w:rFonts w:cs="Arial"/>
                <w:color w:val="000000"/>
              </w:rPr>
              <w:t>135</w:t>
            </w:r>
          </w:p>
        </w:tc>
        <w:tc>
          <w:tcPr>
            <w:tcW w:w="1801" w:type="dxa"/>
            <w:noWrap/>
            <w:hideMark/>
          </w:tcPr>
          <w:p w14:paraId="0586BF76" w14:textId="42B401F8" w:rsidR="00B7387F" w:rsidRPr="00DC03B7" w:rsidRDefault="00B7387F" w:rsidP="00DC03B7">
            <w:pPr>
              <w:ind w:firstLine="30"/>
              <w:jc w:val="center"/>
              <w:rPr>
                <w:rFonts w:cs="Arial"/>
                <w:color w:val="000000"/>
              </w:rPr>
            </w:pPr>
            <w:r w:rsidRPr="00DC03B7">
              <w:rPr>
                <w:rFonts w:cs="Arial"/>
                <w:color w:val="000000"/>
              </w:rPr>
              <w:t>90.2</w:t>
            </w:r>
            <w:r w:rsidR="002838F9">
              <w:rPr>
                <w:rFonts w:cs="Arial"/>
                <w:color w:val="000000"/>
              </w:rPr>
              <w:t>%</w:t>
            </w:r>
          </w:p>
        </w:tc>
        <w:tc>
          <w:tcPr>
            <w:tcW w:w="1801" w:type="dxa"/>
            <w:noWrap/>
            <w:hideMark/>
          </w:tcPr>
          <w:p w14:paraId="1D6BCC77" w14:textId="0EBC5C24" w:rsidR="00B7387F" w:rsidRPr="00DC03B7" w:rsidRDefault="00B7387F" w:rsidP="00DC03B7">
            <w:pPr>
              <w:ind w:firstLine="30"/>
              <w:jc w:val="center"/>
              <w:rPr>
                <w:rFonts w:cs="Arial"/>
                <w:color w:val="000000"/>
              </w:rPr>
            </w:pPr>
            <w:r w:rsidRPr="00DC03B7">
              <w:rPr>
                <w:rFonts w:cs="Arial"/>
                <w:color w:val="000000"/>
              </w:rPr>
              <w:t>83.6</w:t>
            </w:r>
            <w:r w:rsidR="002838F9">
              <w:rPr>
                <w:rFonts w:cs="Arial"/>
                <w:color w:val="000000"/>
              </w:rPr>
              <w:t>%</w:t>
            </w:r>
          </w:p>
        </w:tc>
        <w:tc>
          <w:tcPr>
            <w:tcW w:w="1801" w:type="dxa"/>
            <w:noWrap/>
            <w:hideMark/>
          </w:tcPr>
          <w:p w14:paraId="4B8FA65B" w14:textId="6B278AC5" w:rsidR="00B7387F" w:rsidRPr="00DC03B7" w:rsidRDefault="00B7387F" w:rsidP="00DC03B7">
            <w:pPr>
              <w:ind w:firstLine="30"/>
              <w:jc w:val="center"/>
              <w:rPr>
                <w:rFonts w:cs="Arial"/>
                <w:color w:val="000000"/>
              </w:rPr>
            </w:pPr>
            <w:r w:rsidRPr="00DC03B7">
              <w:rPr>
                <w:rFonts w:cs="Arial"/>
                <w:color w:val="000000"/>
              </w:rPr>
              <w:t>78.5</w:t>
            </w:r>
            <w:r w:rsidR="002838F9">
              <w:rPr>
                <w:rFonts w:cs="Arial"/>
                <w:color w:val="000000"/>
              </w:rPr>
              <w:t>%</w:t>
            </w:r>
          </w:p>
        </w:tc>
      </w:tr>
      <w:tr w:rsidR="00B7387F" w:rsidRPr="00DC03B7" w14:paraId="48BE3567" w14:textId="77777777" w:rsidTr="0013083B">
        <w:trPr>
          <w:cantSplit/>
          <w:trHeight w:val="440"/>
        </w:trPr>
        <w:tc>
          <w:tcPr>
            <w:tcW w:w="3600" w:type="dxa"/>
            <w:noWrap/>
            <w:hideMark/>
          </w:tcPr>
          <w:p w14:paraId="1C4E9996" w14:textId="77777777" w:rsidR="00B7387F" w:rsidRPr="00CC1737" w:rsidRDefault="00B7387F">
            <w:pPr>
              <w:ind w:firstLine="30"/>
              <w:rPr>
                <w:rFonts w:cs="Arial"/>
                <w:b/>
                <w:bCs/>
                <w:color w:val="000000"/>
              </w:rPr>
            </w:pPr>
            <w:r w:rsidRPr="00CC1737">
              <w:rPr>
                <w:rFonts w:cs="Arial"/>
                <w:b/>
                <w:bCs/>
                <w:color w:val="000000"/>
              </w:rPr>
              <w:t>CTE Participants Dabblers</w:t>
            </w:r>
          </w:p>
        </w:tc>
        <w:tc>
          <w:tcPr>
            <w:tcW w:w="1800" w:type="dxa"/>
            <w:noWrap/>
            <w:hideMark/>
          </w:tcPr>
          <w:p w14:paraId="0E66BF99" w14:textId="77777777" w:rsidR="00B7387F" w:rsidRPr="00DC03B7" w:rsidRDefault="00B7387F" w:rsidP="00DC03B7">
            <w:pPr>
              <w:ind w:firstLine="30"/>
              <w:jc w:val="center"/>
              <w:rPr>
                <w:rFonts w:cs="Arial"/>
                <w:color w:val="000000"/>
              </w:rPr>
            </w:pPr>
            <w:r w:rsidRPr="00DC03B7">
              <w:rPr>
                <w:rFonts w:cs="Arial"/>
                <w:color w:val="000000"/>
              </w:rPr>
              <w:t>62,034</w:t>
            </w:r>
          </w:p>
        </w:tc>
        <w:tc>
          <w:tcPr>
            <w:tcW w:w="1801" w:type="dxa"/>
            <w:noWrap/>
            <w:hideMark/>
          </w:tcPr>
          <w:p w14:paraId="16D11B97" w14:textId="77777777" w:rsidR="00B7387F" w:rsidRPr="00DC03B7" w:rsidRDefault="00B7387F" w:rsidP="00DC03B7">
            <w:pPr>
              <w:ind w:firstLine="30"/>
              <w:jc w:val="center"/>
              <w:rPr>
                <w:rFonts w:cs="Arial"/>
                <w:color w:val="000000"/>
              </w:rPr>
            </w:pPr>
            <w:r w:rsidRPr="00DC03B7">
              <w:rPr>
                <w:rFonts w:cs="Arial"/>
                <w:color w:val="000000"/>
              </w:rPr>
              <w:t>81,742</w:t>
            </w:r>
          </w:p>
        </w:tc>
        <w:tc>
          <w:tcPr>
            <w:tcW w:w="1801" w:type="dxa"/>
            <w:noWrap/>
            <w:hideMark/>
          </w:tcPr>
          <w:p w14:paraId="6F1C1C83" w14:textId="77777777" w:rsidR="00B7387F" w:rsidRPr="00DC03B7" w:rsidRDefault="00B7387F" w:rsidP="00DC03B7">
            <w:pPr>
              <w:ind w:firstLine="30"/>
              <w:jc w:val="center"/>
              <w:rPr>
                <w:rFonts w:cs="Arial"/>
                <w:color w:val="000000"/>
              </w:rPr>
            </w:pPr>
            <w:r w:rsidRPr="00DC03B7">
              <w:rPr>
                <w:rFonts w:cs="Arial"/>
                <w:color w:val="000000"/>
              </w:rPr>
              <w:t>138</w:t>
            </w:r>
          </w:p>
        </w:tc>
        <w:tc>
          <w:tcPr>
            <w:tcW w:w="1801" w:type="dxa"/>
            <w:noWrap/>
            <w:hideMark/>
          </w:tcPr>
          <w:p w14:paraId="247EB152" w14:textId="6703A286" w:rsidR="00B7387F" w:rsidRPr="00DC03B7" w:rsidRDefault="00B7387F" w:rsidP="00DC03B7">
            <w:pPr>
              <w:ind w:firstLine="30"/>
              <w:jc w:val="center"/>
              <w:rPr>
                <w:rFonts w:cs="Arial"/>
                <w:color w:val="000000"/>
              </w:rPr>
            </w:pPr>
            <w:r w:rsidRPr="00DC03B7">
              <w:rPr>
                <w:rFonts w:cs="Arial"/>
                <w:color w:val="000000"/>
              </w:rPr>
              <w:t>94.7</w:t>
            </w:r>
            <w:r w:rsidR="002838F9">
              <w:rPr>
                <w:rFonts w:cs="Arial"/>
                <w:color w:val="000000"/>
              </w:rPr>
              <w:t>%</w:t>
            </w:r>
          </w:p>
        </w:tc>
        <w:tc>
          <w:tcPr>
            <w:tcW w:w="1801" w:type="dxa"/>
            <w:noWrap/>
            <w:hideMark/>
          </w:tcPr>
          <w:p w14:paraId="2B6567A3" w14:textId="117ECB5F" w:rsidR="00B7387F" w:rsidRPr="00DC03B7" w:rsidRDefault="00B7387F" w:rsidP="00DC03B7">
            <w:pPr>
              <w:ind w:firstLine="30"/>
              <w:jc w:val="center"/>
              <w:rPr>
                <w:rFonts w:cs="Arial"/>
                <w:color w:val="000000"/>
              </w:rPr>
            </w:pPr>
            <w:r w:rsidRPr="00DC03B7">
              <w:rPr>
                <w:rFonts w:cs="Arial"/>
                <w:color w:val="000000"/>
              </w:rPr>
              <w:t>92.4</w:t>
            </w:r>
            <w:r w:rsidR="002838F9">
              <w:rPr>
                <w:rFonts w:cs="Arial"/>
                <w:color w:val="000000"/>
              </w:rPr>
              <w:t>%</w:t>
            </w:r>
          </w:p>
        </w:tc>
        <w:tc>
          <w:tcPr>
            <w:tcW w:w="1801" w:type="dxa"/>
            <w:noWrap/>
            <w:hideMark/>
          </w:tcPr>
          <w:p w14:paraId="6C45B1AD" w14:textId="484CA313" w:rsidR="00B7387F" w:rsidRPr="00DC03B7" w:rsidRDefault="00B7387F" w:rsidP="00DC03B7">
            <w:pPr>
              <w:ind w:firstLine="30"/>
              <w:jc w:val="center"/>
              <w:rPr>
                <w:rFonts w:cs="Arial"/>
                <w:color w:val="000000"/>
              </w:rPr>
            </w:pPr>
            <w:r w:rsidRPr="00DC03B7">
              <w:rPr>
                <w:rFonts w:cs="Arial"/>
                <w:color w:val="000000"/>
              </w:rPr>
              <w:t>87.7</w:t>
            </w:r>
            <w:r w:rsidR="002838F9">
              <w:rPr>
                <w:rFonts w:cs="Arial"/>
                <w:color w:val="000000"/>
              </w:rPr>
              <w:t>%</w:t>
            </w:r>
          </w:p>
        </w:tc>
      </w:tr>
      <w:tr w:rsidR="00B7387F" w:rsidRPr="00DC03B7" w14:paraId="499C4E5B" w14:textId="77777777" w:rsidTr="0013083B">
        <w:trPr>
          <w:cantSplit/>
          <w:trHeight w:val="440"/>
        </w:trPr>
        <w:tc>
          <w:tcPr>
            <w:tcW w:w="3600" w:type="dxa"/>
            <w:noWrap/>
            <w:hideMark/>
          </w:tcPr>
          <w:p w14:paraId="44139E7D" w14:textId="77777777" w:rsidR="00B7387F" w:rsidRPr="00CC1737" w:rsidRDefault="00B7387F">
            <w:pPr>
              <w:ind w:firstLine="30"/>
              <w:rPr>
                <w:rFonts w:cs="Arial"/>
                <w:b/>
                <w:bCs/>
                <w:color w:val="000000"/>
              </w:rPr>
            </w:pPr>
            <w:r w:rsidRPr="00CC1737">
              <w:rPr>
                <w:rFonts w:cs="Arial"/>
                <w:b/>
                <w:bCs/>
                <w:color w:val="000000"/>
              </w:rPr>
              <w:t>CTE Completers</w:t>
            </w:r>
          </w:p>
        </w:tc>
        <w:tc>
          <w:tcPr>
            <w:tcW w:w="1800" w:type="dxa"/>
            <w:noWrap/>
            <w:hideMark/>
          </w:tcPr>
          <w:p w14:paraId="3FB3F4BB" w14:textId="77777777" w:rsidR="00B7387F" w:rsidRPr="00DC03B7" w:rsidRDefault="00B7387F" w:rsidP="00DC03B7">
            <w:pPr>
              <w:ind w:firstLine="30"/>
              <w:jc w:val="center"/>
              <w:rPr>
                <w:rFonts w:cs="Arial"/>
                <w:color w:val="000000"/>
              </w:rPr>
            </w:pPr>
            <w:r w:rsidRPr="00DC03B7">
              <w:rPr>
                <w:rFonts w:cs="Arial"/>
                <w:color w:val="000000"/>
              </w:rPr>
              <w:t>42,559</w:t>
            </w:r>
          </w:p>
        </w:tc>
        <w:tc>
          <w:tcPr>
            <w:tcW w:w="1801" w:type="dxa"/>
            <w:noWrap/>
            <w:hideMark/>
          </w:tcPr>
          <w:p w14:paraId="75C0832C" w14:textId="77777777" w:rsidR="00B7387F" w:rsidRPr="00DC03B7" w:rsidRDefault="00B7387F" w:rsidP="00DC03B7">
            <w:pPr>
              <w:ind w:firstLine="30"/>
              <w:jc w:val="center"/>
              <w:rPr>
                <w:rFonts w:cs="Arial"/>
                <w:color w:val="000000"/>
              </w:rPr>
            </w:pPr>
            <w:r w:rsidRPr="00DC03B7">
              <w:rPr>
                <w:rFonts w:cs="Arial"/>
                <w:color w:val="000000"/>
              </w:rPr>
              <w:t>45,282</w:t>
            </w:r>
          </w:p>
        </w:tc>
        <w:tc>
          <w:tcPr>
            <w:tcW w:w="1801" w:type="dxa"/>
            <w:noWrap/>
            <w:hideMark/>
          </w:tcPr>
          <w:p w14:paraId="757515A2" w14:textId="77777777" w:rsidR="00B7387F" w:rsidRPr="00DC03B7" w:rsidRDefault="00B7387F" w:rsidP="00DC03B7">
            <w:pPr>
              <w:ind w:firstLine="30"/>
              <w:jc w:val="center"/>
              <w:rPr>
                <w:rFonts w:cs="Arial"/>
                <w:color w:val="000000"/>
              </w:rPr>
            </w:pPr>
            <w:r w:rsidRPr="00DC03B7">
              <w:rPr>
                <w:rFonts w:cs="Arial"/>
                <w:color w:val="000000"/>
              </w:rPr>
              <w:t>40</w:t>
            </w:r>
          </w:p>
        </w:tc>
        <w:tc>
          <w:tcPr>
            <w:tcW w:w="1801" w:type="dxa"/>
            <w:noWrap/>
            <w:hideMark/>
          </w:tcPr>
          <w:p w14:paraId="27CBE25C" w14:textId="3F18E625" w:rsidR="00B7387F" w:rsidRPr="00DC03B7" w:rsidRDefault="00B7387F" w:rsidP="00DC03B7">
            <w:pPr>
              <w:ind w:firstLine="30"/>
              <w:jc w:val="center"/>
              <w:rPr>
                <w:rFonts w:cs="Arial"/>
                <w:color w:val="000000"/>
              </w:rPr>
            </w:pPr>
            <w:r w:rsidRPr="00DC03B7">
              <w:rPr>
                <w:rFonts w:cs="Arial"/>
                <w:color w:val="000000"/>
              </w:rPr>
              <w:t>98.9</w:t>
            </w:r>
            <w:r w:rsidR="002838F9">
              <w:rPr>
                <w:rFonts w:cs="Arial"/>
                <w:color w:val="000000"/>
              </w:rPr>
              <w:t>%</w:t>
            </w:r>
          </w:p>
        </w:tc>
        <w:tc>
          <w:tcPr>
            <w:tcW w:w="1801" w:type="dxa"/>
            <w:noWrap/>
            <w:hideMark/>
          </w:tcPr>
          <w:p w14:paraId="53B7BCA9" w14:textId="3941F5E7" w:rsidR="00B7387F" w:rsidRPr="00DC03B7" w:rsidRDefault="00B7387F" w:rsidP="00DC03B7">
            <w:pPr>
              <w:ind w:firstLine="30"/>
              <w:jc w:val="center"/>
              <w:rPr>
                <w:rFonts w:cs="Arial"/>
                <w:color w:val="000000"/>
              </w:rPr>
            </w:pPr>
            <w:r w:rsidRPr="00DC03B7">
              <w:rPr>
                <w:rFonts w:cs="Arial"/>
                <w:color w:val="000000"/>
              </w:rPr>
              <w:t>98.3</w:t>
            </w:r>
            <w:r w:rsidR="002838F9">
              <w:rPr>
                <w:rFonts w:cs="Arial"/>
                <w:color w:val="000000"/>
              </w:rPr>
              <w:t>%</w:t>
            </w:r>
          </w:p>
        </w:tc>
        <w:tc>
          <w:tcPr>
            <w:tcW w:w="1801" w:type="dxa"/>
            <w:noWrap/>
            <w:hideMark/>
          </w:tcPr>
          <w:p w14:paraId="4ACD860C" w14:textId="32837E4E" w:rsidR="00B7387F" w:rsidRPr="00DC03B7" w:rsidRDefault="00B7387F" w:rsidP="00DC03B7">
            <w:pPr>
              <w:ind w:firstLine="30"/>
              <w:jc w:val="center"/>
              <w:rPr>
                <w:rFonts w:cs="Arial"/>
                <w:color w:val="000000"/>
              </w:rPr>
            </w:pPr>
            <w:r w:rsidRPr="00DC03B7">
              <w:rPr>
                <w:rFonts w:cs="Arial"/>
                <w:color w:val="000000"/>
              </w:rPr>
              <w:t>92.5</w:t>
            </w:r>
            <w:r w:rsidR="002838F9">
              <w:rPr>
                <w:rFonts w:cs="Arial"/>
                <w:color w:val="000000"/>
              </w:rPr>
              <w:t>%</w:t>
            </w:r>
          </w:p>
        </w:tc>
      </w:tr>
    </w:tbl>
    <w:p w14:paraId="43402B8F" w14:textId="77777777" w:rsidR="00B7387F" w:rsidRPr="00DC03B7" w:rsidRDefault="00B7387F" w:rsidP="00CE19BB">
      <w:pPr>
        <w:ind w:left="720"/>
        <w:jc w:val="center"/>
        <w:rPr>
          <w:rFonts w:cs="Arial"/>
          <w:b/>
          <w:bCs/>
        </w:rPr>
      </w:pPr>
    </w:p>
    <w:tbl>
      <w:tblPr>
        <w:tblStyle w:val="GridTable41"/>
        <w:tblW w:w="14440" w:type="dxa"/>
        <w:tblInd w:w="-765" w:type="dxa"/>
        <w:tblLook w:val="04A0" w:firstRow="1" w:lastRow="0" w:firstColumn="1" w:lastColumn="0" w:noHBand="0" w:noVBand="1"/>
        <w:tblDescription w:val="21-22 Participation Rates by Gender"/>
      </w:tblPr>
      <w:tblGrid>
        <w:gridCol w:w="3640"/>
        <w:gridCol w:w="1800"/>
        <w:gridCol w:w="1800"/>
        <w:gridCol w:w="1800"/>
        <w:gridCol w:w="1800"/>
        <w:gridCol w:w="1800"/>
        <w:gridCol w:w="1800"/>
      </w:tblGrid>
      <w:tr w:rsidR="00DC03B7" w:rsidRPr="00DC03B7" w14:paraId="56A638B9" w14:textId="77777777" w:rsidTr="00FD3A2C">
        <w:trPr>
          <w:cnfStyle w:val="100000000000" w:firstRow="1" w:lastRow="0" w:firstColumn="0" w:lastColumn="0" w:oddVBand="0" w:evenVBand="0" w:oddHBand="0" w:evenHBand="0" w:firstRowFirstColumn="0" w:firstRowLastColumn="0" w:lastRowFirstColumn="0" w:lastRowLastColumn="0"/>
          <w:cantSplit/>
          <w:trHeight w:val="361"/>
          <w:tblHeader/>
        </w:trPr>
        <w:tc>
          <w:tcPr>
            <w:cnfStyle w:val="001000000000" w:firstRow="0" w:lastRow="0" w:firstColumn="1" w:lastColumn="0" w:oddVBand="0" w:evenVBand="0" w:oddHBand="0" w:evenHBand="0" w:firstRowFirstColumn="0" w:firstRowLastColumn="0" w:lastRowFirstColumn="0" w:lastRowLastColumn="0"/>
            <w:tcW w:w="3640" w:type="dxa"/>
            <w:hideMark/>
          </w:tcPr>
          <w:p w14:paraId="1383B369" w14:textId="7FAA9A8E" w:rsidR="00B7387F" w:rsidRPr="00D87DBF" w:rsidRDefault="00D87DBF" w:rsidP="00D87DBF">
            <w:pPr>
              <w:rPr>
                <w:rFonts w:cs="Arial"/>
                <w:color w:val="FFFFFF" w:themeColor="background1"/>
              </w:rPr>
            </w:pPr>
            <w:r>
              <w:rPr>
                <w:rFonts w:cs="Arial"/>
                <w:color w:val="FFFFFF" w:themeColor="background1"/>
              </w:rPr>
              <w:t>Participation Status</w:t>
            </w:r>
          </w:p>
        </w:tc>
        <w:tc>
          <w:tcPr>
            <w:tcW w:w="1800" w:type="dxa"/>
            <w:noWrap/>
            <w:hideMark/>
          </w:tcPr>
          <w:p w14:paraId="3E8681DC" w14:textId="2A444ACD" w:rsidR="00B7387F" w:rsidRPr="002838F9" w:rsidRDefault="00B7387F" w:rsidP="0034191C">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2838F9">
              <w:rPr>
                <w:rFonts w:cs="Arial"/>
                <w:color w:val="FFFFFF" w:themeColor="background1"/>
              </w:rPr>
              <w:t>Female</w:t>
            </w:r>
            <w:r w:rsidR="002838F9">
              <w:rPr>
                <w:rFonts w:cs="Arial"/>
                <w:color w:val="FFFFFF" w:themeColor="background1"/>
              </w:rPr>
              <w:t xml:space="preserve"> Cohort Counts</w:t>
            </w:r>
          </w:p>
        </w:tc>
        <w:tc>
          <w:tcPr>
            <w:tcW w:w="1800" w:type="dxa"/>
            <w:noWrap/>
            <w:hideMark/>
          </w:tcPr>
          <w:p w14:paraId="4930B009" w14:textId="775C7FC4" w:rsidR="00B7387F" w:rsidRPr="002838F9" w:rsidRDefault="00B7387F" w:rsidP="0034191C">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2838F9">
              <w:rPr>
                <w:rFonts w:cs="Arial"/>
                <w:color w:val="FFFFFF" w:themeColor="background1"/>
              </w:rPr>
              <w:t>Male</w:t>
            </w:r>
            <w:r w:rsidR="002838F9">
              <w:rPr>
                <w:rFonts w:cs="Arial"/>
                <w:color w:val="FFFFFF" w:themeColor="background1"/>
              </w:rPr>
              <w:t xml:space="preserve"> Cohort Counts</w:t>
            </w:r>
          </w:p>
        </w:tc>
        <w:tc>
          <w:tcPr>
            <w:tcW w:w="1800" w:type="dxa"/>
            <w:noWrap/>
            <w:hideMark/>
          </w:tcPr>
          <w:p w14:paraId="6BDE1E50" w14:textId="687BC2DE" w:rsidR="00B7387F" w:rsidRPr="002838F9" w:rsidRDefault="00B7387F" w:rsidP="0034191C">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2838F9">
              <w:rPr>
                <w:rFonts w:cs="Arial"/>
                <w:color w:val="FFFFFF" w:themeColor="background1"/>
              </w:rPr>
              <w:t>Nonbinary</w:t>
            </w:r>
            <w:r w:rsidR="002838F9">
              <w:rPr>
                <w:rFonts w:cs="Arial"/>
                <w:color w:val="FFFFFF" w:themeColor="background1"/>
              </w:rPr>
              <w:t xml:space="preserve"> Cohort Counts</w:t>
            </w:r>
          </w:p>
        </w:tc>
        <w:tc>
          <w:tcPr>
            <w:tcW w:w="1800" w:type="dxa"/>
            <w:noWrap/>
            <w:hideMark/>
          </w:tcPr>
          <w:p w14:paraId="433DC31F" w14:textId="35F41C22" w:rsidR="00B7387F" w:rsidRPr="002838F9" w:rsidRDefault="00B7387F" w:rsidP="0034191C">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2838F9">
              <w:rPr>
                <w:rFonts w:cs="Arial"/>
                <w:color w:val="FFFFFF" w:themeColor="background1"/>
              </w:rPr>
              <w:t>Female</w:t>
            </w:r>
            <w:r w:rsidR="002838F9">
              <w:rPr>
                <w:rFonts w:cs="Arial"/>
                <w:color w:val="FFFFFF" w:themeColor="background1"/>
              </w:rPr>
              <w:t xml:space="preserve"> Attendance Rate</w:t>
            </w:r>
          </w:p>
        </w:tc>
        <w:tc>
          <w:tcPr>
            <w:tcW w:w="1800" w:type="dxa"/>
            <w:noWrap/>
            <w:hideMark/>
          </w:tcPr>
          <w:p w14:paraId="33735102" w14:textId="12B82F85" w:rsidR="00B7387F" w:rsidRPr="002838F9" w:rsidRDefault="00B7387F" w:rsidP="0034191C">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2838F9">
              <w:rPr>
                <w:rFonts w:cs="Arial"/>
                <w:color w:val="FFFFFF" w:themeColor="background1"/>
              </w:rPr>
              <w:t>Male</w:t>
            </w:r>
            <w:r w:rsidR="002838F9">
              <w:rPr>
                <w:rFonts w:cs="Arial"/>
                <w:color w:val="FFFFFF" w:themeColor="background1"/>
              </w:rPr>
              <w:t xml:space="preserve"> Attendance Rate</w:t>
            </w:r>
          </w:p>
        </w:tc>
        <w:tc>
          <w:tcPr>
            <w:tcW w:w="1800" w:type="dxa"/>
            <w:noWrap/>
            <w:hideMark/>
          </w:tcPr>
          <w:p w14:paraId="69F77DE9" w14:textId="34C0BB5E" w:rsidR="00B7387F" w:rsidRPr="002838F9" w:rsidRDefault="00B7387F" w:rsidP="0034191C">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2838F9">
              <w:rPr>
                <w:rFonts w:cs="Arial"/>
                <w:color w:val="FFFFFF" w:themeColor="background1"/>
              </w:rPr>
              <w:t>Nonbinary</w:t>
            </w:r>
            <w:r w:rsidR="002838F9">
              <w:rPr>
                <w:rFonts w:cs="Arial"/>
                <w:color w:val="FFFFFF" w:themeColor="background1"/>
              </w:rPr>
              <w:t xml:space="preserve"> Attendance Rate</w:t>
            </w:r>
          </w:p>
        </w:tc>
      </w:tr>
      <w:tr w:rsidR="00DC03B7" w:rsidRPr="00DC03B7" w14:paraId="3D7B84F4" w14:textId="77777777" w:rsidTr="0013083B">
        <w:trPr>
          <w:cnfStyle w:val="000000100000" w:firstRow="0" w:lastRow="0" w:firstColumn="0" w:lastColumn="0" w:oddVBand="0" w:evenVBand="0" w:oddHBand="1" w:evenHBand="0" w:firstRowFirstColumn="0" w:firstRowLastColumn="0" w:lastRowFirstColumn="0" w:lastRowLastColumn="0"/>
          <w:cantSplit/>
          <w:trHeight w:val="458"/>
        </w:trPr>
        <w:tc>
          <w:tcPr>
            <w:cnfStyle w:val="001000000000" w:firstRow="0" w:lastRow="0" w:firstColumn="1" w:lastColumn="0" w:oddVBand="0" w:evenVBand="0" w:oddHBand="0" w:evenHBand="0" w:firstRowFirstColumn="0" w:firstRowLastColumn="0" w:lastRowFirstColumn="0" w:lastRowLastColumn="0"/>
            <w:tcW w:w="3640" w:type="dxa"/>
            <w:shd w:val="clear" w:color="auto" w:fill="FFFFFF" w:themeFill="background1"/>
            <w:noWrap/>
            <w:hideMark/>
          </w:tcPr>
          <w:p w14:paraId="41DAEC52" w14:textId="77777777" w:rsidR="00B7387F" w:rsidRPr="00DC03B7" w:rsidRDefault="00B7387F">
            <w:pPr>
              <w:rPr>
                <w:rFonts w:cs="Arial"/>
                <w:color w:val="000000"/>
              </w:rPr>
            </w:pPr>
            <w:r w:rsidRPr="00DC03B7">
              <w:rPr>
                <w:rFonts w:cs="Arial"/>
                <w:color w:val="000000"/>
              </w:rPr>
              <w:t>Non CTE Participants</w:t>
            </w:r>
          </w:p>
        </w:tc>
        <w:tc>
          <w:tcPr>
            <w:tcW w:w="1800" w:type="dxa"/>
            <w:shd w:val="clear" w:color="auto" w:fill="FFFFFF" w:themeFill="background1"/>
            <w:noWrap/>
            <w:hideMark/>
          </w:tcPr>
          <w:p w14:paraId="06A8DAD6" w14:textId="77777777" w:rsidR="00B7387F" w:rsidRPr="00DC03B7" w:rsidRDefault="00B7387F">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81,957</w:t>
            </w:r>
          </w:p>
        </w:tc>
        <w:tc>
          <w:tcPr>
            <w:tcW w:w="1800" w:type="dxa"/>
            <w:shd w:val="clear" w:color="auto" w:fill="FFFFFF" w:themeFill="background1"/>
            <w:noWrap/>
            <w:hideMark/>
          </w:tcPr>
          <w:p w14:paraId="16DFFD71" w14:textId="77777777" w:rsidR="00B7387F" w:rsidRPr="00DC03B7" w:rsidRDefault="00B7387F">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74,161</w:t>
            </w:r>
          </w:p>
        </w:tc>
        <w:tc>
          <w:tcPr>
            <w:tcW w:w="1800" w:type="dxa"/>
            <w:shd w:val="clear" w:color="auto" w:fill="FFFFFF" w:themeFill="background1"/>
            <w:noWrap/>
            <w:hideMark/>
          </w:tcPr>
          <w:p w14:paraId="2A0A8649" w14:textId="77777777" w:rsidR="00B7387F" w:rsidRPr="00DC03B7" w:rsidRDefault="00B7387F" w:rsidP="00DC03B7">
            <w:pPr>
              <w:ind w:right="2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191</w:t>
            </w:r>
          </w:p>
        </w:tc>
        <w:tc>
          <w:tcPr>
            <w:tcW w:w="1800" w:type="dxa"/>
            <w:shd w:val="clear" w:color="auto" w:fill="FFFFFF" w:themeFill="background1"/>
            <w:noWrap/>
            <w:hideMark/>
          </w:tcPr>
          <w:p w14:paraId="70CE54C4" w14:textId="60E0E2BB" w:rsidR="00B7387F" w:rsidRPr="00DC03B7" w:rsidRDefault="00B7387F">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85.5</w:t>
            </w:r>
            <w:r w:rsidR="002838F9">
              <w:rPr>
                <w:rFonts w:cs="Arial"/>
                <w:color w:val="000000"/>
              </w:rPr>
              <w:t>%</w:t>
            </w:r>
          </w:p>
        </w:tc>
        <w:tc>
          <w:tcPr>
            <w:tcW w:w="1800" w:type="dxa"/>
            <w:shd w:val="clear" w:color="auto" w:fill="FFFFFF" w:themeFill="background1"/>
            <w:noWrap/>
            <w:hideMark/>
          </w:tcPr>
          <w:p w14:paraId="3696D086" w14:textId="2E671B1E" w:rsidR="00B7387F" w:rsidRPr="00DC03B7" w:rsidRDefault="00B7387F">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81.6</w:t>
            </w:r>
            <w:r w:rsidR="002838F9">
              <w:rPr>
                <w:rFonts w:cs="Arial"/>
                <w:color w:val="000000"/>
              </w:rPr>
              <w:t>%</w:t>
            </w:r>
          </w:p>
        </w:tc>
        <w:tc>
          <w:tcPr>
            <w:tcW w:w="1800" w:type="dxa"/>
            <w:shd w:val="clear" w:color="auto" w:fill="FFFFFF" w:themeFill="background1"/>
            <w:noWrap/>
            <w:hideMark/>
          </w:tcPr>
          <w:p w14:paraId="52CA7F1E" w14:textId="4488190D" w:rsidR="00B7387F" w:rsidRPr="00DC03B7" w:rsidRDefault="00B7387F">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73.9</w:t>
            </w:r>
            <w:r w:rsidR="002838F9">
              <w:rPr>
                <w:rFonts w:cs="Arial"/>
                <w:color w:val="000000"/>
              </w:rPr>
              <w:t>%</w:t>
            </w:r>
          </w:p>
        </w:tc>
      </w:tr>
      <w:tr w:rsidR="00DC03B7" w:rsidRPr="00DC03B7" w14:paraId="6C0B17D3" w14:textId="77777777" w:rsidTr="0013083B">
        <w:trPr>
          <w:cantSplit/>
          <w:trHeight w:val="620"/>
        </w:trPr>
        <w:tc>
          <w:tcPr>
            <w:cnfStyle w:val="001000000000" w:firstRow="0" w:lastRow="0" w:firstColumn="1" w:lastColumn="0" w:oddVBand="0" w:evenVBand="0" w:oddHBand="0" w:evenHBand="0" w:firstRowFirstColumn="0" w:firstRowLastColumn="0" w:lastRowFirstColumn="0" w:lastRowLastColumn="0"/>
            <w:tcW w:w="3640" w:type="dxa"/>
            <w:shd w:val="clear" w:color="auto" w:fill="FFFFFF" w:themeFill="background1"/>
            <w:noWrap/>
            <w:hideMark/>
          </w:tcPr>
          <w:p w14:paraId="46A8636D" w14:textId="77777777" w:rsidR="00B7387F" w:rsidRPr="00DC03B7" w:rsidRDefault="00B7387F">
            <w:pPr>
              <w:rPr>
                <w:rFonts w:cs="Arial"/>
                <w:color w:val="000000"/>
              </w:rPr>
            </w:pPr>
            <w:r w:rsidRPr="00DC03B7">
              <w:rPr>
                <w:rFonts w:cs="Arial"/>
                <w:color w:val="000000"/>
              </w:rPr>
              <w:t>CTE Participants Single</w:t>
            </w:r>
          </w:p>
        </w:tc>
        <w:tc>
          <w:tcPr>
            <w:tcW w:w="1800" w:type="dxa"/>
            <w:shd w:val="clear" w:color="auto" w:fill="FFFFFF" w:themeFill="background1"/>
            <w:noWrap/>
            <w:hideMark/>
          </w:tcPr>
          <w:p w14:paraId="44FB1DD2" w14:textId="77777777" w:rsidR="00B7387F" w:rsidRPr="00DC03B7" w:rsidRDefault="00B7387F">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54,674</w:t>
            </w:r>
          </w:p>
        </w:tc>
        <w:tc>
          <w:tcPr>
            <w:tcW w:w="1800" w:type="dxa"/>
            <w:shd w:val="clear" w:color="auto" w:fill="FFFFFF" w:themeFill="background1"/>
            <w:noWrap/>
            <w:hideMark/>
          </w:tcPr>
          <w:p w14:paraId="70B3D73B" w14:textId="77777777" w:rsidR="00B7387F" w:rsidRPr="00DC03B7" w:rsidRDefault="00B7387F">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55,032</w:t>
            </w:r>
          </w:p>
        </w:tc>
        <w:tc>
          <w:tcPr>
            <w:tcW w:w="1800" w:type="dxa"/>
            <w:shd w:val="clear" w:color="auto" w:fill="FFFFFF" w:themeFill="background1"/>
            <w:noWrap/>
            <w:hideMark/>
          </w:tcPr>
          <w:p w14:paraId="3E54D963" w14:textId="77777777" w:rsidR="00B7387F" w:rsidRPr="00DC03B7" w:rsidRDefault="00B7387F" w:rsidP="00DC03B7">
            <w:pPr>
              <w:ind w:right="2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135</w:t>
            </w:r>
          </w:p>
        </w:tc>
        <w:tc>
          <w:tcPr>
            <w:tcW w:w="1800" w:type="dxa"/>
            <w:shd w:val="clear" w:color="auto" w:fill="FFFFFF" w:themeFill="background1"/>
            <w:noWrap/>
            <w:hideMark/>
          </w:tcPr>
          <w:p w14:paraId="5824749E" w14:textId="3435E8AE" w:rsidR="00B7387F" w:rsidRPr="00DC03B7" w:rsidRDefault="00B7387F">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89.7</w:t>
            </w:r>
            <w:r w:rsidR="002838F9">
              <w:rPr>
                <w:rFonts w:cs="Arial"/>
                <w:color w:val="000000"/>
              </w:rPr>
              <w:t>%</w:t>
            </w:r>
          </w:p>
        </w:tc>
        <w:tc>
          <w:tcPr>
            <w:tcW w:w="1800" w:type="dxa"/>
            <w:shd w:val="clear" w:color="auto" w:fill="FFFFFF" w:themeFill="background1"/>
            <w:noWrap/>
            <w:hideMark/>
          </w:tcPr>
          <w:p w14:paraId="099AC072" w14:textId="132C36B4" w:rsidR="00B7387F" w:rsidRPr="00DC03B7" w:rsidRDefault="00B7387F">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88.7</w:t>
            </w:r>
            <w:r w:rsidR="002838F9">
              <w:rPr>
                <w:rFonts w:cs="Arial"/>
                <w:color w:val="000000"/>
              </w:rPr>
              <w:t>%</w:t>
            </w:r>
          </w:p>
        </w:tc>
        <w:tc>
          <w:tcPr>
            <w:tcW w:w="1800" w:type="dxa"/>
            <w:shd w:val="clear" w:color="auto" w:fill="FFFFFF" w:themeFill="background1"/>
            <w:noWrap/>
            <w:hideMark/>
          </w:tcPr>
          <w:p w14:paraId="10D5903C" w14:textId="223B428D" w:rsidR="00B7387F" w:rsidRPr="00DC03B7" w:rsidRDefault="00B7387F">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81.3</w:t>
            </w:r>
            <w:r w:rsidR="002838F9">
              <w:rPr>
                <w:rFonts w:cs="Arial"/>
                <w:color w:val="000000"/>
              </w:rPr>
              <w:t>%</w:t>
            </w:r>
          </w:p>
        </w:tc>
      </w:tr>
      <w:tr w:rsidR="00DC03B7" w:rsidRPr="00DC03B7" w14:paraId="2BCF4A35" w14:textId="77777777" w:rsidTr="0013083B">
        <w:trPr>
          <w:cnfStyle w:val="000000100000" w:firstRow="0" w:lastRow="0" w:firstColumn="0" w:lastColumn="0" w:oddVBand="0" w:evenVBand="0" w:oddHBand="1" w:evenHBand="0" w:firstRowFirstColumn="0" w:firstRowLastColumn="0" w:lastRowFirstColumn="0" w:lastRowLastColumn="0"/>
          <w:cantSplit/>
          <w:trHeight w:val="620"/>
        </w:trPr>
        <w:tc>
          <w:tcPr>
            <w:cnfStyle w:val="001000000000" w:firstRow="0" w:lastRow="0" w:firstColumn="1" w:lastColumn="0" w:oddVBand="0" w:evenVBand="0" w:oddHBand="0" w:evenHBand="0" w:firstRowFirstColumn="0" w:firstRowLastColumn="0" w:lastRowFirstColumn="0" w:lastRowLastColumn="0"/>
            <w:tcW w:w="3640" w:type="dxa"/>
            <w:shd w:val="clear" w:color="auto" w:fill="FFFFFF" w:themeFill="background1"/>
            <w:noWrap/>
            <w:hideMark/>
          </w:tcPr>
          <w:p w14:paraId="009DE52E" w14:textId="77777777" w:rsidR="00B7387F" w:rsidRPr="00DC03B7" w:rsidRDefault="00B7387F">
            <w:pPr>
              <w:rPr>
                <w:rFonts w:cs="Arial"/>
                <w:color w:val="000000"/>
              </w:rPr>
            </w:pPr>
            <w:r w:rsidRPr="00DC03B7">
              <w:rPr>
                <w:rFonts w:cs="Arial"/>
                <w:color w:val="000000"/>
              </w:rPr>
              <w:t>CTE Participants Dabblers</w:t>
            </w:r>
          </w:p>
        </w:tc>
        <w:tc>
          <w:tcPr>
            <w:tcW w:w="1800" w:type="dxa"/>
            <w:shd w:val="clear" w:color="auto" w:fill="FFFFFF" w:themeFill="background1"/>
            <w:noWrap/>
            <w:hideMark/>
          </w:tcPr>
          <w:p w14:paraId="446DBC00" w14:textId="77777777" w:rsidR="00B7387F" w:rsidRPr="00DC03B7" w:rsidRDefault="00B7387F">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62,034</w:t>
            </w:r>
          </w:p>
        </w:tc>
        <w:tc>
          <w:tcPr>
            <w:tcW w:w="1800" w:type="dxa"/>
            <w:shd w:val="clear" w:color="auto" w:fill="FFFFFF" w:themeFill="background1"/>
            <w:noWrap/>
            <w:hideMark/>
          </w:tcPr>
          <w:p w14:paraId="40D21EDF" w14:textId="77777777" w:rsidR="00B7387F" w:rsidRPr="00DC03B7" w:rsidRDefault="00B7387F">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81,742</w:t>
            </w:r>
          </w:p>
        </w:tc>
        <w:tc>
          <w:tcPr>
            <w:tcW w:w="1800" w:type="dxa"/>
            <w:shd w:val="clear" w:color="auto" w:fill="FFFFFF" w:themeFill="background1"/>
            <w:noWrap/>
            <w:hideMark/>
          </w:tcPr>
          <w:p w14:paraId="57F73244" w14:textId="77777777" w:rsidR="00B7387F" w:rsidRPr="00DC03B7" w:rsidRDefault="00B7387F" w:rsidP="00DC03B7">
            <w:pPr>
              <w:ind w:right="20"/>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138</w:t>
            </w:r>
          </w:p>
        </w:tc>
        <w:tc>
          <w:tcPr>
            <w:tcW w:w="1800" w:type="dxa"/>
            <w:shd w:val="clear" w:color="auto" w:fill="FFFFFF" w:themeFill="background1"/>
            <w:noWrap/>
            <w:hideMark/>
          </w:tcPr>
          <w:p w14:paraId="41505210" w14:textId="5674E6AD" w:rsidR="00B7387F" w:rsidRPr="00DC03B7" w:rsidRDefault="00B7387F">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91.0</w:t>
            </w:r>
            <w:r w:rsidR="002838F9">
              <w:rPr>
                <w:rFonts w:cs="Arial"/>
                <w:color w:val="000000"/>
              </w:rPr>
              <w:t>%</w:t>
            </w:r>
          </w:p>
        </w:tc>
        <w:tc>
          <w:tcPr>
            <w:tcW w:w="1800" w:type="dxa"/>
            <w:shd w:val="clear" w:color="auto" w:fill="FFFFFF" w:themeFill="background1"/>
            <w:noWrap/>
            <w:hideMark/>
          </w:tcPr>
          <w:p w14:paraId="41691737" w14:textId="5DC25150" w:rsidR="00B7387F" w:rsidRPr="00DC03B7" w:rsidRDefault="00B7387F">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91.5</w:t>
            </w:r>
            <w:r w:rsidR="002838F9">
              <w:rPr>
                <w:rFonts w:cs="Arial"/>
                <w:color w:val="000000"/>
              </w:rPr>
              <w:t>%</w:t>
            </w:r>
          </w:p>
        </w:tc>
        <w:tc>
          <w:tcPr>
            <w:tcW w:w="1800" w:type="dxa"/>
            <w:shd w:val="clear" w:color="auto" w:fill="FFFFFF" w:themeFill="background1"/>
            <w:noWrap/>
            <w:hideMark/>
          </w:tcPr>
          <w:p w14:paraId="77AC65EE" w14:textId="02B65B6F" w:rsidR="00B7387F" w:rsidRPr="00DC03B7" w:rsidRDefault="00B7387F">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DC03B7">
              <w:rPr>
                <w:rFonts w:cs="Arial"/>
                <w:color w:val="000000"/>
              </w:rPr>
              <w:t>85.6</w:t>
            </w:r>
            <w:r w:rsidR="002838F9">
              <w:rPr>
                <w:rFonts w:cs="Arial"/>
                <w:color w:val="000000"/>
              </w:rPr>
              <w:t>%</w:t>
            </w:r>
          </w:p>
        </w:tc>
      </w:tr>
      <w:tr w:rsidR="00DC03B7" w:rsidRPr="00DC03B7" w14:paraId="4E770D4A" w14:textId="77777777" w:rsidTr="0013083B">
        <w:trPr>
          <w:cantSplit/>
          <w:trHeight w:val="440"/>
        </w:trPr>
        <w:tc>
          <w:tcPr>
            <w:cnfStyle w:val="001000000000" w:firstRow="0" w:lastRow="0" w:firstColumn="1" w:lastColumn="0" w:oddVBand="0" w:evenVBand="0" w:oddHBand="0" w:evenHBand="0" w:firstRowFirstColumn="0" w:firstRowLastColumn="0" w:lastRowFirstColumn="0" w:lastRowLastColumn="0"/>
            <w:tcW w:w="3640" w:type="dxa"/>
            <w:shd w:val="clear" w:color="auto" w:fill="FFFFFF" w:themeFill="background1"/>
            <w:noWrap/>
            <w:hideMark/>
          </w:tcPr>
          <w:p w14:paraId="4A5E98B6" w14:textId="77777777" w:rsidR="00B7387F" w:rsidRPr="00DC03B7" w:rsidRDefault="00B7387F">
            <w:pPr>
              <w:rPr>
                <w:rFonts w:cs="Arial"/>
                <w:color w:val="000000"/>
              </w:rPr>
            </w:pPr>
            <w:r w:rsidRPr="00DC03B7">
              <w:rPr>
                <w:rFonts w:cs="Arial"/>
                <w:color w:val="000000"/>
              </w:rPr>
              <w:t>CTE Completers</w:t>
            </w:r>
          </w:p>
        </w:tc>
        <w:tc>
          <w:tcPr>
            <w:tcW w:w="1800" w:type="dxa"/>
            <w:shd w:val="clear" w:color="auto" w:fill="FFFFFF" w:themeFill="background1"/>
            <w:noWrap/>
            <w:hideMark/>
          </w:tcPr>
          <w:p w14:paraId="2A156692" w14:textId="77777777" w:rsidR="00B7387F" w:rsidRPr="00DC03B7" w:rsidRDefault="00B7387F">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42,559</w:t>
            </w:r>
          </w:p>
        </w:tc>
        <w:tc>
          <w:tcPr>
            <w:tcW w:w="1800" w:type="dxa"/>
            <w:shd w:val="clear" w:color="auto" w:fill="FFFFFF" w:themeFill="background1"/>
            <w:noWrap/>
            <w:hideMark/>
          </w:tcPr>
          <w:p w14:paraId="120CAA76" w14:textId="77777777" w:rsidR="00B7387F" w:rsidRPr="00DC03B7" w:rsidRDefault="00B7387F">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45,282</w:t>
            </w:r>
          </w:p>
        </w:tc>
        <w:tc>
          <w:tcPr>
            <w:tcW w:w="1800" w:type="dxa"/>
            <w:shd w:val="clear" w:color="auto" w:fill="FFFFFF" w:themeFill="background1"/>
            <w:noWrap/>
            <w:hideMark/>
          </w:tcPr>
          <w:p w14:paraId="0AF425EC" w14:textId="77777777" w:rsidR="00B7387F" w:rsidRPr="00DC03B7" w:rsidRDefault="00B7387F" w:rsidP="00DC03B7">
            <w:pPr>
              <w:ind w:right="20"/>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40</w:t>
            </w:r>
          </w:p>
        </w:tc>
        <w:tc>
          <w:tcPr>
            <w:tcW w:w="1800" w:type="dxa"/>
            <w:shd w:val="clear" w:color="auto" w:fill="FFFFFF" w:themeFill="background1"/>
            <w:noWrap/>
            <w:hideMark/>
          </w:tcPr>
          <w:p w14:paraId="535F72ED" w14:textId="28DE5DFC" w:rsidR="00B7387F" w:rsidRPr="00DC03B7" w:rsidRDefault="00B7387F">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94.8</w:t>
            </w:r>
            <w:r w:rsidR="002838F9">
              <w:rPr>
                <w:rFonts w:cs="Arial"/>
                <w:color w:val="000000"/>
              </w:rPr>
              <w:t>%</w:t>
            </w:r>
          </w:p>
        </w:tc>
        <w:tc>
          <w:tcPr>
            <w:tcW w:w="1800" w:type="dxa"/>
            <w:shd w:val="clear" w:color="auto" w:fill="FFFFFF" w:themeFill="background1"/>
            <w:noWrap/>
            <w:hideMark/>
          </w:tcPr>
          <w:p w14:paraId="0FC8BDAD" w14:textId="75C849EA" w:rsidR="00B7387F" w:rsidRPr="00DC03B7" w:rsidRDefault="00B7387F">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95.2</w:t>
            </w:r>
            <w:r w:rsidR="002838F9">
              <w:rPr>
                <w:rFonts w:cs="Arial"/>
                <w:color w:val="000000"/>
              </w:rPr>
              <w:t>%</w:t>
            </w:r>
          </w:p>
        </w:tc>
        <w:tc>
          <w:tcPr>
            <w:tcW w:w="1800" w:type="dxa"/>
            <w:shd w:val="clear" w:color="auto" w:fill="FFFFFF" w:themeFill="background1"/>
            <w:noWrap/>
            <w:hideMark/>
          </w:tcPr>
          <w:p w14:paraId="23214594" w14:textId="1FC87DC9" w:rsidR="00B7387F" w:rsidRPr="00DC03B7" w:rsidRDefault="00B7387F">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DC03B7">
              <w:rPr>
                <w:rFonts w:cs="Arial"/>
                <w:color w:val="000000"/>
              </w:rPr>
              <w:t>88.3</w:t>
            </w:r>
            <w:r w:rsidR="002838F9">
              <w:rPr>
                <w:rFonts w:cs="Arial"/>
                <w:color w:val="000000"/>
              </w:rPr>
              <w:t>%</w:t>
            </w:r>
          </w:p>
        </w:tc>
      </w:tr>
    </w:tbl>
    <w:p w14:paraId="060E653A" w14:textId="77777777" w:rsidR="00B7387F" w:rsidRPr="00E63E7D" w:rsidRDefault="00B7387F" w:rsidP="00B7387F">
      <w:pPr>
        <w:rPr>
          <w:rFonts w:cs="Arial"/>
          <w:b/>
          <w:bCs/>
        </w:rPr>
      </w:pPr>
    </w:p>
    <w:sectPr w:rsidR="00B7387F" w:rsidRPr="00E63E7D" w:rsidSect="00A0487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EE37D" w14:textId="77777777" w:rsidR="00A3094C" w:rsidRDefault="00A3094C">
      <w:r>
        <w:separator/>
      </w:r>
    </w:p>
    <w:p w14:paraId="6BA9FFF5" w14:textId="77777777" w:rsidR="00A3094C" w:rsidRDefault="00A3094C"/>
  </w:endnote>
  <w:endnote w:type="continuationSeparator" w:id="0">
    <w:p w14:paraId="28079535" w14:textId="77777777" w:rsidR="00A3094C" w:rsidRDefault="00A3094C">
      <w:r>
        <w:continuationSeparator/>
      </w:r>
    </w:p>
    <w:p w14:paraId="45F3D76A" w14:textId="77777777" w:rsidR="00A3094C" w:rsidRDefault="00A30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409840"/>
      <w:docPartObj>
        <w:docPartGallery w:val="Page Numbers (Bottom of Page)"/>
        <w:docPartUnique/>
      </w:docPartObj>
    </w:sdtPr>
    <w:sdtEndPr>
      <w:rPr>
        <w:rFonts w:cs="Arial"/>
        <w:noProof/>
      </w:rPr>
    </w:sdtEndPr>
    <w:sdtContent>
      <w:p w14:paraId="79514B17" w14:textId="7E5794A7" w:rsidR="00322C8E" w:rsidRPr="006E5244" w:rsidRDefault="00322C8E" w:rsidP="006E5244">
        <w:pPr>
          <w:pStyle w:val="Footer"/>
          <w:jc w:val="center"/>
          <w:rPr>
            <w:rFonts w:cs="Arial"/>
          </w:rPr>
        </w:pPr>
        <w:r w:rsidRPr="006E5244">
          <w:rPr>
            <w:rFonts w:cs="Arial"/>
          </w:rPr>
          <w:fldChar w:fldCharType="begin"/>
        </w:r>
        <w:r w:rsidRPr="006E5244">
          <w:rPr>
            <w:rFonts w:cs="Arial"/>
          </w:rPr>
          <w:instrText xml:space="preserve"> PAGE   \* MERGEFORMAT </w:instrText>
        </w:r>
        <w:r w:rsidRPr="006E5244">
          <w:rPr>
            <w:rFonts w:cs="Arial"/>
          </w:rPr>
          <w:fldChar w:fldCharType="separate"/>
        </w:r>
        <w:r w:rsidRPr="006E5244">
          <w:rPr>
            <w:rFonts w:cs="Arial"/>
            <w:noProof/>
          </w:rPr>
          <w:t>2</w:t>
        </w:r>
        <w:r w:rsidRPr="006E5244">
          <w:rPr>
            <w:rFonts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868314"/>
      <w:docPartObj>
        <w:docPartGallery w:val="Page Numbers (Bottom of Page)"/>
        <w:docPartUnique/>
      </w:docPartObj>
    </w:sdtPr>
    <w:sdtEndPr>
      <w:rPr>
        <w:rFonts w:cs="Arial"/>
        <w:noProof/>
      </w:rPr>
    </w:sdtEndPr>
    <w:sdtContent>
      <w:p w14:paraId="2C0F5AAF" w14:textId="77777777" w:rsidR="006E5244" w:rsidRPr="006E5244" w:rsidRDefault="006E5244" w:rsidP="006E5244">
        <w:pPr>
          <w:pStyle w:val="Footer"/>
          <w:jc w:val="center"/>
          <w:rPr>
            <w:rFonts w:cs="Arial"/>
          </w:rPr>
        </w:pPr>
        <w:r w:rsidRPr="006E5244">
          <w:rPr>
            <w:rFonts w:cs="Arial"/>
          </w:rPr>
          <w:fldChar w:fldCharType="begin"/>
        </w:r>
        <w:r w:rsidRPr="006E5244">
          <w:rPr>
            <w:rFonts w:cs="Arial"/>
          </w:rPr>
          <w:instrText xml:space="preserve"> PAGE   \* MERGEFORMAT </w:instrText>
        </w:r>
        <w:r w:rsidRPr="006E5244">
          <w:rPr>
            <w:rFonts w:cs="Arial"/>
          </w:rPr>
          <w:fldChar w:fldCharType="separate"/>
        </w:r>
        <w:r>
          <w:rPr>
            <w:rFonts w:cs="Arial"/>
          </w:rPr>
          <w:t>9</w:t>
        </w:r>
        <w:r w:rsidRPr="006E5244">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08F32" w14:textId="77777777" w:rsidR="00A3094C" w:rsidRDefault="00A3094C">
      <w:r>
        <w:separator/>
      </w:r>
    </w:p>
    <w:p w14:paraId="446254F8" w14:textId="77777777" w:rsidR="00A3094C" w:rsidRDefault="00A3094C"/>
  </w:footnote>
  <w:footnote w:type="continuationSeparator" w:id="0">
    <w:p w14:paraId="5DB5311E" w14:textId="77777777" w:rsidR="00A3094C" w:rsidRDefault="00A3094C">
      <w:r>
        <w:continuationSeparator/>
      </w:r>
    </w:p>
    <w:p w14:paraId="0B2A2597" w14:textId="77777777" w:rsidR="00A3094C" w:rsidRDefault="00A3094C"/>
  </w:footnote>
  <w:footnote w:id="1">
    <w:p w14:paraId="6E34812A" w14:textId="74C119D9" w:rsidR="00FF257F" w:rsidRPr="00FF257F" w:rsidRDefault="00FF257F">
      <w:pPr>
        <w:pStyle w:val="FootnoteText"/>
        <w:rPr>
          <w:rFonts w:ascii="Arial" w:hAnsi="Arial" w:cs="Arial"/>
          <w:sz w:val="24"/>
          <w:szCs w:val="24"/>
        </w:rPr>
      </w:pPr>
      <w:r w:rsidRPr="00FF257F">
        <w:rPr>
          <w:rStyle w:val="FootnoteReference"/>
          <w:rFonts w:ascii="Arial" w:hAnsi="Arial" w:cs="Arial"/>
          <w:sz w:val="24"/>
          <w:szCs w:val="24"/>
        </w:rPr>
        <w:footnoteRef/>
      </w:r>
      <w:r w:rsidRPr="00FF257F">
        <w:rPr>
          <w:rFonts w:ascii="Arial" w:hAnsi="Arial" w:cs="Arial"/>
          <w:sz w:val="24"/>
          <w:szCs w:val="24"/>
        </w:rPr>
        <w:t xml:space="preserve"> </w:t>
      </w:r>
      <w:r w:rsidRPr="005E21AF">
        <w:rPr>
          <w:rFonts w:ascii="Arial" w:hAnsi="Arial" w:cs="Arial"/>
          <w:i/>
          <w:iCs/>
          <w:sz w:val="24"/>
          <w:szCs w:val="24"/>
        </w:rPr>
        <w:t>EC</w:t>
      </w:r>
      <w:r w:rsidRPr="00FF257F">
        <w:rPr>
          <w:rFonts w:ascii="Arial" w:hAnsi="Arial" w:cs="Arial"/>
          <w:sz w:val="24"/>
          <w:szCs w:val="24"/>
        </w:rPr>
        <w:t xml:space="preserve"> Section 53070–53076.4</w:t>
      </w:r>
    </w:p>
  </w:footnote>
  <w:footnote w:id="2">
    <w:p w14:paraId="596E5A67" w14:textId="1EE0B217" w:rsidR="00C42AA8" w:rsidRPr="001A2AB8" w:rsidRDefault="00C42AA8">
      <w:pPr>
        <w:pStyle w:val="FootnoteText"/>
        <w:rPr>
          <w:rFonts w:ascii="Arial" w:hAnsi="Arial" w:cs="Arial"/>
          <w:sz w:val="24"/>
          <w:szCs w:val="24"/>
        </w:rPr>
      </w:pPr>
      <w:r w:rsidRPr="001A2AB8">
        <w:rPr>
          <w:rStyle w:val="FootnoteReference"/>
          <w:rFonts w:ascii="Arial" w:hAnsi="Arial" w:cs="Arial"/>
          <w:sz w:val="24"/>
          <w:szCs w:val="24"/>
        </w:rPr>
        <w:footnoteRef/>
      </w:r>
      <w:r w:rsidRPr="001A2AB8">
        <w:rPr>
          <w:rFonts w:ascii="Arial" w:hAnsi="Arial" w:cs="Arial"/>
          <w:sz w:val="24"/>
          <w:szCs w:val="24"/>
        </w:rPr>
        <w:t xml:space="preserve"> </w:t>
      </w:r>
      <w:r w:rsidRPr="005E21AF">
        <w:rPr>
          <w:rFonts w:ascii="Arial" w:hAnsi="Arial" w:cs="Arial"/>
          <w:i/>
          <w:iCs/>
          <w:sz w:val="24"/>
          <w:szCs w:val="24"/>
        </w:rPr>
        <w:t>EC</w:t>
      </w:r>
      <w:r w:rsidRPr="001A2AB8">
        <w:rPr>
          <w:rFonts w:ascii="Arial" w:hAnsi="Arial" w:cs="Arial"/>
          <w:sz w:val="24"/>
          <w:szCs w:val="24"/>
        </w:rPr>
        <w:t xml:space="preserve"> Section 53076.2</w:t>
      </w:r>
    </w:p>
  </w:footnote>
  <w:footnote w:id="3">
    <w:p w14:paraId="427F4437" w14:textId="790E4CD9" w:rsidR="00E25868" w:rsidRPr="001A2AB8" w:rsidRDefault="00E25868">
      <w:pPr>
        <w:pStyle w:val="FootnoteText"/>
        <w:rPr>
          <w:rFonts w:ascii="Arial" w:hAnsi="Arial" w:cs="Arial"/>
          <w:sz w:val="24"/>
          <w:szCs w:val="24"/>
        </w:rPr>
      </w:pPr>
      <w:r w:rsidRPr="001A2AB8">
        <w:rPr>
          <w:rStyle w:val="FootnoteReference"/>
          <w:rFonts w:ascii="Arial" w:hAnsi="Arial" w:cs="Arial"/>
          <w:sz w:val="24"/>
          <w:szCs w:val="24"/>
        </w:rPr>
        <w:footnoteRef/>
      </w:r>
      <w:r w:rsidRPr="001A2AB8">
        <w:rPr>
          <w:rFonts w:ascii="Arial" w:hAnsi="Arial" w:cs="Arial"/>
          <w:sz w:val="24"/>
          <w:szCs w:val="24"/>
        </w:rPr>
        <w:t xml:space="preserve"> </w:t>
      </w:r>
      <w:r w:rsidRPr="001F5900">
        <w:rPr>
          <w:rFonts w:ascii="Arial" w:hAnsi="Arial" w:cs="Arial"/>
          <w:i/>
          <w:iCs/>
          <w:sz w:val="24"/>
          <w:szCs w:val="24"/>
        </w:rPr>
        <w:t>EC</w:t>
      </w:r>
      <w:r w:rsidRPr="001A2AB8">
        <w:rPr>
          <w:rFonts w:ascii="Arial" w:hAnsi="Arial" w:cs="Arial"/>
          <w:sz w:val="24"/>
          <w:szCs w:val="24"/>
        </w:rPr>
        <w:t xml:space="preserve"> Section 53071(c)(11)(</w:t>
      </w:r>
      <w:r w:rsidR="00DB03D6" w:rsidRPr="001A2AB8">
        <w:rPr>
          <w:rFonts w:ascii="Arial" w:hAnsi="Arial" w:cs="Arial"/>
          <w:sz w:val="24"/>
          <w:szCs w:val="24"/>
        </w:rPr>
        <w:t>B</w:t>
      </w:r>
      <w:r w:rsidRPr="001A2AB8">
        <w:rPr>
          <w:rFonts w:ascii="Arial" w:hAnsi="Arial" w:cs="Arial"/>
          <w:sz w:val="24"/>
          <w:szCs w:val="24"/>
        </w:rPr>
        <w:t>)</w:t>
      </w:r>
      <w:r w:rsidR="00A7136A">
        <w:rPr>
          <w:rFonts w:ascii="Arial" w:hAnsi="Arial" w:cs="Arial"/>
          <w:sz w:val="24"/>
          <w:szCs w:val="24"/>
        </w:rPr>
        <w:t xml:space="preserve"> – Metric 4 requires two data collection points.</w:t>
      </w:r>
    </w:p>
  </w:footnote>
  <w:footnote w:id="4">
    <w:p w14:paraId="6CDFE7DA" w14:textId="61F4A705" w:rsidR="00712D6F" w:rsidRPr="001A2AB8" w:rsidRDefault="00712D6F">
      <w:pPr>
        <w:pStyle w:val="FootnoteText"/>
        <w:rPr>
          <w:rFonts w:ascii="Arial" w:hAnsi="Arial" w:cs="Arial"/>
          <w:sz w:val="24"/>
          <w:szCs w:val="24"/>
        </w:rPr>
      </w:pPr>
      <w:r w:rsidRPr="001A2AB8">
        <w:rPr>
          <w:rStyle w:val="FootnoteReference"/>
          <w:rFonts w:ascii="Arial" w:hAnsi="Arial" w:cs="Arial"/>
          <w:sz w:val="24"/>
          <w:szCs w:val="24"/>
        </w:rPr>
        <w:footnoteRef/>
      </w:r>
      <w:r w:rsidRPr="001A2AB8">
        <w:rPr>
          <w:rFonts w:ascii="Arial" w:hAnsi="Arial" w:cs="Arial"/>
          <w:sz w:val="24"/>
          <w:szCs w:val="24"/>
        </w:rPr>
        <w:t xml:space="preserve"> The 2024 CTE Data Collection Period – Phase 2 deadline is </w:t>
      </w:r>
      <w:r w:rsidRPr="00CE2AD1">
        <w:rPr>
          <w:rFonts w:ascii="Arial" w:hAnsi="Arial" w:cs="Arial"/>
          <w:b/>
          <w:bCs/>
          <w:sz w:val="24"/>
          <w:szCs w:val="24"/>
        </w:rPr>
        <w:t>March 1, 2024</w:t>
      </w:r>
      <w:r w:rsidRPr="001A2AB8">
        <w:rPr>
          <w:rFonts w:ascii="Arial" w:hAnsi="Arial" w:cs="Arial"/>
          <w:sz w:val="24"/>
          <w:szCs w:val="24"/>
        </w:rPr>
        <w:t xml:space="preserve">. </w:t>
      </w:r>
    </w:p>
  </w:footnote>
  <w:footnote w:id="5">
    <w:p w14:paraId="05A63F84" w14:textId="2F351FF8" w:rsidR="00E85F9C" w:rsidRDefault="00E85F9C">
      <w:pPr>
        <w:pStyle w:val="FootnoteText"/>
      </w:pPr>
      <w:r w:rsidRPr="001A2AB8">
        <w:rPr>
          <w:rStyle w:val="FootnoteReference"/>
          <w:rFonts w:ascii="Arial" w:hAnsi="Arial" w:cs="Arial"/>
          <w:sz w:val="24"/>
          <w:szCs w:val="24"/>
        </w:rPr>
        <w:footnoteRef/>
      </w:r>
      <w:r w:rsidRPr="001A2AB8">
        <w:rPr>
          <w:rFonts w:ascii="Arial" w:hAnsi="Arial" w:cs="Arial"/>
          <w:sz w:val="24"/>
          <w:szCs w:val="24"/>
        </w:rPr>
        <w:t xml:space="preserve"> Response rates from former students throughout the state </w:t>
      </w:r>
      <w:r w:rsidR="00192324">
        <w:rPr>
          <w:rFonts w:ascii="Arial" w:hAnsi="Arial" w:cs="Arial"/>
          <w:sz w:val="24"/>
          <w:szCs w:val="24"/>
        </w:rPr>
        <w:t>have</w:t>
      </w:r>
      <w:r w:rsidR="00192324" w:rsidRPr="001A2AB8">
        <w:rPr>
          <w:rFonts w:ascii="Arial" w:hAnsi="Arial" w:cs="Arial"/>
          <w:sz w:val="24"/>
          <w:szCs w:val="24"/>
        </w:rPr>
        <w:t xml:space="preserve"> </w:t>
      </w:r>
      <w:r w:rsidRPr="001A2AB8">
        <w:rPr>
          <w:rFonts w:ascii="Arial" w:hAnsi="Arial" w:cs="Arial"/>
          <w:sz w:val="24"/>
          <w:szCs w:val="24"/>
        </w:rPr>
        <w:t>been extremely low</w:t>
      </w:r>
      <w:r w:rsidR="00853BCE" w:rsidRPr="001A2AB8">
        <w:rPr>
          <w:rFonts w:ascii="Arial" w:hAnsi="Arial" w:cs="Arial"/>
          <w:sz w:val="24"/>
          <w:szCs w:val="24"/>
        </w:rPr>
        <w:t xml:space="preserve"> and should be factored </w:t>
      </w:r>
      <w:r w:rsidR="00192324">
        <w:rPr>
          <w:rFonts w:ascii="Arial" w:hAnsi="Arial" w:cs="Arial"/>
          <w:sz w:val="24"/>
          <w:szCs w:val="24"/>
        </w:rPr>
        <w:t xml:space="preserve">in </w:t>
      </w:r>
      <w:r w:rsidR="00853BCE" w:rsidRPr="001A2AB8">
        <w:rPr>
          <w:rFonts w:ascii="Arial" w:hAnsi="Arial" w:cs="Arial"/>
          <w:sz w:val="24"/>
          <w:szCs w:val="24"/>
        </w:rPr>
        <w:t xml:space="preserve">when formulating policy decisions </w:t>
      </w:r>
      <w:r w:rsidR="00111D80">
        <w:rPr>
          <w:rFonts w:ascii="Arial" w:hAnsi="Arial" w:cs="Arial"/>
          <w:sz w:val="24"/>
          <w:szCs w:val="24"/>
        </w:rPr>
        <w:t>related</w:t>
      </w:r>
      <w:r w:rsidR="00853BCE" w:rsidRPr="001A2AB8">
        <w:rPr>
          <w:rFonts w:ascii="Arial" w:hAnsi="Arial" w:cs="Arial"/>
          <w:sz w:val="24"/>
          <w:szCs w:val="24"/>
        </w:rPr>
        <w:t xml:space="preserve"> </w:t>
      </w:r>
      <w:r w:rsidR="001A2AB8" w:rsidRPr="001A2AB8">
        <w:rPr>
          <w:rFonts w:ascii="Arial" w:hAnsi="Arial" w:cs="Arial"/>
          <w:sz w:val="24"/>
          <w:szCs w:val="24"/>
        </w:rPr>
        <w:t xml:space="preserve">to </w:t>
      </w:r>
      <w:r w:rsidR="00853BCE" w:rsidRPr="001A2AB8">
        <w:rPr>
          <w:rFonts w:ascii="Arial" w:hAnsi="Arial" w:cs="Arial"/>
          <w:sz w:val="24"/>
          <w:szCs w:val="24"/>
        </w:rPr>
        <w:t>Metrics 5</w:t>
      </w:r>
      <w:r w:rsidR="00B458E6" w:rsidRPr="0041359B">
        <w:rPr>
          <w:rFonts w:ascii="Arial" w:hAnsi="Arial" w:cs="Arial"/>
        </w:rPr>
        <w:t>–</w:t>
      </w:r>
      <w:r w:rsidR="00853BCE" w:rsidRPr="001A2AB8">
        <w:rPr>
          <w:rFonts w:ascii="Arial" w:hAnsi="Arial" w:cs="Arial"/>
          <w:sz w:val="24"/>
          <w:szCs w:val="24"/>
        </w:rPr>
        <w:t>6.</w:t>
      </w:r>
    </w:p>
  </w:footnote>
  <w:footnote w:id="6">
    <w:p w14:paraId="73B9B111" w14:textId="77777777" w:rsidR="00041F48" w:rsidRPr="00435279" w:rsidRDefault="00041F48" w:rsidP="00041F48">
      <w:pPr>
        <w:pStyle w:val="FootnoteText"/>
        <w:rPr>
          <w:rFonts w:ascii="Arial" w:hAnsi="Arial" w:cs="Arial"/>
          <w:sz w:val="24"/>
          <w:szCs w:val="24"/>
        </w:rPr>
      </w:pPr>
      <w:r w:rsidRPr="00435279">
        <w:rPr>
          <w:rStyle w:val="FootnoteReference"/>
          <w:rFonts w:ascii="Arial" w:hAnsi="Arial" w:cs="Arial"/>
          <w:sz w:val="24"/>
          <w:szCs w:val="24"/>
        </w:rPr>
        <w:footnoteRef/>
      </w:r>
      <w:r w:rsidRPr="00435279">
        <w:rPr>
          <w:rFonts w:ascii="Arial" w:hAnsi="Arial" w:cs="Arial"/>
          <w:sz w:val="24"/>
          <w:szCs w:val="24"/>
        </w:rPr>
        <w:t xml:space="preserve"> </w:t>
      </w:r>
      <w:r w:rsidRPr="00E836FC">
        <w:rPr>
          <w:rFonts w:ascii="Arial" w:hAnsi="Arial" w:cs="Arial"/>
          <w:i/>
          <w:iCs/>
          <w:sz w:val="24"/>
          <w:szCs w:val="24"/>
        </w:rPr>
        <w:t>EC</w:t>
      </w:r>
      <w:r w:rsidRPr="00435279">
        <w:rPr>
          <w:rFonts w:ascii="Arial" w:hAnsi="Arial" w:cs="Arial"/>
          <w:sz w:val="24"/>
          <w:szCs w:val="24"/>
        </w:rPr>
        <w:t xml:space="preserve"> Section 53071(c)(11)(B)(iii)</w:t>
      </w:r>
    </w:p>
  </w:footnote>
  <w:footnote w:id="7">
    <w:p w14:paraId="3FBD738F" w14:textId="1628D676" w:rsidR="009219A0" w:rsidRPr="00BD7B6A" w:rsidRDefault="009219A0" w:rsidP="009219A0">
      <w:pPr>
        <w:pStyle w:val="FootnoteText"/>
        <w:rPr>
          <w:rFonts w:ascii="Arial" w:hAnsi="Arial" w:cs="Arial"/>
          <w:sz w:val="24"/>
          <w:szCs w:val="24"/>
        </w:rPr>
      </w:pPr>
      <w:r w:rsidRPr="00BD7B6A">
        <w:rPr>
          <w:rStyle w:val="FootnoteReference"/>
          <w:rFonts w:ascii="Arial" w:hAnsi="Arial" w:cs="Arial"/>
          <w:sz w:val="24"/>
          <w:szCs w:val="24"/>
        </w:rPr>
        <w:footnoteRef/>
      </w:r>
      <w:r w:rsidRPr="00BD7B6A">
        <w:rPr>
          <w:rFonts w:ascii="Arial" w:hAnsi="Arial" w:cs="Arial"/>
          <w:sz w:val="24"/>
          <w:szCs w:val="24"/>
        </w:rPr>
        <w:t xml:space="preserve"> The 2021</w:t>
      </w:r>
      <w:r w:rsidR="00E836FC" w:rsidRPr="0041359B">
        <w:rPr>
          <w:rFonts w:ascii="Arial" w:hAnsi="Arial" w:cs="Arial"/>
        </w:rPr>
        <w:t>–</w:t>
      </w:r>
      <w:r w:rsidRPr="00BD7B6A">
        <w:rPr>
          <w:rFonts w:ascii="Arial" w:hAnsi="Arial" w:cs="Arial"/>
          <w:sz w:val="24"/>
          <w:szCs w:val="24"/>
        </w:rPr>
        <w:t xml:space="preserve">22 AY CTE data </w:t>
      </w:r>
      <w:r w:rsidR="00435279">
        <w:rPr>
          <w:rFonts w:ascii="Arial" w:hAnsi="Arial" w:cs="Arial"/>
          <w:sz w:val="24"/>
          <w:szCs w:val="24"/>
        </w:rPr>
        <w:t xml:space="preserve">in this report </w:t>
      </w:r>
      <w:r w:rsidRPr="00BD7B6A">
        <w:rPr>
          <w:rFonts w:ascii="Arial" w:hAnsi="Arial" w:cs="Arial"/>
          <w:sz w:val="24"/>
          <w:szCs w:val="24"/>
        </w:rPr>
        <w:t xml:space="preserve">was </w:t>
      </w:r>
      <w:r>
        <w:rPr>
          <w:rFonts w:ascii="Arial" w:hAnsi="Arial" w:cs="Arial"/>
          <w:sz w:val="24"/>
          <w:szCs w:val="24"/>
        </w:rPr>
        <w:t>presented</w:t>
      </w:r>
      <w:r w:rsidRPr="00BD7B6A">
        <w:rPr>
          <w:rFonts w:ascii="Arial" w:hAnsi="Arial" w:cs="Arial"/>
          <w:sz w:val="24"/>
          <w:szCs w:val="24"/>
        </w:rPr>
        <w:t xml:space="preserve"> </w:t>
      </w:r>
      <w:r>
        <w:rPr>
          <w:rFonts w:ascii="Arial" w:hAnsi="Arial" w:cs="Arial"/>
          <w:sz w:val="24"/>
          <w:szCs w:val="24"/>
        </w:rPr>
        <w:t xml:space="preserve">to the CWPJAC on </w:t>
      </w:r>
      <w:r w:rsidRPr="00BD7B6A">
        <w:rPr>
          <w:rFonts w:ascii="Arial" w:hAnsi="Arial" w:cs="Arial"/>
          <w:sz w:val="24"/>
          <w:szCs w:val="24"/>
        </w:rPr>
        <w:t>November 20, 2023</w:t>
      </w:r>
      <w:r>
        <w:rPr>
          <w:rFonts w:ascii="Arial" w:hAnsi="Arial" w:cs="Arial"/>
          <w:sz w:val="24"/>
          <w:szCs w:val="24"/>
        </w:rPr>
        <w:t xml:space="preserve">. </w:t>
      </w:r>
      <w:r w:rsidRPr="00BD7B6A">
        <w:rPr>
          <w:rFonts w:ascii="Arial" w:hAnsi="Arial" w:cs="Arial"/>
          <w:sz w:val="24"/>
          <w:szCs w:val="24"/>
        </w:rPr>
        <w:t>See</w:t>
      </w:r>
      <w:r>
        <w:rPr>
          <w:rFonts w:ascii="Arial" w:hAnsi="Arial" w:cs="Arial"/>
          <w:sz w:val="24"/>
          <w:szCs w:val="24"/>
        </w:rPr>
        <w:t xml:space="preserve"> agenda: </w:t>
      </w:r>
      <w:hyperlink r:id="rId1" w:tooltip="CWPJAC Agenda November 20, 2023" w:history="1">
        <w:r w:rsidRPr="00D46F21">
          <w:rPr>
            <w:rStyle w:val="Hyperlink"/>
            <w:rFonts w:ascii="Arial" w:hAnsi="Arial" w:cs="Arial"/>
            <w:sz w:val="24"/>
            <w:szCs w:val="24"/>
          </w:rPr>
          <w:t>https://www.cde.ca.gov/ci/ct/gi/agendanov2023.asp</w:t>
        </w:r>
      </w:hyperlink>
      <w:r w:rsidR="002E7AC7" w:rsidRPr="002E7AC7">
        <w:rPr>
          <w:rStyle w:val="Hyperlink"/>
          <w:rFonts w:ascii="Arial" w:hAnsi="Arial" w:cs="Arial"/>
          <w:color w:val="auto"/>
          <w:sz w:val="24"/>
          <w:szCs w:val="24"/>
          <w:u w:val="none"/>
        </w:rPr>
        <w:t>.</w:t>
      </w:r>
      <w:r w:rsidR="008E0A7A">
        <w:rPr>
          <w:rStyle w:val="Hyperlink"/>
          <w:rFonts w:ascii="Arial" w:hAnsi="Arial" w:cs="Arial"/>
          <w:color w:val="auto"/>
          <w:sz w:val="24"/>
          <w:szCs w:val="24"/>
          <w:u w:val="none"/>
        </w:rPr>
        <w:t xml:space="preserve"> </w:t>
      </w:r>
    </w:p>
  </w:footnote>
  <w:footnote w:id="8">
    <w:p w14:paraId="6206F8E8" w14:textId="77777777" w:rsidR="009219A0" w:rsidRPr="00E10270" w:rsidRDefault="009219A0" w:rsidP="009219A0">
      <w:pPr>
        <w:pStyle w:val="FootnoteText"/>
        <w:rPr>
          <w:rFonts w:ascii="Arial" w:hAnsi="Arial" w:cs="Arial"/>
          <w:sz w:val="24"/>
          <w:szCs w:val="24"/>
        </w:rPr>
      </w:pPr>
      <w:r w:rsidRPr="00E10270">
        <w:rPr>
          <w:rStyle w:val="FootnoteReference"/>
          <w:rFonts w:ascii="Arial" w:hAnsi="Arial" w:cs="Arial"/>
          <w:sz w:val="24"/>
          <w:szCs w:val="24"/>
        </w:rPr>
        <w:footnoteRef/>
      </w:r>
      <w:r w:rsidRPr="00E10270">
        <w:rPr>
          <w:rFonts w:ascii="Arial" w:hAnsi="Arial" w:cs="Arial"/>
          <w:sz w:val="24"/>
          <w:szCs w:val="24"/>
        </w:rPr>
        <w:t xml:space="preserve"> The </w:t>
      </w:r>
      <w:r w:rsidRPr="00853BCE">
        <w:rPr>
          <w:rFonts w:ascii="Arial" w:hAnsi="Arial" w:cs="Arial"/>
          <w:sz w:val="24"/>
          <w:szCs w:val="24"/>
        </w:rPr>
        <w:t xml:space="preserve">data </w:t>
      </w:r>
      <w:r w:rsidRPr="00E10270">
        <w:rPr>
          <w:rFonts w:ascii="Arial" w:hAnsi="Arial" w:cs="Arial"/>
          <w:sz w:val="24"/>
          <w:szCs w:val="24"/>
        </w:rPr>
        <w:t xml:space="preserve">contained in this report </w:t>
      </w:r>
      <w:r w:rsidRPr="00853BCE">
        <w:rPr>
          <w:rFonts w:ascii="Arial" w:hAnsi="Arial" w:cs="Arial"/>
          <w:sz w:val="24"/>
          <w:szCs w:val="24"/>
        </w:rPr>
        <w:t xml:space="preserve">is </w:t>
      </w:r>
      <w:r w:rsidRPr="00E10270">
        <w:rPr>
          <w:rFonts w:ascii="Arial" w:hAnsi="Arial" w:cs="Arial"/>
          <w:sz w:val="24"/>
          <w:szCs w:val="24"/>
        </w:rPr>
        <w:t xml:space="preserve">reported </w:t>
      </w:r>
      <w:r w:rsidRPr="00853BCE">
        <w:rPr>
          <w:rFonts w:ascii="Arial" w:hAnsi="Arial" w:cs="Arial"/>
          <w:sz w:val="24"/>
          <w:szCs w:val="24"/>
        </w:rPr>
        <w:t>one AY in arrears</w:t>
      </w:r>
      <w:r w:rsidRPr="00E10270">
        <w:rPr>
          <w:rFonts w:ascii="Arial" w:hAnsi="Arial" w:cs="Arial"/>
          <w:sz w:val="24"/>
          <w:szCs w:val="24"/>
        </w:rPr>
        <w:t xml:space="preserve"> to the CDE</w:t>
      </w:r>
      <w:r w:rsidRPr="00853BCE">
        <w:rPr>
          <w:rFonts w:ascii="Arial" w:hAnsi="Arial" w:cs="Arial"/>
          <w:sz w:val="24"/>
          <w:szCs w:val="24"/>
        </w:rPr>
        <w:t>, and it takes another full year to compile and analyze the data</w:t>
      </w:r>
      <w:r w:rsidRPr="00E10270">
        <w:rPr>
          <w:rFonts w:ascii="Arial" w:hAnsi="Arial" w:cs="Arial"/>
          <w:sz w:val="24"/>
          <w:szCs w:val="24"/>
        </w:rPr>
        <w:t>.</w:t>
      </w:r>
    </w:p>
  </w:footnote>
  <w:footnote w:id="9">
    <w:p w14:paraId="31841335" w14:textId="77777777" w:rsidR="004D4C65" w:rsidRPr="003D5CFF" w:rsidRDefault="004D4C65" w:rsidP="004D4C65">
      <w:pPr>
        <w:pStyle w:val="FootnoteText"/>
        <w:rPr>
          <w:rFonts w:ascii="Arial" w:hAnsi="Arial" w:cs="Arial"/>
          <w:sz w:val="24"/>
          <w:szCs w:val="24"/>
        </w:rPr>
      </w:pPr>
      <w:r w:rsidRPr="003D5CFF">
        <w:rPr>
          <w:rStyle w:val="FootnoteReference"/>
          <w:rFonts w:ascii="Arial" w:hAnsi="Arial" w:cs="Arial"/>
          <w:sz w:val="24"/>
          <w:szCs w:val="24"/>
        </w:rPr>
        <w:footnoteRef/>
      </w:r>
      <w:r w:rsidRPr="003D5CFF">
        <w:rPr>
          <w:rFonts w:ascii="Arial" w:hAnsi="Arial" w:cs="Arial"/>
          <w:sz w:val="24"/>
          <w:szCs w:val="24"/>
        </w:rPr>
        <w:t xml:space="preserve"> </w:t>
      </w:r>
      <w:r w:rsidRPr="009821C4">
        <w:rPr>
          <w:rFonts w:ascii="Arial" w:hAnsi="Arial" w:cs="Arial"/>
          <w:i/>
          <w:iCs/>
          <w:sz w:val="24"/>
          <w:szCs w:val="24"/>
        </w:rPr>
        <w:t>EC</w:t>
      </w:r>
      <w:r w:rsidRPr="003D5CFF">
        <w:rPr>
          <w:rFonts w:ascii="Arial" w:hAnsi="Arial" w:cs="Arial"/>
          <w:sz w:val="24"/>
          <w:szCs w:val="24"/>
        </w:rPr>
        <w:t xml:space="preserve"> Section 53071(c)(11)(B)</w:t>
      </w:r>
    </w:p>
  </w:footnote>
  <w:footnote w:id="10">
    <w:p w14:paraId="6BC5A250" w14:textId="358597B4" w:rsidR="00582C45" w:rsidRPr="003D5CFF" w:rsidRDefault="008312D7" w:rsidP="003D5CFF">
      <w:pPr>
        <w:rPr>
          <w:rFonts w:cs="Arial"/>
        </w:rPr>
      </w:pPr>
      <w:r w:rsidRPr="003D5CFF">
        <w:rPr>
          <w:rStyle w:val="FootnoteReference"/>
          <w:rFonts w:cs="Arial"/>
        </w:rPr>
        <w:footnoteRef/>
      </w:r>
      <w:r w:rsidR="004D4C65" w:rsidRPr="003D5CFF">
        <w:rPr>
          <w:rFonts w:cs="Arial"/>
        </w:rPr>
        <w:t xml:space="preserve"> </w:t>
      </w:r>
      <w:r w:rsidRPr="003D5CFF">
        <w:rPr>
          <w:rFonts w:cs="Arial"/>
        </w:rPr>
        <w:t>A secondary student that enrolls in and completes at least one CTE course.</w:t>
      </w:r>
    </w:p>
  </w:footnote>
  <w:footnote w:id="11">
    <w:p w14:paraId="091DCFDE" w14:textId="16BECCBA" w:rsidR="00582C45" w:rsidRPr="003D5CFF" w:rsidRDefault="00582C45" w:rsidP="003D5CFF">
      <w:pPr>
        <w:rPr>
          <w:rFonts w:cs="Arial"/>
        </w:rPr>
      </w:pPr>
      <w:r w:rsidRPr="003D5CFF">
        <w:rPr>
          <w:rStyle w:val="FootnoteReference"/>
          <w:rFonts w:cs="Arial"/>
        </w:rPr>
        <w:footnoteRef/>
      </w:r>
      <w:r w:rsidRPr="003D5CFF">
        <w:rPr>
          <w:rFonts w:cs="Arial"/>
        </w:rPr>
        <w:t xml:space="preserve"> A secondary student that enrolls in and completes at least two CTE courses.</w:t>
      </w:r>
    </w:p>
  </w:footnote>
  <w:footnote w:id="12">
    <w:p w14:paraId="60B036F3" w14:textId="57493336" w:rsidR="008312D7" w:rsidRPr="003D5CFF" w:rsidRDefault="008312D7" w:rsidP="003D5CFF">
      <w:pPr>
        <w:rPr>
          <w:rFonts w:cs="Arial"/>
        </w:rPr>
      </w:pPr>
      <w:r w:rsidRPr="003D5CFF">
        <w:rPr>
          <w:rStyle w:val="FootnoteReference"/>
          <w:rFonts w:cs="Arial"/>
        </w:rPr>
        <w:footnoteRef/>
      </w:r>
      <w:r w:rsidR="004D4C65" w:rsidRPr="003D5CFF">
        <w:rPr>
          <w:rFonts w:cs="Arial"/>
        </w:rPr>
        <w:t xml:space="preserve"> </w:t>
      </w:r>
      <w:r w:rsidRPr="003D5CFF">
        <w:rPr>
          <w:rFonts w:cs="Arial"/>
        </w:rPr>
        <w:t>A CTE student who completes at least 300 hours of a course sequence in an industry pathway, the sequence includes the capstone course; and the CTE student receives a grade of C- or better in the capstone course</w:t>
      </w:r>
      <w:r w:rsidR="00706A94" w:rsidRPr="003D5CFF">
        <w:rPr>
          <w:rFonts w:cs="Arial"/>
        </w:rPr>
        <w:t>.</w:t>
      </w:r>
    </w:p>
  </w:footnote>
  <w:footnote w:id="13">
    <w:p w14:paraId="59FBAF68" w14:textId="708940CA" w:rsidR="003D555E" w:rsidRPr="003D555E" w:rsidRDefault="003D555E" w:rsidP="003D5CFF">
      <w:r w:rsidRPr="003D5CFF">
        <w:rPr>
          <w:rStyle w:val="FootnoteReference"/>
          <w:rFonts w:cs="Arial"/>
        </w:rPr>
        <w:footnoteRef/>
      </w:r>
      <w:r w:rsidRPr="003D5CFF">
        <w:rPr>
          <w:rFonts w:cs="Arial"/>
        </w:rPr>
        <w:t xml:space="preserve"> Appendix J: 2021–22 A</w:t>
      </w:r>
      <w:r w:rsidR="0088330C">
        <w:rPr>
          <w:rFonts w:cs="Arial"/>
        </w:rPr>
        <w:t xml:space="preserve">cademic </w:t>
      </w:r>
      <w:r w:rsidRPr="003D5CFF">
        <w:rPr>
          <w:rFonts w:cs="Arial"/>
        </w:rPr>
        <w:t>Y</w:t>
      </w:r>
      <w:r w:rsidR="0088330C">
        <w:rPr>
          <w:rFonts w:cs="Arial"/>
        </w:rPr>
        <w:t>ear</w:t>
      </w:r>
      <w:r w:rsidRPr="003D5CFF">
        <w:rPr>
          <w:rFonts w:cs="Arial"/>
        </w:rPr>
        <w:t xml:space="preserve"> Cohort </w:t>
      </w:r>
      <w:r w:rsidR="00071390">
        <w:rPr>
          <w:rFonts w:cs="Arial"/>
        </w:rPr>
        <w:t xml:space="preserve">Graduation and Attendance </w:t>
      </w:r>
      <w:r w:rsidRPr="003D5CFF">
        <w:rPr>
          <w:rFonts w:cs="Arial"/>
        </w:rPr>
        <w:t>Rates by Gender</w:t>
      </w:r>
    </w:p>
  </w:footnote>
  <w:footnote w:id="14">
    <w:p w14:paraId="61F8BF32" w14:textId="1D0CC64A" w:rsidR="00E07B7A" w:rsidRPr="00DE0C34" w:rsidRDefault="00E07B7A" w:rsidP="00E07B7A">
      <w:pPr>
        <w:pStyle w:val="FootnoteText"/>
        <w:rPr>
          <w:rFonts w:ascii="Arial" w:hAnsi="Arial" w:cs="Arial"/>
          <w:sz w:val="24"/>
          <w:szCs w:val="24"/>
        </w:rPr>
      </w:pPr>
      <w:r w:rsidRPr="00DE0C34">
        <w:rPr>
          <w:rStyle w:val="FootnoteReference"/>
          <w:rFonts w:ascii="Arial" w:hAnsi="Arial" w:cs="Arial"/>
          <w:sz w:val="24"/>
          <w:szCs w:val="24"/>
        </w:rPr>
        <w:footnoteRef/>
      </w:r>
      <w:r w:rsidRPr="00DE0C34">
        <w:rPr>
          <w:rFonts w:ascii="Arial" w:hAnsi="Arial" w:cs="Arial"/>
          <w:sz w:val="24"/>
          <w:szCs w:val="24"/>
        </w:rPr>
        <w:t xml:space="preserve"> Appendix I: C</w:t>
      </w:r>
      <w:r w:rsidR="0088330C">
        <w:rPr>
          <w:rFonts w:ascii="Arial" w:hAnsi="Arial" w:cs="Arial"/>
          <w:sz w:val="24"/>
          <w:szCs w:val="24"/>
        </w:rPr>
        <w:t xml:space="preserve">areer </w:t>
      </w:r>
      <w:r w:rsidRPr="00DE0C34">
        <w:rPr>
          <w:rFonts w:ascii="Arial" w:hAnsi="Arial" w:cs="Arial"/>
          <w:sz w:val="24"/>
          <w:szCs w:val="24"/>
        </w:rPr>
        <w:t>T</w:t>
      </w:r>
      <w:r w:rsidR="0088330C">
        <w:rPr>
          <w:rFonts w:ascii="Arial" w:hAnsi="Arial" w:cs="Arial"/>
          <w:sz w:val="24"/>
          <w:szCs w:val="24"/>
        </w:rPr>
        <w:t xml:space="preserve">echnical </w:t>
      </w:r>
      <w:r w:rsidRPr="00DE0C34">
        <w:rPr>
          <w:rFonts w:ascii="Arial" w:hAnsi="Arial" w:cs="Arial"/>
          <w:sz w:val="24"/>
          <w:szCs w:val="24"/>
        </w:rPr>
        <w:t>E</w:t>
      </w:r>
      <w:r w:rsidR="0088330C">
        <w:rPr>
          <w:rFonts w:ascii="Arial" w:hAnsi="Arial" w:cs="Arial"/>
          <w:sz w:val="24"/>
          <w:szCs w:val="24"/>
        </w:rPr>
        <w:t xml:space="preserve">ducation </w:t>
      </w:r>
      <w:r w:rsidRPr="00DE0C34">
        <w:rPr>
          <w:rFonts w:ascii="Arial" w:hAnsi="Arial" w:cs="Arial"/>
          <w:sz w:val="24"/>
          <w:szCs w:val="24"/>
        </w:rPr>
        <w:t>I</w:t>
      </w:r>
      <w:r w:rsidR="0088330C">
        <w:rPr>
          <w:rFonts w:ascii="Arial" w:hAnsi="Arial" w:cs="Arial"/>
          <w:sz w:val="24"/>
          <w:szCs w:val="24"/>
        </w:rPr>
        <w:t xml:space="preserve">ncentive </w:t>
      </w:r>
      <w:r w:rsidRPr="00DE0C34">
        <w:rPr>
          <w:rFonts w:ascii="Arial" w:hAnsi="Arial" w:cs="Arial"/>
          <w:sz w:val="24"/>
          <w:szCs w:val="24"/>
        </w:rPr>
        <w:t>G</w:t>
      </w:r>
      <w:r w:rsidR="0088330C">
        <w:rPr>
          <w:rFonts w:ascii="Arial" w:hAnsi="Arial" w:cs="Arial"/>
          <w:sz w:val="24"/>
          <w:szCs w:val="24"/>
        </w:rPr>
        <w:t>rant</w:t>
      </w:r>
      <w:r w:rsidRPr="00DE0C34">
        <w:rPr>
          <w:rFonts w:ascii="Arial" w:hAnsi="Arial" w:cs="Arial"/>
          <w:sz w:val="24"/>
          <w:szCs w:val="24"/>
        </w:rPr>
        <w:t xml:space="preserve"> Regions by County – Key</w:t>
      </w:r>
    </w:p>
  </w:footnote>
  <w:footnote w:id="15">
    <w:p w14:paraId="6C358A38" w14:textId="0E1FCCE4" w:rsidR="000320DE" w:rsidRPr="000320DE" w:rsidRDefault="000320DE">
      <w:pPr>
        <w:pStyle w:val="FootnoteText"/>
        <w:rPr>
          <w:rFonts w:ascii="Arial" w:hAnsi="Arial" w:cs="Arial"/>
          <w:sz w:val="24"/>
          <w:szCs w:val="24"/>
        </w:rPr>
      </w:pPr>
      <w:r w:rsidRPr="000320DE">
        <w:rPr>
          <w:rStyle w:val="FootnoteReference"/>
          <w:rFonts w:ascii="Arial" w:hAnsi="Arial" w:cs="Arial"/>
          <w:sz w:val="24"/>
          <w:szCs w:val="24"/>
        </w:rPr>
        <w:footnoteRef/>
      </w:r>
      <w:r w:rsidRPr="000320DE">
        <w:rPr>
          <w:rFonts w:ascii="Arial" w:hAnsi="Arial" w:cs="Arial"/>
          <w:sz w:val="24"/>
          <w:szCs w:val="24"/>
        </w:rPr>
        <w:t xml:space="preserve"> Appendix H: 2021</w:t>
      </w:r>
      <w:r w:rsidR="0088330C" w:rsidRPr="000320DE">
        <w:rPr>
          <w:rFonts w:ascii="Arial" w:hAnsi="Arial" w:cs="Arial"/>
          <w:sz w:val="24"/>
          <w:szCs w:val="24"/>
        </w:rPr>
        <w:t>–</w:t>
      </w:r>
      <w:r w:rsidRPr="000320DE">
        <w:rPr>
          <w:rFonts w:ascii="Arial" w:hAnsi="Arial" w:cs="Arial"/>
          <w:sz w:val="24"/>
          <w:szCs w:val="24"/>
        </w:rPr>
        <w:t>22 A</w:t>
      </w:r>
      <w:r w:rsidR="0088330C">
        <w:rPr>
          <w:rFonts w:ascii="Arial" w:hAnsi="Arial" w:cs="Arial"/>
          <w:sz w:val="24"/>
          <w:szCs w:val="24"/>
        </w:rPr>
        <w:t xml:space="preserve">cademic </w:t>
      </w:r>
      <w:r w:rsidRPr="000320DE">
        <w:rPr>
          <w:rFonts w:ascii="Arial" w:hAnsi="Arial" w:cs="Arial"/>
          <w:sz w:val="24"/>
          <w:szCs w:val="24"/>
        </w:rPr>
        <w:t>Y</w:t>
      </w:r>
      <w:r w:rsidR="0088330C">
        <w:rPr>
          <w:rFonts w:ascii="Arial" w:hAnsi="Arial" w:cs="Arial"/>
          <w:sz w:val="24"/>
          <w:szCs w:val="24"/>
        </w:rPr>
        <w:t>ear</w:t>
      </w:r>
      <w:r w:rsidRPr="000320DE">
        <w:rPr>
          <w:rFonts w:ascii="Arial" w:hAnsi="Arial" w:cs="Arial"/>
          <w:sz w:val="24"/>
          <w:szCs w:val="24"/>
        </w:rPr>
        <w:t xml:space="preserve"> Cohort Attendance Rates by C</w:t>
      </w:r>
      <w:r w:rsidR="0088330C">
        <w:rPr>
          <w:rFonts w:ascii="Arial" w:hAnsi="Arial" w:cs="Arial"/>
          <w:sz w:val="24"/>
          <w:szCs w:val="24"/>
        </w:rPr>
        <w:t xml:space="preserve">areer </w:t>
      </w:r>
      <w:r w:rsidRPr="000320DE">
        <w:rPr>
          <w:rFonts w:ascii="Arial" w:hAnsi="Arial" w:cs="Arial"/>
          <w:sz w:val="24"/>
          <w:szCs w:val="24"/>
        </w:rPr>
        <w:t>T</w:t>
      </w:r>
      <w:r w:rsidR="0088330C">
        <w:rPr>
          <w:rFonts w:ascii="Arial" w:hAnsi="Arial" w:cs="Arial"/>
          <w:sz w:val="24"/>
          <w:szCs w:val="24"/>
        </w:rPr>
        <w:t xml:space="preserve">echnical </w:t>
      </w:r>
      <w:r w:rsidRPr="000320DE">
        <w:rPr>
          <w:rFonts w:ascii="Arial" w:hAnsi="Arial" w:cs="Arial"/>
          <w:sz w:val="24"/>
          <w:szCs w:val="24"/>
        </w:rPr>
        <w:t>E</w:t>
      </w:r>
      <w:r w:rsidR="0088330C">
        <w:rPr>
          <w:rFonts w:ascii="Arial" w:hAnsi="Arial" w:cs="Arial"/>
          <w:sz w:val="24"/>
          <w:szCs w:val="24"/>
        </w:rPr>
        <w:t xml:space="preserve">ducation </w:t>
      </w:r>
      <w:r w:rsidRPr="000320DE">
        <w:rPr>
          <w:rFonts w:ascii="Arial" w:hAnsi="Arial" w:cs="Arial"/>
          <w:sz w:val="24"/>
          <w:szCs w:val="24"/>
        </w:rPr>
        <w:t>I</w:t>
      </w:r>
      <w:r w:rsidR="0088330C">
        <w:rPr>
          <w:rFonts w:ascii="Arial" w:hAnsi="Arial" w:cs="Arial"/>
          <w:sz w:val="24"/>
          <w:szCs w:val="24"/>
        </w:rPr>
        <w:t xml:space="preserve">ncentive </w:t>
      </w:r>
      <w:r w:rsidRPr="000320DE">
        <w:rPr>
          <w:rFonts w:ascii="Arial" w:hAnsi="Arial" w:cs="Arial"/>
          <w:sz w:val="24"/>
          <w:szCs w:val="24"/>
        </w:rPr>
        <w:t>G</w:t>
      </w:r>
      <w:r w:rsidR="0088330C">
        <w:rPr>
          <w:rFonts w:ascii="Arial" w:hAnsi="Arial" w:cs="Arial"/>
          <w:sz w:val="24"/>
          <w:szCs w:val="24"/>
        </w:rPr>
        <w:t>rant</w:t>
      </w:r>
      <w:r w:rsidRPr="000320DE">
        <w:rPr>
          <w:rFonts w:ascii="Arial" w:hAnsi="Arial" w:cs="Arial"/>
          <w:sz w:val="24"/>
          <w:szCs w:val="24"/>
        </w:rPr>
        <w:t xml:space="preserve"> Region</w:t>
      </w:r>
    </w:p>
  </w:footnote>
  <w:footnote w:id="16">
    <w:p w14:paraId="33ECF824" w14:textId="544B144A" w:rsidR="000320DE" w:rsidRDefault="000320DE">
      <w:pPr>
        <w:pStyle w:val="FootnoteText"/>
      </w:pPr>
      <w:r>
        <w:rPr>
          <w:rStyle w:val="FootnoteReference"/>
        </w:rPr>
        <w:footnoteRef/>
      </w:r>
      <w:r>
        <w:t xml:space="preserve"> </w:t>
      </w:r>
      <w:r w:rsidRPr="000320DE">
        <w:rPr>
          <w:rFonts w:ascii="Arial" w:hAnsi="Arial" w:cs="Arial"/>
          <w:sz w:val="24"/>
          <w:szCs w:val="24"/>
        </w:rPr>
        <w:t>Appendix G: 2021–22 A</w:t>
      </w:r>
      <w:r w:rsidR="0088330C">
        <w:rPr>
          <w:rFonts w:ascii="Arial" w:hAnsi="Arial" w:cs="Arial"/>
          <w:sz w:val="24"/>
          <w:szCs w:val="24"/>
        </w:rPr>
        <w:t xml:space="preserve">cademic </w:t>
      </w:r>
      <w:r w:rsidRPr="000320DE">
        <w:rPr>
          <w:rFonts w:ascii="Arial" w:hAnsi="Arial" w:cs="Arial"/>
          <w:sz w:val="24"/>
          <w:szCs w:val="24"/>
        </w:rPr>
        <w:t>Y</w:t>
      </w:r>
      <w:r w:rsidR="0088330C">
        <w:rPr>
          <w:rFonts w:ascii="Arial" w:hAnsi="Arial" w:cs="Arial"/>
          <w:sz w:val="24"/>
          <w:szCs w:val="24"/>
        </w:rPr>
        <w:t>ear</w:t>
      </w:r>
      <w:r w:rsidRPr="000320DE">
        <w:rPr>
          <w:rFonts w:ascii="Arial" w:hAnsi="Arial" w:cs="Arial"/>
          <w:sz w:val="24"/>
          <w:szCs w:val="24"/>
        </w:rPr>
        <w:t xml:space="preserve"> Cohort Graduation Rates by C</w:t>
      </w:r>
      <w:r w:rsidR="0088330C">
        <w:rPr>
          <w:rFonts w:ascii="Arial" w:hAnsi="Arial" w:cs="Arial"/>
          <w:sz w:val="24"/>
          <w:szCs w:val="24"/>
        </w:rPr>
        <w:t xml:space="preserve">areer </w:t>
      </w:r>
      <w:r w:rsidRPr="000320DE">
        <w:rPr>
          <w:rFonts w:ascii="Arial" w:hAnsi="Arial" w:cs="Arial"/>
          <w:sz w:val="24"/>
          <w:szCs w:val="24"/>
        </w:rPr>
        <w:t>T</w:t>
      </w:r>
      <w:r w:rsidR="0088330C">
        <w:rPr>
          <w:rFonts w:ascii="Arial" w:hAnsi="Arial" w:cs="Arial"/>
          <w:sz w:val="24"/>
          <w:szCs w:val="24"/>
        </w:rPr>
        <w:t xml:space="preserve">echnical </w:t>
      </w:r>
      <w:r w:rsidRPr="000320DE">
        <w:rPr>
          <w:rFonts w:ascii="Arial" w:hAnsi="Arial" w:cs="Arial"/>
          <w:sz w:val="24"/>
          <w:szCs w:val="24"/>
        </w:rPr>
        <w:t>E</w:t>
      </w:r>
      <w:r w:rsidR="0088330C">
        <w:rPr>
          <w:rFonts w:ascii="Arial" w:hAnsi="Arial" w:cs="Arial"/>
          <w:sz w:val="24"/>
          <w:szCs w:val="24"/>
        </w:rPr>
        <w:t xml:space="preserve">ducation </w:t>
      </w:r>
      <w:r w:rsidRPr="000320DE">
        <w:rPr>
          <w:rFonts w:ascii="Arial" w:hAnsi="Arial" w:cs="Arial"/>
          <w:sz w:val="24"/>
          <w:szCs w:val="24"/>
        </w:rPr>
        <w:t>I</w:t>
      </w:r>
      <w:r w:rsidR="0088330C">
        <w:rPr>
          <w:rFonts w:ascii="Arial" w:hAnsi="Arial" w:cs="Arial"/>
          <w:sz w:val="24"/>
          <w:szCs w:val="24"/>
        </w:rPr>
        <w:t xml:space="preserve">ncentive </w:t>
      </w:r>
      <w:r w:rsidRPr="000320DE">
        <w:rPr>
          <w:rFonts w:ascii="Arial" w:hAnsi="Arial" w:cs="Arial"/>
          <w:sz w:val="24"/>
          <w:szCs w:val="24"/>
        </w:rPr>
        <w:t>G</w:t>
      </w:r>
      <w:r w:rsidR="0088330C">
        <w:rPr>
          <w:rFonts w:ascii="Arial" w:hAnsi="Arial" w:cs="Arial"/>
          <w:sz w:val="24"/>
          <w:szCs w:val="24"/>
        </w:rPr>
        <w:t>rant</w:t>
      </w:r>
      <w:r w:rsidRPr="000320DE">
        <w:rPr>
          <w:rFonts w:ascii="Arial" w:hAnsi="Arial" w:cs="Arial"/>
          <w:sz w:val="24"/>
          <w:szCs w:val="24"/>
        </w:rPr>
        <w:t xml:space="preserve"> Region</w:t>
      </w:r>
    </w:p>
  </w:footnote>
  <w:footnote w:id="17">
    <w:p w14:paraId="134A88C5" w14:textId="4D1FA660" w:rsidR="004878B9" w:rsidRPr="004878B9" w:rsidRDefault="004878B9">
      <w:pPr>
        <w:pStyle w:val="FootnoteText"/>
        <w:rPr>
          <w:rFonts w:ascii="Arial" w:hAnsi="Arial" w:cs="Arial"/>
          <w:sz w:val="24"/>
          <w:szCs w:val="24"/>
        </w:rPr>
      </w:pPr>
      <w:r w:rsidRPr="004878B9">
        <w:rPr>
          <w:rStyle w:val="FootnoteReference"/>
          <w:rFonts w:ascii="Arial" w:hAnsi="Arial" w:cs="Arial"/>
          <w:sz w:val="24"/>
          <w:szCs w:val="24"/>
        </w:rPr>
        <w:footnoteRef/>
      </w:r>
      <w:r w:rsidRPr="004878B9">
        <w:rPr>
          <w:rFonts w:ascii="Arial" w:hAnsi="Arial" w:cs="Arial"/>
          <w:sz w:val="24"/>
          <w:szCs w:val="24"/>
        </w:rPr>
        <w:t xml:space="preserve"> </w:t>
      </w:r>
      <w:proofErr w:type="spellStart"/>
      <w:r w:rsidRPr="004878B9">
        <w:rPr>
          <w:rFonts w:ascii="Arial" w:hAnsi="Arial" w:cs="Arial"/>
          <w:sz w:val="24"/>
          <w:szCs w:val="24"/>
        </w:rPr>
        <w:t>Oreopoulos</w:t>
      </w:r>
      <w:proofErr w:type="spellEnd"/>
      <w:r w:rsidRPr="004878B9">
        <w:rPr>
          <w:rFonts w:ascii="Arial" w:hAnsi="Arial" w:cs="Arial"/>
          <w:sz w:val="24"/>
          <w:szCs w:val="24"/>
        </w:rPr>
        <w:t xml:space="preserve">, Philip, and Kjell G. </w:t>
      </w:r>
      <w:proofErr w:type="spellStart"/>
      <w:r w:rsidRPr="004878B9">
        <w:rPr>
          <w:rFonts w:ascii="Arial" w:hAnsi="Arial" w:cs="Arial"/>
          <w:sz w:val="24"/>
          <w:szCs w:val="24"/>
        </w:rPr>
        <w:t>Salvanes</w:t>
      </w:r>
      <w:proofErr w:type="spellEnd"/>
      <w:r w:rsidRPr="004878B9">
        <w:rPr>
          <w:rFonts w:ascii="Arial" w:hAnsi="Arial" w:cs="Arial"/>
          <w:sz w:val="24"/>
          <w:szCs w:val="24"/>
        </w:rPr>
        <w:t xml:space="preserve">. 2011. </w:t>
      </w:r>
      <w:r w:rsidRPr="00FD3A2C">
        <w:rPr>
          <w:rFonts w:ascii="Arial" w:hAnsi="Arial" w:cs="Arial"/>
          <w:i/>
          <w:iCs/>
          <w:sz w:val="24"/>
          <w:szCs w:val="24"/>
        </w:rPr>
        <w:t>“Priceless: The Nonpecuniary Benefits of Schooling.” Journal of Economic Perspectives</w:t>
      </w:r>
      <w:r w:rsidRPr="004878B9">
        <w:rPr>
          <w:rFonts w:ascii="Arial" w:hAnsi="Arial" w:cs="Arial"/>
          <w:sz w:val="24"/>
          <w:szCs w:val="24"/>
        </w:rPr>
        <w:t xml:space="preserve"> 25 (1): 159–84.</w:t>
      </w:r>
    </w:p>
  </w:footnote>
  <w:footnote w:id="18">
    <w:p w14:paraId="636E1428" w14:textId="10ACFE2D" w:rsidR="00501466" w:rsidRPr="000B4474" w:rsidRDefault="00501466">
      <w:pPr>
        <w:pStyle w:val="FootnoteText"/>
        <w:rPr>
          <w:rFonts w:ascii="Arial" w:hAnsi="Arial" w:cs="Arial"/>
          <w:sz w:val="24"/>
          <w:szCs w:val="24"/>
        </w:rPr>
      </w:pPr>
      <w:r w:rsidRPr="000B4474">
        <w:rPr>
          <w:rStyle w:val="FootnoteReference"/>
          <w:rFonts w:ascii="Arial" w:hAnsi="Arial" w:cs="Arial"/>
          <w:sz w:val="24"/>
          <w:szCs w:val="24"/>
        </w:rPr>
        <w:footnoteRef/>
      </w:r>
      <w:r w:rsidRPr="000B4474">
        <w:rPr>
          <w:rFonts w:ascii="Arial" w:hAnsi="Arial" w:cs="Arial"/>
          <w:sz w:val="24"/>
          <w:szCs w:val="24"/>
        </w:rPr>
        <w:t xml:space="preserve"> </w:t>
      </w:r>
      <w:r w:rsidR="000B4474">
        <w:rPr>
          <w:rFonts w:ascii="Arial" w:hAnsi="Arial" w:cs="Arial"/>
          <w:sz w:val="24"/>
          <w:szCs w:val="24"/>
        </w:rPr>
        <w:t xml:space="preserve">See </w:t>
      </w:r>
      <w:r w:rsidR="000B4474" w:rsidRPr="000B4474">
        <w:rPr>
          <w:rFonts w:ascii="Arial" w:hAnsi="Arial" w:cs="Arial"/>
          <w:sz w:val="24"/>
          <w:szCs w:val="24"/>
        </w:rPr>
        <w:t>Appendix F: 2021–22 A</w:t>
      </w:r>
      <w:r w:rsidR="0088330C">
        <w:rPr>
          <w:rFonts w:ascii="Arial" w:hAnsi="Arial" w:cs="Arial"/>
          <w:sz w:val="24"/>
          <w:szCs w:val="24"/>
        </w:rPr>
        <w:t xml:space="preserve">cademic </w:t>
      </w:r>
      <w:r w:rsidR="000B4474" w:rsidRPr="000B4474">
        <w:rPr>
          <w:rFonts w:ascii="Arial" w:hAnsi="Arial" w:cs="Arial"/>
          <w:sz w:val="24"/>
          <w:szCs w:val="24"/>
        </w:rPr>
        <w:t>Y</w:t>
      </w:r>
      <w:r w:rsidR="0088330C">
        <w:rPr>
          <w:rFonts w:ascii="Arial" w:hAnsi="Arial" w:cs="Arial"/>
          <w:sz w:val="24"/>
          <w:szCs w:val="24"/>
        </w:rPr>
        <w:t>ear</w:t>
      </w:r>
      <w:r w:rsidR="000B4474" w:rsidRPr="000B4474">
        <w:rPr>
          <w:rFonts w:ascii="Arial" w:hAnsi="Arial" w:cs="Arial"/>
          <w:sz w:val="24"/>
          <w:szCs w:val="24"/>
        </w:rPr>
        <w:t xml:space="preserve"> Non–C</w:t>
      </w:r>
      <w:r w:rsidR="0088330C">
        <w:rPr>
          <w:rFonts w:ascii="Arial" w:hAnsi="Arial" w:cs="Arial"/>
          <w:sz w:val="24"/>
          <w:szCs w:val="24"/>
        </w:rPr>
        <w:t xml:space="preserve">areer </w:t>
      </w:r>
      <w:r w:rsidR="000B4474" w:rsidRPr="000B4474">
        <w:rPr>
          <w:rFonts w:ascii="Arial" w:hAnsi="Arial" w:cs="Arial"/>
          <w:sz w:val="24"/>
          <w:szCs w:val="24"/>
        </w:rPr>
        <w:t>T</w:t>
      </w:r>
      <w:r w:rsidR="0088330C">
        <w:rPr>
          <w:rFonts w:ascii="Arial" w:hAnsi="Arial" w:cs="Arial"/>
          <w:sz w:val="24"/>
          <w:szCs w:val="24"/>
        </w:rPr>
        <w:t xml:space="preserve">echnical </w:t>
      </w:r>
      <w:r w:rsidR="000B4474" w:rsidRPr="000B4474">
        <w:rPr>
          <w:rFonts w:ascii="Arial" w:hAnsi="Arial" w:cs="Arial"/>
          <w:sz w:val="24"/>
          <w:szCs w:val="24"/>
        </w:rPr>
        <w:t>E</w:t>
      </w:r>
      <w:r w:rsidR="0088330C">
        <w:rPr>
          <w:rFonts w:ascii="Arial" w:hAnsi="Arial" w:cs="Arial"/>
          <w:sz w:val="24"/>
          <w:szCs w:val="24"/>
        </w:rPr>
        <w:t xml:space="preserve">ducation </w:t>
      </w:r>
      <w:r w:rsidR="000B4474" w:rsidRPr="000B4474">
        <w:rPr>
          <w:rFonts w:ascii="Arial" w:hAnsi="Arial" w:cs="Arial"/>
          <w:sz w:val="24"/>
          <w:szCs w:val="24"/>
        </w:rPr>
        <w:t>I</w:t>
      </w:r>
      <w:r w:rsidR="0088330C">
        <w:rPr>
          <w:rFonts w:ascii="Arial" w:hAnsi="Arial" w:cs="Arial"/>
          <w:sz w:val="24"/>
          <w:szCs w:val="24"/>
        </w:rPr>
        <w:t xml:space="preserve">ncentive </w:t>
      </w:r>
      <w:r w:rsidR="000B4474" w:rsidRPr="000B4474">
        <w:rPr>
          <w:rFonts w:ascii="Arial" w:hAnsi="Arial" w:cs="Arial"/>
          <w:sz w:val="24"/>
          <w:szCs w:val="24"/>
        </w:rPr>
        <w:t>G</w:t>
      </w:r>
      <w:r w:rsidR="0088330C">
        <w:rPr>
          <w:rFonts w:ascii="Arial" w:hAnsi="Arial" w:cs="Arial"/>
          <w:sz w:val="24"/>
          <w:szCs w:val="24"/>
        </w:rPr>
        <w:t>rant</w:t>
      </w:r>
      <w:r w:rsidR="000B4474" w:rsidRPr="000B4474">
        <w:rPr>
          <w:rFonts w:ascii="Arial" w:hAnsi="Arial" w:cs="Arial"/>
          <w:sz w:val="24"/>
          <w:szCs w:val="24"/>
        </w:rPr>
        <w:t xml:space="preserve"> Graduation Rates by Race</w:t>
      </w:r>
    </w:p>
  </w:footnote>
  <w:footnote w:id="19">
    <w:p w14:paraId="0EDB0FAA" w14:textId="7CCB04AF" w:rsidR="000B4474" w:rsidRPr="000B4474" w:rsidRDefault="000B4474" w:rsidP="000B4474">
      <w:pPr>
        <w:rPr>
          <w:rFonts w:cs="Arial"/>
        </w:rPr>
      </w:pPr>
      <w:r w:rsidRPr="000B4474">
        <w:rPr>
          <w:rStyle w:val="FootnoteReference"/>
          <w:rFonts w:cs="Arial"/>
        </w:rPr>
        <w:footnoteRef/>
      </w:r>
      <w:r w:rsidRPr="000B4474">
        <w:rPr>
          <w:rFonts w:cs="Arial"/>
        </w:rPr>
        <w:t xml:space="preserve"> See Appendix D: 2021–22 A</w:t>
      </w:r>
      <w:r w:rsidR="0088330C">
        <w:rPr>
          <w:rFonts w:cs="Arial"/>
        </w:rPr>
        <w:t xml:space="preserve">cademic </w:t>
      </w:r>
      <w:r w:rsidRPr="000B4474">
        <w:rPr>
          <w:rFonts w:cs="Arial"/>
        </w:rPr>
        <w:t>Y</w:t>
      </w:r>
      <w:r w:rsidR="0088330C">
        <w:rPr>
          <w:rFonts w:cs="Arial"/>
        </w:rPr>
        <w:t>ear</w:t>
      </w:r>
      <w:r w:rsidRPr="000B4474">
        <w:rPr>
          <w:rFonts w:cs="Arial"/>
        </w:rPr>
        <w:t xml:space="preserve"> Cohort Graduation Rates by Race</w:t>
      </w:r>
    </w:p>
  </w:footnote>
  <w:footnote w:id="20">
    <w:p w14:paraId="2940FB64" w14:textId="7165818A" w:rsidR="0046632D" w:rsidRPr="00E97F35" w:rsidRDefault="0046632D" w:rsidP="0046632D">
      <w:pPr>
        <w:rPr>
          <w:rFonts w:cs="Arial"/>
        </w:rPr>
      </w:pPr>
      <w:r>
        <w:rPr>
          <w:rStyle w:val="FootnoteReference"/>
        </w:rPr>
        <w:footnoteRef/>
      </w:r>
      <w:r>
        <w:t xml:space="preserve"> </w:t>
      </w:r>
      <w:r w:rsidRPr="005E7FE5">
        <w:rPr>
          <w:rFonts w:cs="Arial"/>
        </w:rPr>
        <w:t>See Appendix</w:t>
      </w:r>
      <w:r w:rsidRPr="00E97F35">
        <w:rPr>
          <w:rFonts w:cs="Arial"/>
        </w:rPr>
        <w:t xml:space="preserve"> E: 2021–22 A</w:t>
      </w:r>
      <w:r w:rsidR="0088330C">
        <w:rPr>
          <w:rFonts w:cs="Arial"/>
        </w:rPr>
        <w:t xml:space="preserve">cademic </w:t>
      </w:r>
      <w:r w:rsidRPr="00E97F35">
        <w:rPr>
          <w:rFonts w:cs="Arial"/>
        </w:rPr>
        <w:t>Y</w:t>
      </w:r>
      <w:r w:rsidR="0088330C">
        <w:rPr>
          <w:rFonts w:cs="Arial"/>
        </w:rPr>
        <w:t>ear</w:t>
      </w:r>
      <w:r w:rsidRPr="00E97F35">
        <w:rPr>
          <w:rFonts w:cs="Arial"/>
        </w:rPr>
        <w:t xml:space="preserve"> C</w:t>
      </w:r>
      <w:r w:rsidR="0088330C">
        <w:rPr>
          <w:rFonts w:cs="Arial"/>
        </w:rPr>
        <w:t xml:space="preserve">areer </w:t>
      </w:r>
      <w:r w:rsidRPr="00E97F35">
        <w:rPr>
          <w:rFonts w:cs="Arial"/>
        </w:rPr>
        <w:t>T</w:t>
      </w:r>
      <w:r w:rsidR="0088330C">
        <w:rPr>
          <w:rFonts w:cs="Arial"/>
        </w:rPr>
        <w:t xml:space="preserve">echnical </w:t>
      </w:r>
      <w:r w:rsidRPr="00E97F35">
        <w:rPr>
          <w:rFonts w:cs="Arial"/>
        </w:rPr>
        <w:t>E</w:t>
      </w:r>
      <w:r w:rsidR="0088330C">
        <w:rPr>
          <w:rFonts w:cs="Arial"/>
        </w:rPr>
        <w:t xml:space="preserve">ducation </w:t>
      </w:r>
      <w:r w:rsidRPr="00E97F35">
        <w:rPr>
          <w:rFonts w:cs="Arial"/>
        </w:rPr>
        <w:t>I</w:t>
      </w:r>
      <w:r w:rsidR="0088330C">
        <w:rPr>
          <w:rFonts w:cs="Arial"/>
        </w:rPr>
        <w:t xml:space="preserve">ncentive </w:t>
      </w:r>
      <w:r w:rsidRPr="00E97F35">
        <w:rPr>
          <w:rFonts w:cs="Arial"/>
        </w:rPr>
        <w:t>G</w:t>
      </w:r>
      <w:r w:rsidR="0088330C">
        <w:rPr>
          <w:rFonts w:cs="Arial"/>
        </w:rPr>
        <w:t>rant</w:t>
      </w:r>
      <w:r w:rsidRPr="00E97F35">
        <w:rPr>
          <w:rFonts w:cs="Arial"/>
        </w:rPr>
        <w:t xml:space="preserve"> Graduation Rates by Race</w:t>
      </w:r>
    </w:p>
    <w:p w14:paraId="3CF90671" w14:textId="77777777" w:rsidR="0046632D" w:rsidRDefault="0046632D" w:rsidP="0046632D">
      <w:pPr>
        <w:pStyle w:val="FootnoteText"/>
      </w:pPr>
    </w:p>
  </w:footnote>
  <w:footnote w:id="21">
    <w:p w14:paraId="2C61458D" w14:textId="51594A02" w:rsidR="00DD19F8" w:rsidRPr="00DD19F8" w:rsidRDefault="00DD19F8">
      <w:pPr>
        <w:pStyle w:val="FootnoteText"/>
        <w:rPr>
          <w:rFonts w:ascii="Arial" w:hAnsi="Arial" w:cs="Arial"/>
          <w:sz w:val="24"/>
          <w:szCs w:val="24"/>
        </w:rPr>
      </w:pPr>
      <w:r w:rsidRPr="00DD19F8">
        <w:rPr>
          <w:rStyle w:val="FootnoteReference"/>
          <w:rFonts w:ascii="Arial" w:hAnsi="Arial" w:cs="Arial"/>
          <w:sz w:val="24"/>
          <w:szCs w:val="24"/>
        </w:rPr>
        <w:footnoteRef/>
      </w:r>
      <w:r w:rsidRPr="00DD19F8">
        <w:rPr>
          <w:rFonts w:ascii="Arial" w:hAnsi="Arial" w:cs="Arial"/>
          <w:sz w:val="24"/>
          <w:szCs w:val="24"/>
        </w:rPr>
        <w:t xml:space="preserve"> </w:t>
      </w:r>
      <w:hyperlink r:id="rId2" w:tooltip="California College Guidance Initiative" w:history="1">
        <w:r w:rsidRPr="00DD19F8">
          <w:rPr>
            <w:rStyle w:val="Hyperlink"/>
            <w:rFonts w:ascii="Arial" w:hAnsi="Arial" w:cs="Arial"/>
            <w:sz w:val="24"/>
            <w:szCs w:val="24"/>
          </w:rPr>
          <w:t>https://www.cacollegeguidance.org/</w:t>
        </w:r>
      </w:hyperlink>
      <w:r w:rsidRPr="00DD19F8">
        <w:rPr>
          <w:rFonts w:ascii="Arial" w:hAnsi="Arial" w:cs="Arial"/>
          <w:sz w:val="24"/>
          <w:szCs w:val="24"/>
        </w:rPr>
        <w:t xml:space="preserve"> </w:t>
      </w:r>
    </w:p>
  </w:footnote>
  <w:footnote w:id="22">
    <w:p w14:paraId="78C088AB" w14:textId="0961FA5E" w:rsidR="00385C40" w:rsidRPr="00613F34" w:rsidRDefault="00385C40" w:rsidP="00385C40">
      <w:pPr>
        <w:pStyle w:val="FootnoteText"/>
        <w:rPr>
          <w:rFonts w:ascii="Arial" w:hAnsi="Arial" w:cs="Arial"/>
          <w:sz w:val="24"/>
          <w:szCs w:val="24"/>
        </w:rPr>
      </w:pPr>
      <w:r w:rsidRPr="00613F34">
        <w:rPr>
          <w:rStyle w:val="FootnoteReference"/>
          <w:rFonts w:ascii="Arial" w:hAnsi="Arial" w:cs="Arial"/>
          <w:sz w:val="24"/>
          <w:szCs w:val="24"/>
        </w:rPr>
        <w:footnoteRef/>
      </w:r>
      <w:r w:rsidRPr="00613F34">
        <w:rPr>
          <w:rFonts w:ascii="Arial" w:hAnsi="Arial" w:cs="Arial"/>
          <w:sz w:val="24"/>
          <w:szCs w:val="24"/>
        </w:rPr>
        <w:t xml:space="preserve"> </w:t>
      </w:r>
      <w:hyperlink r:id="rId3" w:tooltip="The National Test Pilot School" w:history="1">
        <w:r w:rsidRPr="00613F34">
          <w:rPr>
            <w:rStyle w:val="Hyperlink"/>
            <w:rFonts w:ascii="Arial" w:hAnsi="Arial" w:cs="Arial"/>
            <w:sz w:val="24"/>
            <w:szCs w:val="24"/>
          </w:rPr>
          <w:t>https://www.ntps.edu/</w:t>
        </w:r>
      </w:hyperlink>
      <w:r w:rsidRPr="00613F34">
        <w:rPr>
          <w:rFonts w:ascii="Arial" w:hAnsi="Arial" w:cs="Arial"/>
          <w:sz w:val="24"/>
          <w:szCs w:val="24"/>
        </w:rPr>
        <w:t xml:space="preserve"> </w:t>
      </w:r>
    </w:p>
  </w:footnote>
  <w:footnote w:id="23">
    <w:p w14:paraId="7F298145" w14:textId="0FC430F3" w:rsidR="00225350" w:rsidRPr="00D14A50" w:rsidRDefault="00225350">
      <w:pPr>
        <w:pStyle w:val="FootnoteText"/>
        <w:rPr>
          <w:rFonts w:ascii="Arial" w:hAnsi="Arial" w:cs="Arial"/>
          <w:sz w:val="24"/>
          <w:szCs w:val="24"/>
        </w:rPr>
      </w:pPr>
      <w:r w:rsidRPr="00D14A50">
        <w:rPr>
          <w:rStyle w:val="FootnoteReference"/>
          <w:rFonts w:ascii="Arial" w:hAnsi="Arial" w:cs="Arial"/>
          <w:sz w:val="24"/>
          <w:szCs w:val="24"/>
        </w:rPr>
        <w:footnoteRef/>
      </w:r>
      <w:r w:rsidRPr="00D14A50">
        <w:rPr>
          <w:rFonts w:ascii="Arial" w:hAnsi="Arial" w:cs="Arial"/>
          <w:sz w:val="24"/>
          <w:szCs w:val="24"/>
        </w:rPr>
        <w:t xml:space="preserve"> </w:t>
      </w:r>
      <w:r w:rsidR="00D14A50" w:rsidRPr="00D14A50">
        <w:rPr>
          <w:rFonts w:ascii="Arial" w:hAnsi="Arial" w:cs="Arial"/>
          <w:sz w:val="24"/>
          <w:szCs w:val="24"/>
        </w:rPr>
        <w:t>Calculated using the number of pupils completing college coursework as defined in the CCI associated with the California School Dashboard.</w:t>
      </w:r>
    </w:p>
  </w:footnote>
  <w:footnote w:id="24">
    <w:p w14:paraId="1289DCA9" w14:textId="6E0B4C7A" w:rsidR="00C41A9F" w:rsidRPr="00461027" w:rsidRDefault="00C41A9F" w:rsidP="00C41A9F">
      <w:pPr>
        <w:pStyle w:val="FootnoteText"/>
        <w:rPr>
          <w:rFonts w:ascii="Arial" w:hAnsi="Arial" w:cs="Arial"/>
          <w:sz w:val="24"/>
          <w:szCs w:val="24"/>
        </w:rPr>
      </w:pPr>
      <w:r w:rsidRPr="00461027">
        <w:rPr>
          <w:rStyle w:val="FootnoteReference"/>
          <w:rFonts w:ascii="Arial" w:hAnsi="Arial" w:cs="Arial"/>
          <w:sz w:val="24"/>
          <w:szCs w:val="24"/>
        </w:rPr>
        <w:footnoteRef/>
      </w:r>
      <w:r w:rsidRPr="00461027">
        <w:rPr>
          <w:rFonts w:ascii="Arial" w:hAnsi="Arial" w:cs="Arial"/>
          <w:sz w:val="24"/>
          <w:szCs w:val="24"/>
        </w:rPr>
        <w:t xml:space="preserve"> These include the CDE, Employment Development Department, California Community College Chancellor’s Office, and the California Department of Labor, amongst others.</w:t>
      </w:r>
    </w:p>
  </w:footnote>
  <w:footnote w:id="25">
    <w:p w14:paraId="165F2E82" w14:textId="708A8740" w:rsidR="007009DC" w:rsidRPr="004E35DA" w:rsidRDefault="007009DC">
      <w:pPr>
        <w:pStyle w:val="FootnoteText"/>
        <w:rPr>
          <w:rFonts w:ascii="Arial" w:hAnsi="Arial" w:cs="Arial"/>
          <w:sz w:val="24"/>
          <w:szCs w:val="24"/>
        </w:rPr>
      </w:pPr>
      <w:r w:rsidRPr="004E35DA">
        <w:rPr>
          <w:rStyle w:val="FootnoteReference"/>
          <w:rFonts w:ascii="Arial" w:hAnsi="Arial" w:cs="Arial"/>
          <w:sz w:val="24"/>
          <w:szCs w:val="24"/>
        </w:rPr>
        <w:footnoteRef/>
      </w:r>
      <w:r w:rsidRPr="004E35DA">
        <w:rPr>
          <w:rFonts w:ascii="Arial" w:hAnsi="Arial" w:cs="Arial"/>
          <w:sz w:val="24"/>
          <w:szCs w:val="24"/>
        </w:rPr>
        <w:t xml:space="preserve"> </w:t>
      </w:r>
      <w:r w:rsidRPr="004E35DA">
        <w:rPr>
          <w:rFonts w:ascii="Arial" w:hAnsi="Arial" w:cs="Arial"/>
          <w:sz w:val="24"/>
          <w:szCs w:val="24"/>
          <w:shd w:val="clear" w:color="auto" w:fill="FFFFFF"/>
        </w:rPr>
        <w:t>Adelman, C. (2006). </w:t>
      </w:r>
      <w:r w:rsidRPr="004E35DA">
        <w:rPr>
          <w:rStyle w:val="Emphasis"/>
          <w:rFonts w:ascii="Arial" w:hAnsi="Arial" w:cs="Arial"/>
          <w:sz w:val="24"/>
          <w:szCs w:val="24"/>
          <w:shd w:val="clear" w:color="auto" w:fill="FFFFFF"/>
        </w:rPr>
        <w:t>The Toolbox Revisited: Paths to Degree Completion from High School through College.</w:t>
      </w:r>
      <w:r w:rsidRPr="004E35DA">
        <w:rPr>
          <w:rFonts w:ascii="Arial" w:hAnsi="Arial" w:cs="Arial"/>
          <w:sz w:val="24"/>
          <w:szCs w:val="24"/>
          <w:shd w:val="clear" w:color="auto" w:fill="FFFFFF"/>
        </w:rPr>
        <w:t> Washington, DC: U.S. Department of Education.</w:t>
      </w:r>
    </w:p>
  </w:footnote>
  <w:footnote w:id="26">
    <w:p w14:paraId="005D37CC" w14:textId="455012F4" w:rsidR="006D2350" w:rsidRPr="004E35DA" w:rsidRDefault="006D2350" w:rsidP="004E35DA">
      <w:pPr>
        <w:rPr>
          <w:rFonts w:cs="Arial"/>
        </w:rPr>
      </w:pPr>
      <w:r w:rsidRPr="004E35DA">
        <w:rPr>
          <w:rStyle w:val="FootnoteReference"/>
          <w:rFonts w:cs="Arial"/>
        </w:rPr>
        <w:footnoteRef/>
      </w:r>
      <w:r w:rsidRPr="004E35DA">
        <w:rPr>
          <w:rFonts w:cs="Arial"/>
        </w:rPr>
        <w:t xml:space="preserve"> Appendix A: 2021–22 A</w:t>
      </w:r>
      <w:r w:rsidR="0088330C">
        <w:rPr>
          <w:rFonts w:cs="Arial"/>
        </w:rPr>
        <w:t xml:space="preserve">cademic </w:t>
      </w:r>
      <w:r w:rsidRPr="004E35DA">
        <w:rPr>
          <w:rFonts w:cs="Arial"/>
        </w:rPr>
        <w:t>Y</w:t>
      </w:r>
      <w:r w:rsidR="0088330C">
        <w:rPr>
          <w:rFonts w:cs="Arial"/>
        </w:rPr>
        <w:t>ear</w:t>
      </w:r>
      <w:r w:rsidRPr="004E35DA">
        <w:rPr>
          <w:rFonts w:cs="Arial"/>
        </w:rPr>
        <w:t xml:space="preserve"> Cohort Attendance Rates by Race</w:t>
      </w:r>
    </w:p>
  </w:footnote>
  <w:footnote w:id="27">
    <w:p w14:paraId="104830C3" w14:textId="7A27A4E1" w:rsidR="004E35DA" w:rsidRPr="004E35DA" w:rsidRDefault="004E35DA">
      <w:pPr>
        <w:pStyle w:val="FootnoteText"/>
        <w:rPr>
          <w:rFonts w:ascii="Arial" w:hAnsi="Arial" w:cs="Arial"/>
          <w:sz w:val="24"/>
          <w:szCs w:val="24"/>
        </w:rPr>
      </w:pPr>
      <w:r w:rsidRPr="004E35DA">
        <w:rPr>
          <w:rStyle w:val="FootnoteReference"/>
          <w:rFonts w:ascii="Arial" w:hAnsi="Arial" w:cs="Arial"/>
          <w:sz w:val="24"/>
          <w:szCs w:val="24"/>
        </w:rPr>
        <w:footnoteRef/>
      </w:r>
      <w:r w:rsidRPr="004E35DA">
        <w:rPr>
          <w:rFonts w:ascii="Arial" w:hAnsi="Arial" w:cs="Arial"/>
          <w:sz w:val="24"/>
          <w:szCs w:val="24"/>
        </w:rPr>
        <w:t xml:space="preserve"> </w:t>
      </w:r>
      <w:r>
        <w:rPr>
          <w:rFonts w:ascii="Arial" w:hAnsi="Arial" w:cs="Arial"/>
          <w:sz w:val="24"/>
          <w:szCs w:val="24"/>
        </w:rPr>
        <w:t xml:space="preserve">Appendix C: </w:t>
      </w:r>
      <w:r w:rsidRPr="004E35DA">
        <w:rPr>
          <w:rFonts w:ascii="Arial" w:hAnsi="Arial" w:cs="Arial"/>
          <w:sz w:val="24"/>
          <w:szCs w:val="24"/>
        </w:rPr>
        <w:t>2021–22 A</w:t>
      </w:r>
      <w:r w:rsidR="0088330C">
        <w:rPr>
          <w:rFonts w:ascii="Arial" w:hAnsi="Arial" w:cs="Arial"/>
          <w:sz w:val="24"/>
          <w:szCs w:val="24"/>
        </w:rPr>
        <w:t xml:space="preserve">cademic </w:t>
      </w:r>
      <w:r w:rsidRPr="004E35DA">
        <w:rPr>
          <w:rFonts w:ascii="Arial" w:hAnsi="Arial" w:cs="Arial"/>
          <w:sz w:val="24"/>
          <w:szCs w:val="24"/>
        </w:rPr>
        <w:t>Y</w:t>
      </w:r>
      <w:r w:rsidR="0088330C">
        <w:rPr>
          <w:rFonts w:ascii="Arial" w:hAnsi="Arial" w:cs="Arial"/>
          <w:sz w:val="24"/>
          <w:szCs w:val="24"/>
        </w:rPr>
        <w:t>ear</w:t>
      </w:r>
      <w:r w:rsidRPr="004E35DA">
        <w:rPr>
          <w:rFonts w:ascii="Arial" w:hAnsi="Arial" w:cs="Arial"/>
          <w:sz w:val="24"/>
          <w:szCs w:val="24"/>
        </w:rPr>
        <w:t xml:space="preserve"> Non-C</w:t>
      </w:r>
      <w:r w:rsidR="0088330C">
        <w:rPr>
          <w:rFonts w:ascii="Arial" w:hAnsi="Arial" w:cs="Arial"/>
          <w:sz w:val="24"/>
          <w:szCs w:val="24"/>
        </w:rPr>
        <w:t xml:space="preserve">areer </w:t>
      </w:r>
      <w:r w:rsidRPr="004E35DA">
        <w:rPr>
          <w:rFonts w:ascii="Arial" w:hAnsi="Arial" w:cs="Arial"/>
          <w:sz w:val="24"/>
          <w:szCs w:val="24"/>
        </w:rPr>
        <w:t>T</w:t>
      </w:r>
      <w:r w:rsidR="0088330C">
        <w:rPr>
          <w:rFonts w:ascii="Arial" w:hAnsi="Arial" w:cs="Arial"/>
          <w:sz w:val="24"/>
          <w:szCs w:val="24"/>
        </w:rPr>
        <w:t xml:space="preserve">echnical </w:t>
      </w:r>
      <w:r w:rsidRPr="004E35DA">
        <w:rPr>
          <w:rFonts w:ascii="Arial" w:hAnsi="Arial" w:cs="Arial"/>
          <w:sz w:val="24"/>
          <w:szCs w:val="24"/>
        </w:rPr>
        <w:t>E</w:t>
      </w:r>
      <w:r w:rsidR="0088330C">
        <w:rPr>
          <w:rFonts w:ascii="Arial" w:hAnsi="Arial" w:cs="Arial"/>
          <w:sz w:val="24"/>
          <w:szCs w:val="24"/>
        </w:rPr>
        <w:t xml:space="preserve">ducation </w:t>
      </w:r>
      <w:r w:rsidRPr="004E35DA">
        <w:rPr>
          <w:rFonts w:ascii="Arial" w:hAnsi="Arial" w:cs="Arial"/>
          <w:sz w:val="24"/>
          <w:szCs w:val="24"/>
        </w:rPr>
        <w:t>I</w:t>
      </w:r>
      <w:r w:rsidR="0088330C">
        <w:rPr>
          <w:rFonts w:ascii="Arial" w:hAnsi="Arial" w:cs="Arial"/>
          <w:sz w:val="24"/>
          <w:szCs w:val="24"/>
        </w:rPr>
        <w:t xml:space="preserve">ncentive </w:t>
      </w:r>
      <w:r w:rsidRPr="004E35DA">
        <w:rPr>
          <w:rFonts w:ascii="Arial" w:hAnsi="Arial" w:cs="Arial"/>
          <w:sz w:val="24"/>
          <w:szCs w:val="24"/>
        </w:rPr>
        <w:t>G</w:t>
      </w:r>
      <w:r w:rsidR="0088330C">
        <w:rPr>
          <w:rFonts w:ascii="Arial" w:hAnsi="Arial" w:cs="Arial"/>
          <w:sz w:val="24"/>
          <w:szCs w:val="24"/>
        </w:rPr>
        <w:t>rant</w:t>
      </w:r>
      <w:r w:rsidRPr="004E35DA">
        <w:rPr>
          <w:rFonts w:ascii="Arial" w:hAnsi="Arial" w:cs="Arial"/>
          <w:sz w:val="24"/>
          <w:szCs w:val="24"/>
        </w:rPr>
        <w:t xml:space="preserve"> Attendance Rates by Race </w:t>
      </w:r>
    </w:p>
  </w:footnote>
  <w:footnote w:id="28">
    <w:p w14:paraId="6F526001" w14:textId="6A0EA8CE" w:rsidR="004E35DA" w:rsidRDefault="004E35DA">
      <w:pPr>
        <w:pStyle w:val="FootnoteText"/>
      </w:pPr>
      <w:r w:rsidRPr="004E35DA">
        <w:rPr>
          <w:rStyle w:val="FootnoteReference"/>
          <w:rFonts w:ascii="Arial" w:hAnsi="Arial" w:cs="Arial"/>
          <w:sz w:val="24"/>
          <w:szCs w:val="24"/>
        </w:rPr>
        <w:footnoteRef/>
      </w:r>
      <w:r>
        <w:t xml:space="preserve"> </w:t>
      </w:r>
      <w:r w:rsidRPr="004E35DA">
        <w:rPr>
          <w:rFonts w:ascii="Arial" w:hAnsi="Arial" w:cs="Arial"/>
          <w:sz w:val="24"/>
          <w:szCs w:val="24"/>
        </w:rPr>
        <w:t>Appendix B: 2021–22 A</w:t>
      </w:r>
      <w:r w:rsidR="0088330C">
        <w:rPr>
          <w:rFonts w:ascii="Arial" w:hAnsi="Arial" w:cs="Arial"/>
          <w:sz w:val="24"/>
          <w:szCs w:val="24"/>
        </w:rPr>
        <w:t xml:space="preserve">cademic </w:t>
      </w:r>
      <w:r w:rsidRPr="004E35DA">
        <w:rPr>
          <w:rFonts w:ascii="Arial" w:hAnsi="Arial" w:cs="Arial"/>
          <w:sz w:val="24"/>
          <w:szCs w:val="24"/>
        </w:rPr>
        <w:t>Y</w:t>
      </w:r>
      <w:r w:rsidR="0088330C">
        <w:rPr>
          <w:rFonts w:ascii="Arial" w:hAnsi="Arial" w:cs="Arial"/>
          <w:sz w:val="24"/>
          <w:szCs w:val="24"/>
        </w:rPr>
        <w:t>ear</w:t>
      </w:r>
      <w:r w:rsidRPr="004E35DA">
        <w:rPr>
          <w:rFonts w:ascii="Arial" w:hAnsi="Arial" w:cs="Arial"/>
          <w:sz w:val="24"/>
          <w:szCs w:val="24"/>
        </w:rPr>
        <w:t xml:space="preserve"> C</w:t>
      </w:r>
      <w:r w:rsidR="0088330C">
        <w:rPr>
          <w:rFonts w:ascii="Arial" w:hAnsi="Arial" w:cs="Arial"/>
          <w:sz w:val="24"/>
          <w:szCs w:val="24"/>
        </w:rPr>
        <w:t xml:space="preserve">areer </w:t>
      </w:r>
      <w:r w:rsidRPr="004E35DA">
        <w:rPr>
          <w:rFonts w:ascii="Arial" w:hAnsi="Arial" w:cs="Arial"/>
          <w:sz w:val="24"/>
          <w:szCs w:val="24"/>
        </w:rPr>
        <w:t>T</w:t>
      </w:r>
      <w:r w:rsidR="0088330C">
        <w:rPr>
          <w:rFonts w:ascii="Arial" w:hAnsi="Arial" w:cs="Arial"/>
          <w:sz w:val="24"/>
          <w:szCs w:val="24"/>
        </w:rPr>
        <w:t xml:space="preserve">echnical </w:t>
      </w:r>
      <w:r w:rsidRPr="004E35DA">
        <w:rPr>
          <w:rFonts w:ascii="Arial" w:hAnsi="Arial" w:cs="Arial"/>
          <w:sz w:val="24"/>
          <w:szCs w:val="24"/>
        </w:rPr>
        <w:t>E</w:t>
      </w:r>
      <w:r w:rsidR="0088330C">
        <w:rPr>
          <w:rFonts w:ascii="Arial" w:hAnsi="Arial" w:cs="Arial"/>
          <w:sz w:val="24"/>
          <w:szCs w:val="24"/>
        </w:rPr>
        <w:t xml:space="preserve">ducation </w:t>
      </w:r>
      <w:r w:rsidRPr="004E35DA">
        <w:rPr>
          <w:rFonts w:ascii="Arial" w:hAnsi="Arial" w:cs="Arial"/>
          <w:sz w:val="24"/>
          <w:szCs w:val="24"/>
        </w:rPr>
        <w:t>I</w:t>
      </w:r>
      <w:r w:rsidR="0088330C">
        <w:rPr>
          <w:rFonts w:ascii="Arial" w:hAnsi="Arial" w:cs="Arial"/>
          <w:sz w:val="24"/>
          <w:szCs w:val="24"/>
        </w:rPr>
        <w:t xml:space="preserve">ncentive </w:t>
      </w:r>
      <w:r w:rsidRPr="004E35DA">
        <w:rPr>
          <w:rFonts w:ascii="Arial" w:hAnsi="Arial" w:cs="Arial"/>
          <w:sz w:val="24"/>
          <w:szCs w:val="24"/>
        </w:rPr>
        <w:t>G</w:t>
      </w:r>
      <w:r w:rsidR="0088330C">
        <w:rPr>
          <w:rFonts w:ascii="Arial" w:hAnsi="Arial" w:cs="Arial"/>
          <w:sz w:val="24"/>
          <w:szCs w:val="24"/>
        </w:rPr>
        <w:t>rant</w:t>
      </w:r>
      <w:r w:rsidRPr="004E35DA">
        <w:rPr>
          <w:rFonts w:ascii="Arial" w:hAnsi="Arial" w:cs="Arial"/>
          <w:sz w:val="24"/>
          <w:szCs w:val="24"/>
        </w:rPr>
        <w:t xml:space="preserve"> Attendance Rates by Race</w:t>
      </w:r>
    </w:p>
  </w:footnote>
  <w:footnote w:id="29">
    <w:p w14:paraId="580C40EC" w14:textId="78D938ED" w:rsidR="000F25E3" w:rsidRPr="001942AD" w:rsidRDefault="000F25E3">
      <w:pPr>
        <w:pStyle w:val="FootnoteText"/>
        <w:rPr>
          <w:rFonts w:ascii="Arial" w:hAnsi="Arial" w:cs="Arial"/>
          <w:sz w:val="24"/>
          <w:szCs w:val="24"/>
        </w:rPr>
      </w:pPr>
      <w:r w:rsidRPr="001942AD">
        <w:rPr>
          <w:rStyle w:val="FootnoteReference"/>
          <w:rFonts w:ascii="Arial" w:hAnsi="Arial" w:cs="Arial"/>
          <w:sz w:val="24"/>
          <w:szCs w:val="24"/>
        </w:rPr>
        <w:footnoteRef/>
      </w:r>
      <w:r w:rsidRPr="001942AD">
        <w:rPr>
          <w:rFonts w:ascii="Arial" w:hAnsi="Arial" w:cs="Arial"/>
          <w:sz w:val="24"/>
          <w:szCs w:val="24"/>
        </w:rPr>
        <w:t xml:space="preserve"> </w:t>
      </w:r>
      <w:r w:rsidR="001942AD" w:rsidRPr="00C17541">
        <w:rPr>
          <w:rFonts w:ascii="Arial" w:hAnsi="Arial" w:cs="Arial"/>
          <w:i/>
          <w:iCs/>
          <w:sz w:val="24"/>
          <w:szCs w:val="24"/>
        </w:rPr>
        <w:t>EC</w:t>
      </w:r>
      <w:r w:rsidR="001942AD" w:rsidRPr="001942AD">
        <w:rPr>
          <w:rFonts w:ascii="Arial" w:hAnsi="Arial" w:cs="Arial"/>
          <w:sz w:val="24"/>
          <w:szCs w:val="24"/>
        </w:rPr>
        <w:t xml:space="preserve"> Section 53070(a) </w:t>
      </w:r>
    </w:p>
  </w:footnote>
  <w:footnote w:id="30">
    <w:p w14:paraId="4E1303B6" w14:textId="01686F58" w:rsidR="004D2931" w:rsidRPr="004D2931" w:rsidRDefault="004D2931">
      <w:pPr>
        <w:pStyle w:val="FootnoteText"/>
        <w:rPr>
          <w:rFonts w:ascii="Arial" w:hAnsi="Arial" w:cs="Arial"/>
          <w:sz w:val="24"/>
          <w:szCs w:val="24"/>
        </w:rPr>
      </w:pPr>
      <w:r w:rsidRPr="004D2931">
        <w:rPr>
          <w:rStyle w:val="FootnoteReference"/>
          <w:rFonts w:ascii="Arial" w:hAnsi="Arial" w:cs="Arial"/>
          <w:sz w:val="24"/>
          <w:szCs w:val="24"/>
        </w:rPr>
        <w:footnoteRef/>
      </w:r>
      <w:r w:rsidRPr="004D2931">
        <w:rPr>
          <w:rFonts w:ascii="Arial" w:hAnsi="Arial" w:cs="Arial"/>
          <w:sz w:val="24"/>
          <w:szCs w:val="24"/>
        </w:rPr>
        <w:t xml:space="preserve"> Californ</w:t>
      </w:r>
      <w:r>
        <w:rPr>
          <w:rFonts w:ascii="Arial" w:hAnsi="Arial" w:cs="Arial"/>
          <w:sz w:val="24"/>
          <w:szCs w:val="24"/>
        </w:rPr>
        <w:t>ia Governor Gavin Newsom, Executive Order N-11-23</w:t>
      </w:r>
    </w:p>
  </w:footnote>
  <w:footnote w:id="31">
    <w:p w14:paraId="64BA67E0" w14:textId="2A96C784" w:rsidR="00790E69" w:rsidRPr="00FE037C" w:rsidRDefault="00790E69" w:rsidP="00790E69">
      <w:pPr>
        <w:pStyle w:val="FootnoteText"/>
        <w:rPr>
          <w:rFonts w:ascii="Arial" w:hAnsi="Arial" w:cs="Arial"/>
          <w:sz w:val="24"/>
          <w:szCs w:val="24"/>
        </w:rPr>
      </w:pPr>
      <w:r w:rsidRPr="00FE037C">
        <w:rPr>
          <w:rStyle w:val="FootnoteReference"/>
          <w:rFonts w:ascii="Arial" w:hAnsi="Arial" w:cs="Arial"/>
          <w:sz w:val="24"/>
          <w:szCs w:val="24"/>
        </w:rPr>
        <w:footnoteRef/>
      </w:r>
      <w:r w:rsidRPr="00FE037C">
        <w:rPr>
          <w:rFonts w:ascii="Arial" w:hAnsi="Arial" w:cs="Arial"/>
          <w:sz w:val="24"/>
          <w:szCs w:val="24"/>
        </w:rPr>
        <w:t xml:space="preserve"> </w:t>
      </w:r>
      <w:r w:rsidRPr="00FE037C">
        <w:rPr>
          <w:rFonts w:ascii="Arial" w:hAnsi="Arial" w:cs="Arial"/>
          <w:sz w:val="24"/>
          <w:szCs w:val="24"/>
          <w:shd w:val="clear" w:color="auto" w:fill="FFFFFF"/>
        </w:rPr>
        <w:t>Allensworth, E., and Easton, J.Q. (2005). </w:t>
      </w:r>
      <w:r w:rsidRPr="00FE037C">
        <w:rPr>
          <w:rStyle w:val="Emphasis"/>
          <w:rFonts w:ascii="Arial" w:hAnsi="Arial" w:cs="Arial"/>
          <w:sz w:val="24"/>
          <w:szCs w:val="24"/>
          <w:shd w:val="clear" w:color="auto" w:fill="FFFFFF"/>
        </w:rPr>
        <w:t>The On-Track Indicator as a Predictor of High School Graduation</w:t>
      </w:r>
      <w:r w:rsidRPr="00FE037C">
        <w:rPr>
          <w:rFonts w:ascii="Arial" w:hAnsi="Arial" w:cs="Arial"/>
          <w:sz w:val="24"/>
          <w:szCs w:val="24"/>
          <w:shd w:val="clear" w:color="auto" w:fill="FFFFFF"/>
        </w:rPr>
        <w:t>. Chicago: Consortium on Chicago School Research.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804"/>
    <w:multiLevelType w:val="multilevel"/>
    <w:tmpl w:val="BB3ED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907D8"/>
    <w:multiLevelType w:val="hybridMultilevel"/>
    <w:tmpl w:val="1AD85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80A49"/>
    <w:multiLevelType w:val="hybridMultilevel"/>
    <w:tmpl w:val="6B6CA1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B64A94"/>
    <w:multiLevelType w:val="hybridMultilevel"/>
    <w:tmpl w:val="79123AB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AA2D3E"/>
    <w:multiLevelType w:val="hybridMultilevel"/>
    <w:tmpl w:val="CE645BD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74E1D"/>
    <w:multiLevelType w:val="hybridMultilevel"/>
    <w:tmpl w:val="068EF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367B92"/>
    <w:multiLevelType w:val="hybridMultilevel"/>
    <w:tmpl w:val="BB0A00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2F652A"/>
    <w:multiLevelType w:val="hybridMultilevel"/>
    <w:tmpl w:val="9814AB66"/>
    <w:lvl w:ilvl="0" w:tplc="58FE9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33814"/>
    <w:multiLevelType w:val="hybridMultilevel"/>
    <w:tmpl w:val="25C68B3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8B67EE"/>
    <w:multiLevelType w:val="hybridMultilevel"/>
    <w:tmpl w:val="A30818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9703D1"/>
    <w:multiLevelType w:val="hybridMultilevel"/>
    <w:tmpl w:val="39E0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24381"/>
    <w:multiLevelType w:val="hybridMultilevel"/>
    <w:tmpl w:val="DC5415C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3538A4"/>
    <w:multiLevelType w:val="hybridMultilevel"/>
    <w:tmpl w:val="5708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B548B9"/>
    <w:multiLevelType w:val="multilevel"/>
    <w:tmpl w:val="4DFC1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26EEA"/>
    <w:multiLevelType w:val="hybridMultilevel"/>
    <w:tmpl w:val="DDEEB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06297"/>
    <w:multiLevelType w:val="hybridMultilevel"/>
    <w:tmpl w:val="307A1A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BD6368"/>
    <w:multiLevelType w:val="multilevel"/>
    <w:tmpl w:val="B9407A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794E31"/>
    <w:multiLevelType w:val="hybridMultilevel"/>
    <w:tmpl w:val="C66CB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130A7"/>
    <w:multiLevelType w:val="multilevel"/>
    <w:tmpl w:val="74E4DA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4A5C65"/>
    <w:multiLevelType w:val="hybridMultilevel"/>
    <w:tmpl w:val="BD7A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6099B"/>
    <w:multiLevelType w:val="hybridMultilevel"/>
    <w:tmpl w:val="3A068154"/>
    <w:lvl w:ilvl="0" w:tplc="212E6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550FCC"/>
    <w:multiLevelType w:val="hybridMultilevel"/>
    <w:tmpl w:val="884E9A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6C5174"/>
    <w:multiLevelType w:val="hybridMultilevel"/>
    <w:tmpl w:val="1AA21B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D86BDF"/>
    <w:multiLevelType w:val="hybridMultilevel"/>
    <w:tmpl w:val="509E18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BE1747"/>
    <w:multiLevelType w:val="hybridMultilevel"/>
    <w:tmpl w:val="45B456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B770A9"/>
    <w:multiLevelType w:val="hybridMultilevel"/>
    <w:tmpl w:val="88B62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11FE3"/>
    <w:multiLevelType w:val="hybridMultilevel"/>
    <w:tmpl w:val="02CEF1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E6167E"/>
    <w:multiLevelType w:val="hybridMultilevel"/>
    <w:tmpl w:val="1FA4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30159"/>
    <w:multiLevelType w:val="hybridMultilevel"/>
    <w:tmpl w:val="D77E77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712FF1"/>
    <w:multiLevelType w:val="multilevel"/>
    <w:tmpl w:val="D0E0A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951E7A"/>
    <w:multiLevelType w:val="hybridMultilevel"/>
    <w:tmpl w:val="DD56B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813AB"/>
    <w:multiLevelType w:val="multilevel"/>
    <w:tmpl w:val="79004F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753AD6"/>
    <w:multiLevelType w:val="hybridMultilevel"/>
    <w:tmpl w:val="CDDA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915F9"/>
    <w:multiLevelType w:val="hybridMultilevel"/>
    <w:tmpl w:val="622A83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1F71C3"/>
    <w:multiLevelType w:val="hybridMultilevel"/>
    <w:tmpl w:val="29F89C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364300"/>
    <w:multiLevelType w:val="hybridMultilevel"/>
    <w:tmpl w:val="0F1C24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A2440B"/>
    <w:multiLevelType w:val="hybridMultilevel"/>
    <w:tmpl w:val="2EB8BA2A"/>
    <w:lvl w:ilvl="0" w:tplc="50A4283E">
      <w:start w:val="3"/>
      <w:numFmt w:val="bullet"/>
      <w:lvlText w:val="-"/>
      <w:lvlJc w:val="left"/>
      <w:pPr>
        <w:ind w:left="430" w:hanging="360"/>
      </w:pPr>
      <w:rPr>
        <w:rFonts w:ascii="Arial" w:eastAsia="Times New Roman"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0" w15:restartNumberingAfterBreak="0">
    <w:nsid w:val="798D5CA0"/>
    <w:multiLevelType w:val="hybridMultilevel"/>
    <w:tmpl w:val="48FAEC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AC6825"/>
    <w:multiLevelType w:val="hybridMultilevel"/>
    <w:tmpl w:val="444EED96"/>
    <w:lvl w:ilvl="0" w:tplc="AA02B61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BD57D99"/>
    <w:multiLevelType w:val="hybridMultilevel"/>
    <w:tmpl w:val="442A8F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E57859"/>
    <w:multiLevelType w:val="hybridMultilevel"/>
    <w:tmpl w:val="1CDEF240"/>
    <w:lvl w:ilvl="0" w:tplc="5EC633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034222">
    <w:abstractNumId w:val="16"/>
  </w:num>
  <w:num w:numId="2" w16cid:durableId="437678102">
    <w:abstractNumId w:val="8"/>
  </w:num>
  <w:num w:numId="3" w16cid:durableId="1626690381">
    <w:abstractNumId w:val="17"/>
  </w:num>
  <w:num w:numId="4" w16cid:durableId="1613786453">
    <w:abstractNumId w:val="29"/>
  </w:num>
  <w:num w:numId="5" w16cid:durableId="1537422912">
    <w:abstractNumId w:val="38"/>
  </w:num>
  <w:num w:numId="6" w16cid:durableId="2071145857">
    <w:abstractNumId w:val="24"/>
  </w:num>
  <w:num w:numId="7" w16cid:durableId="1155948022">
    <w:abstractNumId w:val="36"/>
  </w:num>
  <w:num w:numId="8" w16cid:durableId="1912038332">
    <w:abstractNumId w:val="12"/>
  </w:num>
  <w:num w:numId="9" w16cid:durableId="301816467">
    <w:abstractNumId w:val="37"/>
  </w:num>
  <w:num w:numId="10" w16cid:durableId="1785535648">
    <w:abstractNumId w:val="23"/>
  </w:num>
  <w:num w:numId="11" w16cid:durableId="1910922208">
    <w:abstractNumId w:val="14"/>
  </w:num>
  <w:num w:numId="12" w16cid:durableId="751462931">
    <w:abstractNumId w:val="9"/>
  </w:num>
  <w:num w:numId="13" w16cid:durableId="344675774">
    <w:abstractNumId w:val="2"/>
  </w:num>
  <w:num w:numId="14" w16cid:durableId="1841962326">
    <w:abstractNumId w:val="25"/>
  </w:num>
  <w:num w:numId="15" w16cid:durableId="356124516">
    <w:abstractNumId w:val="27"/>
  </w:num>
  <w:num w:numId="16" w16cid:durableId="311371332">
    <w:abstractNumId w:val="42"/>
  </w:num>
  <w:num w:numId="17" w16cid:durableId="1976182740">
    <w:abstractNumId w:val="10"/>
  </w:num>
  <w:num w:numId="18" w16cid:durableId="892353917">
    <w:abstractNumId w:val="40"/>
  </w:num>
  <w:num w:numId="19" w16cid:durableId="437216181">
    <w:abstractNumId w:val="6"/>
  </w:num>
  <w:num w:numId="20" w16cid:durableId="801852574">
    <w:abstractNumId w:val="31"/>
  </w:num>
  <w:num w:numId="21" w16cid:durableId="396054559">
    <w:abstractNumId w:val="4"/>
  </w:num>
  <w:num w:numId="22" w16cid:durableId="1015424105">
    <w:abstractNumId w:val="7"/>
  </w:num>
  <w:num w:numId="23" w16cid:durableId="1459911615">
    <w:abstractNumId w:val="26"/>
  </w:num>
  <w:num w:numId="24" w16cid:durableId="1945070294">
    <w:abstractNumId w:val="3"/>
  </w:num>
  <w:num w:numId="25" w16cid:durableId="494346316">
    <w:abstractNumId w:val="5"/>
  </w:num>
  <w:num w:numId="26" w16cid:durableId="2026856988">
    <w:abstractNumId w:val="0"/>
  </w:num>
  <w:num w:numId="27" w16cid:durableId="1839687220">
    <w:abstractNumId w:val="15"/>
  </w:num>
  <w:num w:numId="28" w16cid:durableId="1578317682">
    <w:abstractNumId w:val="32"/>
  </w:num>
  <w:num w:numId="29" w16cid:durableId="1783524958">
    <w:abstractNumId w:val="34"/>
  </w:num>
  <w:num w:numId="30" w16cid:durableId="1400398440">
    <w:abstractNumId w:val="20"/>
  </w:num>
  <w:num w:numId="31" w16cid:durableId="1913001767">
    <w:abstractNumId w:val="18"/>
  </w:num>
  <w:num w:numId="32" w16cid:durableId="856968781">
    <w:abstractNumId w:val="11"/>
  </w:num>
  <w:num w:numId="33" w16cid:durableId="470833567">
    <w:abstractNumId w:val="13"/>
  </w:num>
  <w:num w:numId="34" w16cid:durableId="1169056832">
    <w:abstractNumId w:val="35"/>
  </w:num>
  <w:num w:numId="35" w16cid:durableId="401218079">
    <w:abstractNumId w:val="30"/>
  </w:num>
  <w:num w:numId="36" w16cid:durableId="1139032062">
    <w:abstractNumId w:val="21"/>
  </w:num>
  <w:num w:numId="37" w16cid:durableId="2075198082">
    <w:abstractNumId w:val="28"/>
  </w:num>
  <w:num w:numId="38" w16cid:durableId="1884516050">
    <w:abstractNumId w:val="19"/>
  </w:num>
  <w:num w:numId="39" w16cid:durableId="732317939">
    <w:abstractNumId w:val="33"/>
  </w:num>
  <w:num w:numId="40" w16cid:durableId="49693148">
    <w:abstractNumId w:val="1"/>
  </w:num>
  <w:num w:numId="41" w16cid:durableId="1268542519">
    <w:abstractNumId w:val="43"/>
  </w:num>
  <w:num w:numId="42" w16cid:durableId="462817025">
    <w:abstractNumId w:val="39"/>
  </w:num>
  <w:num w:numId="43" w16cid:durableId="2092464996">
    <w:abstractNumId w:val="41"/>
  </w:num>
  <w:num w:numId="44" w16cid:durableId="603154882">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0FBF"/>
    <w:rsid w:val="000028AD"/>
    <w:rsid w:val="00002CDB"/>
    <w:rsid w:val="0000340E"/>
    <w:rsid w:val="000045CE"/>
    <w:rsid w:val="00005064"/>
    <w:rsid w:val="000071B8"/>
    <w:rsid w:val="00010DA1"/>
    <w:rsid w:val="00011A32"/>
    <w:rsid w:val="00012990"/>
    <w:rsid w:val="00013366"/>
    <w:rsid w:val="00014933"/>
    <w:rsid w:val="00021E2D"/>
    <w:rsid w:val="00023068"/>
    <w:rsid w:val="00030A1B"/>
    <w:rsid w:val="0003140C"/>
    <w:rsid w:val="000314D9"/>
    <w:rsid w:val="000316CC"/>
    <w:rsid w:val="0003190E"/>
    <w:rsid w:val="000320DE"/>
    <w:rsid w:val="000326D5"/>
    <w:rsid w:val="00032B59"/>
    <w:rsid w:val="0003386C"/>
    <w:rsid w:val="00037686"/>
    <w:rsid w:val="00037B57"/>
    <w:rsid w:val="00037BF5"/>
    <w:rsid w:val="00041A6B"/>
    <w:rsid w:val="00041F48"/>
    <w:rsid w:val="000420E7"/>
    <w:rsid w:val="00042E90"/>
    <w:rsid w:val="00043716"/>
    <w:rsid w:val="000465E8"/>
    <w:rsid w:val="000475DD"/>
    <w:rsid w:val="00052FDA"/>
    <w:rsid w:val="00052FFA"/>
    <w:rsid w:val="00055E32"/>
    <w:rsid w:val="0005725B"/>
    <w:rsid w:val="00057444"/>
    <w:rsid w:val="000628AD"/>
    <w:rsid w:val="000629D8"/>
    <w:rsid w:val="00062C4F"/>
    <w:rsid w:val="00063655"/>
    <w:rsid w:val="0006661C"/>
    <w:rsid w:val="00066B6E"/>
    <w:rsid w:val="00067D74"/>
    <w:rsid w:val="00070336"/>
    <w:rsid w:val="00071390"/>
    <w:rsid w:val="000716C9"/>
    <w:rsid w:val="00072252"/>
    <w:rsid w:val="00073DBD"/>
    <w:rsid w:val="00074AB9"/>
    <w:rsid w:val="0007538C"/>
    <w:rsid w:val="000766B1"/>
    <w:rsid w:val="00077220"/>
    <w:rsid w:val="00077C0B"/>
    <w:rsid w:val="00077DD2"/>
    <w:rsid w:val="000800A5"/>
    <w:rsid w:val="000820AF"/>
    <w:rsid w:val="00082874"/>
    <w:rsid w:val="000830FB"/>
    <w:rsid w:val="000838F2"/>
    <w:rsid w:val="000840F7"/>
    <w:rsid w:val="000850DE"/>
    <w:rsid w:val="00085AF6"/>
    <w:rsid w:val="00086302"/>
    <w:rsid w:val="00092090"/>
    <w:rsid w:val="0009254C"/>
    <w:rsid w:val="00093203"/>
    <w:rsid w:val="00094116"/>
    <w:rsid w:val="00094495"/>
    <w:rsid w:val="000951E3"/>
    <w:rsid w:val="00095FF8"/>
    <w:rsid w:val="00096589"/>
    <w:rsid w:val="00096E2A"/>
    <w:rsid w:val="000A0551"/>
    <w:rsid w:val="000A281B"/>
    <w:rsid w:val="000A57E4"/>
    <w:rsid w:val="000A598F"/>
    <w:rsid w:val="000A5E4A"/>
    <w:rsid w:val="000A5EF1"/>
    <w:rsid w:val="000A653A"/>
    <w:rsid w:val="000A69FD"/>
    <w:rsid w:val="000A79D6"/>
    <w:rsid w:val="000A7C75"/>
    <w:rsid w:val="000B29BB"/>
    <w:rsid w:val="000B3DF2"/>
    <w:rsid w:val="000B4474"/>
    <w:rsid w:val="000B5710"/>
    <w:rsid w:val="000B5DE5"/>
    <w:rsid w:val="000B7F94"/>
    <w:rsid w:val="000C01A9"/>
    <w:rsid w:val="000C2363"/>
    <w:rsid w:val="000C29CF"/>
    <w:rsid w:val="000C47C2"/>
    <w:rsid w:val="000C52FF"/>
    <w:rsid w:val="000C5969"/>
    <w:rsid w:val="000C5EB9"/>
    <w:rsid w:val="000C5F08"/>
    <w:rsid w:val="000D08F2"/>
    <w:rsid w:val="000D2036"/>
    <w:rsid w:val="000D2F5C"/>
    <w:rsid w:val="000D3BCE"/>
    <w:rsid w:val="000D4E04"/>
    <w:rsid w:val="000D5100"/>
    <w:rsid w:val="000D5824"/>
    <w:rsid w:val="000D59F0"/>
    <w:rsid w:val="000D6BC1"/>
    <w:rsid w:val="000E03BE"/>
    <w:rsid w:val="000E2912"/>
    <w:rsid w:val="000E4044"/>
    <w:rsid w:val="000E5AAE"/>
    <w:rsid w:val="000E5B05"/>
    <w:rsid w:val="000E6209"/>
    <w:rsid w:val="000F049D"/>
    <w:rsid w:val="000F1BA7"/>
    <w:rsid w:val="000F25E3"/>
    <w:rsid w:val="000F382F"/>
    <w:rsid w:val="000F42B8"/>
    <w:rsid w:val="000F4968"/>
    <w:rsid w:val="000F78CD"/>
    <w:rsid w:val="00100316"/>
    <w:rsid w:val="001019A3"/>
    <w:rsid w:val="00102323"/>
    <w:rsid w:val="00103159"/>
    <w:rsid w:val="00105086"/>
    <w:rsid w:val="0010581D"/>
    <w:rsid w:val="00105AEB"/>
    <w:rsid w:val="0011148B"/>
    <w:rsid w:val="00111D80"/>
    <w:rsid w:val="00112257"/>
    <w:rsid w:val="0011345A"/>
    <w:rsid w:val="00116841"/>
    <w:rsid w:val="001213F0"/>
    <w:rsid w:val="001217B1"/>
    <w:rsid w:val="0012232E"/>
    <w:rsid w:val="00122BFE"/>
    <w:rsid w:val="001235BC"/>
    <w:rsid w:val="0012372C"/>
    <w:rsid w:val="00124792"/>
    <w:rsid w:val="001253C0"/>
    <w:rsid w:val="00125B5D"/>
    <w:rsid w:val="00127BE1"/>
    <w:rsid w:val="0013083B"/>
    <w:rsid w:val="00131067"/>
    <w:rsid w:val="00132D5F"/>
    <w:rsid w:val="00133931"/>
    <w:rsid w:val="0013560E"/>
    <w:rsid w:val="00142CA9"/>
    <w:rsid w:val="00143188"/>
    <w:rsid w:val="00143864"/>
    <w:rsid w:val="00146E6E"/>
    <w:rsid w:val="00146ECD"/>
    <w:rsid w:val="001516B5"/>
    <w:rsid w:val="0015489E"/>
    <w:rsid w:val="00154B06"/>
    <w:rsid w:val="00155C30"/>
    <w:rsid w:val="00155EB1"/>
    <w:rsid w:val="00156484"/>
    <w:rsid w:val="001564DF"/>
    <w:rsid w:val="00156903"/>
    <w:rsid w:val="00157172"/>
    <w:rsid w:val="001572FF"/>
    <w:rsid w:val="00157CD0"/>
    <w:rsid w:val="00157DF3"/>
    <w:rsid w:val="00160143"/>
    <w:rsid w:val="00161DB7"/>
    <w:rsid w:val="00161E13"/>
    <w:rsid w:val="001621C1"/>
    <w:rsid w:val="001626DF"/>
    <w:rsid w:val="00164755"/>
    <w:rsid w:val="001647EE"/>
    <w:rsid w:val="00171BD7"/>
    <w:rsid w:val="00171BFB"/>
    <w:rsid w:val="00171DFB"/>
    <w:rsid w:val="001737E1"/>
    <w:rsid w:val="00173DCE"/>
    <w:rsid w:val="00175486"/>
    <w:rsid w:val="00175BC6"/>
    <w:rsid w:val="001773AB"/>
    <w:rsid w:val="0018208A"/>
    <w:rsid w:val="00184765"/>
    <w:rsid w:val="00185340"/>
    <w:rsid w:val="00186BD7"/>
    <w:rsid w:val="00187D6A"/>
    <w:rsid w:val="00191908"/>
    <w:rsid w:val="00191CD4"/>
    <w:rsid w:val="00191EBE"/>
    <w:rsid w:val="00192324"/>
    <w:rsid w:val="00192508"/>
    <w:rsid w:val="00192BD0"/>
    <w:rsid w:val="00194126"/>
    <w:rsid w:val="001942AD"/>
    <w:rsid w:val="0019726D"/>
    <w:rsid w:val="001A07FC"/>
    <w:rsid w:val="001A0A76"/>
    <w:rsid w:val="001A1840"/>
    <w:rsid w:val="001A1F95"/>
    <w:rsid w:val="001A2A92"/>
    <w:rsid w:val="001A2AB8"/>
    <w:rsid w:val="001A4752"/>
    <w:rsid w:val="001A4B9C"/>
    <w:rsid w:val="001A597E"/>
    <w:rsid w:val="001B003F"/>
    <w:rsid w:val="001B10EA"/>
    <w:rsid w:val="001B254F"/>
    <w:rsid w:val="001B2884"/>
    <w:rsid w:val="001B5C88"/>
    <w:rsid w:val="001B6278"/>
    <w:rsid w:val="001B6E2E"/>
    <w:rsid w:val="001B7477"/>
    <w:rsid w:val="001B74AC"/>
    <w:rsid w:val="001C0484"/>
    <w:rsid w:val="001C251C"/>
    <w:rsid w:val="001C3C00"/>
    <w:rsid w:val="001C3C8A"/>
    <w:rsid w:val="001C4ADB"/>
    <w:rsid w:val="001C52DE"/>
    <w:rsid w:val="001C78A1"/>
    <w:rsid w:val="001D10B7"/>
    <w:rsid w:val="001D2051"/>
    <w:rsid w:val="001D3F2B"/>
    <w:rsid w:val="001D590A"/>
    <w:rsid w:val="001E1196"/>
    <w:rsid w:val="001E195B"/>
    <w:rsid w:val="001E2D78"/>
    <w:rsid w:val="001E3C80"/>
    <w:rsid w:val="001E4CE0"/>
    <w:rsid w:val="001E7145"/>
    <w:rsid w:val="001F0283"/>
    <w:rsid w:val="001F07EC"/>
    <w:rsid w:val="001F1AE7"/>
    <w:rsid w:val="001F33A6"/>
    <w:rsid w:val="001F3C83"/>
    <w:rsid w:val="001F4176"/>
    <w:rsid w:val="001F4B2B"/>
    <w:rsid w:val="001F4DFC"/>
    <w:rsid w:val="001F5900"/>
    <w:rsid w:val="001F5E35"/>
    <w:rsid w:val="001F6518"/>
    <w:rsid w:val="001F6AAC"/>
    <w:rsid w:val="001F6FE4"/>
    <w:rsid w:val="0020029A"/>
    <w:rsid w:val="00203245"/>
    <w:rsid w:val="00203A52"/>
    <w:rsid w:val="00204B74"/>
    <w:rsid w:val="00210FF7"/>
    <w:rsid w:val="002126AE"/>
    <w:rsid w:val="00212CA7"/>
    <w:rsid w:val="0021436C"/>
    <w:rsid w:val="00221D15"/>
    <w:rsid w:val="002230B2"/>
    <w:rsid w:val="00224B94"/>
    <w:rsid w:val="00225350"/>
    <w:rsid w:val="002255BF"/>
    <w:rsid w:val="00226B5E"/>
    <w:rsid w:val="00227111"/>
    <w:rsid w:val="00234443"/>
    <w:rsid w:val="002359B8"/>
    <w:rsid w:val="00237437"/>
    <w:rsid w:val="00237575"/>
    <w:rsid w:val="00237A89"/>
    <w:rsid w:val="0024087C"/>
    <w:rsid w:val="00242881"/>
    <w:rsid w:val="00244C12"/>
    <w:rsid w:val="00247BC9"/>
    <w:rsid w:val="002506B8"/>
    <w:rsid w:val="00250B86"/>
    <w:rsid w:val="00250DAC"/>
    <w:rsid w:val="00253318"/>
    <w:rsid w:val="00260521"/>
    <w:rsid w:val="00260D02"/>
    <w:rsid w:val="0026190C"/>
    <w:rsid w:val="00261BB4"/>
    <w:rsid w:val="0026353F"/>
    <w:rsid w:val="00263859"/>
    <w:rsid w:val="00265B81"/>
    <w:rsid w:val="00266CC0"/>
    <w:rsid w:val="002708E9"/>
    <w:rsid w:val="00271C6A"/>
    <w:rsid w:val="002737A4"/>
    <w:rsid w:val="00273AA3"/>
    <w:rsid w:val="00273FE6"/>
    <w:rsid w:val="00276072"/>
    <w:rsid w:val="002769ED"/>
    <w:rsid w:val="0027739E"/>
    <w:rsid w:val="0028140F"/>
    <w:rsid w:val="0028174F"/>
    <w:rsid w:val="00282539"/>
    <w:rsid w:val="00283238"/>
    <w:rsid w:val="002838F9"/>
    <w:rsid w:val="00284865"/>
    <w:rsid w:val="00286213"/>
    <w:rsid w:val="00287C33"/>
    <w:rsid w:val="00290AD8"/>
    <w:rsid w:val="00290C38"/>
    <w:rsid w:val="0029344F"/>
    <w:rsid w:val="00293AE3"/>
    <w:rsid w:val="00293CC4"/>
    <w:rsid w:val="00293FFC"/>
    <w:rsid w:val="002A2063"/>
    <w:rsid w:val="002A3727"/>
    <w:rsid w:val="002A6764"/>
    <w:rsid w:val="002A6A94"/>
    <w:rsid w:val="002A71FC"/>
    <w:rsid w:val="002A77B4"/>
    <w:rsid w:val="002B0C57"/>
    <w:rsid w:val="002B3287"/>
    <w:rsid w:val="002B3D24"/>
    <w:rsid w:val="002B5A94"/>
    <w:rsid w:val="002B6D61"/>
    <w:rsid w:val="002B7C0B"/>
    <w:rsid w:val="002C05FC"/>
    <w:rsid w:val="002C1461"/>
    <w:rsid w:val="002C2D64"/>
    <w:rsid w:val="002C3182"/>
    <w:rsid w:val="002C4179"/>
    <w:rsid w:val="002C5205"/>
    <w:rsid w:val="002C5609"/>
    <w:rsid w:val="002C7166"/>
    <w:rsid w:val="002D13AF"/>
    <w:rsid w:val="002D158F"/>
    <w:rsid w:val="002D35B2"/>
    <w:rsid w:val="002D6AFE"/>
    <w:rsid w:val="002D6FDE"/>
    <w:rsid w:val="002D7196"/>
    <w:rsid w:val="002D74CA"/>
    <w:rsid w:val="002E2E83"/>
    <w:rsid w:val="002E33DE"/>
    <w:rsid w:val="002E49CE"/>
    <w:rsid w:val="002E5D34"/>
    <w:rsid w:val="002E7019"/>
    <w:rsid w:val="002E76E6"/>
    <w:rsid w:val="002E7AC7"/>
    <w:rsid w:val="002E7AFB"/>
    <w:rsid w:val="002F0818"/>
    <w:rsid w:val="002F2EAB"/>
    <w:rsid w:val="002F3038"/>
    <w:rsid w:val="002F3EB1"/>
    <w:rsid w:val="002F70F7"/>
    <w:rsid w:val="003008A1"/>
    <w:rsid w:val="003009F9"/>
    <w:rsid w:val="00300B34"/>
    <w:rsid w:val="00301007"/>
    <w:rsid w:val="00301CE2"/>
    <w:rsid w:val="003023FC"/>
    <w:rsid w:val="0030279A"/>
    <w:rsid w:val="003035E4"/>
    <w:rsid w:val="00303763"/>
    <w:rsid w:val="00307FB4"/>
    <w:rsid w:val="003120E7"/>
    <w:rsid w:val="00312997"/>
    <w:rsid w:val="00315109"/>
    <w:rsid w:val="0031591D"/>
    <w:rsid w:val="00315C62"/>
    <w:rsid w:val="00317136"/>
    <w:rsid w:val="003174C5"/>
    <w:rsid w:val="00317A1F"/>
    <w:rsid w:val="00320237"/>
    <w:rsid w:val="0032224B"/>
    <w:rsid w:val="00322C8E"/>
    <w:rsid w:val="0032483E"/>
    <w:rsid w:val="0032572B"/>
    <w:rsid w:val="00326CD5"/>
    <w:rsid w:val="00330ABC"/>
    <w:rsid w:val="0033259A"/>
    <w:rsid w:val="00335489"/>
    <w:rsid w:val="00336D43"/>
    <w:rsid w:val="0034018A"/>
    <w:rsid w:val="00340E8D"/>
    <w:rsid w:val="0034191C"/>
    <w:rsid w:val="00341CA1"/>
    <w:rsid w:val="003424A6"/>
    <w:rsid w:val="003424CD"/>
    <w:rsid w:val="00342B18"/>
    <w:rsid w:val="00342DDB"/>
    <w:rsid w:val="00346908"/>
    <w:rsid w:val="00346AFD"/>
    <w:rsid w:val="00346F99"/>
    <w:rsid w:val="00350A42"/>
    <w:rsid w:val="00351B92"/>
    <w:rsid w:val="00352375"/>
    <w:rsid w:val="00353D16"/>
    <w:rsid w:val="00353E53"/>
    <w:rsid w:val="00355B34"/>
    <w:rsid w:val="00357215"/>
    <w:rsid w:val="00357666"/>
    <w:rsid w:val="00357D98"/>
    <w:rsid w:val="003627F4"/>
    <w:rsid w:val="003639F3"/>
    <w:rsid w:val="003651CB"/>
    <w:rsid w:val="00365462"/>
    <w:rsid w:val="00365BF1"/>
    <w:rsid w:val="00365FB2"/>
    <w:rsid w:val="00366DFC"/>
    <w:rsid w:val="00367BDA"/>
    <w:rsid w:val="00367D09"/>
    <w:rsid w:val="00370C71"/>
    <w:rsid w:val="00370EC4"/>
    <w:rsid w:val="00372200"/>
    <w:rsid w:val="00372A0B"/>
    <w:rsid w:val="00373783"/>
    <w:rsid w:val="00373BEB"/>
    <w:rsid w:val="00373FF4"/>
    <w:rsid w:val="00375D9A"/>
    <w:rsid w:val="003773AA"/>
    <w:rsid w:val="0037763B"/>
    <w:rsid w:val="00377C6E"/>
    <w:rsid w:val="003809D1"/>
    <w:rsid w:val="00382266"/>
    <w:rsid w:val="00384036"/>
    <w:rsid w:val="00384CC7"/>
    <w:rsid w:val="00384E27"/>
    <w:rsid w:val="003850D1"/>
    <w:rsid w:val="00385C40"/>
    <w:rsid w:val="00386C8C"/>
    <w:rsid w:val="00387435"/>
    <w:rsid w:val="00390F0F"/>
    <w:rsid w:val="00391E89"/>
    <w:rsid w:val="00393668"/>
    <w:rsid w:val="00393A47"/>
    <w:rsid w:val="00394C12"/>
    <w:rsid w:val="00395138"/>
    <w:rsid w:val="0039542A"/>
    <w:rsid w:val="00395F29"/>
    <w:rsid w:val="00397635"/>
    <w:rsid w:val="003A312A"/>
    <w:rsid w:val="003A34BA"/>
    <w:rsid w:val="003A3FF2"/>
    <w:rsid w:val="003A7AFC"/>
    <w:rsid w:val="003A7EB0"/>
    <w:rsid w:val="003B069B"/>
    <w:rsid w:val="003B0CF6"/>
    <w:rsid w:val="003B0D08"/>
    <w:rsid w:val="003B4AA3"/>
    <w:rsid w:val="003B4EED"/>
    <w:rsid w:val="003B533D"/>
    <w:rsid w:val="003B5992"/>
    <w:rsid w:val="003B5BCB"/>
    <w:rsid w:val="003B6268"/>
    <w:rsid w:val="003C0DEE"/>
    <w:rsid w:val="003C153A"/>
    <w:rsid w:val="003C2F70"/>
    <w:rsid w:val="003C30AB"/>
    <w:rsid w:val="003C3A17"/>
    <w:rsid w:val="003C4D56"/>
    <w:rsid w:val="003C4D76"/>
    <w:rsid w:val="003C5338"/>
    <w:rsid w:val="003C5FE6"/>
    <w:rsid w:val="003C644B"/>
    <w:rsid w:val="003C7CF3"/>
    <w:rsid w:val="003D31BB"/>
    <w:rsid w:val="003D39D5"/>
    <w:rsid w:val="003D53AC"/>
    <w:rsid w:val="003D555E"/>
    <w:rsid w:val="003D5BD2"/>
    <w:rsid w:val="003D5CFF"/>
    <w:rsid w:val="003E0D97"/>
    <w:rsid w:val="003E1A31"/>
    <w:rsid w:val="003E327F"/>
    <w:rsid w:val="003E497B"/>
    <w:rsid w:val="003E5330"/>
    <w:rsid w:val="003E5976"/>
    <w:rsid w:val="003E6348"/>
    <w:rsid w:val="003E7375"/>
    <w:rsid w:val="003F11AD"/>
    <w:rsid w:val="003F1B30"/>
    <w:rsid w:val="003F2581"/>
    <w:rsid w:val="003F6742"/>
    <w:rsid w:val="003F6939"/>
    <w:rsid w:val="003F6A18"/>
    <w:rsid w:val="003F6B01"/>
    <w:rsid w:val="003F7146"/>
    <w:rsid w:val="00400A1A"/>
    <w:rsid w:val="00400A1D"/>
    <w:rsid w:val="004025DB"/>
    <w:rsid w:val="0040376D"/>
    <w:rsid w:val="004042FC"/>
    <w:rsid w:val="00404851"/>
    <w:rsid w:val="00410901"/>
    <w:rsid w:val="00410B87"/>
    <w:rsid w:val="00411194"/>
    <w:rsid w:val="0041143D"/>
    <w:rsid w:val="0041359B"/>
    <w:rsid w:val="0041626C"/>
    <w:rsid w:val="00416A09"/>
    <w:rsid w:val="00417B87"/>
    <w:rsid w:val="00420C24"/>
    <w:rsid w:val="004216AE"/>
    <w:rsid w:val="004227C5"/>
    <w:rsid w:val="004237AF"/>
    <w:rsid w:val="00423DCC"/>
    <w:rsid w:val="00425845"/>
    <w:rsid w:val="00426583"/>
    <w:rsid w:val="0043136C"/>
    <w:rsid w:val="00431BEC"/>
    <w:rsid w:val="00432123"/>
    <w:rsid w:val="004340C3"/>
    <w:rsid w:val="00435279"/>
    <w:rsid w:val="0043570C"/>
    <w:rsid w:val="0044244B"/>
    <w:rsid w:val="00443042"/>
    <w:rsid w:val="004431D3"/>
    <w:rsid w:val="004436F4"/>
    <w:rsid w:val="00444FFE"/>
    <w:rsid w:val="0044684C"/>
    <w:rsid w:val="0045207D"/>
    <w:rsid w:val="0045250D"/>
    <w:rsid w:val="00452C25"/>
    <w:rsid w:val="00453658"/>
    <w:rsid w:val="00453B7A"/>
    <w:rsid w:val="004548D5"/>
    <w:rsid w:val="00454AF9"/>
    <w:rsid w:val="004561C9"/>
    <w:rsid w:val="0045760E"/>
    <w:rsid w:val="00457843"/>
    <w:rsid w:val="00457A7A"/>
    <w:rsid w:val="004607C4"/>
    <w:rsid w:val="00460EE2"/>
    <w:rsid w:val="00461027"/>
    <w:rsid w:val="004611D9"/>
    <w:rsid w:val="004648CC"/>
    <w:rsid w:val="00464BDE"/>
    <w:rsid w:val="00464E70"/>
    <w:rsid w:val="00465DFA"/>
    <w:rsid w:val="0046632D"/>
    <w:rsid w:val="0046636D"/>
    <w:rsid w:val="00466527"/>
    <w:rsid w:val="00466CBE"/>
    <w:rsid w:val="00472529"/>
    <w:rsid w:val="00472C44"/>
    <w:rsid w:val="00473B54"/>
    <w:rsid w:val="00473BC6"/>
    <w:rsid w:val="004757D7"/>
    <w:rsid w:val="004758BF"/>
    <w:rsid w:val="00475C9C"/>
    <w:rsid w:val="0048136E"/>
    <w:rsid w:val="004830D0"/>
    <w:rsid w:val="00483192"/>
    <w:rsid w:val="0048325C"/>
    <w:rsid w:val="00484988"/>
    <w:rsid w:val="004877E0"/>
    <w:rsid w:val="004878B9"/>
    <w:rsid w:val="00487F43"/>
    <w:rsid w:val="0049168F"/>
    <w:rsid w:val="0049290B"/>
    <w:rsid w:val="00493CDE"/>
    <w:rsid w:val="004940B0"/>
    <w:rsid w:val="00496624"/>
    <w:rsid w:val="00497469"/>
    <w:rsid w:val="0049782B"/>
    <w:rsid w:val="00497FF2"/>
    <w:rsid w:val="004A1423"/>
    <w:rsid w:val="004A2138"/>
    <w:rsid w:val="004A25BC"/>
    <w:rsid w:val="004A521C"/>
    <w:rsid w:val="004A5D27"/>
    <w:rsid w:val="004A650C"/>
    <w:rsid w:val="004B11C3"/>
    <w:rsid w:val="004B1897"/>
    <w:rsid w:val="004B2814"/>
    <w:rsid w:val="004B3123"/>
    <w:rsid w:val="004B368B"/>
    <w:rsid w:val="004B37FA"/>
    <w:rsid w:val="004B3F5D"/>
    <w:rsid w:val="004B4A2D"/>
    <w:rsid w:val="004B53D3"/>
    <w:rsid w:val="004B563F"/>
    <w:rsid w:val="004C08EE"/>
    <w:rsid w:val="004C0B59"/>
    <w:rsid w:val="004C11D4"/>
    <w:rsid w:val="004C17BD"/>
    <w:rsid w:val="004C1FF0"/>
    <w:rsid w:val="004C33EA"/>
    <w:rsid w:val="004C5059"/>
    <w:rsid w:val="004C6741"/>
    <w:rsid w:val="004C6E83"/>
    <w:rsid w:val="004D0341"/>
    <w:rsid w:val="004D2301"/>
    <w:rsid w:val="004D2931"/>
    <w:rsid w:val="004D3D01"/>
    <w:rsid w:val="004D401F"/>
    <w:rsid w:val="004D4527"/>
    <w:rsid w:val="004D4C65"/>
    <w:rsid w:val="004D4F2B"/>
    <w:rsid w:val="004D522E"/>
    <w:rsid w:val="004D53AC"/>
    <w:rsid w:val="004D5A7D"/>
    <w:rsid w:val="004D71AB"/>
    <w:rsid w:val="004D799C"/>
    <w:rsid w:val="004E0083"/>
    <w:rsid w:val="004E01AD"/>
    <w:rsid w:val="004E11C8"/>
    <w:rsid w:val="004E1270"/>
    <w:rsid w:val="004E1C8A"/>
    <w:rsid w:val="004E1F0E"/>
    <w:rsid w:val="004E2472"/>
    <w:rsid w:val="004E30D8"/>
    <w:rsid w:val="004E35DA"/>
    <w:rsid w:val="004E452D"/>
    <w:rsid w:val="004E65A2"/>
    <w:rsid w:val="004F0831"/>
    <w:rsid w:val="004F0CFD"/>
    <w:rsid w:val="004F1FAE"/>
    <w:rsid w:val="004F2B66"/>
    <w:rsid w:val="004F33AF"/>
    <w:rsid w:val="004F4640"/>
    <w:rsid w:val="004F5AAA"/>
    <w:rsid w:val="005006C6"/>
    <w:rsid w:val="0050081F"/>
    <w:rsid w:val="00501401"/>
    <w:rsid w:val="00501466"/>
    <w:rsid w:val="0050173A"/>
    <w:rsid w:val="00501A73"/>
    <w:rsid w:val="00501CE8"/>
    <w:rsid w:val="0050222C"/>
    <w:rsid w:val="00503556"/>
    <w:rsid w:val="00503B50"/>
    <w:rsid w:val="00503FA2"/>
    <w:rsid w:val="00504EA5"/>
    <w:rsid w:val="00507668"/>
    <w:rsid w:val="005147E0"/>
    <w:rsid w:val="005161CB"/>
    <w:rsid w:val="00517BD9"/>
    <w:rsid w:val="00520456"/>
    <w:rsid w:val="00521056"/>
    <w:rsid w:val="00522622"/>
    <w:rsid w:val="00523552"/>
    <w:rsid w:val="00525A8E"/>
    <w:rsid w:val="00525ECF"/>
    <w:rsid w:val="0052635F"/>
    <w:rsid w:val="00532307"/>
    <w:rsid w:val="00533DD2"/>
    <w:rsid w:val="005419D7"/>
    <w:rsid w:val="005432F9"/>
    <w:rsid w:val="00543674"/>
    <w:rsid w:val="00544CC4"/>
    <w:rsid w:val="0054583D"/>
    <w:rsid w:val="00546E74"/>
    <w:rsid w:val="00550DA0"/>
    <w:rsid w:val="00551E93"/>
    <w:rsid w:val="00552E7E"/>
    <w:rsid w:val="00553AF6"/>
    <w:rsid w:val="0055429A"/>
    <w:rsid w:val="0055723E"/>
    <w:rsid w:val="00560D91"/>
    <w:rsid w:val="0056304F"/>
    <w:rsid w:val="005639A8"/>
    <w:rsid w:val="0056441D"/>
    <w:rsid w:val="005647CB"/>
    <w:rsid w:val="0056488E"/>
    <w:rsid w:val="00564BC9"/>
    <w:rsid w:val="00565387"/>
    <w:rsid w:val="0056602C"/>
    <w:rsid w:val="00571A5E"/>
    <w:rsid w:val="005721AB"/>
    <w:rsid w:val="005728E0"/>
    <w:rsid w:val="005729F9"/>
    <w:rsid w:val="0057637F"/>
    <w:rsid w:val="00577509"/>
    <w:rsid w:val="005776D4"/>
    <w:rsid w:val="0057772C"/>
    <w:rsid w:val="005803CF"/>
    <w:rsid w:val="005810C6"/>
    <w:rsid w:val="0058122F"/>
    <w:rsid w:val="0058222C"/>
    <w:rsid w:val="00582C45"/>
    <w:rsid w:val="0058327F"/>
    <w:rsid w:val="00583A08"/>
    <w:rsid w:val="00584BF6"/>
    <w:rsid w:val="00584D5C"/>
    <w:rsid w:val="0058546D"/>
    <w:rsid w:val="00586B3A"/>
    <w:rsid w:val="0058753A"/>
    <w:rsid w:val="00590BDC"/>
    <w:rsid w:val="00592F83"/>
    <w:rsid w:val="0059330B"/>
    <w:rsid w:val="005938E4"/>
    <w:rsid w:val="00593E10"/>
    <w:rsid w:val="00593EAB"/>
    <w:rsid w:val="0059427E"/>
    <w:rsid w:val="005A0577"/>
    <w:rsid w:val="005A29B7"/>
    <w:rsid w:val="005A3A52"/>
    <w:rsid w:val="005A719C"/>
    <w:rsid w:val="005B23A7"/>
    <w:rsid w:val="005B2FEB"/>
    <w:rsid w:val="005B3EFB"/>
    <w:rsid w:val="005B5FB8"/>
    <w:rsid w:val="005B6F8C"/>
    <w:rsid w:val="005B78CF"/>
    <w:rsid w:val="005B7D3D"/>
    <w:rsid w:val="005C0BC0"/>
    <w:rsid w:val="005C0CFB"/>
    <w:rsid w:val="005C197A"/>
    <w:rsid w:val="005C1BE0"/>
    <w:rsid w:val="005C3114"/>
    <w:rsid w:val="005C42FC"/>
    <w:rsid w:val="005C43E7"/>
    <w:rsid w:val="005C4C19"/>
    <w:rsid w:val="005C6242"/>
    <w:rsid w:val="005C7047"/>
    <w:rsid w:val="005C73AA"/>
    <w:rsid w:val="005D1E42"/>
    <w:rsid w:val="005D2581"/>
    <w:rsid w:val="005D3579"/>
    <w:rsid w:val="005D40B7"/>
    <w:rsid w:val="005D4143"/>
    <w:rsid w:val="005D4E32"/>
    <w:rsid w:val="005D56AF"/>
    <w:rsid w:val="005D6CB6"/>
    <w:rsid w:val="005D71C5"/>
    <w:rsid w:val="005E0DF9"/>
    <w:rsid w:val="005E21AF"/>
    <w:rsid w:val="005E460C"/>
    <w:rsid w:val="005E4C56"/>
    <w:rsid w:val="005E5762"/>
    <w:rsid w:val="005E6DB8"/>
    <w:rsid w:val="005E704C"/>
    <w:rsid w:val="005E7E5E"/>
    <w:rsid w:val="005E7FE5"/>
    <w:rsid w:val="005F017E"/>
    <w:rsid w:val="005F2E56"/>
    <w:rsid w:val="005F52B1"/>
    <w:rsid w:val="005F7A75"/>
    <w:rsid w:val="006001FE"/>
    <w:rsid w:val="00602499"/>
    <w:rsid w:val="00603F90"/>
    <w:rsid w:val="006045F1"/>
    <w:rsid w:val="006062A5"/>
    <w:rsid w:val="006064DB"/>
    <w:rsid w:val="00607443"/>
    <w:rsid w:val="006102ED"/>
    <w:rsid w:val="00610B0F"/>
    <w:rsid w:val="00613E5F"/>
    <w:rsid w:val="00613F34"/>
    <w:rsid w:val="00617278"/>
    <w:rsid w:val="00620B52"/>
    <w:rsid w:val="00620F72"/>
    <w:rsid w:val="006236D4"/>
    <w:rsid w:val="006241CB"/>
    <w:rsid w:val="00624F54"/>
    <w:rsid w:val="006257E1"/>
    <w:rsid w:val="006260BE"/>
    <w:rsid w:val="00626A9D"/>
    <w:rsid w:val="00626E22"/>
    <w:rsid w:val="00630509"/>
    <w:rsid w:val="00631C9B"/>
    <w:rsid w:val="0063339E"/>
    <w:rsid w:val="0063359E"/>
    <w:rsid w:val="00635EAC"/>
    <w:rsid w:val="00641222"/>
    <w:rsid w:val="00643414"/>
    <w:rsid w:val="00643A72"/>
    <w:rsid w:val="00646AFF"/>
    <w:rsid w:val="006470F5"/>
    <w:rsid w:val="006472FA"/>
    <w:rsid w:val="006477A6"/>
    <w:rsid w:val="00650AE2"/>
    <w:rsid w:val="00651DB0"/>
    <w:rsid w:val="00652805"/>
    <w:rsid w:val="00652ADC"/>
    <w:rsid w:val="00652D5C"/>
    <w:rsid w:val="00653335"/>
    <w:rsid w:val="0065462A"/>
    <w:rsid w:val="00654A0A"/>
    <w:rsid w:val="006556C2"/>
    <w:rsid w:val="0065764D"/>
    <w:rsid w:val="00657910"/>
    <w:rsid w:val="006606F6"/>
    <w:rsid w:val="0066152E"/>
    <w:rsid w:val="0066278B"/>
    <w:rsid w:val="0066583A"/>
    <w:rsid w:val="00665D08"/>
    <w:rsid w:val="00665D53"/>
    <w:rsid w:val="00666044"/>
    <w:rsid w:val="00667A43"/>
    <w:rsid w:val="0067108D"/>
    <w:rsid w:val="0067139D"/>
    <w:rsid w:val="006715BB"/>
    <w:rsid w:val="00674E80"/>
    <w:rsid w:val="00675B7F"/>
    <w:rsid w:val="006761EA"/>
    <w:rsid w:val="00676369"/>
    <w:rsid w:val="0067665D"/>
    <w:rsid w:val="0067796F"/>
    <w:rsid w:val="00681D77"/>
    <w:rsid w:val="00685358"/>
    <w:rsid w:val="0069095C"/>
    <w:rsid w:val="00691F8A"/>
    <w:rsid w:val="00693F62"/>
    <w:rsid w:val="006942B8"/>
    <w:rsid w:val="00694798"/>
    <w:rsid w:val="006953DC"/>
    <w:rsid w:val="00695453"/>
    <w:rsid w:val="00697916"/>
    <w:rsid w:val="00697AC8"/>
    <w:rsid w:val="006A1802"/>
    <w:rsid w:val="006A323F"/>
    <w:rsid w:val="006A56B9"/>
    <w:rsid w:val="006A5C11"/>
    <w:rsid w:val="006B4C3E"/>
    <w:rsid w:val="006C25C8"/>
    <w:rsid w:val="006C2A75"/>
    <w:rsid w:val="006C3B0B"/>
    <w:rsid w:val="006C3DC5"/>
    <w:rsid w:val="006C4BC2"/>
    <w:rsid w:val="006C50A4"/>
    <w:rsid w:val="006C575F"/>
    <w:rsid w:val="006C5B3D"/>
    <w:rsid w:val="006C7A58"/>
    <w:rsid w:val="006D03BE"/>
    <w:rsid w:val="006D0E7D"/>
    <w:rsid w:val="006D2350"/>
    <w:rsid w:val="006D3754"/>
    <w:rsid w:val="006D3AE8"/>
    <w:rsid w:val="006D3F8F"/>
    <w:rsid w:val="006D5065"/>
    <w:rsid w:val="006D5331"/>
    <w:rsid w:val="006D71FA"/>
    <w:rsid w:val="006E1DC6"/>
    <w:rsid w:val="006E204C"/>
    <w:rsid w:val="006E25A8"/>
    <w:rsid w:val="006E2F47"/>
    <w:rsid w:val="006E5244"/>
    <w:rsid w:val="006E5351"/>
    <w:rsid w:val="006E6341"/>
    <w:rsid w:val="006E7EEF"/>
    <w:rsid w:val="006F1FCD"/>
    <w:rsid w:val="006F2567"/>
    <w:rsid w:val="006F438F"/>
    <w:rsid w:val="006F526F"/>
    <w:rsid w:val="006F5D6E"/>
    <w:rsid w:val="007009DC"/>
    <w:rsid w:val="00700E16"/>
    <w:rsid w:val="00703173"/>
    <w:rsid w:val="00704151"/>
    <w:rsid w:val="00704160"/>
    <w:rsid w:val="00705131"/>
    <w:rsid w:val="00706A94"/>
    <w:rsid w:val="00706C7C"/>
    <w:rsid w:val="00710481"/>
    <w:rsid w:val="0071106A"/>
    <w:rsid w:val="007113C7"/>
    <w:rsid w:val="007117EC"/>
    <w:rsid w:val="00712D6F"/>
    <w:rsid w:val="00714895"/>
    <w:rsid w:val="00714FC9"/>
    <w:rsid w:val="0071589C"/>
    <w:rsid w:val="0071688F"/>
    <w:rsid w:val="0072066E"/>
    <w:rsid w:val="00720EBE"/>
    <w:rsid w:val="00722C27"/>
    <w:rsid w:val="00723488"/>
    <w:rsid w:val="0072381C"/>
    <w:rsid w:val="00724F91"/>
    <w:rsid w:val="00725437"/>
    <w:rsid w:val="00725F38"/>
    <w:rsid w:val="0072742A"/>
    <w:rsid w:val="0073113D"/>
    <w:rsid w:val="00731707"/>
    <w:rsid w:val="00732468"/>
    <w:rsid w:val="00732CE8"/>
    <w:rsid w:val="00732E6C"/>
    <w:rsid w:val="00733336"/>
    <w:rsid w:val="00733B66"/>
    <w:rsid w:val="00734691"/>
    <w:rsid w:val="0073740A"/>
    <w:rsid w:val="00740445"/>
    <w:rsid w:val="007406FD"/>
    <w:rsid w:val="00740C42"/>
    <w:rsid w:val="00740CB1"/>
    <w:rsid w:val="00744ADD"/>
    <w:rsid w:val="00746B97"/>
    <w:rsid w:val="00747235"/>
    <w:rsid w:val="0074764A"/>
    <w:rsid w:val="00747C61"/>
    <w:rsid w:val="00750137"/>
    <w:rsid w:val="0075103A"/>
    <w:rsid w:val="0075112F"/>
    <w:rsid w:val="00751D35"/>
    <w:rsid w:val="00751E60"/>
    <w:rsid w:val="00752726"/>
    <w:rsid w:val="00752AC6"/>
    <w:rsid w:val="00753100"/>
    <w:rsid w:val="007555ED"/>
    <w:rsid w:val="00755C4B"/>
    <w:rsid w:val="00755DE5"/>
    <w:rsid w:val="00756115"/>
    <w:rsid w:val="0075634E"/>
    <w:rsid w:val="00757E48"/>
    <w:rsid w:val="0076025B"/>
    <w:rsid w:val="007619AC"/>
    <w:rsid w:val="007623F1"/>
    <w:rsid w:val="00762960"/>
    <w:rsid w:val="00763457"/>
    <w:rsid w:val="0076375E"/>
    <w:rsid w:val="00763BB5"/>
    <w:rsid w:val="00764382"/>
    <w:rsid w:val="00764CCC"/>
    <w:rsid w:val="007660E0"/>
    <w:rsid w:val="00766343"/>
    <w:rsid w:val="0077080B"/>
    <w:rsid w:val="007739B7"/>
    <w:rsid w:val="007751A1"/>
    <w:rsid w:val="00775F53"/>
    <w:rsid w:val="007808D1"/>
    <w:rsid w:val="00781B66"/>
    <w:rsid w:val="00781FD3"/>
    <w:rsid w:val="00783100"/>
    <w:rsid w:val="00783CB2"/>
    <w:rsid w:val="0078491B"/>
    <w:rsid w:val="0078634E"/>
    <w:rsid w:val="00787718"/>
    <w:rsid w:val="00790249"/>
    <w:rsid w:val="00790E69"/>
    <w:rsid w:val="00792604"/>
    <w:rsid w:val="00796322"/>
    <w:rsid w:val="0079687E"/>
    <w:rsid w:val="007969C9"/>
    <w:rsid w:val="00796C8D"/>
    <w:rsid w:val="007A4C8E"/>
    <w:rsid w:val="007A7538"/>
    <w:rsid w:val="007B08DB"/>
    <w:rsid w:val="007B45A2"/>
    <w:rsid w:val="007B49C9"/>
    <w:rsid w:val="007B5368"/>
    <w:rsid w:val="007B738C"/>
    <w:rsid w:val="007C0763"/>
    <w:rsid w:val="007C0B05"/>
    <w:rsid w:val="007C23FC"/>
    <w:rsid w:val="007C293B"/>
    <w:rsid w:val="007C2EE0"/>
    <w:rsid w:val="007C4070"/>
    <w:rsid w:val="007C4125"/>
    <w:rsid w:val="007C41C8"/>
    <w:rsid w:val="007D00E4"/>
    <w:rsid w:val="007D133E"/>
    <w:rsid w:val="007D335E"/>
    <w:rsid w:val="007D4433"/>
    <w:rsid w:val="007D54F2"/>
    <w:rsid w:val="007D6CD0"/>
    <w:rsid w:val="007D70B5"/>
    <w:rsid w:val="007D78EA"/>
    <w:rsid w:val="007E13FD"/>
    <w:rsid w:val="007E2565"/>
    <w:rsid w:val="007E2BB9"/>
    <w:rsid w:val="007E2F39"/>
    <w:rsid w:val="007E464B"/>
    <w:rsid w:val="007E46D5"/>
    <w:rsid w:val="007E5130"/>
    <w:rsid w:val="007E7A2D"/>
    <w:rsid w:val="007E7A30"/>
    <w:rsid w:val="007F0914"/>
    <w:rsid w:val="007F0CFC"/>
    <w:rsid w:val="007F18E4"/>
    <w:rsid w:val="007F41E1"/>
    <w:rsid w:val="007F4AB8"/>
    <w:rsid w:val="007F4DAC"/>
    <w:rsid w:val="007F4F21"/>
    <w:rsid w:val="007F5045"/>
    <w:rsid w:val="007F5319"/>
    <w:rsid w:val="007F6082"/>
    <w:rsid w:val="007F61F1"/>
    <w:rsid w:val="007F655D"/>
    <w:rsid w:val="007F6695"/>
    <w:rsid w:val="007F6D2E"/>
    <w:rsid w:val="0080714A"/>
    <w:rsid w:val="00807380"/>
    <w:rsid w:val="0081077F"/>
    <w:rsid w:val="008114C7"/>
    <w:rsid w:val="00811D77"/>
    <w:rsid w:val="00812751"/>
    <w:rsid w:val="00813315"/>
    <w:rsid w:val="008136EC"/>
    <w:rsid w:val="00815003"/>
    <w:rsid w:val="0081568C"/>
    <w:rsid w:val="00815C6A"/>
    <w:rsid w:val="0081763B"/>
    <w:rsid w:val="00817803"/>
    <w:rsid w:val="00817A32"/>
    <w:rsid w:val="00817A5D"/>
    <w:rsid w:val="008205C4"/>
    <w:rsid w:val="008206AC"/>
    <w:rsid w:val="00821A7F"/>
    <w:rsid w:val="00822693"/>
    <w:rsid w:val="00823E3A"/>
    <w:rsid w:val="00824818"/>
    <w:rsid w:val="008261A2"/>
    <w:rsid w:val="00826C40"/>
    <w:rsid w:val="00827D6D"/>
    <w:rsid w:val="00831037"/>
    <w:rsid w:val="008312D7"/>
    <w:rsid w:val="00831EAF"/>
    <w:rsid w:val="008323DD"/>
    <w:rsid w:val="00832C0E"/>
    <w:rsid w:val="00832D14"/>
    <w:rsid w:val="00833AD0"/>
    <w:rsid w:val="00836156"/>
    <w:rsid w:val="008365D2"/>
    <w:rsid w:val="00836E2C"/>
    <w:rsid w:val="008429FD"/>
    <w:rsid w:val="008432DD"/>
    <w:rsid w:val="00846A25"/>
    <w:rsid w:val="00847494"/>
    <w:rsid w:val="008501D8"/>
    <w:rsid w:val="00851BE8"/>
    <w:rsid w:val="00853BCE"/>
    <w:rsid w:val="008545FC"/>
    <w:rsid w:val="00854600"/>
    <w:rsid w:val="00856D3E"/>
    <w:rsid w:val="00857ABC"/>
    <w:rsid w:val="00861EF1"/>
    <w:rsid w:val="0086414C"/>
    <w:rsid w:val="008656DB"/>
    <w:rsid w:val="0086678A"/>
    <w:rsid w:val="008679B3"/>
    <w:rsid w:val="00867F5B"/>
    <w:rsid w:val="00871825"/>
    <w:rsid w:val="00873A57"/>
    <w:rsid w:val="0087451D"/>
    <w:rsid w:val="00880755"/>
    <w:rsid w:val="00880B40"/>
    <w:rsid w:val="00881159"/>
    <w:rsid w:val="00881F89"/>
    <w:rsid w:val="00882D7D"/>
    <w:rsid w:val="0088330C"/>
    <w:rsid w:val="00883BF3"/>
    <w:rsid w:val="00884BF4"/>
    <w:rsid w:val="00885C9F"/>
    <w:rsid w:val="00886BE3"/>
    <w:rsid w:val="0089163A"/>
    <w:rsid w:val="008916FC"/>
    <w:rsid w:val="00892278"/>
    <w:rsid w:val="00893B9E"/>
    <w:rsid w:val="00895BAA"/>
    <w:rsid w:val="00895FFA"/>
    <w:rsid w:val="0089662B"/>
    <w:rsid w:val="00896BC3"/>
    <w:rsid w:val="0089701F"/>
    <w:rsid w:val="00897941"/>
    <w:rsid w:val="008A194A"/>
    <w:rsid w:val="008A30EF"/>
    <w:rsid w:val="008A3CAE"/>
    <w:rsid w:val="008A43C7"/>
    <w:rsid w:val="008A4672"/>
    <w:rsid w:val="008A4D12"/>
    <w:rsid w:val="008B0492"/>
    <w:rsid w:val="008B0B84"/>
    <w:rsid w:val="008B19D5"/>
    <w:rsid w:val="008B1A4B"/>
    <w:rsid w:val="008B28FA"/>
    <w:rsid w:val="008B2F45"/>
    <w:rsid w:val="008B4429"/>
    <w:rsid w:val="008B463E"/>
    <w:rsid w:val="008B5774"/>
    <w:rsid w:val="008B5B4F"/>
    <w:rsid w:val="008B703A"/>
    <w:rsid w:val="008B7BEF"/>
    <w:rsid w:val="008C09B3"/>
    <w:rsid w:val="008C207A"/>
    <w:rsid w:val="008C37AD"/>
    <w:rsid w:val="008C42CC"/>
    <w:rsid w:val="008C4F6D"/>
    <w:rsid w:val="008C7525"/>
    <w:rsid w:val="008C77E1"/>
    <w:rsid w:val="008D1939"/>
    <w:rsid w:val="008D2436"/>
    <w:rsid w:val="008D3624"/>
    <w:rsid w:val="008D4208"/>
    <w:rsid w:val="008D5AD6"/>
    <w:rsid w:val="008D63FC"/>
    <w:rsid w:val="008D7546"/>
    <w:rsid w:val="008E02E4"/>
    <w:rsid w:val="008E0A7A"/>
    <w:rsid w:val="008E1DA2"/>
    <w:rsid w:val="008E2C72"/>
    <w:rsid w:val="008E5A56"/>
    <w:rsid w:val="008E5F53"/>
    <w:rsid w:val="008F03EF"/>
    <w:rsid w:val="008F1812"/>
    <w:rsid w:val="008F21F9"/>
    <w:rsid w:val="008F35D9"/>
    <w:rsid w:val="008F42BC"/>
    <w:rsid w:val="008F442D"/>
    <w:rsid w:val="008F451B"/>
    <w:rsid w:val="008F4F17"/>
    <w:rsid w:val="008F53DB"/>
    <w:rsid w:val="0090044C"/>
    <w:rsid w:val="00901193"/>
    <w:rsid w:val="00903B34"/>
    <w:rsid w:val="00903CB4"/>
    <w:rsid w:val="00903EEA"/>
    <w:rsid w:val="009040B7"/>
    <w:rsid w:val="00904997"/>
    <w:rsid w:val="00904E9E"/>
    <w:rsid w:val="00906E4B"/>
    <w:rsid w:val="00907119"/>
    <w:rsid w:val="00907240"/>
    <w:rsid w:val="009101D7"/>
    <w:rsid w:val="00910312"/>
    <w:rsid w:val="0091077B"/>
    <w:rsid w:val="009131B3"/>
    <w:rsid w:val="0091505D"/>
    <w:rsid w:val="009151A1"/>
    <w:rsid w:val="009156FB"/>
    <w:rsid w:val="009160D8"/>
    <w:rsid w:val="00916C47"/>
    <w:rsid w:val="009201AC"/>
    <w:rsid w:val="009219A0"/>
    <w:rsid w:val="00924981"/>
    <w:rsid w:val="00926C6E"/>
    <w:rsid w:val="00931802"/>
    <w:rsid w:val="009319BA"/>
    <w:rsid w:val="00932C2B"/>
    <w:rsid w:val="00933E2F"/>
    <w:rsid w:val="0093404B"/>
    <w:rsid w:val="00941859"/>
    <w:rsid w:val="00941B88"/>
    <w:rsid w:val="0094274C"/>
    <w:rsid w:val="00942AE1"/>
    <w:rsid w:val="00942F5F"/>
    <w:rsid w:val="009430A4"/>
    <w:rsid w:val="00943255"/>
    <w:rsid w:val="00944644"/>
    <w:rsid w:val="0094615F"/>
    <w:rsid w:val="009471D9"/>
    <w:rsid w:val="00947E0C"/>
    <w:rsid w:val="00951583"/>
    <w:rsid w:val="0095171E"/>
    <w:rsid w:val="0095388D"/>
    <w:rsid w:val="0095615A"/>
    <w:rsid w:val="00957528"/>
    <w:rsid w:val="00957674"/>
    <w:rsid w:val="00960062"/>
    <w:rsid w:val="00961752"/>
    <w:rsid w:val="00964DB2"/>
    <w:rsid w:val="00966F7B"/>
    <w:rsid w:val="00971057"/>
    <w:rsid w:val="009722D6"/>
    <w:rsid w:val="009741A3"/>
    <w:rsid w:val="00975CE5"/>
    <w:rsid w:val="009769E4"/>
    <w:rsid w:val="00976B9F"/>
    <w:rsid w:val="00977B04"/>
    <w:rsid w:val="00980194"/>
    <w:rsid w:val="009805FF"/>
    <w:rsid w:val="009821C4"/>
    <w:rsid w:val="009844E7"/>
    <w:rsid w:val="009845CC"/>
    <w:rsid w:val="009859ED"/>
    <w:rsid w:val="0098632A"/>
    <w:rsid w:val="00986922"/>
    <w:rsid w:val="009870FC"/>
    <w:rsid w:val="00987A1D"/>
    <w:rsid w:val="00990E8C"/>
    <w:rsid w:val="00991208"/>
    <w:rsid w:val="00992281"/>
    <w:rsid w:val="00992645"/>
    <w:rsid w:val="00993225"/>
    <w:rsid w:val="00993D24"/>
    <w:rsid w:val="009941D9"/>
    <w:rsid w:val="0099464F"/>
    <w:rsid w:val="00994B3B"/>
    <w:rsid w:val="00994D07"/>
    <w:rsid w:val="0099518E"/>
    <w:rsid w:val="009953E8"/>
    <w:rsid w:val="00996084"/>
    <w:rsid w:val="009A0F0F"/>
    <w:rsid w:val="009A176A"/>
    <w:rsid w:val="009A30D6"/>
    <w:rsid w:val="009A368A"/>
    <w:rsid w:val="009A45C6"/>
    <w:rsid w:val="009A57AC"/>
    <w:rsid w:val="009A62F5"/>
    <w:rsid w:val="009A6A7E"/>
    <w:rsid w:val="009B11E0"/>
    <w:rsid w:val="009B3CBB"/>
    <w:rsid w:val="009B48CC"/>
    <w:rsid w:val="009B5158"/>
    <w:rsid w:val="009B525A"/>
    <w:rsid w:val="009B6051"/>
    <w:rsid w:val="009B6755"/>
    <w:rsid w:val="009B6C75"/>
    <w:rsid w:val="009B6DEB"/>
    <w:rsid w:val="009B6F28"/>
    <w:rsid w:val="009B708F"/>
    <w:rsid w:val="009B7261"/>
    <w:rsid w:val="009C0406"/>
    <w:rsid w:val="009C0578"/>
    <w:rsid w:val="009C2022"/>
    <w:rsid w:val="009C274D"/>
    <w:rsid w:val="009C366B"/>
    <w:rsid w:val="009C6230"/>
    <w:rsid w:val="009C6967"/>
    <w:rsid w:val="009C6BDF"/>
    <w:rsid w:val="009D0B8F"/>
    <w:rsid w:val="009D1952"/>
    <w:rsid w:val="009D1FBC"/>
    <w:rsid w:val="009D2F82"/>
    <w:rsid w:val="009D4209"/>
    <w:rsid w:val="009D5550"/>
    <w:rsid w:val="009E0491"/>
    <w:rsid w:val="009E0C70"/>
    <w:rsid w:val="009E1432"/>
    <w:rsid w:val="009E309D"/>
    <w:rsid w:val="009E33BE"/>
    <w:rsid w:val="009E41F1"/>
    <w:rsid w:val="009E496F"/>
    <w:rsid w:val="009E61CD"/>
    <w:rsid w:val="009E733E"/>
    <w:rsid w:val="009F113C"/>
    <w:rsid w:val="009F2471"/>
    <w:rsid w:val="009F2AAA"/>
    <w:rsid w:val="009F3A9D"/>
    <w:rsid w:val="009F5914"/>
    <w:rsid w:val="00A00C70"/>
    <w:rsid w:val="00A01176"/>
    <w:rsid w:val="00A01448"/>
    <w:rsid w:val="00A02E32"/>
    <w:rsid w:val="00A03C99"/>
    <w:rsid w:val="00A0487A"/>
    <w:rsid w:val="00A06027"/>
    <w:rsid w:val="00A122CF"/>
    <w:rsid w:val="00A12E06"/>
    <w:rsid w:val="00A13490"/>
    <w:rsid w:val="00A146AE"/>
    <w:rsid w:val="00A242E6"/>
    <w:rsid w:val="00A249B1"/>
    <w:rsid w:val="00A24D44"/>
    <w:rsid w:val="00A24F08"/>
    <w:rsid w:val="00A255AF"/>
    <w:rsid w:val="00A25C43"/>
    <w:rsid w:val="00A25DA0"/>
    <w:rsid w:val="00A26222"/>
    <w:rsid w:val="00A265D7"/>
    <w:rsid w:val="00A26B0A"/>
    <w:rsid w:val="00A26B5C"/>
    <w:rsid w:val="00A26E7B"/>
    <w:rsid w:val="00A2772E"/>
    <w:rsid w:val="00A3094C"/>
    <w:rsid w:val="00A31A2B"/>
    <w:rsid w:val="00A32FA8"/>
    <w:rsid w:val="00A33AE6"/>
    <w:rsid w:val="00A346FF"/>
    <w:rsid w:val="00A35031"/>
    <w:rsid w:val="00A3563E"/>
    <w:rsid w:val="00A3592E"/>
    <w:rsid w:val="00A408A6"/>
    <w:rsid w:val="00A41362"/>
    <w:rsid w:val="00A41FE5"/>
    <w:rsid w:val="00A426A4"/>
    <w:rsid w:val="00A447D2"/>
    <w:rsid w:val="00A474E3"/>
    <w:rsid w:val="00A5230E"/>
    <w:rsid w:val="00A52CA7"/>
    <w:rsid w:val="00A535A7"/>
    <w:rsid w:val="00A53B74"/>
    <w:rsid w:val="00A53EC2"/>
    <w:rsid w:val="00A54325"/>
    <w:rsid w:val="00A54696"/>
    <w:rsid w:val="00A5655C"/>
    <w:rsid w:val="00A56A7B"/>
    <w:rsid w:val="00A57252"/>
    <w:rsid w:val="00A573FD"/>
    <w:rsid w:val="00A62D60"/>
    <w:rsid w:val="00A63299"/>
    <w:rsid w:val="00A63545"/>
    <w:rsid w:val="00A635DD"/>
    <w:rsid w:val="00A649C6"/>
    <w:rsid w:val="00A64F22"/>
    <w:rsid w:val="00A6662A"/>
    <w:rsid w:val="00A6704A"/>
    <w:rsid w:val="00A6743E"/>
    <w:rsid w:val="00A70529"/>
    <w:rsid w:val="00A7136A"/>
    <w:rsid w:val="00A7258B"/>
    <w:rsid w:val="00A7394F"/>
    <w:rsid w:val="00A75700"/>
    <w:rsid w:val="00A77D96"/>
    <w:rsid w:val="00A80C5D"/>
    <w:rsid w:val="00A80E89"/>
    <w:rsid w:val="00A80E96"/>
    <w:rsid w:val="00A815DA"/>
    <w:rsid w:val="00A8201A"/>
    <w:rsid w:val="00A82C7B"/>
    <w:rsid w:val="00A86869"/>
    <w:rsid w:val="00A87D28"/>
    <w:rsid w:val="00A9185D"/>
    <w:rsid w:val="00A91B06"/>
    <w:rsid w:val="00A92280"/>
    <w:rsid w:val="00AA03D7"/>
    <w:rsid w:val="00AA1A38"/>
    <w:rsid w:val="00AA256A"/>
    <w:rsid w:val="00AA2641"/>
    <w:rsid w:val="00AA3214"/>
    <w:rsid w:val="00AA39E8"/>
    <w:rsid w:val="00AA4478"/>
    <w:rsid w:val="00AA6561"/>
    <w:rsid w:val="00AA7AE5"/>
    <w:rsid w:val="00AA7EB1"/>
    <w:rsid w:val="00AB2251"/>
    <w:rsid w:val="00AB270B"/>
    <w:rsid w:val="00AB2A2C"/>
    <w:rsid w:val="00AB39F4"/>
    <w:rsid w:val="00AB4025"/>
    <w:rsid w:val="00AB4280"/>
    <w:rsid w:val="00AB5083"/>
    <w:rsid w:val="00AB56F7"/>
    <w:rsid w:val="00AB57F1"/>
    <w:rsid w:val="00AC4980"/>
    <w:rsid w:val="00AC4BB7"/>
    <w:rsid w:val="00AC4CCB"/>
    <w:rsid w:val="00AC56F7"/>
    <w:rsid w:val="00AC583D"/>
    <w:rsid w:val="00AC5B88"/>
    <w:rsid w:val="00AC6FB5"/>
    <w:rsid w:val="00AC77CE"/>
    <w:rsid w:val="00AD0719"/>
    <w:rsid w:val="00AD0E52"/>
    <w:rsid w:val="00AD123B"/>
    <w:rsid w:val="00AD53F7"/>
    <w:rsid w:val="00AD7988"/>
    <w:rsid w:val="00AE03C8"/>
    <w:rsid w:val="00AE0A31"/>
    <w:rsid w:val="00AE11C1"/>
    <w:rsid w:val="00AE1769"/>
    <w:rsid w:val="00AE2479"/>
    <w:rsid w:val="00AE2B54"/>
    <w:rsid w:val="00AE3010"/>
    <w:rsid w:val="00AE5443"/>
    <w:rsid w:val="00AE5688"/>
    <w:rsid w:val="00AE56C6"/>
    <w:rsid w:val="00AE652E"/>
    <w:rsid w:val="00AE6C61"/>
    <w:rsid w:val="00AE78B8"/>
    <w:rsid w:val="00AF17B9"/>
    <w:rsid w:val="00AF1FD6"/>
    <w:rsid w:val="00AF2243"/>
    <w:rsid w:val="00AF2BBE"/>
    <w:rsid w:val="00AF342D"/>
    <w:rsid w:val="00AF3945"/>
    <w:rsid w:val="00AF4476"/>
    <w:rsid w:val="00AF4A4D"/>
    <w:rsid w:val="00AF50FD"/>
    <w:rsid w:val="00AF542D"/>
    <w:rsid w:val="00AF6EF9"/>
    <w:rsid w:val="00AF77BB"/>
    <w:rsid w:val="00B03497"/>
    <w:rsid w:val="00B03E28"/>
    <w:rsid w:val="00B04D44"/>
    <w:rsid w:val="00B06B7A"/>
    <w:rsid w:val="00B07695"/>
    <w:rsid w:val="00B07BC9"/>
    <w:rsid w:val="00B105FE"/>
    <w:rsid w:val="00B106BA"/>
    <w:rsid w:val="00B11128"/>
    <w:rsid w:val="00B1199C"/>
    <w:rsid w:val="00B127B1"/>
    <w:rsid w:val="00B13960"/>
    <w:rsid w:val="00B165E1"/>
    <w:rsid w:val="00B172CE"/>
    <w:rsid w:val="00B20D00"/>
    <w:rsid w:val="00B22875"/>
    <w:rsid w:val="00B22A45"/>
    <w:rsid w:val="00B23210"/>
    <w:rsid w:val="00B23542"/>
    <w:rsid w:val="00B24598"/>
    <w:rsid w:val="00B247AA"/>
    <w:rsid w:val="00B249F7"/>
    <w:rsid w:val="00B257FB"/>
    <w:rsid w:val="00B346B6"/>
    <w:rsid w:val="00B35138"/>
    <w:rsid w:val="00B36275"/>
    <w:rsid w:val="00B365BA"/>
    <w:rsid w:val="00B413A3"/>
    <w:rsid w:val="00B415AF"/>
    <w:rsid w:val="00B44830"/>
    <w:rsid w:val="00B458E6"/>
    <w:rsid w:val="00B50EBA"/>
    <w:rsid w:val="00B51407"/>
    <w:rsid w:val="00B518D5"/>
    <w:rsid w:val="00B537AD"/>
    <w:rsid w:val="00B54E40"/>
    <w:rsid w:val="00B55CDB"/>
    <w:rsid w:val="00B57287"/>
    <w:rsid w:val="00B57BA0"/>
    <w:rsid w:val="00B61A52"/>
    <w:rsid w:val="00B61BD6"/>
    <w:rsid w:val="00B61C54"/>
    <w:rsid w:val="00B63216"/>
    <w:rsid w:val="00B644F6"/>
    <w:rsid w:val="00B65A59"/>
    <w:rsid w:val="00B6649E"/>
    <w:rsid w:val="00B66A8D"/>
    <w:rsid w:val="00B67FE3"/>
    <w:rsid w:val="00B703A8"/>
    <w:rsid w:val="00B711E3"/>
    <w:rsid w:val="00B713EA"/>
    <w:rsid w:val="00B7215C"/>
    <w:rsid w:val="00B734A3"/>
    <w:rsid w:val="00B7387F"/>
    <w:rsid w:val="00B73E36"/>
    <w:rsid w:val="00B75078"/>
    <w:rsid w:val="00B84EE1"/>
    <w:rsid w:val="00B861B4"/>
    <w:rsid w:val="00B90CBD"/>
    <w:rsid w:val="00B91982"/>
    <w:rsid w:val="00B93014"/>
    <w:rsid w:val="00B94462"/>
    <w:rsid w:val="00B945AB"/>
    <w:rsid w:val="00B95815"/>
    <w:rsid w:val="00B96725"/>
    <w:rsid w:val="00BA0940"/>
    <w:rsid w:val="00BA352E"/>
    <w:rsid w:val="00BA548E"/>
    <w:rsid w:val="00BA5C64"/>
    <w:rsid w:val="00BB1271"/>
    <w:rsid w:val="00BB1A48"/>
    <w:rsid w:val="00BB20C1"/>
    <w:rsid w:val="00BB439E"/>
    <w:rsid w:val="00BB7083"/>
    <w:rsid w:val="00BB7304"/>
    <w:rsid w:val="00BB73AA"/>
    <w:rsid w:val="00BB7F7A"/>
    <w:rsid w:val="00BC176D"/>
    <w:rsid w:val="00BC402C"/>
    <w:rsid w:val="00BC7E8A"/>
    <w:rsid w:val="00BD0088"/>
    <w:rsid w:val="00BD21E8"/>
    <w:rsid w:val="00BD2330"/>
    <w:rsid w:val="00BD2893"/>
    <w:rsid w:val="00BD30EB"/>
    <w:rsid w:val="00BD490A"/>
    <w:rsid w:val="00BD5775"/>
    <w:rsid w:val="00BD6D68"/>
    <w:rsid w:val="00BD7B6A"/>
    <w:rsid w:val="00BE14E8"/>
    <w:rsid w:val="00BE3140"/>
    <w:rsid w:val="00BE3D17"/>
    <w:rsid w:val="00BE58C4"/>
    <w:rsid w:val="00BE6769"/>
    <w:rsid w:val="00BF4E80"/>
    <w:rsid w:val="00BF4F60"/>
    <w:rsid w:val="00BF54B6"/>
    <w:rsid w:val="00BF5D4B"/>
    <w:rsid w:val="00BF6405"/>
    <w:rsid w:val="00BF66E6"/>
    <w:rsid w:val="00BF6D32"/>
    <w:rsid w:val="00C00724"/>
    <w:rsid w:val="00C019F0"/>
    <w:rsid w:val="00C02B7F"/>
    <w:rsid w:val="00C049D4"/>
    <w:rsid w:val="00C05E2D"/>
    <w:rsid w:val="00C077F1"/>
    <w:rsid w:val="00C1070C"/>
    <w:rsid w:val="00C114A3"/>
    <w:rsid w:val="00C118EA"/>
    <w:rsid w:val="00C11A36"/>
    <w:rsid w:val="00C11A48"/>
    <w:rsid w:val="00C12526"/>
    <w:rsid w:val="00C12D64"/>
    <w:rsid w:val="00C1406B"/>
    <w:rsid w:val="00C1418C"/>
    <w:rsid w:val="00C15E69"/>
    <w:rsid w:val="00C16E7C"/>
    <w:rsid w:val="00C17059"/>
    <w:rsid w:val="00C17541"/>
    <w:rsid w:val="00C208E7"/>
    <w:rsid w:val="00C21A21"/>
    <w:rsid w:val="00C21C4A"/>
    <w:rsid w:val="00C27284"/>
    <w:rsid w:val="00C30A0A"/>
    <w:rsid w:val="00C32100"/>
    <w:rsid w:val="00C322B4"/>
    <w:rsid w:val="00C3382B"/>
    <w:rsid w:val="00C34351"/>
    <w:rsid w:val="00C34360"/>
    <w:rsid w:val="00C356C2"/>
    <w:rsid w:val="00C364B3"/>
    <w:rsid w:val="00C366BC"/>
    <w:rsid w:val="00C378BA"/>
    <w:rsid w:val="00C41A9F"/>
    <w:rsid w:val="00C42AA8"/>
    <w:rsid w:val="00C42E2E"/>
    <w:rsid w:val="00C47FC7"/>
    <w:rsid w:val="00C50DF2"/>
    <w:rsid w:val="00C511DE"/>
    <w:rsid w:val="00C53D09"/>
    <w:rsid w:val="00C54C25"/>
    <w:rsid w:val="00C54D7A"/>
    <w:rsid w:val="00C55275"/>
    <w:rsid w:val="00C5770B"/>
    <w:rsid w:val="00C6179E"/>
    <w:rsid w:val="00C61F1A"/>
    <w:rsid w:val="00C63684"/>
    <w:rsid w:val="00C648D0"/>
    <w:rsid w:val="00C66A5D"/>
    <w:rsid w:val="00C7065C"/>
    <w:rsid w:val="00C71652"/>
    <w:rsid w:val="00C72A7C"/>
    <w:rsid w:val="00C74F34"/>
    <w:rsid w:val="00C756DD"/>
    <w:rsid w:val="00C76DBB"/>
    <w:rsid w:val="00C80623"/>
    <w:rsid w:val="00C80AB0"/>
    <w:rsid w:val="00C829EA"/>
    <w:rsid w:val="00C84149"/>
    <w:rsid w:val="00C868CC"/>
    <w:rsid w:val="00C86E64"/>
    <w:rsid w:val="00C871A3"/>
    <w:rsid w:val="00C87ADC"/>
    <w:rsid w:val="00C87E4B"/>
    <w:rsid w:val="00C90F35"/>
    <w:rsid w:val="00C91186"/>
    <w:rsid w:val="00C91E2B"/>
    <w:rsid w:val="00C91EF0"/>
    <w:rsid w:val="00C9443D"/>
    <w:rsid w:val="00C96DAB"/>
    <w:rsid w:val="00C96F6E"/>
    <w:rsid w:val="00C973B3"/>
    <w:rsid w:val="00CA0218"/>
    <w:rsid w:val="00CA291F"/>
    <w:rsid w:val="00CA3F49"/>
    <w:rsid w:val="00CA4E48"/>
    <w:rsid w:val="00CA5AD9"/>
    <w:rsid w:val="00CA6DB1"/>
    <w:rsid w:val="00CA7EFC"/>
    <w:rsid w:val="00CB36D2"/>
    <w:rsid w:val="00CB4723"/>
    <w:rsid w:val="00CB51AC"/>
    <w:rsid w:val="00CB5BCF"/>
    <w:rsid w:val="00CB65C4"/>
    <w:rsid w:val="00CB7239"/>
    <w:rsid w:val="00CC0C90"/>
    <w:rsid w:val="00CC1653"/>
    <w:rsid w:val="00CC1737"/>
    <w:rsid w:val="00CC1950"/>
    <w:rsid w:val="00CC1B4E"/>
    <w:rsid w:val="00CC1BA4"/>
    <w:rsid w:val="00CC2475"/>
    <w:rsid w:val="00CC2D88"/>
    <w:rsid w:val="00CC426F"/>
    <w:rsid w:val="00CC5318"/>
    <w:rsid w:val="00CC560C"/>
    <w:rsid w:val="00CC6AD6"/>
    <w:rsid w:val="00CD0E01"/>
    <w:rsid w:val="00CD10A7"/>
    <w:rsid w:val="00CD2077"/>
    <w:rsid w:val="00CD2F82"/>
    <w:rsid w:val="00CD454E"/>
    <w:rsid w:val="00CD4EF5"/>
    <w:rsid w:val="00CD5014"/>
    <w:rsid w:val="00CD5103"/>
    <w:rsid w:val="00CD72D1"/>
    <w:rsid w:val="00CD73F4"/>
    <w:rsid w:val="00CE02B1"/>
    <w:rsid w:val="00CE1261"/>
    <w:rsid w:val="00CE142A"/>
    <w:rsid w:val="00CE19BB"/>
    <w:rsid w:val="00CE2AD1"/>
    <w:rsid w:val="00CE30CC"/>
    <w:rsid w:val="00CE7226"/>
    <w:rsid w:val="00CF1AA0"/>
    <w:rsid w:val="00CF302D"/>
    <w:rsid w:val="00CF3E50"/>
    <w:rsid w:val="00CF4560"/>
    <w:rsid w:val="00CF53BD"/>
    <w:rsid w:val="00D02744"/>
    <w:rsid w:val="00D03596"/>
    <w:rsid w:val="00D0453B"/>
    <w:rsid w:val="00D050A3"/>
    <w:rsid w:val="00D05E3E"/>
    <w:rsid w:val="00D12D2D"/>
    <w:rsid w:val="00D14A50"/>
    <w:rsid w:val="00D16831"/>
    <w:rsid w:val="00D16B06"/>
    <w:rsid w:val="00D17E76"/>
    <w:rsid w:val="00D208DA"/>
    <w:rsid w:val="00D24D9B"/>
    <w:rsid w:val="00D25D59"/>
    <w:rsid w:val="00D267C7"/>
    <w:rsid w:val="00D26B50"/>
    <w:rsid w:val="00D30288"/>
    <w:rsid w:val="00D3288B"/>
    <w:rsid w:val="00D3437B"/>
    <w:rsid w:val="00D3475A"/>
    <w:rsid w:val="00D35080"/>
    <w:rsid w:val="00D35819"/>
    <w:rsid w:val="00D35FDC"/>
    <w:rsid w:val="00D41481"/>
    <w:rsid w:val="00D440EC"/>
    <w:rsid w:val="00D45D3B"/>
    <w:rsid w:val="00D502A0"/>
    <w:rsid w:val="00D50C90"/>
    <w:rsid w:val="00D516AD"/>
    <w:rsid w:val="00D51A13"/>
    <w:rsid w:val="00D51F49"/>
    <w:rsid w:val="00D529E2"/>
    <w:rsid w:val="00D52F85"/>
    <w:rsid w:val="00D53DD1"/>
    <w:rsid w:val="00D545F1"/>
    <w:rsid w:val="00D57CB1"/>
    <w:rsid w:val="00D57FAF"/>
    <w:rsid w:val="00D60CC7"/>
    <w:rsid w:val="00D60F66"/>
    <w:rsid w:val="00D61044"/>
    <w:rsid w:val="00D6437B"/>
    <w:rsid w:val="00D656C4"/>
    <w:rsid w:val="00D65D01"/>
    <w:rsid w:val="00D66675"/>
    <w:rsid w:val="00D71B7F"/>
    <w:rsid w:val="00D71C7F"/>
    <w:rsid w:val="00D7422E"/>
    <w:rsid w:val="00D742F9"/>
    <w:rsid w:val="00D772E0"/>
    <w:rsid w:val="00D77CFD"/>
    <w:rsid w:val="00D80B8C"/>
    <w:rsid w:val="00D80CE8"/>
    <w:rsid w:val="00D8473C"/>
    <w:rsid w:val="00D87286"/>
    <w:rsid w:val="00D87D89"/>
    <w:rsid w:val="00D87DBF"/>
    <w:rsid w:val="00D91199"/>
    <w:rsid w:val="00D95228"/>
    <w:rsid w:val="00DA1EA8"/>
    <w:rsid w:val="00DA222C"/>
    <w:rsid w:val="00DA2693"/>
    <w:rsid w:val="00DA2C7A"/>
    <w:rsid w:val="00DA3BED"/>
    <w:rsid w:val="00DA422B"/>
    <w:rsid w:val="00DA7F10"/>
    <w:rsid w:val="00DB03D6"/>
    <w:rsid w:val="00DB0BD4"/>
    <w:rsid w:val="00DB149D"/>
    <w:rsid w:val="00DB2689"/>
    <w:rsid w:val="00DB2DE3"/>
    <w:rsid w:val="00DB3CF9"/>
    <w:rsid w:val="00DB52F3"/>
    <w:rsid w:val="00DB7D2A"/>
    <w:rsid w:val="00DC03B7"/>
    <w:rsid w:val="00DC1D48"/>
    <w:rsid w:val="00DC2605"/>
    <w:rsid w:val="00DC2A93"/>
    <w:rsid w:val="00DC2BBF"/>
    <w:rsid w:val="00DC2F5D"/>
    <w:rsid w:val="00DC3011"/>
    <w:rsid w:val="00DC57A7"/>
    <w:rsid w:val="00DD0B2B"/>
    <w:rsid w:val="00DD19F8"/>
    <w:rsid w:val="00DD2009"/>
    <w:rsid w:val="00DD2664"/>
    <w:rsid w:val="00DD2827"/>
    <w:rsid w:val="00DD451B"/>
    <w:rsid w:val="00DD4DE6"/>
    <w:rsid w:val="00DD5DCC"/>
    <w:rsid w:val="00DD65DB"/>
    <w:rsid w:val="00DD6DA0"/>
    <w:rsid w:val="00DD7FDD"/>
    <w:rsid w:val="00DE0C34"/>
    <w:rsid w:val="00DE1EA5"/>
    <w:rsid w:val="00DE7A4F"/>
    <w:rsid w:val="00DF0C0B"/>
    <w:rsid w:val="00DF167C"/>
    <w:rsid w:val="00DF564C"/>
    <w:rsid w:val="00DF5BB2"/>
    <w:rsid w:val="00E01752"/>
    <w:rsid w:val="00E020AF"/>
    <w:rsid w:val="00E02C7E"/>
    <w:rsid w:val="00E02ED6"/>
    <w:rsid w:val="00E041D2"/>
    <w:rsid w:val="00E07196"/>
    <w:rsid w:val="00E07B7A"/>
    <w:rsid w:val="00E07FCC"/>
    <w:rsid w:val="00E10270"/>
    <w:rsid w:val="00E108AB"/>
    <w:rsid w:val="00E115AE"/>
    <w:rsid w:val="00E11EB3"/>
    <w:rsid w:val="00E13613"/>
    <w:rsid w:val="00E14C3A"/>
    <w:rsid w:val="00E156CE"/>
    <w:rsid w:val="00E16887"/>
    <w:rsid w:val="00E218E6"/>
    <w:rsid w:val="00E21BBD"/>
    <w:rsid w:val="00E21C5B"/>
    <w:rsid w:val="00E22030"/>
    <w:rsid w:val="00E25868"/>
    <w:rsid w:val="00E30BF6"/>
    <w:rsid w:val="00E32F7E"/>
    <w:rsid w:val="00E3354B"/>
    <w:rsid w:val="00E335D2"/>
    <w:rsid w:val="00E3403F"/>
    <w:rsid w:val="00E34766"/>
    <w:rsid w:val="00E37529"/>
    <w:rsid w:val="00E37BE1"/>
    <w:rsid w:val="00E4041A"/>
    <w:rsid w:val="00E42F9A"/>
    <w:rsid w:val="00E4369B"/>
    <w:rsid w:val="00E43C6D"/>
    <w:rsid w:val="00E44B40"/>
    <w:rsid w:val="00E44FB9"/>
    <w:rsid w:val="00E4742D"/>
    <w:rsid w:val="00E47EA1"/>
    <w:rsid w:val="00E50CBF"/>
    <w:rsid w:val="00E5128D"/>
    <w:rsid w:val="00E515D2"/>
    <w:rsid w:val="00E51B4D"/>
    <w:rsid w:val="00E51DF5"/>
    <w:rsid w:val="00E5491D"/>
    <w:rsid w:val="00E54A39"/>
    <w:rsid w:val="00E5565D"/>
    <w:rsid w:val="00E55E6B"/>
    <w:rsid w:val="00E57737"/>
    <w:rsid w:val="00E57B34"/>
    <w:rsid w:val="00E57CE3"/>
    <w:rsid w:val="00E606C7"/>
    <w:rsid w:val="00E60753"/>
    <w:rsid w:val="00E60C05"/>
    <w:rsid w:val="00E61519"/>
    <w:rsid w:val="00E63E7D"/>
    <w:rsid w:val="00E64076"/>
    <w:rsid w:val="00E646E3"/>
    <w:rsid w:val="00E65DDD"/>
    <w:rsid w:val="00E66AAA"/>
    <w:rsid w:val="00E72647"/>
    <w:rsid w:val="00E730C9"/>
    <w:rsid w:val="00E731A2"/>
    <w:rsid w:val="00E7322F"/>
    <w:rsid w:val="00E738FD"/>
    <w:rsid w:val="00E749FF"/>
    <w:rsid w:val="00E7500C"/>
    <w:rsid w:val="00E7546A"/>
    <w:rsid w:val="00E762AF"/>
    <w:rsid w:val="00E76CF6"/>
    <w:rsid w:val="00E80D8A"/>
    <w:rsid w:val="00E81494"/>
    <w:rsid w:val="00E81898"/>
    <w:rsid w:val="00E836D1"/>
    <w:rsid w:val="00E836FC"/>
    <w:rsid w:val="00E8383C"/>
    <w:rsid w:val="00E85AE1"/>
    <w:rsid w:val="00E85F9C"/>
    <w:rsid w:val="00E86C8C"/>
    <w:rsid w:val="00E878A0"/>
    <w:rsid w:val="00E90408"/>
    <w:rsid w:val="00E92E24"/>
    <w:rsid w:val="00E93482"/>
    <w:rsid w:val="00E946C9"/>
    <w:rsid w:val="00E949E5"/>
    <w:rsid w:val="00E959AC"/>
    <w:rsid w:val="00E95E98"/>
    <w:rsid w:val="00E96226"/>
    <w:rsid w:val="00EA0548"/>
    <w:rsid w:val="00EA0D8A"/>
    <w:rsid w:val="00EA1A16"/>
    <w:rsid w:val="00EA2392"/>
    <w:rsid w:val="00EA3F2C"/>
    <w:rsid w:val="00EA42FF"/>
    <w:rsid w:val="00EA5834"/>
    <w:rsid w:val="00EA5AB9"/>
    <w:rsid w:val="00EA74E4"/>
    <w:rsid w:val="00EB0E18"/>
    <w:rsid w:val="00EB0FAF"/>
    <w:rsid w:val="00EB146D"/>
    <w:rsid w:val="00EB26F5"/>
    <w:rsid w:val="00EB51D9"/>
    <w:rsid w:val="00EC1311"/>
    <w:rsid w:val="00EC1B28"/>
    <w:rsid w:val="00EC250F"/>
    <w:rsid w:val="00EC45FE"/>
    <w:rsid w:val="00EC4D98"/>
    <w:rsid w:val="00EC59C1"/>
    <w:rsid w:val="00EC683F"/>
    <w:rsid w:val="00EC69B2"/>
    <w:rsid w:val="00EC7FEE"/>
    <w:rsid w:val="00ED0BB4"/>
    <w:rsid w:val="00ED10B3"/>
    <w:rsid w:val="00ED4563"/>
    <w:rsid w:val="00ED67AD"/>
    <w:rsid w:val="00ED687C"/>
    <w:rsid w:val="00ED6F02"/>
    <w:rsid w:val="00EE0E66"/>
    <w:rsid w:val="00EE0FD6"/>
    <w:rsid w:val="00EE1A0F"/>
    <w:rsid w:val="00EE1F98"/>
    <w:rsid w:val="00EE3F69"/>
    <w:rsid w:val="00EE578C"/>
    <w:rsid w:val="00EE73F6"/>
    <w:rsid w:val="00EF00B2"/>
    <w:rsid w:val="00EF0FFE"/>
    <w:rsid w:val="00EF14AE"/>
    <w:rsid w:val="00EF1C72"/>
    <w:rsid w:val="00EF3863"/>
    <w:rsid w:val="00EF4BED"/>
    <w:rsid w:val="00EF7736"/>
    <w:rsid w:val="00EF7ECF"/>
    <w:rsid w:val="00F008C7"/>
    <w:rsid w:val="00F014CF"/>
    <w:rsid w:val="00F02964"/>
    <w:rsid w:val="00F034CD"/>
    <w:rsid w:val="00F05CAF"/>
    <w:rsid w:val="00F07A7A"/>
    <w:rsid w:val="00F10794"/>
    <w:rsid w:val="00F11429"/>
    <w:rsid w:val="00F12E90"/>
    <w:rsid w:val="00F13761"/>
    <w:rsid w:val="00F13922"/>
    <w:rsid w:val="00F1578D"/>
    <w:rsid w:val="00F1584E"/>
    <w:rsid w:val="00F23B80"/>
    <w:rsid w:val="00F24684"/>
    <w:rsid w:val="00F25E34"/>
    <w:rsid w:val="00F26077"/>
    <w:rsid w:val="00F308E2"/>
    <w:rsid w:val="00F31137"/>
    <w:rsid w:val="00F34514"/>
    <w:rsid w:val="00F40A3D"/>
    <w:rsid w:val="00F44C0D"/>
    <w:rsid w:val="00F45B55"/>
    <w:rsid w:val="00F45C88"/>
    <w:rsid w:val="00F50D36"/>
    <w:rsid w:val="00F5665D"/>
    <w:rsid w:val="00F5724F"/>
    <w:rsid w:val="00F57B96"/>
    <w:rsid w:val="00F60CA7"/>
    <w:rsid w:val="00F614E3"/>
    <w:rsid w:val="00F61868"/>
    <w:rsid w:val="00F633EE"/>
    <w:rsid w:val="00F63934"/>
    <w:rsid w:val="00F64D4D"/>
    <w:rsid w:val="00F66D22"/>
    <w:rsid w:val="00F6794F"/>
    <w:rsid w:val="00F67C00"/>
    <w:rsid w:val="00F70727"/>
    <w:rsid w:val="00F71752"/>
    <w:rsid w:val="00F717A6"/>
    <w:rsid w:val="00F722D6"/>
    <w:rsid w:val="00F72E2D"/>
    <w:rsid w:val="00F73229"/>
    <w:rsid w:val="00F73620"/>
    <w:rsid w:val="00F7387F"/>
    <w:rsid w:val="00F73A55"/>
    <w:rsid w:val="00F7600E"/>
    <w:rsid w:val="00F770E1"/>
    <w:rsid w:val="00F77A05"/>
    <w:rsid w:val="00F8155F"/>
    <w:rsid w:val="00F81913"/>
    <w:rsid w:val="00F81FAB"/>
    <w:rsid w:val="00F82E93"/>
    <w:rsid w:val="00F83390"/>
    <w:rsid w:val="00F8356C"/>
    <w:rsid w:val="00F8469A"/>
    <w:rsid w:val="00F859E9"/>
    <w:rsid w:val="00F86255"/>
    <w:rsid w:val="00F90E92"/>
    <w:rsid w:val="00F9134D"/>
    <w:rsid w:val="00F92A86"/>
    <w:rsid w:val="00F92B81"/>
    <w:rsid w:val="00F92BED"/>
    <w:rsid w:val="00F94136"/>
    <w:rsid w:val="00F949A6"/>
    <w:rsid w:val="00F94F2A"/>
    <w:rsid w:val="00F96211"/>
    <w:rsid w:val="00F96ABF"/>
    <w:rsid w:val="00F975A4"/>
    <w:rsid w:val="00FA05B6"/>
    <w:rsid w:val="00FA155F"/>
    <w:rsid w:val="00FA1A81"/>
    <w:rsid w:val="00FA2911"/>
    <w:rsid w:val="00FA3961"/>
    <w:rsid w:val="00FA3D06"/>
    <w:rsid w:val="00FA3F86"/>
    <w:rsid w:val="00FA4813"/>
    <w:rsid w:val="00FA6CD8"/>
    <w:rsid w:val="00FB0983"/>
    <w:rsid w:val="00FB37E3"/>
    <w:rsid w:val="00FB5310"/>
    <w:rsid w:val="00FB5909"/>
    <w:rsid w:val="00FB634C"/>
    <w:rsid w:val="00FB69A9"/>
    <w:rsid w:val="00FC06D9"/>
    <w:rsid w:val="00FC132B"/>
    <w:rsid w:val="00FC1D26"/>
    <w:rsid w:val="00FC2EF8"/>
    <w:rsid w:val="00FC3A65"/>
    <w:rsid w:val="00FC3A9F"/>
    <w:rsid w:val="00FC41EB"/>
    <w:rsid w:val="00FC427F"/>
    <w:rsid w:val="00FC44DF"/>
    <w:rsid w:val="00FC4AEF"/>
    <w:rsid w:val="00FC4D2C"/>
    <w:rsid w:val="00FC56B0"/>
    <w:rsid w:val="00FC6309"/>
    <w:rsid w:val="00FC6C50"/>
    <w:rsid w:val="00FC6E42"/>
    <w:rsid w:val="00FC7BA2"/>
    <w:rsid w:val="00FC7D1A"/>
    <w:rsid w:val="00FD1359"/>
    <w:rsid w:val="00FD16DE"/>
    <w:rsid w:val="00FD23C1"/>
    <w:rsid w:val="00FD36F4"/>
    <w:rsid w:val="00FD3A2C"/>
    <w:rsid w:val="00FD4DB9"/>
    <w:rsid w:val="00FD57D3"/>
    <w:rsid w:val="00FD6EBD"/>
    <w:rsid w:val="00FD6FE8"/>
    <w:rsid w:val="00FD78D6"/>
    <w:rsid w:val="00FE037C"/>
    <w:rsid w:val="00FE2495"/>
    <w:rsid w:val="00FE249C"/>
    <w:rsid w:val="00FE31E0"/>
    <w:rsid w:val="00FE3C5E"/>
    <w:rsid w:val="00FE4C9F"/>
    <w:rsid w:val="00FE7BA8"/>
    <w:rsid w:val="00FF0706"/>
    <w:rsid w:val="00FF079F"/>
    <w:rsid w:val="00FF257F"/>
    <w:rsid w:val="00FF3F61"/>
    <w:rsid w:val="00FF45FE"/>
    <w:rsid w:val="00FF60FD"/>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4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2FF"/>
    <w:rPr>
      <w:rFonts w:ascii="Arial" w:hAnsi="Arial"/>
      <w:sz w:val="24"/>
      <w:szCs w:val="24"/>
    </w:rPr>
  </w:style>
  <w:style w:type="paragraph" w:styleId="Heading1">
    <w:name w:val="heading 1"/>
    <w:basedOn w:val="Normal"/>
    <w:next w:val="Normal"/>
    <w:qFormat/>
    <w:rsid w:val="0028140F"/>
    <w:pPr>
      <w:pBdr>
        <w:top w:val="single" w:sz="24" w:space="1" w:color="auto"/>
        <w:left w:val="single" w:sz="24" w:space="4" w:color="auto"/>
        <w:bottom w:val="single" w:sz="24" w:space="1" w:color="auto"/>
        <w:right w:val="single" w:sz="24" w:space="4" w:color="auto"/>
      </w:pBdr>
      <w:spacing w:after="720"/>
      <w:jc w:val="center"/>
      <w:outlineLvl w:val="0"/>
    </w:pPr>
    <w:rPr>
      <w:rFonts w:cs="Arial"/>
      <w:b/>
      <w:sz w:val="28"/>
      <w:szCs w:val="28"/>
    </w:rPr>
  </w:style>
  <w:style w:type="paragraph" w:styleId="Heading2">
    <w:name w:val="heading 2"/>
    <w:basedOn w:val="Heading1"/>
    <w:next w:val="Normal"/>
    <w:link w:val="Heading2Char"/>
    <w:unhideWhenUsed/>
    <w:qFormat/>
    <w:rsid w:val="00271C6A"/>
    <w:pPr>
      <w:pBdr>
        <w:top w:val="none" w:sz="0" w:space="0" w:color="auto"/>
        <w:left w:val="none" w:sz="0" w:space="0" w:color="auto"/>
        <w:bottom w:val="none" w:sz="0" w:space="0" w:color="auto"/>
        <w:right w:val="none" w:sz="0" w:space="0" w:color="auto"/>
      </w:pBdr>
      <w:spacing w:after="240"/>
      <w:outlineLvl w:val="1"/>
    </w:pPr>
    <w:rPr>
      <w:szCs w:val="24"/>
    </w:rPr>
  </w:style>
  <w:style w:type="paragraph" w:styleId="Heading3">
    <w:name w:val="heading 3"/>
    <w:basedOn w:val="Normal"/>
    <w:next w:val="Normal"/>
    <w:link w:val="Heading3Char"/>
    <w:unhideWhenUsed/>
    <w:qFormat/>
    <w:rsid w:val="008C42CC"/>
    <w:pPr>
      <w:keepNext/>
      <w:keepLines/>
      <w:spacing w:after="240"/>
      <w:jc w:val="center"/>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14E3"/>
    <w:rPr>
      <w:szCs w:val="20"/>
    </w:rPr>
  </w:style>
  <w:style w:type="paragraph" w:styleId="Header">
    <w:name w:val="header"/>
    <w:basedOn w:val="Normal"/>
    <w:rsid w:val="00F614E3"/>
    <w:pPr>
      <w:tabs>
        <w:tab w:val="center" w:pos="4320"/>
        <w:tab w:val="right" w:pos="8640"/>
      </w:tabs>
    </w:pPr>
  </w:style>
  <w:style w:type="character" w:styleId="CommentReference">
    <w:name w:val="annotation reference"/>
    <w:uiPriority w:val="99"/>
    <w:rsid w:val="00B06B7A"/>
    <w:rPr>
      <w:sz w:val="16"/>
      <w:szCs w:val="16"/>
    </w:rPr>
  </w:style>
  <w:style w:type="paragraph" w:styleId="CommentText">
    <w:name w:val="annotation text"/>
    <w:basedOn w:val="Normal"/>
    <w:link w:val="CommentTextChar"/>
    <w:uiPriority w:val="99"/>
    <w:rsid w:val="00B06B7A"/>
    <w:rPr>
      <w:sz w:val="20"/>
      <w:szCs w:val="20"/>
    </w:rPr>
  </w:style>
  <w:style w:type="character" w:customStyle="1" w:styleId="CommentTextChar">
    <w:name w:val="Comment Text Char"/>
    <w:basedOn w:val="DefaultParagraphFont"/>
    <w:link w:val="CommentText"/>
    <w:uiPriority w:val="99"/>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ListParagraph">
    <w:name w:val="List Paragraph"/>
    <w:basedOn w:val="Normal"/>
    <w:uiPriority w:val="34"/>
    <w:qFormat/>
    <w:rsid w:val="00063655"/>
    <w:pPr>
      <w:spacing w:after="160" w:line="259" w:lineRule="auto"/>
      <w:ind w:left="720"/>
      <w:contextualSpacing/>
    </w:pPr>
    <w:rPr>
      <w:rFonts w:eastAsiaTheme="minorHAnsi" w:cstheme="minorBidi"/>
      <w:szCs w:val="22"/>
    </w:rPr>
  </w:style>
  <w:style w:type="character" w:styleId="UnresolvedMention">
    <w:name w:val="Unresolved Mention"/>
    <w:basedOn w:val="DefaultParagraphFont"/>
    <w:uiPriority w:val="99"/>
    <w:semiHidden/>
    <w:unhideWhenUsed/>
    <w:rsid w:val="007E46D5"/>
    <w:rPr>
      <w:color w:val="605E5C"/>
      <w:shd w:val="clear" w:color="auto" w:fill="E1DFDD"/>
    </w:rPr>
  </w:style>
  <w:style w:type="paragraph" w:styleId="NormalWeb">
    <w:name w:val="Normal (Web)"/>
    <w:basedOn w:val="Normal"/>
    <w:uiPriority w:val="99"/>
    <w:unhideWhenUsed/>
    <w:rsid w:val="00B165E1"/>
    <w:pPr>
      <w:spacing w:before="100" w:beforeAutospacing="1" w:after="100" w:afterAutospacing="1"/>
    </w:pPr>
  </w:style>
  <w:style w:type="character" w:customStyle="1" w:styleId="Heading3Char">
    <w:name w:val="Heading 3 Char"/>
    <w:basedOn w:val="DefaultParagraphFont"/>
    <w:link w:val="Heading3"/>
    <w:rsid w:val="008C42CC"/>
    <w:rPr>
      <w:rFonts w:ascii="Arial" w:eastAsiaTheme="majorEastAsia" w:hAnsi="Arial" w:cstheme="majorBidi"/>
      <w:b/>
      <w:sz w:val="24"/>
      <w:szCs w:val="24"/>
    </w:rPr>
  </w:style>
  <w:style w:type="paragraph" w:customStyle="1" w:styleId="Default">
    <w:name w:val="Default"/>
    <w:rsid w:val="00831037"/>
    <w:pPr>
      <w:autoSpaceDE w:val="0"/>
      <w:autoSpaceDN w:val="0"/>
      <w:adjustRightInd w:val="0"/>
    </w:pPr>
    <w:rPr>
      <w:rFonts w:ascii="Arial" w:eastAsiaTheme="minorHAnsi" w:hAnsi="Arial" w:cs="Arial"/>
      <w:color w:val="000000"/>
      <w:sz w:val="24"/>
      <w:szCs w:val="24"/>
    </w:rPr>
  </w:style>
  <w:style w:type="paragraph" w:styleId="TOCHeading">
    <w:name w:val="TOC Heading"/>
    <w:basedOn w:val="Heading1"/>
    <w:next w:val="Normal"/>
    <w:uiPriority w:val="39"/>
    <w:unhideWhenUsed/>
    <w:qFormat/>
    <w:rsid w:val="004C6741"/>
    <w:pPr>
      <w:keepLines/>
      <w:spacing w:before="240" w:line="259" w:lineRule="auto"/>
      <w:jc w:val="left"/>
      <w:outlineLvl w:val="9"/>
    </w:pPr>
    <w:rPr>
      <w:rFonts w:asciiTheme="majorHAnsi" w:eastAsiaTheme="majorEastAsia" w:hAnsiTheme="majorHAnsi" w:cstheme="majorBidi"/>
      <w:b w:val="0"/>
      <w:bCs/>
      <w:color w:val="2F5496" w:themeColor="accent1" w:themeShade="BF"/>
      <w:sz w:val="32"/>
      <w:szCs w:val="32"/>
    </w:rPr>
  </w:style>
  <w:style w:type="paragraph" w:styleId="TOC3">
    <w:name w:val="toc 3"/>
    <w:basedOn w:val="Normal"/>
    <w:next w:val="Normal"/>
    <w:autoRedefine/>
    <w:uiPriority w:val="39"/>
    <w:rsid w:val="004C6741"/>
    <w:pPr>
      <w:spacing w:after="100"/>
      <w:ind w:left="480"/>
    </w:pPr>
  </w:style>
  <w:style w:type="character" w:customStyle="1" w:styleId="Heading2Char">
    <w:name w:val="Heading 2 Char"/>
    <w:basedOn w:val="DefaultParagraphFont"/>
    <w:link w:val="Heading2"/>
    <w:rsid w:val="00271C6A"/>
    <w:rPr>
      <w:rFonts w:ascii="Arial" w:hAnsi="Arial" w:cs="Arial"/>
      <w:b/>
      <w:sz w:val="28"/>
      <w:szCs w:val="24"/>
    </w:rPr>
  </w:style>
  <w:style w:type="character" w:styleId="Strong">
    <w:name w:val="Strong"/>
    <w:basedOn w:val="DefaultParagraphFont"/>
    <w:uiPriority w:val="22"/>
    <w:qFormat/>
    <w:rsid w:val="004611D9"/>
    <w:rPr>
      <w:b/>
      <w:bCs/>
    </w:rPr>
  </w:style>
  <w:style w:type="table" w:styleId="GridTable4">
    <w:name w:val="Grid Table 4"/>
    <w:basedOn w:val="TableNormal"/>
    <w:uiPriority w:val="49"/>
    <w:rsid w:val="004611D9"/>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next w:val="GridTable4"/>
    <w:uiPriority w:val="49"/>
    <w:rsid w:val="00E5128D"/>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2">
    <w:name w:val="Grid Table 42"/>
    <w:basedOn w:val="TableNormal"/>
    <w:next w:val="GridTable4"/>
    <w:uiPriority w:val="49"/>
    <w:rsid w:val="00E5128D"/>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2">
    <w:name w:val="toc 2"/>
    <w:basedOn w:val="Normal"/>
    <w:next w:val="Normal"/>
    <w:autoRedefine/>
    <w:uiPriority w:val="39"/>
    <w:rsid w:val="00560D91"/>
    <w:pPr>
      <w:tabs>
        <w:tab w:val="left" w:pos="720"/>
        <w:tab w:val="right" w:leader="hyphen" w:pos="9350"/>
      </w:tabs>
      <w:spacing w:after="120"/>
      <w:ind w:left="720"/>
    </w:pPr>
  </w:style>
  <w:style w:type="character" w:styleId="FollowedHyperlink">
    <w:name w:val="FollowedHyperlink"/>
    <w:basedOn w:val="DefaultParagraphFont"/>
    <w:rsid w:val="0031591D"/>
    <w:rPr>
      <w:color w:val="954F72" w:themeColor="followedHyperlink"/>
      <w:u w:val="single"/>
    </w:rPr>
  </w:style>
  <w:style w:type="paragraph" w:styleId="TOC1">
    <w:name w:val="toc 1"/>
    <w:basedOn w:val="Normal"/>
    <w:next w:val="Normal"/>
    <w:autoRedefine/>
    <w:uiPriority w:val="39"/>
    <w:rsid w:val="00910312"/>
    <w:pPr>
      <w:tabs>
        <w:tab w:val="left" w:pos="0"/>
        <w:tab w:val="right" w:leader="hyphen" w:pos="9350"/>
      </w:tabs>
      <w:spacing w:after="100"/>
    </w:pPr>
    <w:rPr>
      <w:rFonts w:cs="Arial"/>
      <w:noProof/>
      <w:sz w:val="28"/>
    </w:rPr>
  </w:style>
  <w:style w:type="paragraph" w:styleId="Revision">
    <w:name w:val="Revision"/>
    <w:hidden/>
    <w:uiPriority w:val="99"/>
    <w:semiHidden/>
    <w:rsid w:val="001A4B9C"/>
    <w:rPr>
      <w:sz w:val="24"/>
      <w:szCs w:val="24"/>
    </w:rPr>
  </w:style>
  <w:style w:type="paragraph" w:customStyle="1" w:styleId="paragraph">
    <w:name w:val="paragraph"/>
    <w:basedOn w:val="Normal"/>
    <w:rsid w:val="00F23B80"/>
    <w:pPr>
      <w:spacing w:before="100" w:beforeAutospacing="1" w:after="100" w:afterAutospacing="1"/>
    </w:pPr>
  </w:style>
  <w:style w:type="character" w:customStyle="1" w:styleId="normaltextrun">
    <w:name w:val="normaltextrun"/>
    <w:basedOn w:val="DefaultParagraphFont"/>
    <w:rsid w:val="00F23B80"/>
  </w:style>
  <w:style w:type="character" w:customStyle="1" w:styleId="eop">
    <w:name w:val="eop"/>
    <w:basedOn w:val="DefaultParagraphFont"/>
    <w:rsid w:val="00F23B80"/>
  </w:style>
  <w:style w:type="paragraph" w:styleId="FootnoteText">
    <w:name w:val="footnote text"/>
    <w:basedOn w:val="Normal"/>
    <w:link w:val="FootnoteTextChar"/>
    <w:uiPriority w:val="99"/>
    <w:unhideWhenUsed/>
    <w:rsid w:val="003C644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C644B"/>
    <w:rPr>
      <w:rFonts w:asciiTheme="minorHAnsi" w:eastAsiaTheme="minorHAnsi" w:hAnsiTheme="minorHAnsi" w:cstheme="minorBidi"/>
    </w:rPr>
  </w:style>
  <w:style w:type="character" w:styleId="FootnoteReference">
    <w:name w:val="footnote reference"/>
    <w:basedOn w:val="DefaultParagraphFont"/>
    <w:uiPriority w:val="99"/>
    <w:unhideWhenUsed/>
    <w:rsid w:val="003C644B"/>
    <w:rPr>
      <w:vertAlign w:val="superscript"/>
    </w:rPr>
  </w:style>
  <w:style w:type="paragraph" w:customStyle="1" w:styleId="TableParagraph">
    <w:name w:val="Table Paragraph"/>
    <w:basedOn w:val="Normal"/>
    <w:uiPriority w:val="1"/>
    <w:qFormat/>
    <w:rsid w:val="006E5244"/>
    <w:pPr>
      <w:widowControl w:val="0"/>
      <w:autoSpaceDE w:val="0"/>
      <w:autoSpaceDN w:val="0"/>
    </w:pPr>
    <w:rPr>
      <w:rFonts w:eastAsia="Arial" w:cs="Arial"/>
      <w:sz w:val="22"/>
      <w:szCs w:val="22"/>
      <w:lang w:bidi="en-US"/>
    </w:rPr>
  </w:style>
  <w:style w:type="table" w:styleId="TableTheme">
    <w:name w:val="Table Theme"/>
    <w:basedOn w:val="TableNormal"/>
    <w:rsid w:val="00D5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009DC"/>
    <w:rPr>
      <w:i/>
      <w:iCs/>
    </w:rPr>
  </w:style>
  <w:style w:type="table" w:styleId="ListTable3">
    <w:name w:val="List Table 3"/>
    <w:basedOn w:val="TableNormal"/>
    <w:uiPriority w:val="48"/>
    <w:rsid w:val="001572F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2784">
      <w:bodyDiv w:val="1"/>
      <w:marLeft w:val="0"/>
      <w:marRight w:val="0"/>
      <w:marTop w:val="0"/>
      <w:marBottom w:val="0"/>
      <w:divBdr>
        <w:top w:val="none" w:sz="0" w:space="0" w:color="auto"/>
        <w:left w:val="none" w:sz="0" w:space="0" w:color="auto"/>
        <w:bottom w:val="none" w:sz="0" w:space="0" w:color="auto"/>
        <w:right w:val="none" w:sz="0" w:space="0" w:color="auto"/>
      </w:divBdr>
    </w:div>
    <w:div w:id="145824038">
      <w:bodyDiv w:val="1"/>
      <w:marLeft w:val="0"/>
      <w:marRight w:val="0"/>
      <w:marTop w:val="0"/>
      <w:marBottom w:val="0"/>
      <w:divBdr>
        <w:top w:val="none" w:sz="0" w:space="0" w:color="auto"/>
        <w:left w:val="none" w:sz="0" w:space="0" w:color="auto"/>
        <w:bottom w:val="none" w:sz="0" w:space="0" w:color="auto"/>
        <w:right w:val="none" w:sz="0" w:space="0" w:color="auto"/>
      </w:divBdr>
    </w:div>
    <w:div w:id="188841079">
      <w:bodyDiv w:val="1"/>
      <w:marLeft w:val="0"/>
      <w:marRight w:val="0"/>
      <w:marTop w:val="0"/>
      <w:marBottom w:val="0"/>
      <w:divBdr>
        <w:top w:val="none" w:sz="0" w:space="0" w:color="auto"/>
        <w:left w:val="none" w:sz="0" w:space="0" w:color="auto"/>
        <w:bottom w:val="none" w:sz="0" w:space="0" w:color="auto"/>
        <w:right w:val="none" w:sz="0" w:space="0" w:color="auto"/>
      </w:divBdr>
    </w:div>
    <w:div w:id="213128620">
      <w:bodyDiv w:val="1"/>
      <w:marLeft w:val="0"/>
      <w:marRight w:val="0"/>
      <w:marTop w:val="0"/>
      <w:marBottom w:val="0"/>
      <w:divBdr>
        <w:top w:val="none" w:sz="0" w:space="0" w:color="auto"/>
        <w:left w:val="none" w:sz="0" w:space="0" w:color="auto"/>
        <w:bottom w:val="none" w:sz="0" w:space="0" w:color="auto"/>
        <w:right w:val="none" w:sz="0" w:space="0" w:color="auto"/>
      </w:divBdr>
    </w:div>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292372468">
      <w:bodyDiv w:val="1"/>
      <w:marLeft w:val="0"/>
      <w:marRight w:val="0"/>
      <w:marTop w:val="0"/>
      <w:marBottom w:val="0"/>
      <w:divBdr>
        <w:top w:val="none" w:sz="0" w:space="0" w:color="auto"/>
        <w:left w:val="none" w:sz="0" w:space="0" w:color="auto"/>
        <w:bottom w:val="none" w:sz="0" w:space="0" w:color="auto"/>
        <w:right w:val="none" w:sz="0" w:space="0" w:color="auto"/>
      </w:divBdr>
    </w:div>
    <w:div w:id="343483702">
      <w:bodyDiv w:val="1"/>
      <w:marLeft w:val="0"/>
      <w:marRight w:val="0"/>
      <w:marTop w:val="0"/>
      <w:marBottom w:val="0"/>
      <w:divBdr>
        <w:top w:val="none" w:sz="0" w:space="0" w:color="auto"/>
        <w:left w:val="none" w:sz="0" w:space="0" w:color="auto"/>
        <w:bottom w:val="none" w:sz="0" w:space="0" w:color="auto"/>
        <w:right w:val="none" w:sz="0" w:space="0" w:color="auto"/>
      </w:divBdr>
    </w:div>
    <w:div w:id="403643601">
      <w:bodyDiv w:val="1"/>
      <w:marLeft w:val="0"/>
      <w:marRight w:val="0"/>
      <w:marTop w:val="0"/>
      <w:marBottom w:val="0"/>
      <w:divBdr>
        <w:top w:val="none" w:sz="0" w:space="0" w:color="auto"/>
        <w:left w:val="none" w:sz="0" w:space="0" w:color="auto"/>
        <w:bottom w:val="none" w:sz="0" w:space="0" w:color="auto"/>
        <w:right w:val="none" w:sz="0" w:space="0" w:color="auto"/>
      </w:divBdr>
    </w:div>
    <w:div w:id="434983928">
      <w:bodyDiv w:val="1"/>
      <w:marLeft w:val="0"/>
      <w:marRight w:val="0"/>
      <w:marTop w:val="0"/>
      <w:marBottom w:val="0"/>
      <w:divBdr>
        <w:top w:val="none" w:sz="0" w:space="0" w:color="auto"/>
        <w:left w:val="none" w:sz="0" w:space="0" w:color="auto"/>
        <w:bottom w:val="none" w:sz="0" w:space="0" w:color="auto"/>
        <w:right w:val="none" w:sz="0" w:space="0" w:color="auto"/>
      </w:divBdr>
    </w:div>
    <w:div w:id="438529833">
      <w:bodyDiv w:val="1"/>
      <w:marLeft w:val="0"/>
      <w:marRight w:val="0"/>
      <w:marTop w:val="0"/>
      <w:marBottom w:val="0"/>
      <w:divBdr>
        <w:top w:val="none" w:sz="0" w:space="0" w:color="auto"/>
        <w:left w:val="none" w:sz="0" w:space="0" w:color="auto"/>
        <w:bottom w:val="none" w:sz="0" w:space="0" w:color="auto"/>
        <w:right w:val="none" w:sz="0" w:space="0" w:color="auto"/>
      </w:divBdr>
    </w:div>
    <w:div w:id="489254678">
      <w:bodyDiv w:val="1"/>
      <w:marLeft w:val="0"/>
      <w:marRight w:val="0"/>
      <w:marTop w:val="0"/>
      <w:marBottom w:val="0"/>
      <w:divBdr>
        <w:top w:val="none" w:sz="0" w:space="0" w:color="auto"/>
        <w:left w:val="none" w:sz="0" w:space="0" w:color="auto"/>
        <w:bottom w:val="none" w:sz="0" w:space="0" w:color="auto"/>
        <w:right w:val="none" w:sz="0" w:space="0" w:color="auto"/>
      </w:divBdr>
    </w:div>
    <w:div w:id="542210622">
      <w:bodyDiv w:val="1"/>
      <w:marLeft w:val="0"/>
      <w:marRight w:val="0"/>
      <w:marTop w:val="0"/>
      <w:marBottom w:val="0"/>
      <w:divBdr>
        <w:top w:val="none" w:sz="0" w:space="0" w:color="auto"/>
        <w:left w:val="none" w:sz="0" w:space="0" w:color="auto"/>
        <w:bottom w:val="none" w:sz="0" w:space="0" w:color="auto"/>
        <w:right w:val="none" w:sz="0" w:space="0" w:color="auto"/>
      </w:divBdr>
    </w:div>
    <w:div w:id="642731848">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851839475">
      <w:bodyDiv w:val="1"/>
      <w:marLeft w:val="0"/>
      <w:marRight w:val="0"/>
      <w:marTop w:val="0"/>
      <w:marBottom w:val="0"/>
      <w:divBdr>
        <w:top w:val="none" w:sz="0" w:space="0" w:color="auto"/>
        <w:left w:val="none" w:sz="0" w:space="0" w:color="auto"/>
        <w:bottom w:val="none" w:sz="0" w:space="0" w:color="auto"/>
        <w:right w:val="none" w:sz="0" w:space="0" w:color="auto"/>
      </w:divBdr>
    </w:div>
    <w:div w:id="908805013">
      <w:bodyDiv w:val="1"/>
      <w:marLeft w:val="0"/>
      <w:marRight w:val="0"/>
      <w:marTop w:val="0"/>
      <w:marBottom w:val="0"/>
      <w:divBdr>
        <w:top w:val="none" w:sz="0" w:space="0" w:color="auto"/>
        <w:left w:val="none" w:sz="0" w:space="0" w:color="auto"/>
        <w:bottom w:val="none" w:sz="0" w:space="0" w:color="auto"/>
        <w:right w:val="none" w:sz="0" w:space="0" w:color="auto"/>
      </w:divBdr>
    </w:div>
    <w:div w:id="909274464">
      <w:bodyDiv w:val="1"/>
      <w:marLeft w:val="0"/>
      <w:marRight w:val="0"/>
      <w:marTop w:val="0"/>
      <w:marBottom w:val="0"/>
      <w:divBdr>
        <w:top w:val="none" w:sz="0" w:space="0" w:color="auto"/>
        <w:left w:val="none" w:sz="0" w:space="0" w:color="auto"/>
        <w:bottom w:val="none" w:sz="0" w:space="0" w:color="auto"/>
        <w:right w:val="none" w:sz="0" w:space="0" w:color="auto"/>
      </w:divBdr>
    </w:div>
    <w:div w:id="985665707">
      <w:bodyDiv w:val="1"/>
      <w:marLeft w:val="0"/>
      <w:marRight w:val="0"/>
      <w:marTop w:val="0"/>
      <w:marBottom w:val="0"/>
      <w:divBdr>
        <w:top w:val="none" w:sz="0" w:space="0" w:color="auto"/>
        <w:left w:val="none" w:sz="0" w:space="0" w:color="auto"/>
        <w:bottom w:val="none" w:sz="0" w:space="0" w:color="auto"/>
        <w:right w:val="none" w:sz="0" w:space="0" w:color="auto"/>
      </w:divBdr>
    </w:div>
    <w:div w:id="988944613">
      <w:bodyDiv w:val="1"/>
      <w:marLeft w:val="0"/>
      <w:marRight w:val="0"/>
      <w:marTop w:val="0"/>
      <w:marBottom w:val="0"/>
      <w:divBdr>
        <w:top w:val="none" w:sz="0" w:space="0" w:color="auto"/>
        <w:left w:val="none" w:sz="0" w:space="0" w:color="auto"/>
        <w:bottom w:val="none" w:sz="0" w:space="0" w:color="auto"/>
        <w:right w:val="none" w:sz="0" w:space="0" w:color="auto"/>
      </w:divBdr>
    </w:div>
    <w:div w:id="1023289013">
      <w:bodyDiv w:val="1"/>
      <w:marLeft w:val="0"/>
      <w:marRight w:val="0"/>
      <w:marTop w:val="0"/>
      <w:marBottom w:val="0"/>
      <w:divBdr>
        <w:top w:val="none" w:sz="0" w:space="0" w:color="auto"/>
        <w:left w:val="none" w:sz="0" w:space="0" w:color="auto"/>
        <w:bottom w:val="none" w:sz="0" w:space="0" w:color="auto"/>
        <w:right w:val="none" w:sz="0" w:space="0" w:color="auto"/>
      </w:divBdr>
    </w:div>
    <w:div w:id="1046444236">
      <w:bodyDiv w:val="1"/>
      <w:marLeft w:val="0"/>
      <w:marRight w:val="0"/>
      <w:marTop w:val="0"/>
      <w:marBottom w:val="0"/>
      <w:divBdr>
        <w:top w:val="none" w:sz="0" w:space="0" w:color="auto"/>
        <w:left w:val="none" w:sz="0" w:space="0" w:color="auto"/>
        <w:bottom w:val="none" w:sz="0" w:space="0" w:color="auto"/>
        <w:right w:val="none" w:sz="0" w:space="0" w:color="auto"/>
      </w:divBdr>
    </w:div>
    <w:div w:id="1111242579">
      <w:bodyDiv w:val="1"/>
      <w:marLeft w:val="0"/>
      <w:marRight w:val="0"/>
      <w:marTop w:val="0"/>
      <w:marBottom w:val="0"/>
      <w:divBdr>
        <w:top w:val="none" w:sz="0" w:space="0" w:color="auto"/>
        <w:left w:val="none" w:sz="0" w:space="0" w:color="auto"/>
        <w:bottom w:val="none" w:sz="0" w:space="0" w:color="auto"/>
        <w:right w:val="none" w:sz="0" w:space="0" w:color="auto"/>
      </w:divBdr>
      <w:divsChild>
        <w:div w:id="135492830">
          <w:marLeft w:val="0"/>
          <w:marRight w:val="0"/>
          <w:marTop w:val="0"/>
          <w:marBottom w:val="240"/>
          <w:divBdr>
            <w:top w:val="none" w:sz="0" w:space="0" w:color="auto"/>
            <w:left w:val="none" w:sz="0" w:space="0" w:color="auto"/>
            <w:bottom w:val="none" w:sz="0" w:space="0" w:color="auto"/>
            <w:right w:val="none" w:sz="0" w:space="0" w:color="auto"/>
          </w:divBdr>
        </w:div>
        <w:div w:id="163984568">
          <w:marLeft w:val="0"/>
          <w:marRight w:val="0"/>
          <w:marTop w:val="0"/>
          <w:marBottom w:val="240"/>
          <w:divBdr>
            <w:top w:val="none" w:sz="0" w:space="0" w:color="auto"/>
            <w:left w:val="none" w:sz="0" w:space="0" w:color="auto"/>
            <w:bottom w:val="none" w:sz="0" w:space="0" w:color="auto"/>
            <w:right w:val="none" w:sz="0" w:space="0" w:color="auto"/>
          </w:divBdr>
        </w:div>
        <w:div w:id="235285099">
          <w:marLeft w:val="0"/>
          <w:marRight w:val="0"/>
          <w:marTop w:val="0"/>
          <w:marBottom w:val="240"/>
          <w:divBdr>
            <w:top w:val="none" w:sz="0" w:space="0" w:color="auto"/>
            <w:left w:val="none" w:sz="0" w:space="0" w:color="auto"/>
            <w:bottom w:val="none" w:sz="0" w:space="0" w:color="auto"/>
            <w:right w:val="none" w:sz="0" w:space="0" w:color="auto"/>
          </w:divBdr>
        </w:div>
        <w:div w:id="842742306">
          <w:marLeft w:val="0"/>
          <w:marRight w:val="0"/>
          <w:marTop w:val="0"/>
          <w:marBottom w:val="240"/>
          <w:divBdr>
            <w:top w:val="none" w:sz="0" w:space="0" w:color="auto"/>
            <w:left w:val="none" w:sz="0" w:space="0" w:color="auto"/>
            <w:bottom w:val="none" w:sz="0" w:space="0" w:color="auto"/>
            <w:right w:val="none" w:sz="0" w:space="0" w:color="auto"/>
          </w:divBdr>
        </w:div>
        <w:div w:id="957024888">
          <w:marLeft w:val="0"/>
          <w:marRight w:val="0"/>
          <w:marTop w:val="0"/>
          <w:marBottom w:val="240"/>
          <w:divBdr>
            <w:top w:val="none" w:sz="0" w:space="0" w:color="auto"/>
            <w:left w:val="none" w:sz="0" w:space="0" w:color="auto"/>
            <w:bottom w:val="none" w:sz="0" w:space="0" w:color="auto"/>
            <w:right w:val="none" w:sz="0" w:space="0" w:color="auto"/>
          </w:divBdr>
        </w:div>
        <w:div w:id="1076392770">
          <w:marLeft w:val="0"/>
          <w:marRight w:val="0"/>
          <w:marTop w:val="0"/>
          <w:marBottom w:val="240"/>
          <w:divBdr>
            <w:top w:val="none" w:sz="0" w:space="0" w:color="auto"/>
            <w:left w:val="none" w:sz="0" w:space="0" w:color="auto"/>
            <w:bottom w:val="none" w:sz="0" w:space="0" w:color="auto"/>
            <w:right w:val="none" w:sz="0" w:space="0" w:color="auto"/>
          </w:divBdr>
        </w:div>
        <w:div w:id="1532962178">
          <w:marLeft w:val="0"/>
          <w:marRight w:val="0"/>
          <w:marTop w:val="0"/>
          <w:marBottom w:val="240"/>
          <w:divBdr>
            <w:top w:val="none" w:sz="0" w:space="0" w:color="auto"/>
            <w:left w:val="none" w:sz="0" w:space="0" w:color="auto"/>
            <w:bottom w:val="none" w:sz="0" w:space="0" w:color="auto"/>
            <w:right w:val="none" w:sz="0" w:space="0" w:color="auto"/>
          </w:divBdr>
        </w:div>
        <w:div w:id="1637758598">
          <w:marLeft w:val="0"/>
          <w:marRight w:val="0"/>
          <w:marTop w:val="0"/>
          <w:marBottom w:val="240"/>
          <w:divBdr>
            <w:top w:val="none" w:sz="0" w:space="0" w:color="auto"/>
            <w:left w:val="none" w:sz="0" w:space="0" w:color="auto"/>
            <w:bottom w:val="none" w:sz="0" w:space="0" w:color="auto"/>
            <w:right w:val="none" w:sz="0" w:space="0" w:color="auto"/>
          </w:divBdr>
        </w:div>
        <w:div w:id="1915164094">
          <w:marLeft w:val="0"/>
          <w:marRight w:val="0"/>
          <w:marTop w:val="0"/>
          <w:marBottom w:val="240"/>
          <w:divBdr>
            <w:top w:val="none" w:sz="0" w:space="0" w:color="auto"/>
            <w:left w:val="none" w:sz="0" w:space="0" w:color="auto"/>
            <w:bottom w:val="none" w:sz="0" w:space="0" w:color="auto"/>
            <w:right w:val="none" w:sz="0" w:space="0" w:color="auto"/>
          </w:divBdr>
        </w:div>
      </w:divsChild>
    </w:div>
    <w:div w:id="1122379277">
      <w:bodyDiv w:val="1"/>
      <w:marLeft w:val="0"/>
      <w:marRight w:val="0"/>
      <w:marTop w:val="0"/>
      <w:marBottom w:val="0"/>
      <w:divBdr>
        <w:top w:val="none" w:sz="0" w:space="0" w:color="auto"/>
        <w:left w:val="none" w:sz="0" w:space="0" w:color="auto"/>
        <w:bottom w:val="none" w:sz="0" w:space="0" w:color="auto"/>
        <w:right w:val="none" w:sz="0" w:space="0" w:color="auto"/>
      </w:divBdr>
    </w:div>
    <w:div w:id="1252084287">
      <w:bodyDiv w:val="1"/>
      <w:marLeft w:val="0"/>
      <w:marRight w:val="0"/>
      <w:marTop w:val="0"/>
      <w:marBottom w:val="0"/>
      <w:divBdr>
        <w:top w:val="none" w:sz="0" w:space="0" w:color="auto"/>
        <w:left w:val="none" w:sz="0" w:space="0" w:color="auto"/>
        <w:bottom w:val="none" w:sz="0" w:space="0" w:color="auto"/>
        <w:right w:val="none" w:sz="0" w:space="0" w:color="auto"/>
      </w:divBdr>
    </w:div>
    <w:div w:id="1392650978">
      <w:bodyDiv w:val="1"/>
      <w:marLeft w:val="0"/>
      <w:marRight w:val="0"/>
      <w:marTop w:val="0"/>
      <w:marBottom w:val="0"/>
      <w:divBdr>
        <w:top w:val="none" w:sz="0" w:space="0" w:color="auto"/>
        <w:left w:val="none" w:sz="0" w:space="0" w:color="auto"/>
        <w:bottom w:val="none" w:sz="0" w:space="0" w:color="auto"/>
        <w:right w:val="none" w:sz="0" w:space="0" w:color="auto"/>
      </w:divBdr>
      <w:divsChild>
        <w:div w:id="388581200">
          <w:marLeft w:val="0"/>
          <w:marRight w:val="0"/>
          <w:marTop w:val="0"/>
          <w:marBottom w:val="240"/>
          <w:divBdr>
            <w:top w:val="none" w:sz="0" w:space="0" w:color="auto"/>
            <w:left w:val="none" w:sz="0" w:space="0" w:color="auto"/>
            <w:bottom w:val="none" w:sz="0" w:space="0" w:color="auto"/>
            <w:right w:val="none" w:sz="0" w:space="0" w:color="auto"/>
          </w:divBdr>
        </w:div>
        <w:div w:id="427383884">
          <w:marLeft w:val="0"/>
          <w:marRight w:val="0"/>
          <w:marTop w:val="0"/>
          <w:marBottom w:val="240"/>
          <w:divBdr>
            <w:top w:val="none" w:sz="0" w:space="0" w:color="auto"/>
            <w:left w:val="none" w:sz="0" w:space="0" w:color="auto"/>
            <w:bottom w:val="none" w:sz="0" w:space="0" w:color="auto"/>
            <w:right w:val="none" w:sz="0" w:space="0" w:color="auto"/>
          </w:divBdr>
        </w:div>
        <w:div w:id="712383180">
          <w:marLeft w:val="0"/>
          <w:marRight w:val="0"/>
          <w:marTop w:val="0"/>
          <w:marBottom w:val="240"/>
          <w:divBdr>
            <w:top w:val="none" w:sz="0" w:space="0" w:color="auto"/>
            <w:left w:val="none" w:sz="0" w:space="0" w:color="auto"/>
            <w:bottom w:val="none" w:sz="0" w:space="0" w:color="auto"/>
            <w:right w:val="none" w:sz="0" w:space="0" w:color="auto"/>
          </w:divBdr>
        </w:div>
        <w:div w:id="1251045001">
          <w:marLeft w:val="0"/>
          <w:marRight w:val="0"/>
          <w:marTop w:val="0"/>
          <w:marBottom w:val="240"/>
          <w:divBdr>
            <w:top w:val="none" w:sz="0" w:space="0" w:color="auto"/>
            <w:left w:val="none" w:sz="0" w:space="0" w:color="auto"/>
            <w:bottom w:val="none" w:sz="0" w:space="0" w:color="auto"/>
            <w:right w:val="none" w:sz="0" w:space="0" w:color="auto"/>
          </w:divBdr>
        </w:div>
        <w:div w:id="1891728604">
          <w:marLeft w:val="0"/>
          <w:marRight w:val="0"/>
          <w:marTop w:val="0"/>
          <w:marBottom w:val="240"/>
          <w:divBdr>
            <w:top w:val="none" w:sz="0" w:space="0" w:color="auto"/>
            <w:left w:val="none" w:sz="0" w:space="0" w:color="auto"/>
            <w:bottom w:val="none" w:sz="0" w:space="0" w:color="auto"/>
            <w:right w:val="none" w:sz="0" w:space="0" w:color="auto"/>
          </w:divBdr>
        </w:div>
      </w:divsChild>
    </w:div>
    <w:div w:id="1526558175">
      <w:bodyDiv w:val="1"/>
      <w:marLeft w:val="0"/>
      <w:marRight w:val="0"/>
      <w:marTop w:val="0"/>
      <w:marBottom w:val="0"/>
      <w:divBdr>
        <w:top w:val="none" w:sz="0" w:space="0" w:color="auto"/>
        <w:left w:val="none" w:sz="0" w:space="0" w:color="auto"/>
        <w:bottom w:val="none" w:sz="0" w:space="0" w:color="auto"/>
        <w:right w:val="none" w:sz="0" w:space="0" w:color="auto"/>
      </w:divBdr>
    </w:div>
    <w:div w:id="1577546490">
      <w:bodyDiv w:val="1"/>
      <w:marLeft w:val="0"/>
      <w:marRight w:val="0"/>
      <w:marTop w:val="0"/>
      <w:marBottom w:val="0"/>
      <w:divBdr>
        <w:top w:val="none" w:sz="0" w:space="0" w:color="auto"/>
        <w:left w:val="none" w:sz="0" w:space="0" w:color="auto"/>
        <w:bottom w:val="none" w:sz="0" w:space="0" w:color="auto"/>
        <w:right w:val="none" w:sz="0" w:space="0" w:color="auto"/>
      </w:divBdr>
    </w:div>
    <w:div w:id="1578514682">
      <w:bodyDiv w:val="1"/>
      <w:marLeft w:val="0"/>
      <w:marRight w:val="0"/>
      <w:marTop w:val="0"/>
      <w:marBottom w:val="0"/>
      <w:divBdr>
        <w:top w:val="none" w:sz="0" w:space="0" w:color="auto"/>
        <w:left w:val="none" w:sz="0" w:space="0" w:color="auto"/>
        <w:bottom w:val="none" w:sz="0" w:space="0" w:color="auto"/>
        <w:right w:val="none" w:sz="0" w:space="0" w:color="auto"/>
      </w:divBdr>
      <w:divsChild>
        <w:div w:id="97526408">
          <w:marLeft w:val="0"/>
          <w:marRight w:val="0"/>
          <w:marTop w:val="0"/>
          <w:marBottom w:val="240"/>
          <w:divBdr>
            <w:top w:val="none" w:sz="0" w:space="0" w:color="auto"/>
            <w:left w:val="none" w:sz="0" w:space="0" w:color="auto"/>
            <w:bottom w:val="none" w:sz="0" w:space="0" w:color="auto"/>
            <w:right w:val="none" w:sz="0" w:space="0" w:color="auto"/>
          </w:divBdr>
        </w:div>
        <w:div w:id="505756245">
          <w:marLeft w:val="0"/>
          <w:marRight w:val="0"/>
          <w:marTop w:val="0"/>
          <w:marBottom w:val="240"/>
          <w:divBdr>
            <w:top w:val="none" w:sz="0" w:space="0" w:color="auto"/>
            <w:left w:val="none" w:sz="0" w:space="0" w:color="auto"/>
            <w:bottom w:val="none" w:sz="0" w:space="0" w:color="auto"/>
            <w:right w:val="none" w:sz="0" w:space="0" w:color="auto"/>
          </w:divBdr>
        </w:div>
        <w:div w:id="830370430">
          <w:marLeft w:val="0"/>
          <w:marRight w:val="0"/>
          <w:marTop w:val="0"/>
          <w:marBottom w:val="240"/>
          <w:divBdr>
            <w:top w:val="none" w:sz="0" w:space="0" w:color="auto"/>
            <w:left w:val="none" w:sz="0" w:space="0" w:color="auto"/>
            <w:bottom w:val="none" w:sz="0" w:space="0" w:color="auto"/>
            <w:right w:val="none" w:sz="0" w:space="0" w:color="auto"/>
          </w:divBdr>
        </w:div>
        <w:div w:id="1174416730">
          <w:marLeft w:val="0"/>
          <w:marRight w:val="0"/>
          <w:marTop w:val="0"/>
          <w:marBottom w:val="240"/>
          <w:divBdr>
            <w:top w:val="none" w:sz="0" w:space="0" w:color="auto"/>
            <w:left w:val="none" w:sz="0" w:space="0" w:color="auto"/>
            <w:bottom w:val="none" w:sz="0" w:space="0" w:color="auto"/>
            <w:right w:val="none" w:sz="0" w:space="0" w:color="auto"/>
          </w:divBdr>
        </w:div>
        <w:div w:id="1176965274">
          <w:marLeft w:val="0"/>
          <w:marRight w:val="0"/>
          <w:marTop w:val="0"/>
          <w:marBottom w:val="240"/>
          <w:divBdr>
            <w:top w:val="none" w:sz="0" w:space="0" w:color="auto"/>
            <w:left w:val="none" w:sz="0" w:space="0" w:color="auto"/>
            <w:bottom w:val="none" w:sz="0" w:space="0" w:color="auto"/>
            <w:right w:val="none" w:sz="0" w:space="0" w:color="auto"/>
          </w:divBdr>
        </w:div>
        <w:div w:id="1874075754">
          <w:marLeft w:val="0"/>
          <w:marRight w:val="0"/>
          <w:marTop w:val="0"/>
          <w:marBottom w:val="240"/>
          <w:divBdr>
            <w:top w:val="none" w:sz="0" w:space="0" w:color="auto"/>
            <w:left w:val="none" w:sz="0" w:space="0" w:color="auto"/>
            <w:bottom w:val="none" w:sz="0" w:space="0" w:color="auto"/>
            <w:right w:val="none" w:sz="0" w:space="0" w:color="auto"/>
          </w:divBdr>
        </w:div>
        <w:div w:id="1948731679">
          <w:marLeft w:val="0"/>
          <w:marRight w:val="0"/>
          <w:marTop w:val="0"/>
          <w:marBottom w:val="240"/>
          <w:divBdr>
            <w:top w:val="none" w:sz="0" w:space="0" w:color="auto"/>
            <w:left w:val="none" w:sz="0" w:space="0" w:color="auto"/>
            <w:bottom w:val="none" w:sz="0" w:space="0" w:color="auto"/>
            <w:right w:val="none" w:sz="0" w:space="0" w:color="auto"/>
          </w:divBdr>
        </w:div>
        <w:div w:id="2035306466">
          <w:marLeft w:val="0"/>
          <w:marRight w:val="0"/>
          <w:marTop w:val="0"/>
          <w:marBottom w:val="240"/>
          <w:divBdr>
            <w:top w:val="none" w:sz="0" w:space="0" w:color="auto"/>
            <w:left w:val="none" w:sz="0" w:space="0" w:color="auto"/>
            <w:bottom w:val="none" w:sz="0" w:space="0" w:color="auto"/>
            <w:right w:val="none" w:sz="0" w:space="0" w:color="auto"/>
          </w:divBdr>
        </w:div>
      </w:divsChild>
    </w:div>
    <w:div w:id="1684939877">
      <w:bodyDiv w:val="1"/>
      <w:marLeft w:val="0"/>
      <w:marRight w:val="0"/>
      <w:marTop w:val="0"/>
      <w:marBottom w:val="0"/>
      <w:divBdr>
        <w:top w:val="none" w:sz="0" w:space="0" w:color="auto"/>
        <w:left w:val="none" w:sz="0" w:space="0" w:color="auto"/>
        <w:bottom w:val="none" w:sz="0" w:space="0" w:color="auto"/>
        <w:right w:val="none" w:sz="0" w:space="0" w:color="auto"/>
      </w:divBdr>
    </w:div>
    <w:div w:id="1748308402">
      <w:bodyDiv w:val="1"/>
      <w:marLeft w:val="0"/>
      <w:marRight w:val="0"/>
      <w:marTop w:val="0"/>
      <w:marBottom w:val="0"/>
      <w:divBdr>
        <w:top w:val="none" w:sz="0" w:space="0" w:color="auto"/>
        <w:left w:val="none" w:sz="0" w:space="0" w:color="auto"/>
        <w:bottom w:val="none" w:sz="0" w:space="0" w:color="auto"/>
        <w:right w:val="none" w:sz="0" w:space="0" w:color="auto"/>
      </w:divBdr>
      <w:divsChild>
        <w:div w:id="591209204">
          <w:marLeft w:val="0"/>
          <w:marRight w:val="0"/>
          <w:marTop w:val="0"/>
          <w:marBottom w:val="0"/>
          <w:divBdr>
            <w:top w:val="none" w:sz="0" w:space="0" w:color="auto"/>
            <w:left w:val="none" w:sz="0" w:space="0" w:color="auto"/>
            <w:bottom w:val="none" w:sz="0" w:space="0" w:color="auto"/>
            <w:right w:val="none" w:sz="0" w:space="0" w:color="auto"/>
          </w:divBdr>
        </w:div>
        <w:div w:id="594434954">
          <w:marLeft w:val="0"/>
          <w:marRight w:val="0"/>
          <w:marTop w:val="0"/>
          <w:marBottom w:val="0"/>
          <w:divBdr>
            <w:top w:val="none" w:sz="0" w:space="0" w:color="auto"/>
            <w:left w:val="none" w:sz="0" w:space="0" w:color="auto"/>
            <w:bottom w:val="none" w:sz="0" w:space="0" w:color="auto"/>
            <w:right w:val="none" w:sz="0" w:space="0" w:color="auto"/>
          </w:divBdr>
        </w:div>
        <w:div w:id="951672104">
          <w:marLeft w:val="0"/>
          <w:marRight w:val="0"/>
          <w:marTop w:val="0"/>
          <w:marBottom w:val="0"/>
          <w:divBdr>
            <w:top w:val="none" w:sz="0" w:space="0" w:color="auto"/>
            <w:left w:val="none" w:sz="0" w:space="0" w:color="auto"/>
            <w:bottom w:val="none" w:sz="0" w:space="0" w:color="auto"/>
            <w:right w:val="none" w:sz="0" w:space="0" w:color="auto"/>
          </w:divBdr>
        </w:div>
        <w:div w:id="1152864837">
          <w:marLeft w:val="0"/>
          <w:marRight w:val="0"/>
          <w:marTop w:val="0"/>
          <w:marBottom w:val="0"/>
          <w:divBdr>
            <w:top w:val="none" w:sz="0" w:space="0" w:color="auto"/>
            <w:left w:val="none" w:sz="0" w:space="0" w:color="auto"/>
            <w:bottom w:val="none" w:sz="0" w:space="0" w:color="auto"/>
            <w:right w:val="none" w:sz="0" w:space="0" w:color="auto"/>
          </w:divBdr>
        </w:div>
        <w:div w:id="1342468412">
          <w:marLeft w:val="0"/>
          <w:marRight w:val="0"/>
          <w:marTop w:val="0"/>
          <w:marBottom w:val="0"/>
          <w:divBdr>
            <w:top w:val="none" w:sz="0" w:space="0" w:color="auto"/>
            <w:left w:val="none" w:sz="0" w:space="0" w:color="auto"/>
            <w:bottom w:val="none" w:sz="0" w:space="0" w:color="auto"/>
            <w:right w:val="none" w:sz="0" w:space="0" w:color="auto"/>
          </w:divBdr>
        </w:div>
        <w:div w:id="1415516269">
          <w:marLeft w:val="0"/>
          <w:marRight w:val="0"/>
          <w:marTop w:val="0"/>
          <w:marBottom w:val="0"/>
          <w:divBdr>
            <w:top w:val="none" w:sz="0" w:space="0" w:color="auto"/>
            <w:left w:val="none" w:sz="0" w:space="0" w:color="auto"/>
            <w:bottom w:val="none" w:sz="0" w:space="0" w:color="auto"/>
            <w:right w:val="none" w:sz="0" w:space="0" w:color="auto"/>
          </w:divBdr>
        </w:div>
        <w:div w:id="1520773899">
          <w:marLeft w:val="0"/>
          <w:marRight w:val="0"/>
          <w:marTop w:val="0"/>
          <w:marBottom w:val="0"/>
          <w:divBdr>
            <w:top w:val="none" w:sz="0" w:space="0" w:color="auto"/>
            <w:left w:val="none" w:sz="0" w:space="0" w:color="auto"/>
            <w:bottom w:val="none" w:sz="0" w:space="0" w:color="auto"/>
            <w:right w:val="none" w:sz="0" w:space="0" w:color="auto"/>
          </w:divBdr>
        </w:div>
        <w:div w:id="1753235399">
          <w:marLeft w:val="0"/>
          <w:marRight w:val="0"/>
          <w:marTop w:val="0"/>
          <w:marBottom w:val="0"/>
          <w:divBdr>
            <w:top w:val="none" w:sz="0" w:space="0" w:color="auto"/>
            <w:left w:val="none" w:sz="0" w:space="0" w:color="auto"/>
            <w:bottom w:val="none" w:sz="0" w:space="0" w:color="auto"/>
            <w:right w:val="none" w:sz="0" w:space="0" w:color="auto"/>
          </w:divBdr>
        </w:div>
        <w:div w:id="1930193268">
          <w:marLeft w:val="0"/>
          <w:marRight w:val="0"/>
          <w:marTop w:val="0"/>
          <w:marBottom w:val="0"/>
          <w:divBdr>
            <w:top w:val="none" w:sz="0" w:space="0" w:color="auto"/>
            <w:left w:val="none" w:sz="0" w:space="0" w:color="auto"/>
            <w:bottom w:val="none" w:sz="0" w:space="0" w:color="auto"/>
            <w:right w:val="none" w:sz="0" w:space="0" w:color="auto"/>
          </w:divBdr>
        </w:div>
      </w:divsChild>
    </w:div>
    <w:div w:id="1880162830">
      <w:bodyDiv w:val="1"/>
      <w:marLeft w:val="0"/>
      <w:marRight w:val="0"/>
      <w:marTop w:val="0"/>
      <w:marBottom w:val="0"/>
      <w:divBdr>
        <w:top w:val="none" w:sz="0" w:space="0" w:color="auto"/>
        <w:left w:val="none" w:sz="0" w:space="0" w:color="auto"/>
        <w:bottom w:val="none" w:sz="0" w:space="0" w:color="auto"/>
        <w:right w:val="none" w:sz="0" w:space="0" w:color="auto"/>
      </w:divBdr>
      <w:divsChild>
        <w:div w:id="179005531">
          <w:marLeft w:val="0"/>
          <w:marRight w:val="0"/>
          <w:marTop w:val="0"/>
          <w:marBottom w:val="240"/>
          <w:divBdr>
            <w:top w:val="none" w:sz="0" w:space="0" w:color="auto"/>
            <w:left w:val="none" w:sz="0" w:space="0" w:color="auto"/>
            <w:bottom w:val="none" w:sz="0" w:space="0" w:color="auto"/>
            <w:right w:val="none" w:sz="0" w:space="0" w:color="auto"/>
          </w:divBdr>
        </w:div>
        <w:div w:id="197862956">
          <w:marLeft w:val="0"/>
          <w:marRight w:val="0"/>
          <w:marTop w:val="0"/>
          <w:marBottom w:val="240"/>
          <w:divBdr>
            <w:top w:val="none" w:sz="0" w:space="0" w:color="auto"/>
            <w:left w:val="none" w:sz="0" w:space="0" w:color="auto"/>
            <w:bottom w:val="none" w:sz="0" w:space="0" w:color="auto"/>
            <w:right w:val="none" w:sz="0" w:space="0" w:color="auto"/>
          </w:divBdr>
        </w:div>
        <w:div w:id="345446976">
          <w:marLeft w:val="0"/>
          <w:marRight w:val="0"/>
          <w:marTop w:val="0"/>
          <w:marBottom w:val="240"/>
          <w:divBdr>
            <w:top w:val="none" w:sz="0" w:space="0" w:color="auto"/>
            <w:left w:val="none" w:sz="0" w:space="0" w:color="auto"/>
            <w:bottom w:val="none" w:sz="0" w:space="0" w:color="auto"/>
            <w:right w:val="none" w:sz="0" w:space="0" w:color="auto"/>
          </w:divBdr>
        </w:div>
        <w:div w:id="633483062">
          <w:marLeft w:val="0"/>
          <w:marRight w:val="0"/>
          <w:marTop w:val="0"/>
          <w:marBottom w:val="240"/>
          <w:divBdr>
            <w:top w:val="none" w:sz="0" w:space="0" w:color="auto"/>
            <w:left w:val="none" w:sz="0" w:space="0" w:color="auto"/>
            <w:bottom w:val="none" w:sz="0" w:space="0" w:color="auto"/>
            <w:right w:val="none" w:sz="0" w:space="0" w:color="auto"/>
          </w:divBdr>
        </w:div>
        <w:div w:id="969943169">
          <w:marLeft w:val="0"/>
          <w:marRight w:val="0"/>
          <w:marTop w:val="0"/>
          <w:marBottom w:val="240"/>
          <w:divBdr>
            <w:top w:val="none" w:sz="0" w:space="0" w:color="auto"/>
            <w:left w:val="none" w:sz="0" w:space="0" w:color="auto"/>
            <w:bottom w:val="none" w:sz="0" w:space="0" w:color="auto"/>
            <w:right w:val="none" w:sz="0" w:space="0" w:color="auto"/>
          </w:divBdr>
        </w:div>
        <w:div w:id="1074742714">
          <w:marLeft w:val="0"/>
          <w:marRight w:val="0"/>
          <w:marTop w:val="0"/>
          <w:marBottom w:val="240"/>
          <w:divBdr>
            <w:top w:val="none" w:sz="0" w:space="0" w:color="auto"/>
            <w:left w:val="none" w:sz="0" w:space="0" w:color="auto"/>
            <w:bottom w:val="none" w:sz="0" w:space="0" w:color="auto"/>
            <w:right w:val="none" w:sz="0" w:space="0" w:color="auto"/>
          </w:divBdr>
        </w:div>
        <w:div w:id="1580020515">
          <w:marLeft w:val="0"/>
          <w:marRight w:val="0"/>
          <w:marTop w:val="0"/>
          <w:marBottom w:val="240"/>
          <w:divBdr>
            <w:top w:val="none" w:sz="0" w:space="0" w:color="auto"/>
            <w:left w:val="none" w:sz="0" w:space="0" w:color="auto"/>
            <w:bottom w:val="none" w:sz="0" w:space="0" w:color="auto"/>
            <w:right w:val="none" w:sz="0" w:space="0" w:color="auto"/>
          </w:divBdr>
        </w:div>
        <w:div w:id="1602490148">
          <w:marLeft w:val="0"/>
          <w:marRight w:val="0"/>
          <w:marTop w:val="0"/>
          <w:marBottom w:val="240"/>
          <w:divBdr>
            <w:top w:val="none" w:sz="0" w:space="0" w:color="auto"/>
            <w:left w:val="none" w:sz="0" w:space="0" w:color="auto"/>
            <w:bottom w:val="none" w:sz="0" w:space="0" w:color="auto"/>
            <w:right w:val="none" w:sz="0" w:space="0" w:color="auto"/>
          </w:divBdr>
        </w:div>
        <w:div w:id="1844736423">
          <w:marLeft w:val="0"/>
          <w:marRight w:val="0"/>
          <w:marTop w:val="0"/>
          <w:marBottom w:val="240"/>
          <w:divBdr>
            <w:top w:val="none" w:sz="0" w:space="0" w:color="auto"/>
            <w:left w:val="none" w:sz="0" w:space="0" w:color="auto"/>
            <w:bottom w:val="none" w:sz="0" w:space="0" w:color="auto"/>
            <w:right w:val="none" w:sz="0" w:space="0" w:color="auto"/>
          </w:divBdr>
        </w:div>
      </w:divsChild>
    </w:div>
    <w:div w:id="2140763898">
      <w:bodyDiv w:val="1"/>
      <w:marLeft w:val="0"/>
      <w:marRight w:val="0"/>
      <w:marTop w:val="0"/>
      <w:marBottom w:val="0"/>
      <w:divBdr>
        <w:top w:val="none" w:sz="0" w:space="0" w:color="auto"/>
        <w:left w:val="none" w:sz="0" w:space="0" w:color="auto"/>
        <w:bottom w:val="none" w:sz="0" w:space="0" w:color="auto"/>
        <w:right w:val="none" w:sz="0" w:space="0" w:color="auto"/>
      </w:divBdr>
      <w:divsChild>
        <w:div w:id="178274040">
          <w:marLeft w:val="0"/>
          <w:marRight w:val="0"/>
          <w:marTop w:val="0"/>
          <w:marBottom w:val="240"/>
          <w:divBdr>
            <w:top w:val="none" w:sz="0" w:space="0" w:color="auto"/>
            <w:left w:val="none" w:sz="0" w:space="0" w:color="auto"/>
            <w:bottom w:val="none" w:sz="0" w:space="0" w:color="auto"/>
            <w:right w:val="none" w:sz="0" w:space="0" w:color="auto"/>
          </w:divBdr>
        </w:div>
        <w:div w:id="295842146">
          <w:marLeft w:val="0"/>
          <w:marRight w:val="0"/>
          <w:marTop w:val="0"/>
          <w:marBottom w:val="240"/>
          <w:divBdr>
            <w:top w:val="none" w:sz="0" w:space="0" w:color="auto"/>
            <w:left w:val="none" w:sz="0" w:space="0" w:color="auto"/>
            <w:bottom w:val="none" w:sz="0" w:space="0" w:color="auto"/>
            <w:right w:val="none" w:sz="0" w:space="0" w:color="auto"/>
          </w:divBdr>
        </w:div>
        <w:div w:id="638219852">
          <w:marLeft w:val="0"/>
          <w:marRight w:val="0"/>
          <w:marTop w:val="0"/>
          <w:marBottom w:val="240"/>
          <w:divBdr>
            <w:top w:val="none" w:sz="0" w:space="0" w:color="auto"/>
            <w:left w:val="none" w:sz="0" w:space="0" w:color="auto"/>
            <w:bottom w:val="none" w:sz="0" w:space="0" w:color="auto"/>
            <w:right w:val="none" w:sz="0" w:space="0" w:color="auto"/>
          </w:divBdr>
        </w:div>
        <w:div w:id="1324746334">
          <w:marLeft w:val="0"/>
          <w:marRight w:val="0"/>
          <w:marTop w:val="0"/>
          <w:marBottom w:val="240"/>
          <w:divBdr>
            <w:top w:val="none" w:sz="0" w:space="0" w:color="auto"/>
            <w:left w:val="none" w:sz="0" w:space="0" w:color="auto"/>
            <w:bottom w:val="none" w:sz="0" w:space="0" w:color="auto"/>
            <w:right w:val="none" w:sz="0" w:space="0" w:color="auto"/>
          </w:divBdr>
        </w:div>
        <w:div w:id="1418165946">
          <w:marLeft w:val="0"/>
          <w:marRight w:val="0"/>
          <w:marTop w:val="0"/>
          <w:marBottom w:val="240"/>
          <w:divBdr>
            <w:top w:val="none" w:sz="0" w:space="0" w:color="auto"/>
            <w:left w:val="none" w:sz="0" w:space="0" w:color="auto"/>
            <w:bottom w:val="none" w:sz="0" w:space="0" w:color="auto"/>
            <w:right w:val="none" w:sz="0" w:space="0" w:color="auto"/>
          </w:divBdr>
        </w:div>
        <w:div w:id="1541748530">
          <w:marLeft w:val="0"/>
          <w:marRight w:val="0"/>
          <w:marTop w:val="0"/>
          <w:marBottom w:val="240"/>
          <w:divBdr>
            <w:top w:val="none" w:sz="0" w:space="0" w:color="auto"/>
            <w:left w:val="none" w:sz="0" w:space="0" w:color="auto"/>
            <w:bottom w:val="none" w:sz="0" w:space="0" w:color="auto"/>
            <w:right w:val="none" w:sz="0" w:space="0" w:color="auto"/>
          </w:divBdr>
        </w:div>
        <w:div w:id="1576040339">
          <w:marLeft w:val="0"/>
          <w:marRight w:val="0"/>
          <w:marTop w:val="0"/>
          <w:marBottom w:val="240"/>
          <w:divBdr>
            <w:top w:val="none" w:sz="0" w:space="0" w:color="auto"/>
            <w:left w:val="none" w:sz="0" w:space="0" w:color="auto"/>
            <w:bottom w:val="none" w:sz="0" w:space="0" w:color="auto"/>
            <w:right w:val="none" w:sz="0" w:space="0" w:color="auto"/>
          </w:divBdr>
        </w:div>
        <w:div w:id="1898585440">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franklin@cd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ct/ig/cteigexecsummary.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tps.edu/" TargetMode="External"/><Relationship Id="rId2" Type="http://schemas.openxmlformats.org/officeDocument/2006/relationships/hyperlink" Target="https://www.cacollegeguidance.org/" TargetMode="External"/><Relationship Id="rId1" Type="http://schemas.openxmlformats.org/officeDocument/2006/relationships/hyperlink" Target="https://www.cde.ca.gov/ci/ct/gi/agendanov2023.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27713-F8E6-46AD-9B34-A89C748F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6081</Words>
  <Characters>35882</Characters>
  <Application>Microsoft Office Word</Application>
  <DocSecurity>0</DocSecurity>
  <Lines>1495</Lines>
  <Paragraphs>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41051</CharactersWithSpaces>
  <SharedDoc>false</SharedDoc>
  <HLinks>
    <vt:vector size="18" baseType="variant">
      <vt:variant>
        <vt:i4>2359365</vt:i4>
      </vt:variant>
      <vt:variant>
        <vt:i4>9</vt:i4>
      </vt:variant>
      <vt:variant>
        <vt:i4>0</vt:i4>
      </vt:variant>
      <vt:variant>
        <vt:i4>5</vt:i4>
      </vt:variant>
      <vt:variant>
        <vt:lpwstr>mailto:fname@cde.ca.gov</vt:lpwstr>
      </vt:variant>
      <vt:variant>
        <vt:lpwstr/>
      </vt:variant>
      <vt:variant>
        <vt:i4>4718682</vt:i4>
      </vt:variant>
      <vt:variant>
        <vt:i4>6</vt:i4>
      </vt:variant>
      <vt:variant>
        <vt:i4>0</vt:i4>
      </vt:variant>
      <vt:variant>
        <vt:i4>5</vt:i4>
      </vt:variant>
      <vt:variant>
        <vt:lpwstr>http://www.cde.ca.gov/xx/xx/xx/documents/filename.doc</vt:lpwstr>
      </vt:variant>
      <vt:variant>
        <vt:lpwstr/>
      </vt:variant>
      <vt:variant>
        <vt:i4>4587582</vt:i4>
      </vt:variant>
      <vt:variant>
        <vt:i4>3</vt:i4>
      </vt:variant>
      <vt:variant>
        <vt:i4>0</vt:i4>
      </vt:variant>
      <vt:variant>
        <vt:i4>5</vt:i4>
      </vt:variant>
      <vt:variant>
        <vt:lpwstr>mailto:xxx@cde.ca.gov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CTEIG Legislative Report 2024 - CTEIG (CA Dept of Education)</dc:title>
  <dc:subject>Career Technical Education Incentive Grant (CTEIG) Legislative Reports prepared by the California Department of Education.</dc:subject>
  <dc:creator/>
  <cp:keywords/>
  <dc:description/>
  <cp:lastModifiedBy/>
  <cp:revision>1</cp:revision>
  <dcterms:created xsi:type="dcterms:W3CDTF">2024-12-05T16:36:00Z</dcterms:created>
  <dcterms:modified xsi:type="dcterms:W3CDTF">2024-12-05T16:52:00Z</dcterms:modified>
</cp:coreProperties>
</file>