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B029" w14:textId="77777777" w:rsidR="00D900B4" w:rsidRPr="00E37E0D" w:rsidRDefault="00D900B4" w:rsidP="00E37E0D">
      <w:pPr>
        <w:pStyle w:val="Heading1"/>
      </w:pPr>
      <w:r w:rsidRPr="00E37E0D">
        <w:t>California Department of Education</w:t>
      </w:r>
    </w:p>
    <w:p w14:paraId="148DE8BC" w14:textId="107DE702" w:rsidR="006A70AA" w:rsidRPr="00E37E0D" w:rsidRDefault="00D900B4" w:rsidP="00E37E0D">
      <w:pPr>
        <w:jc w:val="center"/>
        <w:rPr>
          <w:b/>
          <w:bCs/>
          <w:color w:val="000000" w:themeColor="text1"/>
          <w:sz w:val="28"/>
          <w:szCs w:val="28"/>
        </w:rPr>
      </w:pPr>
      <w:r w:rsidRPr="00E37E0D">
        <w:rPr>
          <w:b/>
          <w:bCs/>
          <w:sz w:val="28"/>
          <w:szCs w:val="28"/>
        </w:rPr>
        <w:t xml:space="preserve">Report to the </w:t>
      </w:r>
      <w:bookmarkStart w:id="0" w:name="_Hlk90983969"/>
      <w:r w:rsidRPr="00E37E0D">
        <w:rPr>
          <w:b/>
          <w:bCs/>
          <w:color w:val="000000" w:themeColor="text1"/>
          <w:sz w:val="28"/>
          <w:szCs w:val="28"/>
        </w:rPr>
        <w:t>Legislature</w:t>
      </w:r>
      <w:bookmarkStart w:id="1" w:name="_Hlk90982459"/>
    </w:p>
    <w:p w14:paraId="0DED2223" w14:textId="102F0589" w:rsidR="00D900B4" w:rsidRPr="00E37E0D" w:rsidRDefault="00740886" w:rsidP="00E37E0D">
      <w:pPr>
        <w:jc w:val="center"/>
        <w:rPr>
          <w:b/>
          <w:bCs/>
          <w:sz w:val="28"/>
          <w:szCs w:val="28"/>
        </w:rPr>
      </w:pPr>
      <w:r w:rsidRPr="00E37E0D">
        <w:rPr>
          <w:b/>
          <w:bCs/>
          <w:color w:val="000000" w:themeColor="text1"/>
          <w:sz w:val="28"/>
          <w:szCs w:val="28"/>
        </w:rPr>
        <w:t>California Serves Program</w:t>
      </w:r>
      <w:r w:rsidR="00D900B4" w:rsidRPr="00E37E0D">
        <w:rPr>
          <w:b/>
          <w:bCs/>
          <w:color w:val="000000" w:themeColor="text1"/>
          <w:sz w:val="28"/>
          <w:szCs w:val="28"/>
        </w:rPr>
        <w:t xml:space="preserve">: </w:t>
      </w:r>
      <w:bookmarkStart w:id="2" w:name="_Hlk145319218"/>
      <w:bookmarkEnd w:id="0"/>
      <w:bookmarkEnd w:id="1"/>
      <w:r w:rsidRPr="00E37E0D">
        <w:rPr>
          <w:b/>
          <w:bCs/>
          <w:color w:val="000000" w:themeColor="text1"/>
          <w:sz w:val="28"/>
          <w:szCs w:val="28"/>
        </w:rPr>
        <w:t xml:space="preserve">Strategies to Expand High-Quality and Accessible </w:t>
      </w:r>
      <w:r w:rsidR="00A346A4" w:rsidRPr="00E37E0D">
        <w:rPr>
          <w:b/>
          <w:bCs/>
          <w:color w:val="000000" w:themeColor="text1"/>
          <w:sz w:val="28"/>
          <w:szCs w:val="28"/>
        </w:rPr>
        <w:t>Service-</w:t>
      </w:r>
      <w:r w:rsidR="00EF1536" w:rsidRPr="00E37E0D">
        <w:rPr>
          <w:b/>
          <w:bCs/>
          <w:color w:val="000000" w:themeColor="text1"/>
          <w:sz w:val="28"/>
          <w:szCs w:val="28"/>
        </w:rPr>
        <w:t>L</w:t>
      </w:r>
      <w:r w:rsidR="00A346A4" w:rsidRPr="00E37E0D">
        <w:rPr>
          <w:b/>
          <w:bCs/>
          <w:color w:val="000000" w:themeColor="text1"/>
          <w:sz w:val="28"/>
          <w:szCs w:val="28"/>
        </w:rPr>
        <w:t>earning</w:t>
      </w:r>
      <w:r w:rsidRPr="00E37E0D">
        <w:rPr>
          <w:b/>
          <w:bCs/>
          <w:color w:val="000000" w:themeColor="text1"/>
          <w:sz w:val="28"/>
          <w:szCs w:val="28"/>
        </w:rPr>
        <w:t xml:space="preserve"> Programs in California High Schools</w:t>
      </w:r>
      <w:bookmarkEnd w:id="2"/>
    </w:p>
    <w:p w14:paraId="5D435B53" w14:textId="77777777" w:rsidR="00D900B4" w:rsidRPr="00B31A89" w:rsidRDefault="00D900B4" w:rsidP="00E37E0D">
      <w:pPr>
        <w:spacing w:before="600" w:after="600"/>
        <w:jc w:val="center"/>
      </w:pPr>
      <w:r w:rsidRPr="00B31A89">
        <w:rPr>
          <w:color w:val="C0C0C0"/>
        </w:rPr>
        <w:object w:dxaOrig="5999" w:dyaOrig="5999" w14:anchorId="66046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79.25pt;height:179.25pt" o:ole="">
            <v:imagedata r:id="rId8" o:title=""/>
          </v:shape>
          <o:OLEObject Type="Embed" ProgID="MSPhotoEd.3" ShapeID="_x0000_i1025" DrawAspect="Content" ObjectID="_1797833987" r:id="rId9"/>
        </w:object>
      </w:r>
    </w:p>
    <w:p w14:paraId="7C136B58" w14:textId="77777777" w:rsidR="00D900B4" w:rsidRPr="00E37E0D" w:rsidRDefault="00D900B4" w:rsidP="00E37E0D">
      <w:pPr>
        <w:spacing w:before="240"/>
        <w:jc w:val="center"/>
        <w:rPr>
          <w:b/>
          <w:bCs/>
          <w:iCs/>
        </w:rPr>
      </w:pPr>
      <w:r w:rsidRPr="00E37E0D">
        <w:rPr>
          <w:b/>
          <w:bCs/>
          <w:iCs/>
        </w:rPr>
        <w:t>Prepared by:</w:t>
      </w:r>
    </w:p>
    <w:p w14:paraId="100A1A44" w14:textId="6841C6FF" w:rsidR="00D900B4" w:rsidRPr="00E37E0D" w:rsidRDefault="00106907" w:rsidP="00E37E0D">
      <w:pPr>
        <w:spacing w:after="0"/>
        <w:jc w:val="center"/>
        <w:rPr>
          <w:b/>
          <w:bCs/>
          <w:color w:val="000000" w:themeColor="text1"/>
          <w:sz w:val="28"/>
          <w:szCs w:val="28"/>
        </w:rPr>
      </w:pPr>
      <w:r w:rsidRPr="00E37E0D">
        <w:rPr>
          <w:b/>
          <w:bCs/>
          <w:color w:val="000000" w:themeColor="text1"/>
          <w:sz w:val="28"/>
          <w:szCs w:val="28"/>
        </w:rPr>
        <w:t>Professional Learning Support Division</w:t>
      </w:r>
    </w:p>
    <w:p w14:paraId="6E9E4997" w14:textId="77777777" w:rsidR="00D900B4" w:rsidRPr="00E37E0D" w:rsidRDefault="00D900B4" w:rsidP="00E37E0D">
      <w:pPr>
        <w:jc w:val="center"/>
        <w:rPr>
          <w:b/>
          <w:bCs/>
          <w:color w:val="000000" w:themeColor="text1"/>
          <w:sz w:val="28"/>
          <w:szCs w:val="28"/>
        </w:rPr>
      </w:pPr>
      <w:r w:rsidRPr="00E37E0D">
        <w:rPr>
          <w:b/>
          <w:bCs/>
          <w:color w:val="000000" w:themeColor="text1"/>
          <w:sz w:val="28"/>
          <w:szCs w:val="28"/>
        </w:rPr>
        <w:t>Instruction, Measurement, and Administration Branch</w:t>
      </w:r>
    </w:p>
    <w:p w14:paraId="497A0A1C" w14:textId="405B6DF7" w:rsidR="00D900B4" w:rsidRPr="00B31A89" w:rsidRDefault="00A068A5" w:rsidP="00E37E0D">
      <w:pPr>
        <w:jc w:val="center"/>
        <w:rPr>
          <w:iCs/>
          <w:color w:val="000000" w:themeColor="text1"/>
        </w:rPr>
      </w:pPr>
      <w:r>
        <w:rPr>
          <w:iCs/>
          <w:color w:val="000000" w:themeColor="text1"/>
        </w:rPr>
        <w:t>January</w:t>
      </w:r>
      <w:r w:rsidR="00F92FD4" w:rsidRPr="00B31A89">
        <w:rPr>
          <w:iCs/>
          <w:color w:val="000000" w:themeColor="text1"/>
        </w:rPr>
        <w:t xml:space="preserve"> 2024</w:t>
      </w:r>
    </w:p>
    <w:p w14:paraId="69E2AF82" w14:textId="62179F0E" w:rsidR="00D900B4" w:rsidRPr="00B31A89" w:rsidRDefault="00D900B4" w:rsidP="00E37E0D">
      <w:pPr>
        <w:spacing w:before="480"/>
        <w:rPr>
          <w:lang w:bidi="en-US"/>
        </w:rPr>
      </w:pPr>
      <w:r w:rsidRPr="00B31A89">
        <w:rPr>
          <w:i/>
          <w:lang w:bidi="en-US"/>
        </w:rPr>
        <w:t>Description</w:t>
      </w:r>
      <w:r w:rsidRPr="00B31A89">
        <w:rPr>
          <w:lang w:bidi="en-US"/>
        </w:rPr>
        <w:t xml:space="preserve">: </w:t>
      </w:r>
      <w:r w:rsidR="00740886" w:rsidRPr="00B31A89">
        <w:rPr>
          <w:color w:val="000000" w:themeColor="text1"/>
          <w:lang w:bidi="en-US"/>
        </w:rPr>
        <w:t xml:space="preserve">Report on Recommendations for Strategies to Expand High-Quality and Accessible </w:t>
      </w:r>
      <w:r w:rsidR="00A346A4" w:rsidRPr="00B31A89">
        <w:rPr>
          <w:color w:val="000000" w:themeColor="text1"/>
          <w:lang w:bidi="en-US"/>
        </w:rPr>
        <w:t>Service-</w:t>
      </w:r>
      <w:r w:rsidR="00A54737">
        <w:rPr>
          <w:color w:val="000000" w:themeColor="text1"/>
          <w:lang w:bidi="en-US"/>
        </w:rPr>
        <w:t>L</w:t>
      </w:r>
      <w:r w:rsidR="00A346A4" w:rsidRPr="00B31A89">
        <w:rPr>
          <w:color w:val="000000" w:themeColor="text1"/>
          <w:lang w:bidi="en-US"/>
        </w:rPr>
        <w:t>earning</w:t>
      </w:r>
      <w:r w:rsidR="00740886" w:rsidRPr="00B31A89">
        <w:rPr>
          <w:color w:val="000000" w:themeColor="text1"/>
          <w:lang w:bidi="en-US"/>
        </w:rPr>
        <w:t xml:space="preserve"> Programs in Grades Nine </w:t>
      </w:r>
      <w:r w:rsidR="00780335">
        <w:rPr>
          <w:color w:val="000000" w:themeColor="text1"/>
          <w:lang w:bidi="en-US"/>
        </w:rPr>
        <w:t>T</w:t>
      </w:r>
      <w:r w:rsidR="00740886" w:rsidRPr="00B31A89">
        <w:rPr>
          <w:color w:val="000000" w:themeColor="text1"/>
          <w:lang w:bidi="en-US"/>
        </w:rPr>
        <w:t>hrough Twelve</w:t>
      </w:r>
    </w:p>
    <w:p w14:paraId="3873F82D" w14:textId="7C22E00E" w:rsidR="00D900B4" w:rsidRPr="00B31A89" w:rsidRDefault="00D900B4" w:rsidP="00E37E0D">
      <w:pPr>
        <w:rPr>
          <w:lang w:bidi="en-US"/>
        </w:rPr>
      </w:pPr>
      <w:r w:rsidRPr="6EE915AB">
        <w:rPr>
          <w:i/>
          <w:iCs/>
          <w:lang w:bidi="en-US"/>
        </w:rPr>
        <w:t>Authority</w:t>
      </w:r>
      <w:r w:rsidRPr="6EE915AB">
        <w:rPr>
          <w:lang w:bidi="en-US"/>
        </w:rPr>
        <w:t xml:space="preserve">: California </w:t>
      </w:r>
      <w:r w:rsidRPr="6EE915AB">
        <w:rPr>
          <w:i/>
          <w:iCs/>
          <w:lang w:bidi="en-US"/>
        </w:rPr>
        <w:t xml:space="preserve">Education Code </w:t>
      </w:r>
      <w:r w:rsidRPr="6EE915AB">
        <w:rPr>
          <w:lang w:bidi="en-US"/>
        </w:rPr>
        <w:t xml:space="preserve">Section </w:t>
      </w:r>
      <w:r w:rsidR="64FB9D36" w:rsidRPr="6EE915AB">
        <w:rPr>
          <w:lang w:bidi="en-US"/>
        </w:rPr>
        <w:t>51475</w:t>
      </w:r>
    </w:p>
    <w:p w14:paraId="5404AA0B" w14:textId="77777777" w:rsidR="00D900B4" w:rsidRPr="00B31A89" w:rsidRDefault="00D900B4" w:rsidP="00E37E0D">
      <w:pPr>
        <w:rPr>
          <w:color w:val="000000" w:themeColor="text1"/>
          <w:lang w:bidi="en-US"/>
        </w:rPr>
      </w:pPr>
      <w:r w:rsidRPr="00B31A89">
        <w:rPr>
          <w:i/>
          <w:lang w:bidi="en-US"/>
        </w:rPr>
        <w:t>Recipient</w:t>
      </w:r>
      <w:r w:rsidRPr="00B31A89">
        <w:rPr>
          <w:lang w:bidi="en-US"/>
        </w:rPr>
        <w:t xml:space="preserve">: </w:t>
      </w:r>
      <w:r w:rsidRPr="00B31A89">
        <w:rPr>
          <w:color w:val="000000" w:themeColor="text1"/>
          <w:lang w:bidi="en-US"/>
        </w:rPr>
        <w:t>The Legislature</w:t>
      </w:r>
    </w:p>
    <w:p w14:paraId="0D087BEA" w14:textId="01F98DAB" w:rsidR="00D900B4" w:rsidRPr="00E37E0D" w:rsidRDefault="00D900B4" w:rsidP="00E37E0D">
      <w:pPr>
        <w:rPr>
          <w:lang w:bidi="en-US"/>
        </w:rPr>
        <w:sectPr w:rsidR="00D900B4" w:rsidRPr="00E37E0D" w:rsidSect="00760A30">
          <w:headerReference w:type="default" r:id="rId10"/>
          <w:footerReference w:type="default" r:id="rId11"/>
          <w:pgSz w:w="12240" w:h="15840"/>
          <w:pgMar w:top="1440" w:right="1440" w:bottom="1440" w:left="1800" w:header="720" w:footer="720" w:gutter="0"/>
          <w:pgNumType w:start="1"/>
          <w:cols w:space="720"/>
          <w:titlePg/>
          <w:docGrid w:linePitch="360"/>
        </w:sectPr>
      </w:pPr>
      <w:r w:rsidRPr="00B31A89">
        <w:rPr>
          <w:i/>
          <w:lang w:bidi="en-US"/>
        </w:rPr>
        <w:t>Due Date</w:t>
      </w:r>
      <w:r w:rsidRPr="00B31A89">
        <w:rPr>
          <w:lang w:bidi="en-US"/>
        </w:rPr>
        <w:t xml:space="preserve">: </w:t>
      </w:r>
      <w:r w:rsidR="00740886" w:rsidRPr="00B31A89">
        <w:rPr>
          <w:color w:val="000000" w:themeColor="text1"/>
          <w:lang w:bidi="en-US"/>
        </w:rPr>
        <w:t>January 1, 2024</w:t>
      </w:r>
    </w:p>
    <w:p w14:paraId="198679A1" w14:textId="77777777" w:rsidR="00D900B4" w:rsidRPr="00B31A89" w:rsidRDefault="00D900B4" w:rsidP="00D900B4">
      <w:pPr>
        <w:tabs>
          <w:tab w:val="decimal" w:leader="dot" w:pos="8820"/>
        </w:tabs>
        <w:ind w:right="-187"/>
        <w:jc w:val="center"/>
        <w:rPr>
          <w:rFonts w:eastAsia="Times New Roman" w:cs="Arial"/>
          <w:b/>
          <w:bCs/>
          <w:szCs w:val="24"/>
        </w:rPr>
      </w:pPr>
      <w:r w:rsidRPr="00B31A89">
        <w:rPr>
          <w:rFonts w:eastAsia="Times New Roman" w:cs="Arial"/>
          <w:b/>
          <w:bCs/>
          <w:szCs w:val="24"/>
        </w:rPr>
        <w:lastRenderedPageBreak/>
        <w:t>California Department of Education</w:t>
      </w:r>
    </w:p>
    <w:p w14:paraId="5EC66107" w14:textId="77777777" w:rsidR="00DE04FB" w:rsidRDefault="00D900B4" w:rsidP="006B6043">
      <w:pPr>
        <w:jc w:val="center"/>
        <w:rPr>
          <w:rFonts w:eastAsia="Times New Roman" w:cs="Arial"/>
          <w:b/>
          <w:szCs w:val="24"/>
        </w:rPr>
      </w:pPr>
      <w:r w:rsidRPr="00B31A89">
        <w:rPr>
          <w:rFonts w:eastAsia="Times New Roman" w:cs="Arial"/>
          <w:b/>
          <w:szCs w:val="24"/>
        </w:rPr>
        <w:t>Report to the Legislature</w:t>
      </w:r>
      <w:bookmarkStart w:id="3" w:name="_Hlk90985955"/>
      <w:r w:rsidR="00DE04FB">
        <w:rPr>
          <w:rFonts w:eastAsia="Times New Roman" w:cs="Arial"/>
          <w:b/>
          <w:szCs w:val="24"/>
        </w:rPr>
        <w:t xml:space="preserve"> </w:t>
      </w:r>
    </w:p>
    <w:p w14:paraId="0BB9B045" w14:textId="3F6F4EEC" w:rsidR="00D900B4" w:rsidRPr="00B31A89" w:rsidRDefault="00740886" w:rsidP="006B6043">
      <w:pPr>
        <w:jc w:val="center"/>
        <w:rPr>
          <w:rFonts w:eastAsia="Times New Roman" w:cs="Arial"/>
          <w:b/>
          <w:szCs w:val="24"/>
        </w:rPr>
      </w:pPr>
      <w:r w:rsidRPr="00B31A89">
        <w:rPr>
          <w:rFonts w:eastAsia="Times New Roman" w:cs="Arial"/>
          <w:b/>
          <w:szCs w:val="24"/>
        </w:rPr>
        <w:t>California Serves Program</w:t>
      </w:r>
      <w:r w:rsidR="00D900B4" w:rsidRPr="00B31A89">
        <w:rPr>
          <w:rFonts w:eastAsia="Times New Roman" w:cs="Arial"/>
          <w:b/>
          <w:szCs w:val="24"/>
        </w:rPr>
        <w:t xml:space="preserve">: </w:t>
      </w:r>
      <w:bookmarkEnd w:id="3"/>
      <w:r w:rsidRPr="00B31A89">
        <w:rPr>
          <w:rFonts w:eastAsia="Times New Roman" w:cs="Arial"/>
          <w:b/>
          <w:szCs w:val="24"/>
        </w:rPr>
        <w:t xml:space="preserve">Strategies to Expand High-Quality and Accessible </w:t>
      </w:r>
      <w:r w:rsidR="00A346A4" w:rsidRPr="00B31A89">
        <w:rPr>
          <w:rFonts w:eastAsia="Times New Roman" w:cs="Arial"/>
          <w:b/>
          <w:szCs w:val="24"/>
        </w:rPr>
        <w:t>Service-</w:t>
      </w:r>
      <w:r w:rsidR="007538F8">
        <w:rPr>
          <w:rFonts w:eastAsia="Times New Roman" w:cs="Arial"/>
          <w:b/>
          <w:szCs w:val="24"/>
        </w:rPr>
        <w:t>L</w:t>
      </w:r>
      <w:r w:rsidR="00A346A4" w:rsidRPr="00B31A89">
        <w:rPr>
          <w:rFonts w:eastAsia="Times New Roman" w:cs="Arial"/>
          <w:b/>
          <w:szCs w:val="24"/>
        </w:rPr>
        <w:t>earning</w:t>
      </w:r>
      <w:r w:rsidRPr="00B31A89">
        <w:rPr>
          <w:rFonts w:eastAsia="Times New Roman" w:cs="Arial"/>
          <w:b/>
          <w:szCs w:val="24"/>
        </w:rPr>
        <w:t xml:space="preserve"> Programs in California High Schools</w:t>
      </w:r>
    </w:p>
    <w:p w14:paraId="6DAC0DA5" w14:textId="77777777" w:rsidR="00D900B4" w:rsidRPr="00B31A89" w:rsidRDefault="00D900B4" w:rsidP="00E9632A">
      <w:pPr>
        <w:tabs>
          <w:tab w:val="left" w:pos="853"/>
          <w:tab w:val="center" w:pos="4500"/>
          <w:tab w:val="right" w:pos="9000"/>
        </w:tabs>
        <w:jc w:val="center"/>
        <w:rPr>
          <w:rFonts w:eastAsia="Times New Roman" w:cs="Arial"/>
          <w:b/>
          <w:bCs/>
          <w:sz w:val="28"/>
          <w:szCs w:val="28"/>
        </w:rPr>
      </w:pPr>
      <w:r w:rsidRPr="00B31A89">
        <w:rPr>
          <w:rFonts w:eastAsia="Times New Roman" w:cs="Arial"/>
          <w:b/>
          <w:sz w:val="28"/>
          <w:szCs w:val="24"/>
        </w:rPr>
        <w:tab/>
      </w:r>
      <w:r w:rsidRPr="00B31A89">
        <w:rPr>
          <w:rFonts w:eastAsia="Times New Roman" w:cs="Arial"/>
          <w:b/>
          <w:sz w:val="28"/>
          <w:szCs w:val="24"/>
        </w:rPr>
        <w:tab/>
      </w:r>
      <w:r w:rsidRPr="7E684A10">
        <w:rPr>
          <w:rFonts w:eastAsia="Times New Roman" w:cs="Arial"/>
          <w:b/>
          <w:bCs/>
          <w:sz w:val="28"/>
          <w:szCs w:val="28"/>
        </w:rPr>
        <w:t>Table of Contents</w:t>
      </w:r>
      <w:r w:rsidRPr="00B31A89">
        <w:rPr>
          <w:rFonts w:eastAsia="Times New Roman" w:cs="Arial"/>
          <w:b/>
          <w:sz w:val="28"/>
          <w:szCs w:val="24"/>
        </w:rPr>
        <w:tab/>
      </w:r>
    </w:p>
    <w:p w14:paraId="7877264B" w14:textId="75E53F74" w:rsidR="004A38F4" w:rsidRPr="00B30825" w:rsidRDefault="0008706C" w:rsidP="004A38F4">
      <w:pPr>
        <w:pStyle w:val="TOC1"/>
        <w:rPr>
          <w:rFonts w:asciiTheme="minorHAnsi" w:eastAsiaTheme="minorEastAsia" w:hAnsiTheme="minorHAnsi"/>
          <w:noProof/>
          <w:kern w:val="2"/>
          <w:szCs w:val="24"/>
          <w14:ligatures w14:val="standardContextual"/>
        </w:rPr>
      </w:pPr>
      <w:r w:rsidRPr="00B30825">
        <w:rPr>
          <w:rFonts w:eastAsia="Times New Roman" w:cs="Arial"/>
          <w:noProof/>
          <w:szCs w:val="24"/>
        </w:rPr>
        <w:fldChar w:fldCharType="begin"/>
      </w:r>
      <w:r w:rsidRPr="00B30825">
        <w:rPr>
          <w:rFonts w:eastAsia="Times New Roman" w:cs="Arial"/>
          <w:noProof/>
          <w:szCs w:val="24"/>
        </w:rPr>
        <w:instrText xml:space="preserve"> TOC \o "1-4" </w:instrText>
      </w:r>
      <w:r w:rsidRPr="00B30825">
        <w:rPr>
          <w:rFonts w:eastAsia="Times New Roman" w:cs="Arial"/>
          <w:noProof/>
          <w:szCs w:val="24"/>
        </w:rPr>
        <w:fldChar w:fldCharType="separate"/>
      </w:r>
      <w:r w:rsidR="004A38F4" w:rsidRPr="00B30825">
        <w:rPr>
          <w:noProof/>
        </w:rPr>
        <w:t>Executive Summary</w:t>
      </w:r>
      <w:r w:rsidR="004A38F4" w:rsidRPr="00B30825">
        <w:rPr>
          <w:noProof/>
        </w:rPr>
        <w:tab/>
      </w:r>
      <w:r w:rsidR="004A38F4" w:rsidRPr="00B30825">
        <w:rPr>
          <w:noProof/>
        </w:rPr>
        <w:fldChar w:fldCharType="begin"/>
      </w:r>
      <w:r w:rsidR="004A38F4" w:rsidRPr="00B30825">
        <w:rPr>
          <w:noProof/>
        </w:rPr>
        <w:instrText xml:space="preserve"> PAGEREF _Toc167277542 \h </w:instrText>
      </w:r>
      <w:r w:rsidR="004A38F4" w:rsidRPr="00B30825">
        <w:rPr>
          <w:noProof/>
        </w:rPr>
      </w:r>
      <w:r w:rsidR="004A38F4" w:rsidRPr="00B30825">
        <w:rPr>
          <w:noProof/>
        </w:rPr>
        <w:fldChar w:fldCharType="separate"/>
      </w:r>
      <w:r w:rsidR="00B11A8E">
        <w:rPr>
          <w:noProof/>
        </w:rPr>
        <w:t>3</w:t>
      </w:r>
      <w:r w:rsidR="004A38F4" w:rsidRPr="00B30825">
        <w:rPr>
          <w:noProof/>
        </w:rPr>
        <w:fldChar w:fldCharType="end"/>
      </w:r>
    </w:p>
    <w:p w14:paraId="0E04FD97" w14:textId="491733F4" w:rsidR="004A38F4" w:rsidRPr="00B30825" w:rsidRDefault="004A38F4" w:rsidP="004A38F4">
      <w:pPr>
        <w:pStyle w:val="TOC2"/>
        <w:rPr>
          <w:rFonts w:asciiTheme="minorHAnsi" w:eastAsiaTheme="minorEastAsia" w:hAnsiTheme="minorHAnsi"/>
          <w:noProof/>
          <w:kern w:val="2"/>
          <w:szCs w:val="24"/>
          <w14:ligatures w14:val="standardContextual"/>
        </w:rPr>
      </w:pPr>
      <w:r w:rsidRPr="00B30825">
        <w:rPr>
          <w:noProof/>
        </w:rPr>
        <w:t>Assembly Bill 181 and Legislative Reporting Requirements</w:t>
      </w:r>
      <w:r w:rsidRPr="00B30825">
        <w:rPr>
          <w:noProof/>
        </w:rPr>
        <w:tab/>
      </w:r>
      <w:r w:rsidRPr="00B30825">
        <w:rPr>
          <w:noProof/>
        </w:rPr>
        <w:fldChar w:fldCharType="begin"/>
      </w:r>
      <w:r w:rsidRPr="00B30825">
        <w:rPr>
          <w:noProof/>
        </w:rPr>
        <w:instrText xml:space="preserve"> PAGEREF _Toc167277543 \h </w:instrText>
      </w:r>
      <w:r w:rsidRPr="00B30825">
        <w:rPr>
          <w:noProof/>
        </w:rPr>
      </w:r>
      <w:r w:rsidRPr="00B30825">
        <w:rPr>
          <w:noProof/>
        </w:rPr>
        <w:fldChar w:fldCharType="separate"/>
      </w:r>
      <w:r w:rsidR="00B11A8E">
        <w:rPr>
          <w:noProof/>
        </w:rPr>
        <w:t>4</w:t>
      </w:r>
      <w:r w:rsidRPr="00B30825">
        <w:rPr>
          <w:noProof/>
        </w:rPr>
        <w:fldChar w:fldCharType="end"/>
      </w:r>
    </w:p>
    <w:p w14:paraId="70814486" w14:textId="64843825" w:rsidR="004A38F4" w:rsidRPr="00B30825" w:rsidRDefault="004A38F4" w:rsidP="004A38F4">
      <w:pPr>
        <w:pStyle w:val="TOC2"/>
        <w:rPr>
          <w:rFonts w:asciiTheme="minorHAnsi" w:eastAsiaTheme="minorEastAsia" w:hAnsiTheme="minorHAnsi"/>
          <w:noProof/>
          <w:kern w:val="2"/>
          <w:szCs w:val="24"/>
          <w14:ligatures w14:val="standardContextual"/>
        </w:rPr>
      </w:pPr>
      <w:r w:rsidRPr="00B30825">
        <w:rPr>
          <w:noProof/>
        </w:rPr>
        <w:t>Introduction and Background: Civic Engagement and Learning in California</w:t>
      </w:r>
      <w:r w:rsidRPr="00B30825">
        <w:rPr>
          <w:noProof/>
        </w:rPr>
        <w:tab/>
      </w:r>
      <w:r w:rsidRPr="00B30825">
        <w:rPr>
          <w:noProof/>
        </w:rPr>
        <w:fldChar w:fldCharType="begin"/>
      </w:r>
      <w:r w:rsidRPr="00B30825">
        <w:rPr>
          <w:noProof/>
        </w:rPr>
        <w:instrText xml:space="preserve"> PAGEREF _Toc167277544 \h </w:instrText>
      </w:r>
      <w:r w:rsidRPr="00B30825">
        <w:rPr>
          <w:noProof/>
        </w:rPr>
      </w:r>
      <w:r w:rsidRPr="00B30825">
        <w:rPr>
          <w:noProof/>
        </w:rPr>
        <w:fldChar w:fldCharType="separate"/>
      </w:r>
      <w:r w:rsidR="00B11A8E">
        <w:rPr>
          <w:noProof/>
        </w:rPr>
        <w:t>5</w:t>
      </w:r>
      <w:r w:rsidRPr="00B30825">
        <w:rPr>
          <w:noProof/>
        </w:rPr>
        <w:fldChar w:fldCharType="end"/>
      </w:r>
    </w:p>
    <w:p w14:paraId="2A2EAB23" w14:textId="7F0E6C41" w:rsidR="004A38F4" w:rsidRPr="00B30825" w:rsidRDefault="004A38F4">
      <w:pPr>
        <w:pStyle w:val="TOC3"/>
        <w:rPr>
          <w:rFonts w:asciiTheme="minorHAnsi" w:eastAsiaTheme="minorEastAsia" w:hAnsiTheme="minorHAnsi"/>
          <w:noProof/>
          <w:kern w:val="2"/>
          <w:szCs w:val="24"/>
          <w14:ligatures w14:val="standardContextual"/>
        </w:rPr>
      </w:pPr>
      <w:r w:rsidRPr="00B30825">
        <w:rPr>
          <w:noProof/>
        </w:rPr>
        <w:t>Civic Education Initiative</w:t>
      </w:r>
      <w:r w:rsidRPr="00B30825">
        <w:rPr>
          <w:noProof/>
        </w:rPr>
        <w:tab/>
      </w:r>
      <w:r w:rsidRPr="00B30825">
        <w:rPr>
          <w:noProof/>
        </w:rPr>
        <w:fldChar w:fldCharType="begin"/>
      </w:r>
      <w:r w:rsidRPr="00B30825">
        <w:rPr>
          <w:noProof/>
        </w:rPr>
        <w:instrText xml:space="preserve"> PAGEREF _Toc167277545 \h </w:instrText>
      </w:r>
      <w:r w:rsidRPr="00B30825">
        <w:rPr>
          <w:noProof/>
        </w:rPr>
      </w:r>
      <w:r w:rsidRPr="00B30825">
        <w:rPr>
          <w:noProof/>
        </w:rPr>
        <w:fldChar w:fldCharType="separate"/>
      </w:r>
      <w:r w:rsidR="00B11A8E">
        <w:rPr>
          <w:noProof/>
        </w:rPr>
        <w:t>5</w:t>
      </w:r>
      <w:r w:rsidRPr="00B30825">
        <w:rPr>
          <w:noProof/>
        </w:rPr>
        <w:fldChar w:fldCharType="end"/>
      </w:r>
    </w:p>
    <w:p w14:paraId="5B682B44" w14:textId="4C1EB49B" w:rsidR="004A38F4" w:rsidRPr="00B30825" w:rsidRDefault="004A38F4">
      <w:pPr>
        <w:pStyle w:val="TOC3"/>
        <w:rPr>
          <w:rFonts w:asciiTheme="minorHAnsi" w:eastAsiaTheme="minorEastAsia" w:hAnsiTheme="minorHAnsi"/>
          <w:noProof/>
          <w:kern w:val="2"/>
          <w:szCs w:val="24"/>
          <w14:ligatures w14:val="standardContextual"/>
        </w:rPr>
      </w:pPr>
      <w:r w:rsidRPr="00B30825">
        <w:rPr>
          <w:noProof/>
        </w:rPr>
        <w:t>State Seal of Civic Engagement</w:t>
      </w:r>
      <w:r w:rsidRPr="00B30825">
        <w:rPr>
          <w:noProof/>
        </w:rPr>
        <w:tab/>
      </w:r>
      <w:r w:rsidRPr="00B30825">
        <w:rPr>
          <w:noProof/>
        </w:rPr>
        <w:fldChar w:fldCharType="begin"/>
      </w:r>
      <w:r w:rsidRPr="00B30825">
        <w:rPr>
          <w:noProof/>
        </w:rPr>
        <w:instrText xml:space="preserve"> PAGEREF _Toc167277546 \h </w:instrText>
      </w:r>
      <w:r w:rsidRPr="00B30825">
        <w:rPr>
          <w:noProof/>
        </w:rPr>
      </w:r>
      <w:r w:rsidRPr="00B30825">
        <w:rPr>
          <w:noProof/>
        </w:rPr>
        <w:fldChar w:fldCharType="separate"/>
      </w:r>
      <w:r w:rsidR="00B11A8E">
        <w:rPr>
          <w:noProof/>
        </w:rPr>
        <w:t>5</w:t>
      </w:r>
      <w:r w:rsidRPr="00B30825">
        <w:rPr>
          <w:noProof/>
        </w:rPr>
        <w:fldChar w:fldCharType="end"/>
      </w:r>
    </w:p>
    <w:p w14:paraId="4650A978" w14:textId="0F4A22C7" w:rsidR="004A38F4" w:rsidRPr="00B30825" w:rsidRDefault="004A38F4">
      <w:pPr>
        <w:pStyle w:val="TOC3"/>
        <w:rPr>
          <w:rFonts w:asciiTheme="minorHAnsi" w:eastAsiaTheme="minorEastAsia" w:hAnsiTheme="minorHAnsi"/>
          <w:noProof/>
          <w:kern w:val="2"/>
          <w:szCs w:val="24"/>
          <w14:ligatures w14:val="standardContextual"/>
        </w:rPr>
      </w:pPr>
      <w:r w:rsidRPr="00B30825">
        <w:rPr>
          <w:noProof/>
        </w:rPr>
        <w:t>California Serves</w:t>
      </w:r>
      <w:r w:rsidRPr="00B30825">
        <w:rPr>
          <w:noProof/>
        </w:rPr>
        <w:tab/>
      </w:r>
      <w:r w:rsidRPr="00B30825">
        <w:rPr>
          <w:noProof/>
        </w:rPr>
        <w:fldChar w:fldCharType="begin"/>
      </w:r>
      <w:r w:rsidRPr="00B30825">
        <w:rPr>
          <w:noProof/>
        </w:rPr>
        <w:instrText xml:space="preserve"> PAGEREF _Toc167277547 \h </w:instrText>
      </w:r>
      <w:r w:rsidRPr="00B30825">
        <w:rPr>
          <w:noProof/>
        </w:rPr>
      </w:r>
      <w:r w:rsidRPr="00B30825">
        <w:rPr>
          <w:noProof/>
        </w:rPr>
        <w:fldChar w:fldCharType="separate"/>
      </w:r>
      <w:r w:rsidR="00B11A8E">
        <w:rPr>
          <w:noProof/>
        </w:rPr>
        <w:t>5</w:t>
      </w:r>
      <w:r w:rsidRPr="00B30825">
        <w:rPr>
          <w:noProof/>
        </w:rPr>
        <w:fldChar w:fldCharType="end"/>
      </w:r>
    </w:p>
    <w:p w14:paraId="1F822B4D" w14:textId="665E1B12" w:rsidR="004A38F4" w:rsidRPr="00B30825" w:rsidRDefault="004A38F4" w:rsidP="004A38F4">
      <w:pPr>
        <w:pStyle w:val="TOC2"/>
        <w:rPr>
          <w:rFonts w:asciiTheme="minorHAnsi" w:eastAsiaTheme="minorEastAsia" w:hAnsiTheme="minorHAnsi"/>
          <w:noProof/>
          <w:kern w:val="2"/>
          <w:szCs w:val="24"/>
          <w14:ligatures w14:val="standardContextual"/>
        </w:rPr>
      </w:pPr>
      <w:r w:rsidRPr="00B30825">
        <w:rPr>
          <w:noProof/>
        </w:rPr>
        <w:t>Overview: California Serves</w:t>
      </w:r>
      <w:r w:rsidRPr="00B30825">
        <w:rPr>
          <w:noProof/>
        </w:rPr>
        <w:tab/>
      </w:r>
      <w:r w:rsidRPr="00B30825">
        <w:rPr>
          <w:noProof/>
        </w:rPr>
        <w:fldChar w:fldCharType="begin"/>
      </w:r>
      <w:r w:rsidRPr="00B30825">
        <w:rPr>
          <w:noProof/>
        </w:rPr>
        <w:instrText xml:space="preserve"> PAGEREF _Toc167277548 \h </w:instrText>
      </w:r>
      <w:r w:rsidRPr="00B30825">
        <w:rPr>
          <w:noProof/>
        </w:rPr>
      </w:r>
      <w:r w:rsidRPr="00B30825">
        <w:rPr>
          <w:noProof/>
        </w:rPr>
        <w:fldChar w:fldCharType="separate"/>
      </w:r>
      <w:r w:rsidR="00B11A8E">
        <w:rPr>
          <w:noProof/>
        </w:rPr>
        <w:t>6</w:t>
      </w:r>
      <w:r w:rsidRPr="00B30825">
        <w:rPr>
          <w:noProof/>
        </w:rPr>
        <w:fldChar w:fldCharType="end"/>
      </w:r>
    </w:p>
    <w:p w14:paraId="5FC3E01E" w14:textId="3DEE0351" w:rsidR="004A38F4" w:rsidRPr="00B30825" w:rsidRDefault="004A38F4">
      <w:pPr>
        <w:pStyle w:val="TOC3"/>
        <w:rPr>
          <w:rFonts w:asciiTheme="minorHAnsi" w:eastAsiaTheme="minorEastAsia" w:hAnsiTheme="minorHAnsi"/>
          <w:noProof/>
          <w:kern w:val="2"/>
          <w:szCs w:val="24"/>
          <w14:ligatures w14:val="standardContextual"/>
        </w:rPr>
      </w:pPr>
      <w:r w:rsidRPr="00B30825">
        <w:rPr>
          <w:noProof/>
        </w:rPr>
        <w:t>Annual Grant Program</w:t>
      </w:r>
      <w:r w:rsidRPr="00B30825">
        <w:rPr>
          <w:noProof/>
        </w:rPr>
        <w:tab/>
      </w:r>
      <w:r w:rsidRPr="00B30825">
        <w:rPr>
          <w:noProof/>
        </w:rPr>
        <w:fldChar w:fldCharType="begin"/>
      </w:r>
      <w:r w:rsidRPr="00B30825">
        <w:rPr>
          <w:noProof/>
        </w:rPr>
        <w:instrText xml:space="preserve"> PAGEREF _Toc167277549 \h </w:instrText>
      </w:r>
      <w:r w:rsidRPr="00B30825">
        <w:rPr>
          <w:noProof/>
        </w:rPr>
      </w:r>
      <w:r w:rsidRPr="00B30825">
        <w:rPr>
          <w:noProof/>
        </w:rPr>
        <w:fldChar w:fldCharType="separate"/>
      </w:r>
      <w:r w:rsidR="00B11A8E">
        <w:rPr>
          <w:noProof/>
        </w:rPr>
        <w:t>6</w:t>
      </w:r>
      <w:r w:rsidRPr="00B30825">
        <w:rPr>
          <w:noProof/>
        </w:rPr>
        <w:fldChar w:fldCharType="end"/>
      </w:r>
    </w:p>
    <w:p w14:paraId="7879D31C" w14:textId="3AFEC6D6" w:rsidR="004A38F4" w:rsidRPr="00B30825" w:rsidRDefault="004A38F4">
      <w:pPr>
        <w:pStyle w:val="TOC3"/>
        <w:rPr>
          <w:rFonts w:asciiTheme="minorHAnsi" w:eastAsiaTheme="minorEastAsia" w:hAnsiTheme="minorHAnsi"/>
          <w:noProof/>
          <w:kern w:val="2"/>
          <w:szCs w:val="24"/>
          <w14:ligatures w14:val="standardContextual"/>
        </w:rPr>
      </w:pPr>
      <w:r w:rsidRPr="00B30825">
        <w:rPr>
          <w:noProof/>
        </w:rPr>
        <w:t>Research, Recommendations, and Metrics</w:t>
      </w:r>
      <w:r w:rsidRPr="00B30825">
        <w:rPr>
          <w:noProof/>
        </w:rPr>
        <w:tab/>
      </w:r>
      <w:r w:rsidRPr="00B30825">
        <w:rPr>
          <w:noProof/>
        </w:rPr>
        <w:fldChar w:fldCharType="begin"/>
      </w:r>
      <w:r w:rsidRPr="00B30825">
        <w:rPr>
          <w:noProof/>
        </w:rPr>
        <w:instrText xml:space="preserve"> PAGEREF _Toc167277550 \h </w:instrText>
      </w:r>
      <w:r w:rsidRPr="00B30825">
        <w:rPr>
          <w:noProof/>
        </w:rPr>
      </w:r>
      <w:r w:rsidRPr="00B30825">
        <w:rPr>
          <w:noProof/>
        </w:rPr>
        <w:fldChar w:fldCharType="separate"/>
      </w:r>
      <w:r w:rsidR="00B11A8E">
        <w:rPr>
          <w:noProof/>
        </w:rPr>
        <w:t>7</w:t>
      </w:r>
      <w:r w:rsidRPr="00B30825">
        <w:rPr>
          <w:noProof/>
        </w:rPr>
        <w:fldChar w:fldCharType="end"/>
      </w:r>
    </w:p>
    <w:p w14:paraId="74A4CECE" w14:textId="4948FDE8" w:rsidR="004A38F4" w:rsidRPr="00B30825" w:rsidRDefault="004A38F4" w:rsidP="004A38F4">
      <w:pPr>
        <w:pStyle w:val="TOC2"/>
        <w:rPr>
          <w:rFonts w:asciiTheme="minorHAnsi" w:eastAsiaTheme="minorEastAsia" w:hAnsiTheme="minorHAnsi"/>
          <w:noProof/>
          <w:kern w:val="2"/>
          <w:szCs w:val="24"/>
          <w14:ligatures w14:val="standardContextual"/>
        </w:rPr>
      </w:pPr>
      <w:r w:rsidRPr="00B30825">
        <w:rPr>
          <w:noProof/>
        </w:rPr>
        <w:t>Connection to the State Seal of Civic Engagement</w:t>
      </w:r>
      <w:r w:rsidRPr="00B30825">
        <w:rPr>
          <w:noProof/>
        </w:rPr>
        <w:tab/>
      </w:r>
      <w:r w:rsidRPr="00B30825">
        <w:rPr>
          <w:noProof/>
        </w:rPr>
        <w:fldChar w:fldCharType="begin"/>
      </w:r>
      <w:r w:rsidRPr="00B30825">
        <w:rPr>
          <w:noProof/>
        </w:rPr>
        <w:instrText xml:space="preserve"> PAGEREF _Toc167277551 \h </w:instrText>
      </w:r>
      <w:r w:rsidRPr="00B30825">
        <w:rPr>
          <w:noProof/>
        </w:rPr>
      </w:r>
      <w:r w:rsidRPr="00B30825">
        <w:rPr>
          <w:noProof/>
        </w:rPr>
        <w:fldChar w:fldCharType="separate"/>
      </w:r>
      <w:r w:rsidR="00B11A8E">
        <w:rPr>
          <w:noProof/>
        </w:rPr>
        <w:t>7</w:t>
      </w:r>
      <w:r w:rsidRPr="00B30825">
        <w:rPr>
          <w:noProof/>
        </w:rPr>
        <w:fldChar w:fldCharType="end"/>
      </w:r>
    </w:p>
    <w:p w14:paraId="719EBBEE" w14:textId="3A6B5EA5" w:rsidR="004A38F4" w:rsidRPr="00B30825" w:rsidRDefault="004A38F4" w:rsidP="004A38F4">
      <w:pPr>
        <w:pStyle w:val="TOC2"/>
        <w:rPr>
          <w:rFonts w:asciiTheme="minorHAnsi" w:eastAsiaTheme="minorEastAsia" w:hAnsiTheme="minorHAnsi"/>
          <w:noProof/>
          <w:kern w:val="2"/>
          <w:szCs w:val="24"/>
          <w14:ligatures w14:val="standardContextual"/>
        </w:rPr>
      </w:pPr>
      <w:r w:rsidRPr="00B30825">
        <w:rPr>
          <w:noProof/>
        </w:rPr>
        <w:t>Historic Context</w:t>
      </w:r>
      <w:r w:rsidRPr="00B30825">
        <w:rPr>
          <w:noProof/>
        </w:rPr>
        <w:tab/>
      </w:r>
      <w:r w:rsidRPr="00B30825">
        <w:rPr>
          <w:noProof/>
        </w:rPr>
        <w:fldChar w:fldCharType="begin"/>
      </w:r>
      <w:r w:rsidRPr="00B30825">
        <w:rPr>
          <w:noProof/>
        </w:rPr>
        <w:instrText xml:space="preserve"> PAGEREF _Toc167277552 \h </w:instrText>
      </w:r>
      <w:r w:rsidRPr="00B30825">
        <w:rPr>
          <w:noProof/>
        </w:rPr>
      </w:r>
      <w:r w:rsidRPr="00B30825">
        <w:rPr>
          <w:noProof/>
        </w:rPr>
        <w:fldChar w:fldCharType="separate"/>
      </w:r>
      <w:r w:rsidR="00B11A8E">
        <w:rPr>
          <w:noProof/>
        </w:rPr>
        <w:t>9</w:t>
      </w:r>
      <w:r w:rsidRPr="00B30825">
        <w:rPr>
          <w:noProof/>
        </w:rPr>
        <w:fldChar w:fldCharType="end"/>
      </w:r>
    </w:p>
    <w:p w14:paraId="719C867B" w14:textId="4F648A31" w:rsidR="004A38F4" w:rsidRPr="00B30825" w:rsidRDefault="004A38F4" w:rsidP="004A38F4">
      <w:pPr>
        <w:pStyle w:val="TOC2"/>
        <w:rPr>
          <w:rFonts w:asciiTheme="minorHAnsi" w:eastAsiaTheme="minorEastAsia" w:hAnsiTheme="minorHAnsi"/>
          <w:noProof/>
          <w:kern w:val="2"/>
          <w:szCs w:val="24"/>
          <w14:ligatures w14:val="standardContextual"/>
        </w:rPr>
      </w:pPr>
      <w:r w:rsidRPr="00B30825">
        <w:rPr>
          <w:noProof/>
        </w:rPr>
        <w:t>Defining Service-Learning</w:t>
      </w:r>
      <w:r w:rsidRPr="00B30825">
        <w:rPr>
          <w:noProof/>
        </w:rPr>
        <w:tab/>
      </w:r>
      <w:r w:rsidRPr="00B30825">
        <w:rPr>
          <w:noProof/>
        </w:rPr>
        <w:fldChar w:fldCharType="begin"/>
      </w:r>
      <w:r w:rsidRPr="00B30825">
        <w:rPr>
          <w:noProof/>
        </w:rPr>
        <w:instrText xml:space="preserve"> PAGEREF _Toc167277553 \h </w:instrText>
      </w:r>
      <w:r w:rsidRPr="00B30825">
        <w:rPr>
          <w:noProof/>
        </w:rPr>
      </w:r>
      <w:r w:rsidRPr="00B30825">
        <w:rPr>
          <w:noProof/>
        </w:rPr>
        <w:fldChar w:fldCharType="separate"/>
      </w:r>
      <w:r w:rsidR="00B11A8E">
        <w:rPr>
          <w:noProof/>
        </w:rPr>
        <w:t>9</w:t>
      </w:r>
      <w:r w:rsidRPr="00B30825">
        <w:rPr>
          <w:noProof/>
        </w:rPr>
        <w:fldChar w:fldCharType="end"/>
      </w:r>
    </w:p>
    <w:p w14:paraId="1CE0019D" w14:textId="76A4CB79" w:rsidR="004A38F4" w:rsidRPr="00B30825" w:rsidRDefault="004A38F4" w:rsidP="004A38F4">
      <w:pPr>
        <w:pStyle w:val="TOC2"/>
        <w:rPr>
          <w:rFonts w:asciiTheme="minorHAnsi" w:eastAsiaTheme="minorEastAsia" w:hAnsiTheme="minorHAnsi"/>
          <w:noProof/>
          <w:kern w:val="2"/>
          <w:szCs w:val="24"/>
          <w14:ligatures w14:val="standardContextual"/>
        </w:rPr>
      </w:pPr>
      <w:r w:rsidRPr="00B30825">
        <w:rPr>
          <w:noProof/>
        </w:rPr>
        <w:t xml:space="preserve">Summary of Available Evidence on Service-Learning for Students, </w:t>
      </w:r>
      <w:r w:rsidR="00897AB9">
        <w:rPr>
          <w:noProof/>
        </w:rPr>
        <w:t xml:space="preserve">                  </w:t>
      </w:r>
      <w:r w:rsidR="0031026F">
        <w:rPr>
          <w:noProof/>
        </w:rPr>
        <w:t xml:space="preserve">      </w:t>
      </w:r>
      <w:r w:rsidRPr="00B30825">
        <w:rPr>
          <w:noProof/>
        </w:rPr>
        <w:t>Grades Nine Through Twelve</w:t>
      </w:r>
      <w:r w:rsidRPr="00B30825">
        <w:rPr>
          <w:noProof/>
        </w:rPr>
        <w:tab/>
      </w:r>
      <w:r w:rsidRPr="00B30825">
        <w:rPr>
          <w:noProof/>
        </w:rPr>
        <w:fldChar w:fldCharType="begin"/>
      </w:r>
      <w:r w:rsidRPr="00B30825">
        <w:rPr>
          <w:noProof/>
        </w:rPr>
        <w:instrText xml:space="preserve"> PAGEREF _Toc167277554 \h </w:instrText>
      </w:r>
      <w:r w:rsidRPr="00B30825">
        <w:rPr>
          <w:noProof/>
        </w:rPr>
      </w:r>
      <w:r w:rsidRPr="00B30825">
        <w:rPr>
          <w:noProof/>
        </w:rPr>
        <w:fldChar w:fldCharType="separate"/>
      </w:r>
      <w:r w:rsidR="00B11A8E">
        <w:rPr>
          <w:noProof/>
        </w:rPr>
        <w:t>12</w:t>
      </w:r>
      <w:r w:rsidRPr="00B30825">
        <w:rPr>
          <w:noProof/>
        </w:rPr>
        <w:fldChar w:fldCharType="end"/>
      </w:r>
    </w:p>
    <w:p w14:paraId="58AAB149" w14:textId="56EADF18" w:rsidR="004A38F4" w:rsidRPr="00B30825" w:rsidRDefault="004A38F4">
      <w:pPr>
        <w:pStyle w:val="TOC3"/>
        <w:rPr>
          <w:rFonts w:asciiTheme="minorHAnsi" w:eastAsiaTheme="minorEastAsia" w:hAnsiTheme="minorHAnsi"/>
          <w:noProof/>
          <w:kern w:val="2"/>
          <w:szCs w:val="24"/>
          <w14:ligatures w14:val="standardContextual"/>
        </w:rPr>
      </w:pPr>
      <w:r w:rsidRPr="00B30825">
        <w:rPr>
          <w:noProof/>
        </w:rPr>
        <w:t>Benefits of Equitable, Accessible Service-Learning</w:t>
      </w:r>
      <w:r w:rsidRPr="00B30825">
        <w:rPr>
          <w:noProof/>
        </w:rPr>
        <w:tab/>
      </w:r>
      <w:r w:rsidRPr="00B30825">
        <w:rPr>
          <w:noProof/>
        </w:rPr>
        <w:fldChar w:fldCharType="begin"/>
      </w:r>
      <w:r w:rsidRPr="00B30825">
        <w:rPr>
          <w:noProof/>
        </w:rPr>
        <w:instrText xml:space="preserve"> PAGEREF _Toc167277555 \h </w:instrText>
      </w:r>
      <w:r w:rsidRPr="00B30825">
        <w:rPr>
          <w:noProof/>
        </w:rPr>
      </w:r>
      <w:r w:rsidRPr="00B30825">
        <w:rPr>
          <w:noProof/>
        </w:rPr>
        <w:fldChar w:fldCharType="separate"/>
      </w:r>
      <w:r w:rsidR="00B11A8E">
        <w:rPr>
          <w:noProof/>
        </w:rPr>
        <w:t>12</w:t>
      </w:r>
      <w:r w:rsidRPr="00B30825">
        <w:rPr>
          <w:noProof/>
        </w:rPr>
        <w:fldChar w:fldCharType="end"/>
      </w:r>
    </w:p>
    <w:p w14:paraId="276021C7" w14:textId="6897CF29" w:rsidR="004A38F4" w:rsidRPr="00B30825" w:rsidRDefault="004A38F4" w:rsidP="004A38F4">
      <w:pPr>
        <w:pStyle w:val="TOC2"/>
        <w:rPr>
          <w:rFonts w:asciiTheme="minorHAnsi" w:eastAsiaTheme="minorEastAsia" w:hAnsiTheme="minorHAnsi"/>
          <w:noProof/>
          <w:kern w:val="2"/>
          <w:szCs w:val="24"/>
          <w14:ligatures w14:val="standardContextual"/>
        </w:rPr>
      </w:pPr>
      <w:r w:rsidRPr="00B30825">
        <w:rPr>
          <w:noProof/>
        </w:rPr>
        <w:t>Policies and Practices to Support Access to Equitable and High-Quality Service-Learning Programs</w:t>
      </w:r>
      <w:r w:rsidRPr="00B30825">
        <w:rPr>
          <w:noProof/>
        </w:rPr>
        <w:tab/>
      </w:r>
      <w:r w:rsidRPr="00B30825">
        <w:rPr>
          <w:noProof/>
        </w:rPr>
        <w:fldChar w:fldCharType="begin"/>
      </w:r>
      <w:r w:rsidRPr="00B30825">
        <w:rPr>
          <w:noProof/>
        </w:rPr>
        <w:instrText xml:space="preserve"> PAGEREF _Toc167277556 \h </w:instrText>
      </w:r>
      <w:r w:rsidRPr="00B30825">
        <w:rPr>
          <w:noProof/>
        </w:rPr>
      </w:r>
      <w:r w:rsidRPr="00B30825">
        <w:rPr>
          <w:noProof/>
        </w:rPr>
        <w:fldChar w:fldCharType="separate"/>
      </w:r>
      <w:r w:rsidR="00B11A8E">
        <w:rPr>
          <w:noProof/>
        </w:rPr>
        <w:t>13</w:t>
      </w:r>
      <w:r w:rsidRPr="00B30825">
        <w:rPr>
          <w:noProof/>
        </w:rPr>
        <w:fldChar w:fldCharType="end"/>
      </w:r>
    </w:p>
    <w:p w14:paraId="2DFC841E" w14:textId="69938AC4" w:rsidR="004A38F4" w:rsidRPr="00B30825" w:rsidRDefault="004A38F4">
      <w:pPr>
        <w:pStyle w:val="TOC3"/>
        <w:rPr>
          <w:rFonts w:asciiTheme="minorHAnsi" w:eastAsiaTheme="minorEastAsia" w:hAnsiTheme="minorHAnsi"/>
          <w:noProof/>
          <w:kern w:val="2"/>
          <w:szCs w:val="24"/>
          <w14:ligatures w14:val="standardContextual"/>
        </w:rPr>
      </w:pPr>
      <w:r w:rsidRPr="00B30825">
        <w:rPr>
          <w:noProof/>
        </w:rPr>
        <w:t>Recommendation 1: Establish Effective Standards and Indicators</w:t>
      </w:r>
      <w:r w:rsidRPr="00B30825">
        <w:rPr>
          <w:noProof/>
        </w:rPr>
        <w:tab/>
      </w:r>
      <w:r w:rsidRPr="00B30825">
        <w:rPr>
          <w:noProof/>
        </w:rPr>
        <w:fldChar w:fldCharType="begin"/>
      </w:r>
      <w:r w:rsidRPr="00B30825">
        <w:rPr>
          <w:noProof/>
        </w:rPr>
        <w:instrText xml:space="preserve"> PAGEREF _Toc167277557 \h </w:instrText>
      </w:r>
      <w:r w:rsidRPr="00B30825">
        <w:rPr>
          <w:noProof/>
        </w:rPr>
      </w:r>
      <w:r w:rsidRPr="00B30825">
        <w:rPr>
          <w:noProof/>
        </w:rPr>
        <w:fldChar w:fldCharType="separate"/>
      </w:r>
      <w:r w:rsidR="00B11A8E">
        <w:rPr>
          <w:noProof/>
        </w:rPr>
        <w:t>14</w:t>
      </w:r>
      <w:r w:rsidRPr="00B30825">
        <w:rPr>
          <w:noProof/>
        </w:rPr>
        <w:fldChar w:fldCharType="end"/>
      </w:r>
    </w:p>
    <w:p w14:paraId="4B654EE9" w14:textId="06F616C4" w:rsidR="004A38F4" w:rsidRPr="00B30825" w:rsidRDefault="004A38F4">
      <w:pPr>
        <w:pStyle w:val="TOC3"/>
        <w:rPr>
          <w:rFonts w:asciiTheme="minorHAnsi" w:eastAsiaTheme="minorEastAsia" w:hAnsiTheme="minorHAnsi"/>
          <w:noProof/>
          <w:kern w:val="2"/>
          <w:szCs w:val="24"/>
          <w14:ligatures w14:val="standardContextual"/>
        </w:rPr>
      </w:pPr>
      <w:r w:rsidRPr="00B30825">
        <w:rPr>
          <w:noProof/>
        </w:rPr>
        <w:t xml:space="preserve">Recommendation 2: Incorporate Curriculum and Strategies that </w:t>
      </w:r>
      <w:r w:rsidR="001135A8">
        <w:rPr>
          <w:noProof/>
        </w:rPr>
        <w:t xml:space="preserve">               </w:t>
      </w:r>
      <w:r w:rsidR="0031026F">
        <w:rPr>
          <w:noProof/>
        </w:rPr>
        <w:t xml:space="preserve">  </w:t>
      </w:r>
      <w:r w:rsidRPr="00B30825">
        <w:rPr>
          <w:noProof/>
        </w:rPr>
        <w:t>Encourage Deep Civic Learning</w:t>
      </w:r>
      <w:r w:rsidRPr="00B30825">
        <w:rPr>
          <w:noProof/>
        </w:rPr>
        <w:tab/>
      </w:r>
      <w:r w:rsidRPr="00B30825">
        <w:rPr>
          <w:noProof/>
        </w:rPr>
        <w:fldChar w:fldCharType="begin"/>
      </w:r>
      <w:r w:rsidRPr="00B30825">
        <w:rPr>
          <w:noProof/>
        </w:rPr>
        <w:instrText xml:space="preserve"> PAGEREF _Toc167277558 \h </w:instrText>
      </w:r>
      <w:r w:rsidRPr="00B30825">
        <w:rPr>
          <w:noProof/>
        </w:rPr>
      </w:r>
      <w:r w:rsidRPr="00B30825">
        <w:rPr>
          <w:noProof/>
        </w:rPr>
        <w:fldChar w:fldCharType="separate"/>
      </w:r>
      <w:r w:rsidR="00B11A8E">
        <w:rPr>
          <w:noProof/>
        </w:rPr>
        <w:t>16</w:t>
      </w:r>
      <w:r w:rsidRPr="00B30825">
        <w:rPr>
          <w:noProof/>
        </w:rPr>
        <w:fldChar w:fldCharType="end"/>
      </w:r>
    </w:p>
    <w:p w14:paraId="08911C96" w14:textId="464623C1" w:rsidR="004A38F4" w:rsidRPr="00324B96" w:rsidRDefault="004A38F4" w:rsidP="00324B96">
      <w:pPr>
        <w:pStyle w:val="TOC4"/>
        <w:rPr>
          <w:noProof/>
        </w:rPr>
      </w:pPr>
      <w:r w:rsidRPr="00B30825">
        <w:rPr>
          <w:noProof/>
        </w:rPr>
        <w:t xml:space="preserve">College, Career, and Civic Life Framework for Social Studies State </w:t>
      </w:r>
      <w:r w:rsidR="00324B96">
        <w:rPr>
          <w:noProof/>
        </w:rPr>
        <w:t xml:space="preserve"> </w:t>
      </w:r>
      <w:r w:rsidR="0031026F">
        <w:rPr>
          <w:noProof/>
        </w:rPr>
        <w:t xml:space="preserve">      </w:t>
      </w:r>
      <w:r w:rsidRPr="00B30825">
        <w:rPr>
          <w:noProof/>
        </w:rPr>
        <w:t>Standards Inquiry Arc</w:t>
      </w:r>
      <w:r w:rsidRPr="00B30825">
        <w:rPr>
          <w:noProof/>
        </w:rPr>
        <w:tab/>
      </w:r>
      <w:r w:rsidRPr="00B30825">
        <w:rPr>
          <w:noProof/>
        </w:rPr>
        <w:fldChar w:fldCharType="begin"/>
      </w:r>
      <w:r w:rsidRPr="00B30825">
        <w:rPr>
          <w:noProof/>
        </w:rPr>
        <w:instrText xml:space="preserve"> PAGEREF _Toc167277559 \h </w:instrText>
      </w:r>
      <w:r w:rsidRPr="00B30825">
        <w:rPr>
          <w:noProof/>
        </w:rPr>
      </w:r>
      <w:r w:rsidRPr="00B30825">
        <w:rPr>
          <w:noProof/>
        </w:rPr>
        <w:fldChar w:fldCharType="separate"/>
      </w:r>
      <w:r w:rsidR="00B11A8E">
        <w:rPr>
          <w:noProof/>
        </w:rPr>
        <w:t>17</w:t>
      </w:r>
      <w:r w:rsidRPr="00B30825">
        <w:rPr>
          <w:noProof/>
        </w:rPr>
        <w:fldChar w:fldCharType="end"/>
      </w:r>
    </w:p>
    <w:p w14:paraId="42025519" w14:textId="407B77AE" w:rsidR="004A38F4" w:rsidRPr="00B30825" w:rsidRDefault="004A38F4">
      <w:pPr>
        <w:pStyle w:val="TOC4"/>
        <w:rPr>
          <w:rFonts w:asciiTheme="minorHAnsi" w:eastAsiaTheme="minorEastAsia" w:hAnsiTheme="minorHAnsi"/>
          <w:noProof/>
          <w:kern w:val="2"/>
          <w:szCs w:val="24"/>
          <w14:ligatures w14:val="standardContextual"/>
        </w:rPr>
      </w:pPr>
      <w:r w:rsidRPr="00B30825">
        <w:rPr>
          <w:noProof/>
        </w:rPr>
        <w:lastRenderedPageBreak/>
        <w:t>A Teacher’s Guide to Service-Learning</w:t>
      </w:r>
      <w:r w:rsidRPr="00B30825">
        <w:rPr>
          <w:noProof/>
        </w:rPr>
        <w:tab/>
      </w:r>
      <w:r w:rsidRPr="00B30825">
        <w:rPr>
          <w:noProof/>
        </w:rPr>
        <w:fldChar w:fldCharType="begin"/>
      </w:r>
      <w:r w:rsidRPr="00B30825">
        <w:rPr>
          <w:noProof/>
        </w:rPr>
        <w:instrText xml:space="preserve"> PAGEREF _Toc167277560 \h </w:instrText>
      </w:r>
      <w:r w:rsidRPr="00B30825">
        <w:rPr>
          <w:noProof/>
        </w:rPr>
      </w:r>
      <w:r w:rsidRPr="00B30825">
        <w:rPr>
          <w:noProof/>
        </w:rPr>
        <w:fldChar w:fldCharType="separate"/>
      </w:r>
      <w:r w:rsidR="00B11A8E">
        <w:rPr>
          <w:noProof/>
        </w:rPr>
        <w:t>17</w:t>
      </w:r>
      <w:r w:rsidRPr="00B30825">
        <w:rPr>
          <w:noProof/>
        </w:rPr>
        <w:fldChar w:fldCharType="end"/>
      </w:r>
    </w:p>
    <w:p w14:paraId="6E87792B" w14:textId="51431FD9" w:rsidR="004A38F4" w:rsidRPr="00B30825" w:rsidRDefault="004A38F4">
      <w:pPr>
        <w:pStyle w:val="TOC4"/>
        <w:rPr>
          <w:rFonts w:asciiTheme="minorHAnsi" w:eastAsiaTheme="minorEastAsia" w:hAnsiTheme="minorHAnsi"/>
          <w:noProof/>
          <w:kern w:val="2"/>
          <w:szCs w:val="24"/>
          <w14:ligatures w14:val="standardContextual"/>
        </w:rPr>
      </w:pPr>
      <w:r w:rsidRPr="00B30825">
        <w:rPr>
          <w:noProof/>
        </w:rPr>
        <w:t>Teach Democracy</w:t>
      </w:r>
      <w:r w:rsidRPr="00B30825">
        <w:rPr>
          <w:noProof/>
        </w:rPr>
        <w:tab/>
      </w:r>
      <w:r w:rsidRPr="00B30825">
        <w:rPr>
          <w:noProof/>
        </w:rPr>
        <w:fldChar w:fldCharType="begin"/>
      </w:r>
      <w:r w:rsidRPr="00B30825">
        <w:rPr>
          <w:noProof/>
        </w:rPr>
        <w:instrText xml:space="preserve"> PAGEREF _Toc167277561 \h </w:instrText>
      </w:r>
      <w:r w:rsidRPr="00B30825">
        <w:rPr>
          <w:noProof/>
        </w:rPr>
      </w:r>
      <w:r w:rsidRPr="00B30825">
        <w:rPr>
          <w:noProof/>
        </w:rPr>
        <w:fldChar w:fldCharType="separate"/>
      </w:r>
      <w:r w:rsidR="00B11A8E">
        <w:rPr>
          <w:noProof/>
        </w:rPr>
        <w:t>18</w:t>
      </w:r>
      <w:r w:rsidRPr="00B30825">
        <w:rPr>
          <w:noProof/>
        </w:rPr>
        <w:fldChar w:fldCharType="end"/>
      </w:r>
    </w:p>
    <w:p w14:paraId="5E4065B3" w14:textId="36708F86" w:rsidR="004A38F4" w:rsidRPr="00B30825" w:rsidRDefault="004A38F4">
      <w:pPr>
        <w:pStyle w:val="TOC4"/>
        <w:rPr>
          <w:rFonts w:asciiTheme="minorHAnsi" w:eastAsiaTheme="minorEastAsia" w:hAnsiTheme="minorHAnsi"/>
          <w:noProof/>
          <w:kern w:val="2"/>
          <w:szCs w:val="24"/>
          <w14:ligatures w14:val="standardContextual"/>
        </w:rPr>
      </w:pPr>
      <w:r w:rsidRPr="00B30825">
        <w:rPr>
          <w:noProof/>
        </w:rPr>
        <w:t>University of California Berkeley Programs and Resources</w:t>
      </w:r>
      <w:r w:rsidRPr="00B30825">
        <w:rPr>
          <w:noProof/>
        </w:rPr>
        <w:tab/>
      </w:r>
      <w:r w:rsidRPr="00B30825">
        <w:rPr>
          <w:noProof/>
        </w:rPr>
        <w:fldChar w:fldCharType="begin"/>
      </w:r>
      <w:r w:rsidRPr="00B30825">
        <w:rPr>
          <w:noProof/>
        </w:rPr>
        <w:instrText xml:space="preserve"> PAGEREF _Toc167277562 \h </w:instrText>
      </w:r>
      <w:r w:rsidRPr="00B30825">
        <w:rPr>
          <w:noProof/>
        </w:rPr>
      </w:r>
      <w:r w:rsidRPr="00B30825">
        <w:rPr>
          <w:noProof/>
        </w:rPr>
        <w:fldChar w:fldCharType="separate"/>
      </w:r>
      <w:r w:rsidR="00B11A8E">
        <w:rPr>
          <w:noProof/>
        </w:rPr>
        <w:t>18</w:t>
      </w:r>
      <w:r w:rsidRPr="00B30825">
        <w:rPr>
          <w:noProof/>
        </w:rPr>
        <w:fldChar w:fldCharType="end"/>
      </w:r>
    </w:p>
    <w:p w14:paraId="678A6043" w14:textId="60CEEEF6" w:rsidR="004A38F4" w:rsidRPr="00B30825" w:rsidRDefault="004A38F4">
      <w:pPr>
        <w:pStyle w:val="TOC3"/>
        <w:rPr>
          <w:rFonts w:asciiTheme="minorHAnsi" w:eastAsiaTheme="minorEastAsia" w:hAnsiTheme="minorHAnsi"/>
          <w:noProof/>
          <w:kern w:val="2"/>
          <w:szCs w:val="24"/>
          <w14:ligatures w14:val="standardContextual"/>
        </w:rPr>
      </w:pPr>
      <w:r w:rsidRPr="00B30825">
        <w:rPr>
          <w:noProof/>
        </w:rPr>
        <w:t xml:space="preserve">Recommendation 3: Ensure Teacher Access to Ongoing </w:t>
      </w:r>
      <w:r w:rsidR="0031026F">
        <w:rPr>
          <w:noProof/>
        </w:rPr>
        <w:t xml:space="preserve">                                </w:t>
      </w:r>
      <w:r w:rsidRPr="00B30825">
        <w:rPr>
          <w:noProof/>
        </w:rPr>
        <w:t>Professional Development and Learning</w:t>
      </w:r>
      <w:r w:rsidRPr="00B30825">
        <w:rPr>
          <w:noProof/>
        </w:rPr>
        <w:tab/>
      </w:r>
      <w:r w:rsidRPr="00B30825">
        <w:rPr>
          <w:noProof/>
        </w:rPr>
        <w:fldChar w:fldCharType="begin"/>
      </w:r>
      <w:r w:rsidRPr="00B30825">
        <w:rPr>
          <w:noProof/>
        </w:rPr>
        <w:instrText xml:space="preserve"> PAGEREF _Toc167277563 \h </w:instrText>
      </w:r>
      <w:r w:rsidRPr="00B30825">
        <w:rPr>
          <w:noProof/>
        </w:rPr>
      </w:r>
      <w:r w:rsidRPr="00B30825">
        <w:rPr>
          <w:noProof/>
        </w:rPr>
        <w:fldChar w:fldCharType="separate"/>
      </w:r>
      <w:r w:rsidR="00B11A8E">
        <w:rPr>
          <w:noProof/>
        </w:rPr>
        <w:t>20</w:t>
      </w:r>
      <w:r w:rsidRPr="00B30825">
        <w:rPr>
          <w:noProof/>
        </w:rPr>
        <w:fldChar w:fldCharType="end"/>
      </w:r>
    </w:p>
    <w:p w14:paraId="429BDB2F" w14:textId="3CC6FF04" w:rsidR="004A38F4" w:rsidRPr="00B30825" w:rsidRDefault="004A38F4">
      <w:pPr>
        <w:pStyle w:val="TOC4"/>
        <w:rPr>
          <w:rFonts w:asciiTheme="minorHAnsi" w:eastAsiaTheme="minorEastAsia" w:hAnsiTheme="minorHAnsi"/>
          <w:noProof/>
          <w:kern w:val="2"/>
          <w:szCs w:val="24"/>
          <w14:ligatures w14:val="standardContextual"/>
        </w:rPr>
      </w:pPr>
      <w:r w:rsidRPr="00B30825">
        <w:rPr>
          <w:noProof/>
        </w:rPr>
        <w:t>The Quality Professional Learning Standards</w:t>
      </w:r>
      <w:r w:rsidRPr="00B30825">
        <w:rPr>
          <w:noProof/>
        </w:rPr>
        <w:tab/>
      </w:r>
      <w:r w:rsidRPr="00B30825">
        <w:rPr>
          <w:noProof/>
        </w:rPr>
        <w:fldChar w:fldCharType="begin"/>
      </w:r>
      <w:r w:rsidRPr="00B30825">
        <w:rPr>
          <w:noProof/>
        </w:rPr>
        <w:instrText xml:space="preserve"> PAGEREF _Toc167277564 \h </w:instrText>
      </w:r>
      <w:r w:rsidRPr="00B30825">
        <w:rPr>
          <w:noProof/>
        </w:rPr>
      </w:r>
      <w:r w:rsidRPr="00B30825">
        <w:rPr>
          <w:noProof/>
        </w:rPr>
        <w:fldChar w:fldCharType="separate"/>
      </w:r>
      <w:r w:rsidR="00B11A8E">
        <w:rPr>
          <w:noProof/>
        </w:rPr>
        <w:t>20</w:t>
      </w:r>
      <w:r w:rsidRPr="00B30825">
        <w:rPr>
          <w:noProof/>
        </w:rPr>
        <w:fldChar w:fldCharType="end"/>
      </w:r>
    </w:p>
    <w:p w14:paraId="703462AD" w14:textId="4E12F502" w:rsidR="004A38F4" w:rsidRPr="00B30825" w:rsidRDefault="004A38F4">
      <w:pPr>
        <w:pStyle w:val="TOC4"/>
        <w:rPr>
          <w:rFonts w:asciiTheme="minorHAnsi" w:eastAsiaTheme="minorEastAsia" w:hAnsiTheme="minorHAnsi"/>
          <w:noProof/>
          <w:kern w:val="2"/>
          <w:szCs w:val="24"/>
          <w14:ligatures w14:val="standardContextual"/>
        </w:rPr>
      </w:pPr>
      <w:r w:rsidRPr="00B30825">
        <w:rPr>
          <w:noProof/>
        </w:rPr>
        <w:t>National Council for the Social Studies</w:t>
      </w:r>
      <w:r w:rsidRPr="00B30825">
        <w:rPr>
          <w:noProof/>
        </w:rPr>
        <w:tab/>
      </w:r>
      <w:r w:rsidRPr="00B30825">
        <w:rPr>
          <w:noProof/>
        </w:rPr>
        <w:fldChar w:fldCharType="begin"/>
      </w:r>
      <w:r w:rsidRPr="00B30825">
        <w:rPr>
          <w:noProof/>
        </w:rPr>
        <w:instrText xml:space="preserve"> PAGEREF _Toc167277565 \h </w:instrText>
      </w:r>
      <w:r w:rsidRPr="00B30825">
        <w:rPr>
          <w:noProof/>
        </w:rPr>
      </w:r>
      <w:r w:rsidRPr="00B30825">
        <w:rPr>
          <w:noProof/>
        </w:rPr>
        <w:fldChar w:fldCharType="separate"/>
      </w:r>
      <w:r w:rsidR="00B11A8E">
        <w:rPr>
          <w:noProof/>
        </w:rPr>
        <w:t>21</w:t>
      </w:r>
      <w:r w:rsidRPr="00B30825">
        <w:rPr>
          <w:noProof/>
        </w:rPr>
        <w:fldChar w:fldCharType="end"/>
      </w:r>
    </w:p>
    <w:p w14:paraId="24BA876D" w14:textId="7AFA2434" w:rsidR="004A38F4" w:rsidRPr="00B30825" w:rsidRDefault="004A38F4">
      <w:pPr>
        <w:pStyle w:val="TOC4"/>
        <w:rPr>
          <w:rFonts w:asciiTheme="minorHAnsi" w:eastAsiaTheme="minorEastAsia" w:hAnsiTheme="minorHAnsi"/>
          <w:noProof/>
          <w:kern w:val="2"/>
          <w:szCs w:val="24"/>
          <w14:ligatures w14:val="standardContextual"/>
        </w:rPr>
      </w:pPr>
      <w:r w:rsidRPr="00B30825">
        <w:rPr>
          <w:noProof/>
        </w:rPr>
        <w:t>California Council for the Social Studies</w:t>
      </w:r>
      <w:r w:rsidRPr="00B30825">
        <w:rPr>
          <w:noProof/>
        </w:rPr>
        <w:tab/>
      </w:r>
      <w:r w:rsidRPr="00B30825">
        <w:rPr>
          <w:noProof/>
        </w:rPr>
        <w:fldChar w:fldCharType="begin"/>
      </w:r>
      <w:r w:rsidRPr="00B30825">
        <w:rPr>
          <w:noProof/>
        </w:rPr>
        <w:instrText xml:space="preserve"> PAGEREF _Toc167277566 \h </w:instrText>
      </w:r>
      <w:r w:rsidRPr="00B30825">
        <w:rPr>
          <w:noProof/>
        </w:rPr>
      </w:r>
      <w:r w:rsidRPr="00B30825">
        <w:rPr>
          <w:noProof/>
        </w:rPr>
        <w:fldChar w:fldCharType="separate"/>
      </w:r>
      <w:r w:rsidR="00B11A8E">
        <w:rPr>
          <w:noProof/>
        </w:rPr>
        <w:t>21</w:t>
      </w:r>
      <w:r w:rsidRPr="00B30825">
        <w:rPr>
          <w:noProof/>
        </w:rPr>
        <w:fldChar w:fldCharType="end"/>
      </w:r>
    </w:p>
    <w:p w14:paraId="22EA2EC0" w14:textId="1F3EA785" w:rsidR="004A38F4" w:rsidRPr="00B30825" w:rsidRDefault="004A38F4">
      <w:pPr>
        <w:pStyle w:val="TOC4"/>
        <w:rPr>
          <w:rFonts w:asciiTheme="minorHAnsi" w:eastAsiaTheme="minorEastAsia" w:hAnsiTheme="minorHAnsi"/>
          <w:noProof/>
          <w:kern w:val="2"/>
          <w:szCs w:val="24"/>
          <w14:ligatures w14:val="standardContextual"/>
        </w:rPr>
      </w:pPr>
      <w:r w:rsidRPr="00B30825">
        <w:rPr>
          <w:noProof/>
        </w:rPr>
        <w:t>California History</w:t>
      </w:r>
      <w:r w:rsidRPr="00B30825">
        <w:rPr>
          <w:rFonts w:cs="Arial"/>
          <w:noProof/>
        </w:rPr>
        <w:t>–</w:t>
      </w:r>
      <w:r w:rsidRPr="00B30825">
        <w:rPr>
          <w:noProof/>
        </w:rPr>
        <w:t>Social Science Project</w:t>
      </w:r>
      <w:r w:rsidRPr="00B30825">
        <w:rPr>
          <w:noProof/>
        </w:rPr>
        <w:tab/>
      </w:r>
      <w:r w:rsidRPr="00B30825">
        <w:rPr>
          <w:noProof/>
        </w:rPr>
        <w:fldChar w:fldCharType="begin"/>
      </w:r>
      <w:r w:rsidRPr="00B30825">
        <w:rPr>
          <w:noProof/>
        </w:rPr>
        <w:instrText xml:space="preserve"> PAGEREF _Toc167277567 \h </w:instrText>
      </w:r>
      <w:r w:rsidRPr="00B30825">
        <w:rPr>
          <w:noProof/>
        </w:rPr>
      </w:r>
      <w:r w:rsidRPr="00B30825">
        <w:rPr>
          <w:noProof/>
        </w:rPr>
        <w:fldChar w:fldCharType="separate"/>
      </w:r>
      <w:r w:rsidR="00B11A8E">
        <w:rPr>
          <w:noProof/>
        </w:rPr>
        <w:t>21</w:t>
      </w:r>
      <w:r w:rsidRPr="00B30825">
        <w:rPr>
          <w:noProof/>
        </w:rPr>
        <w:fldChar w:fldCharType="end"/>
      </w:r>
    </w:p>
    <w:p w14:paraId="0D10408A" w14:textId="31B82A4A" w:rsidR="004A38F4" w:rsidRPr="00B30825" w:rsidRDefault="004A38F4">
      <w:pPr>
        <w:pStyle w:val="TOC4"/>
        <w:rPr>
          <w:rFonts w:asciiTheme="minorHAnsi" w:eastAsiaTheme="minorEastAsia" w:hAnsiTheme="minorHAnsi"/>
          <w:noProof/>
          <w:kern w:val="2"/>
          <w:szCs w:val="24"/>
          <w14:ligatures w14:val="standardContextual"/>
        </w:rPr>
      </w:pPr>
      <w:r w:rsidRPr="00B30825">
        <w:rPr>
          <w:noProof/>
        </w:rPr>
        <w:t>Teacher Credential Programs</w:t>
      </w:r>
      <w:r w:rsidRPr="00B30825">
        <w:rPr>
          <w:noProof/>
        </w:rPr>
        <w:tab/>
      </w:r>
      <w:r w:rsidRPr="00B30825">
        <w:rPr>
          <w:noProof/>
        </w:rPr>
        <w:fldChar w:fldCharType="begin"/>
      </w:r>
      <w:r w:rsidRPr="00B30825">
        <w:rPr>
          <w:noProof/>
        </w:rPr>
        <w:instrText xml:space="preserve"> PAGEREF _Toc167277568 \h </w:instrText>
      </w:r>
      <w:r w:rsidRPr="00B30825">
        <w:rPr>
          <w:noProof/>
        </w:rPr>
      </w:r>
      <w:r w:rsidRPr="00B30825">
        <w:rPr>
          <w:noProof/>
        </w:rPr>
        <w:fldChar w:fldCharType="separate"/>
      </w:r>
      <w:r w:rsidR="00B11A8E">
        <w:rPr>
          <w:noProof/>
        </w:rPr>
        <w:t>22</w:t>
      </w:r>
      <w:r w:rsidRPr="00B30825">
        <w:rPr>
          <w:noProof/>
        </w:rPr>
        <w:fldChar w:fldCharType="end"/>
      </w:r>
    </w:p>
    <w:p w14:paraId="438897DE" w14:textId="53BFFB4A" w:rsidR="004A38F4" w:rsidRPr="00B30825" w:rsidRDefault="004A38F4">
      <w:pPr>
        <w:pStyle w:val="TOC3"/>
        <w:rPr>
          <w:rFonts w:asciiTheme="minorHAnsi" w:eastAsiaTheme="minorEastAsia" w:hAnsiTheme="minorHAnsi"/>
          <w:noProof/>
          <w:kern w:val="2"/>
          <w:szCs w:val="24"/>
          <w14:ligatures w14:val="standardContextual"/>
        </w:rPr>
      </w:pPr>
      <w:r w:rsidRPr="00B30825">
        <w:rPr>
          <w:noProof/>
        </w:rPr>
        <w:t xml:space="preserve">Recommendation 4: Prioritize Efforts to Track Who Earns the </w:t>
      </w:r>
      <w:r w:rsidR="00564D22">
        <w:rPr>
          <w:noProof/>
        </w:rPr>
        <w:t xml:space="preserve">                        </w:t>
      </w:r>
      <w:r w:rsidR="00D9696C">
        <w:rPr>
          <w:noProof/>
        </w:rPr>
        <w:t xml:space="preserve">     </w:t>
      </w:r>
      <w:r w:rsidRPr="00B30825">
        <w:rPr>
          <w:noProof/>
        </w:rPr>
        <w:t>State Seal of Civic Engagement</w:t>
      </w:r>
      <w:r w:rsidRPr="00B30825">
        <w:rPr>
          <w:noProof/>
        </w:rPr>
        <w:tab/>
      </w:r>
      <w:r w:rsidRPr="00B30825">
        <w:rPr>
          <w:noProof/>
        </w:rPr>
        <w:fldChar w:fldCharType="begin"/>
      </w:r>
      <w:r w:rsidRPr="00B30825">
        <w:rPr>
          <w:noProof/>
        </w:rPr>
        <w:instrText xml:space="preserve"> PAGEREF _Toc167277569 \h </w:instrText>
      </w:r>
      <w:r w:rsidRPr="00B30825">
        <w:rPr>
          <w:noProof/>
        </w:rPr>
      </w:r>
      <w:r w:rsidRPr="00B30825">
        <w:rPr>
          <w:noProof/>
        </w:rPr>
        <w:fldChar w:fldCharType="separate"/>
      </w:r>
      <w:r w:rsidR="00B11A8E">
        <w:rPr>
          <w:noProof/>
        </w:rPr>
        <w:t>22</w:t>
      </w:r>
      <w:r w:rsidRPr="00B30825">
        <w:rPr>
          <w:noProof/>
        </w:rPr>
        <w:fldChar w:fldCharType="end"/>
      </w:r>
    </w:p>
    <w:p w14:paraId="6A370027" w14:textId="42E7C075" w:rsidR="004A38F4" w:rsidRPr="00B30825" w:rsidRDefault="004A38F4">
      <w:pPr>
        <w:pStyle w:val="TOC3"/>
        <w:rPr>
          <w:rFonts w:asciiTheme="minorHAnsi" w:eastAsiaTheme="minorEastAsia" w:hAnsiTheme="minorHAnsi"/>
          <w:noProof/>
          <w:kern w:val="2"/>
          <w:szCs w:val="24"/>
          <w14:ligatures w14:val="standardContextual"/>
        </w:rPr>
      </w:pPr>
      <w:r w:rsidRPr="00B30825">
        <w:rPr>
          <w:noProof/>
        </w:rPr>
        <w:t xml:space="preserve">Recommendation 5: Design Meaningful Infrastructure that Promotes </w:t>
      </w:r>
      <w:r w:rsidR="00747EC7">
        <w:rPr>
          <w:noProof/>
        </w:rPr>
        <w:t xml:space="preserve">        </w:t>
      </w:r>
      <w:r w:rsidR="00D9696C">
        <w:rPr>
          <w:noProof/>
        </w:rPr>
        <w:t xml:space="preserve">      </w:t>
      </w:r>
      <w:r w:rsidRPr="00B30825">
        <w:rPr>
          <w:noProof/>
        </w:rPr>
        <w:t>Service-Learning at All Levels</w:t>
      </w:r>
      <w:r w:rsidRPr="00B30825">
        <w:rPr>
          <w:noProof/>
        </w:rPr>
        <w:tab/>
      </w:r>
      <w:r w:rsidRPr="00B30825">
        <w:rPr>
          <w:noProof/>
        </w:rPr>
        <w:fldChar w:fldCharType="begin"/>
      </w:r>
      <w:r w:rsidRPr="00B30825">
        <w:rPr>
          <w:noProof/>
        </w:rPr>
        <w:instrText xml:space="preserve"> PAGEREF _Toc167277570 \h </w:instrText>
      </w:r>
      <w:r w:rsidRPr="00B30825">
        <w:rPr>
          <w:noProof/>
        </w:rPr>
      </w:r>
      <w:r w:rsidRPr="00B30825">
        <w:rPr>
          <w:noProof/>
        </w:rPr>
        <w:fldChar w:fldCharType="separate"/>
      </w:r>
      <w:r w:rsidR="00B11A8E">
        <w:rPr>
          <w:noProof/>
        </w:rPr>
        <w:t>23</w:t>
      </w:r>
      <w:r w:rsidRPr="00B30825">
        <w:rPr>
          <w:noProof/>
        </w:rPr>
        <w:fldChar w:fldCharType="end"/>
      </w:r>
    </w:p>
    <w:p w14:paraId="5B0DD692" w14:textId="56997055" w:rsidR="004A38F4" w:rsidRPr="00B30825" w:rsidRDefault="004A38F4" w:rsidP="004A38F4">
      <w:pPr>
        <w:pStyle w:val="TOC2"/>
        <w:rPr>
          <w:rFonts w:asciiTheme="minorHAnsi" w:eastAsiaTheme="minorEastAsia" w:hAnsiTheme="minorHAnsi"/>
          <w:noProof/>
          <w:kern w:val="2"/>
          <w:szCs w:val="24"/>
          <w14:ligatures w14:val="standardContextual"/>
        </w:rPr>
      </w:pPr>
      <w:r w:rsidRPr="00B30825">
        <w:rPr>
          <w:noProof/>
        </w:rPr>
        <w:t>Conclusion</w:t>
      </w:r>
      <w:r w:rsidRPr="00B30825">
        <w:rPr>
          <w:noProof/>
        </w:rPr>
        <w:tab/>
      </w:r>
      <w:r w:rsidRPr="00B30825">
        <w:rPr>
          <w:noProof/>
        </w:rPr>
        <w:fldChar w:fldCharType="begin"/>
      </w:r>
      <w:r w:rsidRPr="00B30825">
        <w:rPr>
          <w:noProof/>
        </w:rPr>
        <w:instrText xml:space="preserve"> PAGEREF _Toc167277571 \h </w:instrText>
      </w:r>
      <w:r w:rsidRPr="00B30825">
        <w:rPr>
          <w:noProof/>
        </w:rPr>
      </w:r>
      <w:r w:rsidRPr="00B30825">
        <w:rPr>
          <w:noProof/>
        </w:rPr>
        <w:fldChar w:fldCharType="separate"/>
      </w:r>
      <w:r w:rsidR="00B11A8E">
        <w:rPr>
          <w:noProof/>
        </w:rPr>
        <w:t>24</w:t>
      </w:r>
      <w:r w:rsidRPr="00B30825">
        <w:rPr>
          <w:noProof/>
        </w:rPr>
        <w:fldChar w:fldCharType="end"/>
      </w:r>
    </w:p>
    <w:p w14:paraId="3CED894A" w14:textId="16E386E1" w:rsidR="004A38F4" w:rsidRPr="00B30825" w:rsidRDefault="004A38F4" w:rsidP="004A38F4">
      <w:pPr>
        <w:pStyle w:val="TOC2"/>
        <w:rPr>
          <w:rFonts w:asciiTheme="minorHAnsi" w:eastAsiaTheme="minorEastAsia" w:hAnsiTheme="minorHAnsi"/>
          <w:noProof/>
          <w:kern w:val="2"/>
          <w:szCs w:val="24"/>
          <w14:ligatures w14:val="standardContextual"/>
        </w:rPr>
      </w:pPr>
      <w:r w:rsidRPr="00B30825">
        <w:rPr>
          <w:noProof/>
        </w:rPr>
        <w:t xml:space="preserve">Appendix A: California </w:t>
      </w:r>
      <w:r w:rsidRPr="00B30825">
        <w:rPr>
          <w:i/>
          <w:iCs/>
          <w:noProof/>
        </w:rPr>
        <w:t xml:space="preserve">Education Code </w:t>
      </w:r>
      <w:r w:rsidRPr="00B30825">
        <w:rPr>
          <w:noProof/>
        </w:rPr>
        <w:t>Section 51475</w:t>
      </w:r>
      <w:r w:rsidRPr="00B30825">
        <w:rPr>
          <w:noProof/>
        </w:rPr>
        <w:tab/>
      </w:r>
      <w:r w:rsidRPr="00B30825">
        <w:rPr>
          <w:noProof/>
        </w:rPr>
        <w:fldChar w:fldCharType="begin"/>
      </w:r>
      <w:r w:rsidRPr="00B30825">
        <w:rPr>
          <w:noProof/>
        </w:rPr>
        <w:instrText xml:space="preserve"> PAGEREF _Toc167277572 \h </w:instrText>
      </w:r>
      <w:r w:rsidRPr="00B30825">
        <w:rPr>
          <w:noProof/>
        </w:rPr>
      </w:r>
      <w:r w:rsidRPr="00B30825">
        <w:rPr>
          <w:noProof/>
        </w:rPr>
        <w:fldChar w:fldCharType="separate"/>
      </w:r>
      <w:r w:rsidR="00B11A8E">
        <w:rPr>
          <w:noProof/>
        </w:rPr>
        <w:t>25</w:t>
      </w:r>
      <w:r w:rsidRPr="00B30825">
        <w:rPr>
          <w:noProof/>
        </w:rPr>
        <w:fldChar w:fldCharType="end"/>
      </w:r>
    </w:p>
    <w:p w14:paraId="7FB8A516" w14:textId="4D3D8F71" w:rsidR="004A38F4" w:rsidRPr="00B30825" w:rsidRDefault="004A38F4" w:rsidP="004A38F4">
      <w:pPr>
        <w:pStyle w:val="TOC2"/>
        <w:rPr>
          <w:rFonts w:asciiTheme="minorHAnsi" w:eastAsiaTheme="minorEastAsia" w:hAnsiTheme="minorHAnsi"/>
          <w:noProof/>
          <w:kern w:val="2"/>
          <w:szCs w:val="24"/>
          <w14:ligatures w14:val="standardContextual"/>
        </w:rPr>
      </w:pPr>
      <w:r w:rsidRPr="00B30825">
        <w:rPr>
          <w:noProof/>
        </w:rPr>
        <w:t>Appendix B: Basic Definitions</w:t>
      </w:r>
      <w:r w:rsidRPr="00B30825">
        <w:rPr>
          <w:noProof/>
        </w:rPr>
        <w:tab/>
      </w:r>
      <w:r w:rsidRPr="00B30825">
        <w:rPr>
          <w:noProof/>
        </w:rPr>
        <w:fldChar w:fldCharType="begin"/>
      </w:r>
      <w:r w:rsidRPr="00B30825">
        <w:rPr>
          <w:noProof/>
        </w:rPr>
        <w:instrText xml:space="preserve"> PAGEREF _Toc167277573 \h </w:instrText>
      </w:r>
      <w:r w:rsidRPr="00B30825">
        <w:rPr>
          <w:noProof/>
        </w:rPr>
      </w:r>
      <w:r w:rsidRPr="00B30825">
        <w:rPr>
          <w:noProof/>
        </w:rPr>
        <w:fldChar w:fldCharType="separate"/>
      </w:r>
      <w:r w:rsidR="00B11A8E">
        <w:rPr>
          <w:noProof/>
        </w:rPr>
        <w:t>28</w:t>
      </w:r>
      <w:r w:rsidRPr="00B30825">
        <w:rPr>
          <w:noProof/>
        </w:rPr>
        <w:fldChar w:fldCharType="end"/>
      </w:r>
    </w:p>
    <w:p w14:paraId="69A22896" w14:textId="2BBB12EE" w:rsidR="004A38F4" w:rsidRPr="00B30825" w:rsidRDefault="004A38F4" w:rsidP="004A38F4">
      <w:pPr>
        <w:pStyle w:val="TOC2"/>
        <w:rPr>
          <w:rFonts w:asciiTheme="minorHAnsi" w:eastAsiaTheme="minorEastAsia" w:hAnsiTheme="minorHAnsi"/>
          <w:noProof/>
          <w:kern w:val="2"/>
          <w:szCs w:val="24"/>
          <w14:ligatures w14:val="standardContextual"/>
        </w:rPr>
      </w:pPr>
      <w:r w:rsidRPr="00B30825">
        <w:rPr>
          <w:noProof/>
        </w:rPr>
        <w:t>Appendix C: References</w:t>
      </w:r>
      <w:r w:rsidRPr="00B30825">
        <w:rPr>
          <w:noProof/>
        </w:rPr>
        <w:tab/>
      </w:r>
      <w:r w:rsidRPr="00B30825">
        <w:rPr>
          <w:noProof/>
        </w:rPr>
        <w:fldChar w:fldCharType="begin"/>
      </w:r>
      <w:r w:rsidRPr="00B30825">
        <w:rPr>
          <w:noProof/>
        </w:rPr>
        <w:instrText xml:space="preserve"> PAGEREF _Toc167277574 \h </w:instrText>
      </w:r>
      <w:r w:rsidRPr="00B30825">
        <w:rPr>
          <w:noProof/>
        </w:rPr>
      </w:r>
      <w:r w:rsidRPr="00B30825">
        <w:rPr>
          <w:noProof/>
        </w:rPr>
        <w:fldChar w:fldCharType="separate"/>
      </w:r>
      <w:r w:rsidR="00B11A8E">
        <w:rPr>
          <w:noProof/>
        </w:rPr>
        <w:t>30</w:t>
      </w:r>
      <w:r w:rsidRPr="00B30825">
        <w:rPr>
          <w:noProof/>
        </w:rPr>
        <w:fldChar w:fldCharType="end"/>
      </w:r>
    </w:p>
    <w:p w14:paraId="1A9D6889" w14:textId="0CFBFC67" w:rsidR="00D900B4" w:rsidRPr="00B30825" w:rsidRDefault="0008706C" w:rsidP="0008706C">
      <w:pPr>
        <w:tabs>
          <w:tab w:val="right" w:leader="dot" w:pos="9000"/>
        </w:tabs>
        <w:rPr>
          <w:rFonts w:eastAsia="Times New Roman" w:cs="Arial"/>
          <w:noProof/>
          <w:szCs w:val="24"/>
        </w:rPr>
        <w:sectPr w:rsidR="00D900B4" w:rsidRPr="00B30825" w:rsidSect="0031026F">
          <w:headerReference w:type="even" r:id="rId12"/>
          <w:headerReference w:type="default" r:id="rId13"/>
          <w:headerReference w:type="first" r:id="rId14"/>
          <w:pgSz w:w="12240" w:h="15840"/>
          <w:pgMar w:top="1440" w:right="1440" w:bottom="1440" w:left="1440" w:header="720" w:footer="720" w:gutter="0"/>
          <w:pgNumType w:start="1"/>
          <w:cols w:space="720"/>
          <w:docGrid w:linePitch="360"/>
        </w:sectPr>
      </w:pPr>
      <w:r w:rsidRPr="00B30825">
        <w:rPr>
          <w:rFonts w:eastAsia="Times New Roman" w:cs="Arial"/>
          <w:noProof/>
          <w:szCs w:val="24"/>
        </w:rPr>
        <w:fldChar w:fldCharType="end"/>
      </w:r>
    </w:p>
    <w:p w14:paraId="23C022A4" w14:textId="77777777" w:rsidR="00D900B4" w:rsidRPr="00B31A89" w:rsidRDefault="00D900B4" w:rsidP="00D900B4">
      <w:pPr>
        <w:tabs>
          <w:tab w:val="decimal" w:leader="dot" w:pos="8820"/>
        </w:tabs>
        <w:ind w:right="-187"/>
        <w:jc w:val="center"/>
        <w:rPr>
          <w:rFonts w:eastAsia="Times New Roman" w:cs="Arial"/>
          <w:b/>
          <w:bCs/>
          <w:szCs w:val="24"/>
        </w:rPr>
      </w:pPr>
      <w:r w:rsidRPr="00B31A89">
        <w:rPr>
          <w:rFonts w:eastAsia="Times New Roman" w:cs="Arial"/>
          <w:b/>
          <w:bCs/>
          <w:szCs w:val="24"/>
        </w:rPr>
        <w:lastRenderedPageBreak/>
        <w:t>California Department of Education</w:t>
      </w:r>
    </w:p>
    <w:p w14:paraId="17109A5D" w14:textId="58E2056F" w:rsidR="00DC4495" w:rsidRDefault="00740886" w:rsidP="00AC4862">
      <w:pPr>
        <w:jc w:val="center"/>
        <w:rPr>
          <w:b/>
          <w:bCs/>
        </w:rPr>
      </w:pPr>
      <w:r w:rsidRPr="00B31A89">
        <w:rPr>
          <w:b/>
          <w:bCs/>
        </w:rPr>
        <w:t>Report to the Legislature</w:t>
      </w:r>
    </w:p>
    <w:p w14:paraId="00C01AD6" w14:textId="670E09C4" w:rsidR="00740886" w:rsidRPr="00B31A89" w:rsidRDefault="00740886" w:rsidP="00AC4862">
      <w:pPr>
        <w:jc w:val="center"/>
        <w:rPr>
          <w:b/>
          <w:bCs/>
        </w:rPr>
      </w:pPr>
      <w:r w:rsidRPr="00B31A89">
        <w:rPr>
          <w:b/>
          <w:bCs/>
        </w:rPr>
        <w:t xml:space="preserve">California Serves Program: Strategies to Expand High-Quality and Accessible </w:t>
      </w:r>
      <w:r w:rsidR="00A346A4" w:rsidRPr="00B31A89">
        <w:rPr>
          <w:b/>
          <w:bCs/>
        </w:rPr>
        <w:t>Service-</w:t>
      </w:r>
      <w:r w:rsidR="005333F8">
        <w:rPr>
          <w:b/>
          <w:bCs/>
        </w:rPr>
        <w:t>L</w:t>
      </w:r>
      <w:r w:rsidR="00A346A4" w:rsidRPr="00B31A89">
        <w:rPr>
          <w:b/>
          <w:bCs/>
        </w:rPr>
        <w:t>earning</w:t>
      </w:r>
      <w:r w:rsidRPr="00B31A89">
        <w:rPr>
          <w:b/>
          <w:bCs/>
        </w:rPr>
        <w:t xml:space="preserve"> Programs in California High Schools</w:t>
      </w:r>
    </w:p>
    <w:p w14:paraId="124AC8CB" w14:textId="5EBCC34D" w:rsidR="00D900B4" w:rsidRPr="009F43E3" w:rsidRDefault="00D900B4" w:rsidP="00E37E0D">
      <w:pPr>
        <w:pStyle w:val="Heading2"/>
      </w:pPr>
      <w:bookmarkStart w:id="4" w:name="_Toc167277542"/>
      <w:r w:rsidRPr="00E37E0D">
        <w:t>Executive</w:t>
      </w:r>
      <w:r w:rsidRPr="009F43E3">
        <w:t xml:space="preserve"> Summary</w:t>
      </w:r>
      <w:bookmarkEnd w:id="4"/>
    </w:p>
    <w:p w14:paraId="5A05CDBD" w14:textId="71F7691C" w:rsidR="00D900B4" w:rsidRPr="00B31A89" w:rsidRDefault="00740886" w:rsidP="00A83EAC">
      <w:pPr>
        <w:tabs>
          <w:tab w:val="right" w:pos="9360"/>
        </w:tabs>
        <w:autoSpaceDE w:val="0"/>
        <w:autoSpaceDN w:val="0"/>
        <w:adjustRightInd w:val="0"/>
        <w:rPr>
          <w:rFonts w:eastAsia="Times New Roman" w:cs="Arial"/>
          <w:iCs/>
          <w:color w:val="000000"/>
          <w:szCs w:val="24"/>
        </w:rPr>
      </w:pPr>
      <w:r w:rsidRPr="00B31A89">
        <w:rPr>
          <w:rFonts w:eastAsia="Times New Roman" w:cs="Arial"/>
          <w:iCs/>
          <w:color w:val="000000"/>
          <w:szCs w:val="24"/>
        </w:rPr>
        <w:t xml:space="preserve">This report is required by California </w:t>
      </w:r>
      <w:r w:rsidRPr="00B31A89">
        <w:rPr>
          <w:rFonts w:eastAsia="Times New Roman" w:cs="Arial"/>
          <w:i/>
          <w:color w:val="000000"/>
          <w:szCs w:val="24"/>
        </w:rPr>
        <w:t>Education Code</w:t>
      </w:r>
      <w:r w:rsidR="006524C0" w:rsidRPr="00B31A89">
        <w:rPr>
          <w:rFonts w:eastAsia="Times New Roman" w:cs="Arial"/>
          <w:iCs/>
          <w:color w:val="000000"/>
          <w:szCs w:val="24"/>
        </w:rPr>
        <w:t xml:space="preserve"> </w:t>
      </w:r>
      <w:r w:rsidRPr="00B31A89">
        <w:rPr>
          <w:rFonts w:eastAsia="Times New Roman" w:cs="Arial"/>
          <w:iCs/>
          <w:color w:val="000000"/>
          <w:szCs w:val="24"/>
        </w:rPr>
        <w:t>Section 51475(b)(1). This statute was added by Assembly Bill</w:t>
      </w:r>
      <w:r w:rsidR="00C36543">
        <w:rPr>
          <w:rFonts w:eastAsia="Times New Roman" w:cs="Arial"/>
          <w:iCs/>
          <w:color w:val="000000"/>
          <w:szCs w:val="24"/>
        </w:rPr>
        <w:t xml:space="preserve"> (AB)</w:t>
      </w:r>
      <w:r w:rsidRPr="00B31A89">
        <w:rPr>
          <w:rFonts w:eastAsia="Times New Roman" w:cs="Arial"/>
          <w:iCs/>
          <w:color w:val="000000"/>
          <w:szCs w:val="24"/>
        </w:rPr>
        <w:t xml:space="preserve"> 181 (Section 71, Statutes of 2022), which established the annual California Serves grant program. </w:t>
      </w:r>
      <w:r w:rsidR="00E30709">
        <w:rPr>
          <w:rFonts w:eastAsia="Times New Roman" w:cs="Arial"/>
          <w:iCs/>
          <w:color w:val="000000"/>
          <w:szCs w:val="24"/>
        </w:rPr>
        <w:t>The statute</w:t>
      </w:r>
      <w:r w:rsidR="00E30709" w:rsidRPr="00B31A89">
        <w:rPr>
          <w:rFonts w:eastAsia="Times New Roman" w:cs="Arial"/>
          <w:iCs/>
          <w:color w:val="000000"/>
          <w:szCs w:val="24"/>
        </w:rPr>
        <w:t xml:space="preserve"> </w:t>
      </w:r>
      <w:r w:rsidRPr="00B31A89">
        <w:rPr>
          <w:rFonts w:eastAsia="Times New Roman" w:cs="Arial"/>
          <w:iCs/>
          <w:color w:val="000000"/>
          <w:szCs w:val="24"/>
        </w:rPr>
        <w:t>requires the California Department of Education</w:t>
      </w:r>
      <w:r w:rsidR="00F37802" w:rsidRPr="00B31A89">
        <w:rPr>
          <w:rFonts w:eastAsia="Times New Roman" w:cs="Arial"/>
          <w:iCs/>
          <w:color w:val="000000"/>
          <w:szCs w:val="24"/>
        </w:rPr>
        <w:t xml:space="preserve"> (CDE)</w:t>
      </w:r>
      <w:r w:rsidRPr="00B31A89">
        <w:rPr>
          <w:rFonts w:eastAsia="Times New Roman" w:cs="Arial"/>
          <w:iCs/>
          <w:color w:val="000000"/>
          <w:szCs w:val="24"/>
        </w:rPr>
        <w:t xml:space="preserve">, in partnership with California </w:t>
      </w:r>
      <w:r w:rsidR="001A4442">
        <w:rPr>
          <w:rFonts w:eastAsia="Times New Roman" w:cs="Arial"/>
          <w:iCs/>
          <w:color w:val="000000"/>
          <w:szCs w:val="24"/>
        </w:rPr>
        <w:t>V</w:t>
      </w:r>
      <w:r w:rsidRPr="00B31A89">
        <w:rPr>
          <w:rFonts w:eastAsia="Times New Roman" w:cs="Arial"/>
          <w:iCs/>
          <w:color w:val="000000"/>
          <w:szCs w:val="24"/>
        </w:rPr>
        <w:t xml:space="preserve">olunteers, to review the available evidence on ways to incorporate effective </w:t>
      </w:r>
      <w:r w:rsidR="00A346A4" w:rsidRPr="00B31A89">
        <w:rPr>
          <w:rFonts w:eastAsia="Times New Roman" w:cs="Arial"/>
          <w:iCs/>
          <w:color w:val="000000"/>
          <w:szCs w:val="24"/>
        </w:rPr>
        <w:t>service-learning</w:t>
      </w:r>
      <w:r w:rsidRPr="00B31A89">
        <w:rPr>
          <w:rFonts w:eastAsia="Times New Roman" w:cs="Arial"/>
          <w:iCs/>
          <w:color w:val="000000"/>
          <w:szCs w:val="24"/>
        </w:rPr>
        <w:t xml:space="preserve"> for pupils in grades nine through twelve</w:t>
      </w:r>
      <w:r w:rsidR="00E347EC">
        <w:rPr>
          <w:rFonts w:eastAsia="Times New Roman" w:cs="Arial"/>
          <w:iCs/>
          <w:color w:val="000000"/>
          <w:szCs w:val="24"/>
        </w:rPr>
        <w:t xml:space="preserve"> </w:t>
      </w:r>
      <w:r w:rsidR="00E347EC" w:rsidRPr="00B31A89">
        <w:rPr>
          <w:rFonts w:eastAsia="Times New Roman" w:cs="Arial"/>
          <w:color w:val="000000" w:themeColor="text1"/>
        </w:rPr>
        <w:t>(9–12)</w:t>
      </w:r>
      <w:r w:rsidRPr="00B31A89">
        <w:rPr>
          <w:rFonts w:eastAsia="Times New Roman" w:cs="Arial"/>
          <w:iCs/>
          <w:color w:val="000000"/>
          <w:szCs w:val="24"/>
        </w:rPr>
        <w:t>, and to provide recommendations to the Legislature, consistent with the recommended criteria and guidance for the State Seal of Civic Engagement</w:t>
      </w:r>
      <w:r w:rsidR="00F37802" w:rsidRPr="00B31A89">
        <w:rPr>
          <w:rFonts w:eastAsia="Times New Roman" w:cs="Arial"/>
          <w:iCs/>
          <w:color w:val="000000"/>
          <w:szCs w:val="24"/>
        </w:rPr>
        <w:t xml:space="preserve"> (SSCE)</w:t>
      </w:r>
      <w:r w:rsidRPr="00B31A89">
        <w:rPr>
          <w:rFonts w:eastAsia="Times New Roman" w:cs="Arial"/>
          <w:iCs/>
          <w:color w:val="000000"/>
          <w:szCs w:val="24"/>
        </w:rPr>
        <w:t>, on evidence-based strategies to expand access to high</w:t>
      </w:r>
      <w:r w:rsidR="00C01CAF">
        <w:rPr>
          <w:rFonts w:eastAsia="Times New Roman" w:cs="Arial"/>
          <w:iCs/>
          <w:color w:val="000000"/>
          <w:szCs w:val="24"/>
        </w:rPr>
        <w:t>-</w:t>
      </w:r>
      <w:r w:rsidRPr="00B31A89">
        <w:rPr>
          <w:rFonts w:eastAsia="Times New Roman" w:cs="Arial"/>
          <w:iCs/>
          <w:color w:val="000000"/>
          <w:szCs w:val="24"/>
        </w:rPr>
        <w:t xml:space="preserve">quality </w:t>
      </w:r>
      <w:r w:rsidR="00A346A4" w:rsidRPr="00B31A89">
        <w:rPr>
          <w:rFonts w:eastAsia="Times New Roman" w:cs="Arial"/>
          <w:iCs/>
          <w:color w:val="000000"/>
          <w:szCs w:val="24"/>
        </w:rPr>
        <w:t>service-learning</w:t>
      </w:r>
      <w:r w:rsidRPr="00B31A89">
        <w:rPr>
          <w:rFonts w:eastAsia="Times New Roman" w:cs="Arial"/>
          <w:iCs/>
          <w:color w:val="000000"/>
          <w:szCs w:val="24"/>
        </w:rPr>
        <w:t xml:space="preserve"> </w:t>
      </w:r>
      <w:r w:rsidR="00624749" w:rsidRPr="00B31A89">
        <w:rPr>
          <w:rFonts w:eastAsia="Times New Roman" w:cs="Arial"/>
          <w:iCs/>
          <w:color w:val="000000"/>
          <w:szCs w:val="24"/>
        </w:rPr>
        <w:t>programs.</w:t>
      </w:r>
      <w:r w:rsidR="00624749" w:rsidRPr="00B31A89">
        <w:rPr>
          <w:rFonts w:eastAsia="Times New Roman" w:cs="Arial"/>
          <w:szCs w:val="24"/>
          <w:shd w:val="clear" w:color="auto" w:fill="FFFFFF"/>
        </w:rPr>
        <w:t xml:space="preserve"> This</w:t>
      </w:r>
      <w:r w:rsidR="00D900B4" w:rsidRPr="00B31A89">
        <w:rPr>
          <w:rFonts w:eastAsia="Times New Roman" w:cs="Arial"/>
          <w:szCs w:val="24"/>
          <w:shd w:val="clear" w:color="auto" w:fill="FFFFFF"/>
        </w:rPr>
        <w:t xml:space="preserve"> report </w:t>
      </w:r>
      <w:r w:rsidR="00D900B4" w:rsidRPr="00B31A89">
        <w:rPr>
          <w:rFonts w:eastAsia="Times New Roman" w:cs="Arial"/>
          <w:iCs/>
          <w:szCs w:val="24"/>
        </w:rPr>
        <w:t xml:space="preserve">summarizes </w:t>
      </w:r>
      <w:r w:rsidR="00F37802" w:rsidRPr="00B31A89">
        <w:rPr>
          <w:rFonts w:eastAsia="Times New Roman" w:cs="Arial"/>
          <w:iCs/>
          <w:szCs w:val="24"/>
        </w:rPr>
        <w:t xml:space="preserve">a variety of evidence-based best practices in </w:t>
      </w:r>
      <w:r w:rsidR="00A346A4" w:rsidRPr="00B31A89">
        <w:rPr>
          <w:rFonts w:eastAsia="Times New Roman" w:cs="Arial"/>
          <w:iCs/>
          <w:szCs w:val="24"/>
        </w:rPr>
        <w:t>service-learning</w:t>
      </w:r>
      <w:r w:rsidR="00F37802" w:rsidRPr="00B31A89">
        <w:rPr>
          <w:rFonts w:eastAsia="Times New Roman" w:cs="Arial"/>
          <w:szCs w:val="24"/>
        </w:rPr>
        <w:t xml:space="preserve"> and provides guidance on how these best practices may be equitably incorporated into high school programs in a way that encourages and supports equitable access to the SSCE.</w:t>
      </w:r>
    </w:p>
    <w:p w14:paraId="2BB2BC21" w14:textId="0C2EB254" w:rsidR="00D900B4" w:rsidRPr="00B31A89" w:rsidRDefault="00D900B4" w:rsidP="00A83EAC">
      <w:pPr>
        <w:tabs>
          <w:tab w:val="right" w:pos="9360"/>
        </w:tabs>
        <w:autoSpaceDE w:val="0"/>
        <w:autoSpaceDN w:val="0"/>
        <w:adjustRightInd w:val="0"/>
        <w:rPr>
          <w:rFonts w:eastAsia="Times New Roman" w:cs="Arial"/>
        </w:rPr>
      </w:pPr>
      <w:r w:rsidRPr="00B31A89">
        <w:rPr>
          <w:rFonts w:eastAsia="Times New Roman" w:cs="Arial"/>
          <w:color w:val="000000" w:themeColor="text1"/>
        </w:rPr>
        <w:t xml:space="preserve">This report contains </w:t>
      </w:r>
      <w:r w:rsidR="00F37802" w:rsidRPr="00B31A89">
        <w:rPr>
          <w:rFonts w:eastAsia="Times New Roman" w:cs="Arial"/>
          <w:color w:val="000000" w:themeColor="text1"/>
        </w:rPr>
        <w:t xml:space="preserve">a summary of existing, current research into </w:t>
      </w:r>
      <w:r w:rsidR="00A346A4" w:rsidRPr="00B31A89">
        <w:rPr>
          <w:rFonts w:eastAsia="Times New Roman" w:cs="Arial"/>
          <w:color w:val="000000" w:themeColor="text1"/>
        </w:rPr>
        <w:t>service-learning</w:t>
      </w:r>
      <w:r w:rsidR="00F37802" w:rsidRPr="00B31A89">
        <w:rPr>
          <w:rFonts w:eastAsia="Times New Roman" w:cs="Arial"/>
          <w:color w:val="000000" w:themeColor="text1"/>
        </w:rPr>
        <w:t xml:space="preserve">, as well as civic engagement and learning as it relates to and supports high-quality </w:t>
      </w:r>
      <w:r w:rsidR="00A346A4" w:rsidRPr="00B31A89">
        <w:rPr>
          <w:rFonts w:eastAsia="Times New Roman" w:cs="Arial"/>
          <w:color w:val="000000" w:themeColor="text1"/>
        </w:rPr>
        <w:t>service-learning</w:t>
      </w:r>
      <w:r w:rsidR="00F37802" w:rsidRPr="00B31A89">
        <w:rPr>
          <w:rFonts w:eastAsia="Times New Roman" w:cs="Arial"/>
          <w:color w:val="000000" w:themeColor="text1"/>
        </w:rPr>
        <w:t xml:space="preserve"> programs. The report provides </w:t>
      </w:r>
      <w:r w:rsidR="00D1215D" w:rsidRPr="00B31A89">
        <w:rPr>
          <w:rFonts w:eastAsia="Times New Roman" w:cs="Arial"/>
          <w:color w:val="000000" w:themeColor="text1"/>
        </w:rPr>
        <w:t>information on best practices and useful resources</w:t>
      </w:r>
      <w:r w:rsidR="00F37802" w:rsidRPr="00B31A89">
        <w:rPr>
          <w:rFonts w:eastAsia="Times New Roman" w:cs="Arial"/>
          <w:color w:val="000000" w:themeColor="text1"/>
        </w:rPr>
        <w:t xml:space="preserve"> for California local educational agencies (LEAs) that serve grades </w:t>
      </w:r>
      <w:r w:rsidR="000A1EC0">
        <w:rPr>
          <w:rFonts w:eastAsia="Times New Roman" w:cs="Arial"/>
          <w:color w:val="000000" w:themeColor="text1"/>
        </w:rPr>
        <w:t>9–12.</w:t>
      </w:r>
      <w:r w:rsidR="00F37802" w:rsidRPr="00B31A89">
        <w:rPr>
          <w:rFonts w:eastAsia="Times New Roman" w:cs="Arial"/>
          <w:color w:val="000000" w:themeColor="text1"/>
        </w:rPr>
        <w:t xml:space="preserve"> These recommendations are geared at supporting LEAs with existing SSCE programs, as well as those in the process of developing new SSCE programs. The recommendations are based on </w:t>
      </w:r>
      <w:r w:rsidR="00F35980" w:rsidRPr="00B31A89">
        <w:rPr>
          <w:rFonts w:eastAsia="Times New Roman" w:cs="Arial"/>
          <w:color w:val="000000" w:themeColor="text1"/>
        </w:rPr>
        <w:t xml:space="preserve">general </w:t>
      </w:r>
      <w:r w:rsidR="00F37802" w:rsidRPr="00B31A89">
        <w:rPr>
          <w:rFonts w:eastAsia="Times New Roman" w:cs="Arial"/>
          <w:color w:val="000000" w:themeColor="text1"/>
        </w:rPr>
        <w:t xml:space="preserve">research into </w:t>
      </w:r>
      <w:r w:rsidR="00A346A4" w:rsidRPr="00B31A89">
        <w:rPr>
          <w:rFonts w:eastAsia="Times New Roman" w:cs="Arial"/>
          <w:color w:val="000000" w:themeColor="text1"/>
        </w:rPr>
        <w:t>service-learning</w:t>
      </w:r>
      <w:r w:rsidR="00F37802" w:rsidRPr="00B31A89">
        <w:rPr>
          <w:rFonts w:eastAsia="Times New Roman" w:cs="Arial"/>
          <w:color w:val="000000" w:themeColor="text1"/>
        </w:rPr>
        <w:t xml:space="preserve"> a</w:t>
      </w:r>
      <w:r w:rsidR="796385A4" w:rsidRPr="00B31A89">
        <w:rPr>
          <w:rFonts w:eastAsia="Times New Roman" w:cs="Arial"/>
          <w:color w:val="000000" w:themeColor="text1"/>
        </w:rPr>
        <w:t>nd</w:t>
      </w:r>
      <w:r w:rsidR="00F37802" w:rsidRPr="00B31A89">
        <w:rPr>
          <w:rFonts w:eastAsia="Times New Roman" w:cs="Arial"/>
          <w:color w:val="000000" w:themeColor="text1"/>
        </w:rPr>
        <w:t xml:space="preserve"> direct experience launching the SSCE program </w:t>
      </w:r>
      <w:r w:rsidR="00D92429">
        <w:rPr>
          <w:rFonts w:eastAsia="Times New Roman" w:cs="Arial"/>
          <w:color w:val="000000" w:themeColor="text1"/>
        </w:rPr>
        <w:t>in</w:t>
      </w:r>
      <w:r w:rsidR="00D92429" w:rsidRPr="00B31A89">
        <w:rPr>
          <w:rFonts w:eastAsia="Times New Roman" w:cs="Arial"/>
          <w:color w:val="000000" w:themeColor="text1"/>
        </w:rPr>
        <w:t xml:space="preserve"> </w:t>
      </w:r>
      <w:r w:rsidR="00F37802" w:rsidRPr="00B31A89">
        <w:rPr>
          <w:rFonts w:eastAsia="Times New Roman" w:cs="Arial"/>
          <w:color w:val="000000" w:themeColor="text1"/>
        </w:rPr>
        <w:t>September 2020.</w:t>
      </w:r>
    </w:p>
    <w:p w14:paraId="025BD39F" w14:textId="767BEFCB" w:rsidR="00D02E00" w:rsidRPr="00B31A89" w:rsidRDefault="00352FF8" w:rsidP="00A83EAC">
      <w:pPr>
        <w:tabs>
          <w:tab w:val="right" w:pos="9360"/>
        </w:tabs>
        <w:autoSpaceDE w:val="0"/>
        <w:autoSpaceDN w:val="0"/>
        <w:adjustRightInd w:val="0"/>
        <w:rPr>
          <w:rFonts w:eastAsia="Times New Roman" w:cs="Arial"/>
        </w:rPr>
      </w:pPr>
      <w:r w:rsidRPr="00B31A89">
        <w:rPr>
          <w:rFonts w:eastAsia="Times New Roman" w:cs="Arial"/>
        </w:rPr>
        <w:t xml:space="preserve">Additionally, this report is related to the annual California Serves grant, also established by AB 181. </w:t>
      </w:r>
      <w:bookmarkStart w:id="5" w:name="_Hlk168564659"/>
      <w:r w:rsidRPr="00B31A89">
        <w:rPr>
          <w:rFonts w:eastAsia="Times New Roman" w:cs="Arial"/>
        </w:rPr>
        <w:t xml:space="preserve">This annual grant appropriates $5 million to eligible LEAs to support </w:t>
      </w:r>
      <w:r w:rsidR="00E30709">
        <w:rPr>
          <w:rFonts w:eastAsia="Times New Roman" w:cs="Arial"/>
        </w:rPr>
        <w:t xml:space="preserve">the </w:t>
      </w:r>
      <w:r w:rsidRPr="00B31A89">
        <w:rPr>
          <w:rFonts w:eastAsia="Times New Roman" w:cs="Arial"/>
        </w:rPr>
        <w:t xml:space="preserve">establishment or expansion of local programs for grades 9–12 that award the SSCE specifically through </w:t>
      </w:r>
      <w:r w:rsidR="00A346A4" w:rsidRPr="00B31A89">
        <w:rPr>
          <w:rFonts w:eastAsia="Times New Roman" w:cs="Arial"/>
        </w:rPr>
        <w:t>service-learning</w:t>
      </w:r>
      <w:r w:rsidRPr="00B31A89">
        <w:rPr>
          <w:rFonts w:eastAsia="Times New Roman" w:cs="Arial"/>
        </w:rPr>
        <w:t>. The first cycle of 12 grant recipients w</w:t>
      </w:r>
      <w:r w:rsidR="1FF3774E" w:rsidRPr="00B31A89">
        <w:rPr>
          <w:rFonts w:eastAsia="Times New Roman" w:cs="Arial"/>
        </w:rPr>
        <w:t>as</w:t>
      </w:r>
      <w:r w:rsidRPr="00B31A89">
        <w:rPr>
          <w:rFonts w:eastAsia="Times New Roman" w:cs="Arial"/>
        </w:rPr>
        <w:t xml:space="preserve"> posted on May 12, 2023. A separate report to the Legislature, due November 5, 2024, and annually thereafter, will be prepared to report on the grant activities.</w:t>
      </w:r>
      <w:bookmarkEnd w:id="5"/>
    </w:p>
    <w:p w14:paraId="68DDE44E" w14:textId="3FD9E224" w:rsidR="00D02E00" w:rsidRPr="00B31A89" w:rsidRDefault="00D02E00" w:rsidP="00A83EAC">
      <w:pPr>
        <w:tabs>
          <w:tab w:val="right" w:pos="9360"/>
        </w:tabs>
        <w:rPr>
          <w:rFonts w:eastAsia="Times New Roman" w:cs="Arial"/>
          <w:color w:val="000000" w:themeColor="text1"/>
        </w:rPr>
        <w:sectPr w:rsidR="00D02E00" w:rsidRPr="00B31A89" w:rsidSect="00760A30">
          <w:headerReference w:type="even" r:id="rId15"/>
          <w:headerReference w:type="default" r:id="rId16"/>
          <w:footerReference w:type="default" r:id="rId17"/>
          <w:headerReference w:type="first" r:id="rId18"/>
          <w:pgSz w:w="12240" w:h="15840"/>
          <w:pgMar w:top="1440" w:right="1440" w:bottom="1440" w:left="1440" w:header="720" w:footer="720" w:gutter="0"/>
          <w:pgNumType w:start="3"/>
          <w:cols w:space="720"/>
          <w:docGrid w:linePitch="360"/>
        </w:sectPr>
      </w:pPr>
      <w:bookmarkStart w:id="6" w:name="_Hlk168564716"/>
      <w:r w:rsidRPr="00B31A89">
        <w:rPr>
          <w:rFonts w:eastAsia="Times New Roman" w:cs="Arial"/>
        </w:rPr>
        <w:t xml:space="preserve">You </w:t>
      </w:r>
      <w:r w:rsidR="000B6398" w:rsidRPr="00B31A89">
        <w:rPr>
          <w:rFonts w:eastAsia="Times New Roman" w:cs="Arial"/>
        </w:rPr>
        <w:t xml:space="preserve">may access this report from </w:t>
      </w:r>
      <w:r w:rsidRPr="00B31A89">
        <w:rPr>
          <w:rFonts w:eastAsia="Times New Roman" w:cs="Arial"/>
        </w:rPr>
        <w:t xml:space="preserve">the </w:t>
      </w:r>
      <w:r w:rsidR="00352FF8" w:rsidRPr="00B31A89">
        <w:rPr>
          <w:rFonts w:eastAsia="Times New Roman" w:cs="Arial"/>
        </w:rPr>
        <w:t>CDE</w:t>
      </w:r>
      <w:r w:rsidRPr="00B31A89">
        <w:rPr>
          <w:rFonts w:eastAsia="Times New Roman" w:cs="Arial"/>
        </w:rPr>
        <w:t xml:space="preserve"> </w:t>
      </w:r>
      <w:r w:rsidR="000B6398" w:rsidRPr="00B31A89">
        <w:rPr>
          <w:rFonts w:eastAsia="Times New Roman" w:cs="Arial"/>
        </w:rPr>
        <w:t>California Serves</w:t>
      </w:r>
      <w:r w:rsidRPr="00B31A89">
        <w:rPr>
          <w:rFonts w:eastAsia="Times New Roman" w:cs="Arial"/>
        </w:rPr>
        <w:t xml:space="preserve"> web page at</w:t>
      </w:r>
      <w:r w:rsidRPr="00B31A89">
        <w:rPr>
          <w:rFonts w:eastAsia="Times New Roman" w:cs="Arial"/>
          <w:color w:val="C00000"/>
        </w:rPr>
        <w:t xml:space="preserve"> </w:t>
      </w:r>
      <w:bookmarkStart w:id="7" w:name="_Hlk168564755"/>
      <w:r w:rsidR="00E30709">
        <w:fldChar w:fldCharType="begin"/>
      </w:r>
      <w:r w:rsidR="00D92429">
        <w:instrText xml:space="preserve">HYPERLINK "https://www.cde.ca.gov/pd/ca/hs/californiaserves.asp" \o "CDE California Serves web page" \h </w:instrText>
      </w:r>
      <w:r w:rsidR="00E30709">
        <w:fldChar w:fldCharType="separate"/>
      </w:r>
      <w:r w:rsidR="000B6398" w:rsidRPr="00B31A89">
        <w:rPr>
          <w:rStyle w:val="Hyperlink"/>
          <w:rFonts w:cs="Arial"/>
        </w:rPr>
        <w:t>https://www.cde.ca.gov/pd/ca/hs/californiaserves.asp</w:t>
      </w:r>
      <w:r w:rsidR="00E30709">
        <w:rPr>
          <w:rStyle w:val="Hyperlink"/>
          <w:rFonts w:cs="Arial"/>
        </w:rPr>
        <w:fldChar w:fldCharType="end"/>
      </w:r>
      <w:bookmarkEnd w:id="7"/>
      <w:r w:rsidR="000B6398" w:rsidRPr="00B31A89">
        <w:rPr>
          <w:rFonts w:cs="Arial"/>
        </w:rPr>
        <w:t>.</w:t>
      </w:r>
      <w:r w:rsidRPr="00B31A89">
        <w:rPr>
          <w:rFonts w:eastAsia="Times New Roman" w:cs="Arial"/>
          <w:color w:val="C00000"/>
        </w:rPr>
        <w:t xml:space="preserve"> </w:t>
      </w:r>
      <w:r w:rsidRPr="00B31A89">
        <w:rPr>
          <w:rFonts w:eastAsia="Times New Roman" w:cs="Arial"/>
        </w:rPr>
        <w:t>If you have</w:t>
      </w:r>
      <w:r w:rsidR="003104F0">
        <w:rPr>
          <w:rFonts w:eastAsia="Times New Roman" w:cs="Arial"/>
        </w:rPr>
        <w:t xml:space="preserve"> any</w:t>
      </w:r>
      <w:r w:rsidRPr="00B31A89">
        <w:rPr>
          <w:rFonts w:eastAsia="Times New Roman" w:cs="Arial"/>
        </w:rPr>
        <w:t xml:space="preserve"> questions</w:t>
      </w:r>
      <w:r w:rsidR="003104F0">
        <w:rPr>
          <w:rFonts w:eastAsia="Times New Roman" w:cs="Arial"/>
        </w:rPr>
        <w:t xml:space="preserve"> regarding this report</w:t>
      </w:r>
      <w:r w:rsidRPr="00B31A89">
        <w:rPr>
          <w:rFonts w:eastAsia="Times New Roman" w:cs="Arial"/>
        </w:rPr>
        <w:t xml:space="preserve">, please contact </w:t>
      </w:r>
      <w:r w:rsidR="000B6398" w:rsidRPr="00B31A89">
        <w:rPr>
          <w:rFonts w:eastAsia="Times New Roman" w:cs="Arial"/>
          <w:color w:val="000000" w:themeColor="text1"/>
        </w:rPr>
        <w:t>Sarah Smith</w:t>
      </w:r>
      <w:r w:rsidRPr="00B31A89">
        <w:rPr>
          <w:rFonts w:eastAsia="Times New Roman" w:cs="Arial"/>
          <w:color w:val="000000" w:themeColor="text1"/>
        </w:rPr>
        <w:t xml:space="preserve">, Education Programs Consultant, </w:t>
      </w:r>
      <w:r w:rsidR="4D6E317D" w:rsidRPr="00B31A89">
        <w:rPr>
          <w:rFonts w:eastAsia="Times New Roman" w:cs="Arial"/>
          <w:color w:val="000000" w:themeColor="text1"/>
        </w:rPr>
        <w:t>Professional Learning Support</w:t>
      </w:r>
      <w:r w:rsidRPr="00B31A89">
        <w:rPr>
          <w:rFonts w:eastAsia="Times New Roman" w:cs="Arial"/>
          <w:color w:val="000000" w:themeColor="text1"/>
        </w:rPr>
        <w:t xml:space="preserve"> Division, </w:t>
      </w:r>
      <w:r w:rsidR="00B26D41">
        <w:rPr>
          <w:rFonts w:eastAsia="Times New Roman" w:cs="Arial"/>
          <w:color w:val="000000" w:themeColor="text1"/>
        </w:rPr>
        <w:t xml:space="preserve">by phone </w:t>
      </w:r>
      <w:r w:rsidRPr="00B31A89">
        <w:rPr>
          <w:rFonts w:eastAsia="Times New Roman" w:cs="Arial"/>
        </w:rPr>
        <w:t>at 916-</w:t>
      </w:r>
      <w:r w:rsidR="00352FF8" w:rsidRPr="00B31A89">
        <w:rPr>
          <w:rFonts w:eastAsia="Times New Roman" w:cs="Arial"/>
        </w:rPr>
        <w:t>323</w:t>
      </w:r>
      <w:r w:rsidRPr="00B31A89">
        <w:rPr>
          <w:rFonts w:eastAsia="Times New Roman" w:cs="Arial"/>
        </w:rPr>
        <w:t>-</w:t>
      </w:r>
      <w:r w:rsidR="000B6398" w:rsidRPr="00B31A89">
        <w:rPr>
          <w:rFonts w:eastAsia="Times New Roman" w:cs="Arial"/>
        </w:rPr>
        <w:t>5818</w:t>
      </w:r>
      <w:r w:rsidRPr="00B31A89">
        <w:rPr>
          <w:rFonts w:eastAsia="Times New Roman" w:cs="Arial"/>
          <w:color w:val="C00000"/>
        </w:rPr>
        <w:t xml:space="preserve"> </w:t>
      </w:r>
      <w:r w:rsidRPr="00B31A89">
        <w:rPr>
          <w:rFonts w:eastAsia="Times New Roman" w:cs="Arial"/>
        </w:rPr>
        <w:t>or</w:t>
      </w:r>
      <w:r w:rsidR="00B26D41">
        <w:rPr>
          <w:rFonts w:eastAsia="Times New Roman" w:cs="Arial"/>
        </w:rPr>
        <w:t xml:space="preserve"> </w:t>
      </w:r>
      <w:bookmarkStart w:id="8" w:name="_Hlk168564788"/>
      <w:r w:rsidR="00E30709">
        <w:fldChar w:fldCharType="begin"/>
      </w:r>
      <w:r w:rsidR="00E30709">
        <w:instrText>HYPERLINK "mailto:SSmith@cde.ca.gov" \h</w:instrText>
      </w:r>
      <w:r w:rsidR="00E30709">
        <w:fldChar w:fldCharType="separate"/>
      </w:r>
      <w:r w:rsidR="000B6398" w:rsidRPr="00B31A89">
        <w:rPr>
          <w:rStyle w:val="Hyperlink"/>
          <w:rFonts w:cs="Arial"/>
        </w:rPr>
        <w:t>SSmith@cde.ca.gov</w:t>
      </w:r>
      <w:r w:rsidR="00E30709">
        <w:rPr>
          <w:rStyle w:val="Hyperlink"/>
          <w:rFonts w:cs="Arial"/>
        </w:rPr>
        <w:fldChar w:fldCharType="end"/>
      </w:r>
      <w:bookmarkEnd w:id="8"/>
      <w:r w:rsidR="000B6398" w:rsidRPr="00B31A89">
        <w:rPr>
          <w:rFonts w:cs="Arial"/>
        </w:rPr>
        <w:t xml:space="preserve">. </w:t>
      </w:r>
    </w:p>
    <w:p w14:paraId="0328DCE7" w14:textId="5C96D84E" w:rsidR="00D900B4" w:rsidRPr="00B31A89" w:rsidRDefault="00D900B4" w:rsidP="00E37E0D">
      <w:pPr>
        <w:pStyle w:val="Heading3"/>
      </w:pPr>
      <w:bookmarkStart w:id="9" w:name="_Toc167277543"/>
      <w:bookmarkEnd w:id="6"/>
      <w:r w:rsidRPr="00B31A89">
        <w:lastRenderedPageBreak/>
        <w:t xml:space="preserve">Assembly Bill </w:t>
      </w:r>
      <w:r w:rsidR="00352FF8" w:rsidRPr="00B31A89">
        <w:t>181</w:t>
      </w:r>
      <w:r w:rsidRPr="00B31A89">
        <w:t xml:space="preserve"> and Legislative </w:t>
      </w:r>
      <w:r w:rsidRPr="00E37E0D">
        <w:t>Reporting</w:t>
      </w:r>
      <w:r w:rsidRPr="00B31A89">
        <w:t xml:space="preserve"> Requirements</w:t>
      </w:r>
      <w:bookmarkEnd w:id="9"/>
    </w:p>
    <w:p w14:paraId="1AAE3261" w14:textId="651CE03E" w:rsidR="007923C5" w:rsidRPr="00B31A89" w:rsidRDefault="006524C0" w:rsidP="00D900B4">
      <w:pPr>
        <w:rPr>
          <w:rFonts w:eastAsia="Times New Roman" w:cs="Arial"/>
          <w:szCs w:val="24"/>
        </w:rPr>
      </w:pPr>
      <w:r w:rsidRPr="00B31A89">
        <w:rPr>
          <w:rFonts w:eastAsia="Times New Roman" w:cs="Arial"/>
          <w:szCs w:val="24"/>
        </w:rPr>
        <w:t xml:space="preserve">Assembly Bill </w:t>
      </w:r>
      <w:r w:rsidR="00C46555">
        <w:rPr>
          <w:rFonts w:eastAsia="Times New Roman" w:cs="Arial"/>
          <w:szCs w:val="24"/>
        </w:rPr>
        <w:t xml:space="preserve">(AB) </w:t>
      </w:r>
      <w:r w:rsidRPr="00B31A89">
        <w:rPr>
          <w:rFonts w:eastAsia="Times New Roman" w:cs="Arial"/>
          <w:szCs w:val="24"/>
        </w:rPr>
        <w:t xml:space="preserve">181 (Statutes of 2022), the </w:t>
      </w:r>
      <w:r w:rsidR="00224343" w:rsidRPr="00B31A89">
        <w:rPr>
          <w:rFonts w:eastAsia="Times New Roman" w:cs="Arial"/>
          <w:szCs w:val="24"/>
        </w:rPr>
        <w:t>Education Omnibus Budget Trailer Bill</w:t>
      </w:r>
      <w:r w:rsidRPr="00B31A89">
        <w:rPr>
          <w:rFonts w:eastAsia="Times New Roman" w:cs="Arial"/>
          <w:szCs w:val="24"/>
        </w:rPr>
        <w:t xml:space="preserve">, established the </w:t>
      </w:r>
      <w:r w:rsidR="00424D1F" w:rsidRPr="00B31A89">
        <w:rPr>
          <w:rFonts w:eastAsia="Times New Roman" w:cs="Arial"/>
          <w:szCs w:val="24"/>
        </w:rPr>
        <w:t xml:space="preserve">annual </w:t>
      </w:r>
      <w:r w:rsidRPr="00B31A89">
        <w:rPr>
          <w:rFonts w:eastAsia="Times New Roman" w:cs="Arial"/>
          <w:szCs w:val="24"/>
        </w:rPr>
        <w:t xml:space="preserve">California Serves program, administered by the </w:t>
      </w:r>
      <w:r w:rsidR="00417D5A">
        <w:rPr>
          <w:rFonts w:eastAsia="Times New Roman" w:cs="Arial"/>
          <w:szCs w:val="24"/>
        </w:rPr>
        <w:t>California Department of Education (CDE)</w:t>
      </w:r>
      <w:r w:rsidRPr="00B31A89">
        <w:rPr>
          <w:rFonts w:eastAsia="Times New Roman" w:cs="Arial"/>
          <w:szCs w:val="24"/>
        </w:rPr>
        <w:t xml:space="preserve"> in collaboration with California </w:t>
      </w:r>
      <w:r w:rsidR="00424D1F" w:rsidRPr="00B31A89">
        <w:rPr>
          <w:rFonts w:eastAsia="Times New Roman" w:cs="Arial"/>
          <w:szCs w:val="24"/>
        </w:rPr>
        <w:t>V</w:t>
      </w:r>
      <w:r w:rsidRPr="00B31A89">
        <w:rPr>
          <w:rFonts w:eastAsia="Times New Roman" w:cs="Arial"/>
          <w:szCs w:val="24"/>
        </w:rPr>
        <w:t>olunteers.</w:t>
      </w:r>
    </w:p>
    <w:p w14:paraId="4B778529" w14:textId="1FD3A3FC" w:rsidR="00424D1F" w:rsidRPr="00B31A89" w:rsidRDefault="006524C0" w:rsidP="4758CA2D">
      <w:pPr>
        <w:rPr>
          <w:rFonts w:eastAsia="Arial" w:cs="Arial"/>
        </w:rPr>
      </w:pPr>
      <w:r w:rsidRPr="00B31A89">
        <w:rPr>
          <w:rFonts w:eastAsia="Arial" w:cs="Arial"/>
        </w:rPr>
        <w:t xml:space="preserve">The purpose of </w:t>
      </w:r>
      <w:r w:rsidR="00C46555">
        <w:rPr>
          <w:rFonts w:eastAsia="Arial" w:cs="Arial"/>
        </w:rPr>
        <w:t xml:space="preserve">the </w:t>
      </w:r>
      <w:r w:rsidRPr="00B31A89">
        <w:rPr>
          <w:rFonts w:eastAsia="Arial" w:cs="Arial"/>
        </w:rPr>
        <w:t>California Serves</w:t>
      </w:r>
      <w:r w:rsidR="00C46555">
        <w:rPr>
          <w:rFonts w:eastAsia="Arial" w:cs="Arial"/>
        </w:rPr>
        <w:t xml:space="preserve"> program</w:t>
      </w:r>
      <w:r w:rsidRPr="00B31A89">
        <w:rPr>
          <w:rFonts w:eastAsia="Arial" w:cs="Arial"/>
        </w:rPr>
        <w:t xml:space="preserve"> is to promote access to effective </w:t>
      </w:r>
      <w:r w:rsidR="00A346A4" w:rsidRPr="00B31A89">
        <w:rPr>
          <w:rFonts w:eastAsia="Arial" w:cs="Arial"/>
        </w:rPr>
        <w:t>service-learning</w:t>
      </w:r>
      <w:r w:rsidRPr="00B31A89">
        <w:rPr>
          <w:rFonts w:eastAsia="Arial" w:cs="Arial"/>
        </w:rPr>
        <w:t xml:space="preserve"> for pupils in grade twelve who are enrolled at participating </w:t>
      </w:r>
      <w:r w:rsidR="005C67E8" w:rsidRPr="00B31A89">
        <w:rPr>
          <w:rFonts w:eastAsia="Arial" w:cs="Arial"/>
        </w:rPr>
        <w:t>local educational agencies (LEAs)</w:t>
      </w:r>
      <w:r w:rsidRPr="00B31A89">
        <w:rPr>
          <w:rFonts w:eastAsia="Arial" w:cs="Arial"/>
        </w:rPr>
        <w:t xml:space="preserve">, with the goal of expanding access for high school graduates in obtaining a </w:t>
      </w:r>
      <w:r w:rsidR="001265E5" w:rsidRPr="00B31A89">
        <w:rPr>
          <w:rFonts w:eastAsia="Arial" w:cs="Arial"/>
        </w:rPr>
        <w:t xml:space="preserve">State Seal of Civic Engagement (SSCE) </w:t>
      </w:r>
      <w:r w:rsidRPr="00B31A89">
        <w:rPr>
          <w:rFonts w:eastAsia="Arial" w:cs="Arial"/>
        </w:rPr>
        <w:t xml:space="preserve">through </w:t>
      </w:r>
      <w:r w:rsidR="00A346A4" w:rsidRPr="00B31A89">
        <w:rPr>
          <w:rFonts w:eastAsia="Arial" w:cs="Arial"/>
        </w:rPr>
        <w:t>service-learning</w:t>
      </w:r>
      <w:r w:rsidRPr="00B31A89">
        <w:rPr>
          <w:rFonts w:eastAsia="Arial" w:cs="Arial"/>
        </w:rPr>
        <w:t>.</w:t>
      </w:r>
    </w:p>
    <w:p w14:paraId="727CF368" w14:textId="1546BEE2" w:rsidR="00424D1F" w:rsidRPr="00B31A89" w:rsidRDefault="00424D1F" w:rsidP="4758CA2D">
      <w:pPr>
        <w:rPr>
          <w:rFonts w:eastAsia="Arial" w:cs="Arial"/>
        </w:rPr>
      </w:pPr>
      <w:r w:rsidRPr="00B31A89">
        <w:rPr>
          <w:rFonts w:eastAsia="Arial" w:cs="Arial"/>
        </w:rPr>
        <w:t xml:space="preserve">The legislation requires the </w:t>
      </w:r>
      <w:r w:rsidR="00417D5A">
        <w:rPr>
          <w:rFonts w:eastAsia="Arial" w:cs="Arial"/>
        </w:rPr>
        <w:t>CDE</w:t>
      </w:r>
      <w:r w:rsidRPr="00B31A89">
        <w:rPr>
          <w:rFonts w:eastAsia="Arial" w:cs="Arial"/>
        </w:rPr>
        <w:t xml:space="preserve"> and California Volunteers to collaborate in</w:t>
      </w:r>
      <w:r w:rsidR="00224343" w:rsidRPr="00B31A89">
        <w:rPr>
          <w:rFonts w:eastAsia="Arial" w:cs="Arial"/>
        </w:rPr>
        <w:t xml:space="preserve"> facilitating an annual $5 million grant program, in which eligible LEAs apply for grants of up to $500,000 to establish or expand programs that award the SSCE through </w:t>
      </w:r>
      <w:r w:rsidR="00A346A4" w:rsidRPr="00B31A89">
        <w:rPr>
          <w:rFonts w:eastAsia="Arial" w:cs="Arial"/>
        </w:rPr>
        <w:t>service-learning</w:t>
      </w:r>
      <w:r w:rsidRPr="00B31A89">
        <w:rPr>
          <w:rFonts w:eastAsia="Arial" w:cs="Arial"/>
        </w:rPr>
        <w:t>.</w:t>
      </w:r>
    </w:p>
    <w:p w14:paraId="37B42F9D" w14:textId="4DC83721" w:rsidR="006524C0" w:rsidRPr="00B31A89" w:rsidRDefault="00424D1F" w:rsidP="00D117C8">
      <w:pPr>
        <w:rPr>
          <w:rFonts w:eastAsia="Arial" w:cs="Arial"/>
          <w:szCs w:val="24"/>
          <w:lang w:val="en"/>
        </w:rPr>
      </w:pPr>
      <w:r w:rsidRPr="00B31A89">
        <w:rPr>
          <w:rFonts w:eastAsia="Arial" w:cs="Arial"/>
          <w:szCs w:val="24"/>
          <w:lang w:val="en"/>
        </w:rPr>
        <w:t xml:space="preserve">Additionally, the </w:t>
      </w:r>
      <w:r w:rsidR="00224343" w:rsidRPr="00B31A89">
        <w:rPr>
          <w:rFonts w:eastAsia="Arial" w:cs="Arial"/>
          <w:szCs w:val="24"/>
          <w:lang w:val="en"/>
        </w:rPr>
        <w:t>legislation requires the CDE and California Volunteers to develop two reports to the Legislature:</w:t>
      </w:r>
    </w:p>
    <w:p w14:paraId="11C36E3C" w14:textId="25FD515A" w:rsidR="00224343" w:rsidRPr="00B31A89" w:rsidRDefault="00224343" w:rsidP="00D117C8">
      <w:pPr>
        <w:pStyle w:val="ListParagraph"/>
        <w:numPr>
          <w:ilvl w:val="0"/>
          <w:numId w:val="3"/>
        </w:numPr>
        <w:contextualSpacing w:val="0"/>
        <w:rPr>
          <w:rFonts w:eastAsia="Arial" w:cs="Arial"/>
        </w:rPr>
      </w:pPr>
      <w:r w:rsidRPr="00B31A89">
        <w:rPr>
          <w:rFonts w:eastAsia="Arial" w:cs="Arial"/>
        </w:rPr>
        <w:t xml:space="preserve">Recommendations on evidence-based strategies to expand access to high-quality </w:t>
      </w:r>
      <w:r w:rsidR="00A346A4" w:rsidRPr="00B31A89">
        <w:rPr>
          <w:rFonts w:eastAsia="Arial" w:cs="Arial"/>
        </w:rPr>
        <w:t>service-learning</w:t>
      </w:r>
      <w:r w:rsidRPr="00B31A89">
        <w:rPr>
          <w:rFonts w:eastAsia="Arial" w:cs="Arial"/>
        </w:rPr>
        <w:t xml:space="preserve"> programs in California high schools, and promote equitable access to these programs, on or before January 1, 2024</w:t>
      </w:r>
      <w:r w:rsidR="00152476">
        <w:rPr>
          <w:rFonts w:eastAsia="Arial" w:cs="Arial"/>
        </w:rPr>
        <w:t>.</w:t>
      </w:r>
    </w:p>
    <w:p w14:paraId="5037250A" w14:textId="62FC7382" w:rsidR="00224343" w:rsidRPr="00B31A89" w:rsidRDefault="00224343" w:rsidP="00D117C8">
      <w:pPr>
        <w:pStyle w:val="ListParagraph"/>
        <w:numPr>
          <w:ilvl w:val="0"/>
          <w:numId w:val="3"/>
        </w:numPr>
        <w:contextualSpacing w:val="0"/>
        <w:rPr>
          <w:rFonts w:eastAsia="Arial" w:cs="Arial"/>
        </w:rPr>
      </w:pPr>
      <w:r w:rsidRPr="00B31A89">
        <w:rPr>
          <w:rFonts w:eastAsia="Arial" w:cs="Arial"/>
        </w:rPr>
        <w:t xml:space="preserve">A report on the program to the appropriate fiscal and policy committees of the Legislature, on or before November 5, 2024, and annually thereafter, which includes an evaluation of the program using the model uniform metrics established by the </w:t>
      </w:r>
      <w:r w:rsidR="002119E7">
        <w:rPr>
          <w:rFonts w:eastAsia="Arial" w:cs="Arial"/>
        </w:rPr>
        <w:t>D</w:t>
      </w:r>
      <w:r w:rsidRPr="00B31A89">
        <w:rPr>
          <w:rFonts w:eastAsia="Arial" w:cs="Arial"/>
        </w:rPr>
        <w:t>epartment in partnership with California Volunteers and includes at least:</w:t>
      </w:r>
    </w:p>
    <w:p w14:paraId="6E94D15D" w14:textId="09E8328C" w:rsidR="00224343" w:rsidRPr="00B31A89" w:rsidRDefault="00224343" w:rsidP="00D117C8">
      <w:pPr>
        <w:pStyle w:val="ListParagraph"/>
        <w:numPr>
          <w:ilvl w:val="1"/>
          <w:numId w:val="3"/>
        </w:numPr>
        <w:contextualSpacing w:val="0"/>
        <w:rPr>
          <w:rFonts w:eastAsia="Arial" w:cs="Arial"/>
          <w:szCs w:val="24"/>
          <w:lang w:val="en"/>
        </w:rPr>
      </w:pPr>
      <w:r w:rsidRPr="00B31A89">
        <w:rPr>
          <w:rFonts w:eastAsia="Arial" w:cs="Arial"/>
          <w:szCs w:val="24"/>
          <w:lang w:val="en"/>
        </w:rPr>
        <w:t>The number of participating pupils, schools, and</w:t>
      </w:r>
      <w:r w:rsidR="00E84DBD">
        <w:rPr>
          <w:rFonts w:eastAsia="Arial" w:cs="Arial"/>
          <w:szCs w:val="24"/>
          <w:lang w:val="en"/>
        </w:rPr>
        <w:t xml:space="preserve"> LEAs</w:t>
      </w:r>
      <w:r w:rsidRPr="00B31A89">
        <w:rPr>
          <w:rFonts w:eastAsia="Arial" w:cs="Arial"/>
          <w:szCs w:val="24"/>
          <w:lang w:val="en"/>
        </w:rPr>
        <w:t>, and the grant awards for each grantee.</w:t>
      </w:r>
    </w:p>
    <w:p w14:paraId="5E30C9BB" w14:textId="17159B84" w:rsidR="00224343" w:rsidRPr="00B31A89" w:rsidRDefault="00224343" w:rsidP="00D117C8">
      <w:pPr>
        <w:pStyle w:val="ListParagraph"/>
        <w:numPr>
          <w:ilvl w:val="1"/>
          <w:numId w:val="3"/>
        </w:numPr>
        <w:contextualSpacing w:val="0"/>
        <w:rPr>
          <w:rFonts w:eastAsia="Arial" w:cs="Arial"/>
        </w:rPr>
      </w:pPr>
      <w:r w:rsidRPr="00B31A89">
        <w:rPr>
          <w:rFonts w:eastAsia="Arial" w:cs="Arial"/>
        </w:rPr>
        <w:t xml:space="preserve">The demographics of pupils engaged in </w:t>
      </w:r>
      <w:r w:rsidR="00A346A4" w:rsidRPr="00B31A89">
        <w:rPr>
          <w:rFonts w:eastAsia="Arial" w:cs="Arial"/>
        </w:rPr>
        <w:t>service-learning</w:t>
      </w:r>
      <w:r w:rsidRPr="00B31A89">
        <w:rPr>
          <w:rFonts w:eastAsia="Arial" w:cs="Arial"/>
        </w:rPr>
        <w:t xml:space="preserve"> </w:t>
      </w:r>
      <w:proofErr w:type="gramStart"/>
      <w:r w:rsidRPr="00B31A89">
        <w:rPr>
          <w:rFonts w:eastAsia="Arial" w:cs="Arial"/>
        </w:rPr>
        <w:t>as a result of</w:t>
      </w:r>
      <w:proofErr w:type="gramEnd"/>
      <w:r w:rsidRPr="00B31A89">
        <w:rPr>
          <w:rFonts w:eastAsia="Arial" w:cs="Arial"/>
        </w:rPr>
        <w:t xml:space="preserve"> the grant.</w:t>
      </w:r>
    </w:p>
    <w:p w14:paraId="10B7E8F9" w14:textId="26FB1D43" w:rsidR="00224343" w:rsidRPr="00B31A89" w:rsidRDefault="00224343" w:rsidP="00D117C8">
      <w:pPr>
        <w:pStyle w:val="ListParagraph"/>
        <w:numPr>
          <w:ilvl w:val="1"/>
          <w:numId w:val="3"/>
        </w:numPr>
        <w:contextualSpacing w:val="0"/>
        <w:rPr>
          <w:rFonts w:eastAsia="Arial" w:cs="Arial"/>
        </w:rPr>
      </w:pPr>
      <w:r w:rsidRPr="00B31A89">
        <w:rPr>
          <w:rFonts w:eastAsia="Arial" w:cs="Arial"/>
        </w:rPr>
        <w:t xml:space="preserve">The impact of the service </w:t>
      </w:r>
      <w:proofErr w:type="gramStart"/>
      <w:r w:rsidRPr="00B31A89">
        <w:rPr>
          <w:rFonts w:eastAsia="Arial" w:cs="Arial"/>
        </w:rPr>
        <w:t>performed</w:t>
      </w:r>
      <w:proofErr w:type="gramEnd"/>
      <w:r w:rsidRPr="00B31A89">
        <w:rPr>
          <w:rFonts w:eastAsia="Arial" w:cs="Arial"/>
        </w:rPr>
        <w:t xml:space="preserve"> by pupils and school staff </w:t>
      </w:r>
      <w:proofErr w:type="gramStart"/>
      <w:r w:rsidRPr="00B31A89">
        <w:rPr>
          <w:rFonts w:eastAsia="Arial" w:cs="Arial"/>
        </w:rPr>
        <w:t>as a result of</w:t>
      </w:r>
      <w:proofErr w:type="gramEnd"/>
      <w:r w:rsidRPr="00B31A89">
        <w:rPr>
          <w:rFonts w:eastAsia="Arial" w:cs="Arial"/>
        </w:rPr>
        <w:t xml:space="preserve"> the grant.</w:t>
      </w:r>
    </w:p>
    <w:p w14:paraId="3B37A04F" w14:textId="27E671D4" w:rsidR="00224343" w:rsidRPr="00B31A89" w:rsidRDefault="00224343" w:rsidP="00D117C8">
      <w:pPr>
        <w:pStyle w:val="ListParagraph"/>
        <w:numPr>
          <w:ilvl w:val="1"/>
          <w:numId w:val="3"/>
        </w:numPr>
        <w:contextualSpacing w:val="0"/>
        <w:rPr>
          <w:rFonts w:eastAsia="Arial" w:cs="Arial"/>
        </w:rPr>
      </w:pPr>
      <w:r w:rsidRPr="00B31A89">
        <w:rPr>
          <w:rFonts w:eastAsia="Arial" w:cs="Arial"/>
        </w:rPr>
        <w:t xml:space="preserve">Pupil outcomes in the academic, civic engagement, and other learning objectives measured by the model uniform metrics identified by the </w:t>
      </w:r>
      <w:r w:rsidR="00E77506">
        <w:rPr>
          <w:rFonts w:eastAsia="Arial" w:cs="Arial"/>
        </w:rPr>
        <w:t>D</w:t>
      </w:r>
      <w:r w:rsidRPr="00B31A89">
        <w:rPr>
          <w:rFonts w:eastAsia="Arial" w:cs="Arial"/>
        </w:rPr>
        <w:t xml:space="preserve">epartment in partnership with </w:t>
      </w:r>
      <w:r w:rsidR="00BD6098" w:rsidRPr="00B31A89">
        <w:rPr>
          <w:rFonts w:eastAsia="Arial" w:cs="Arial"/>
        </w:rPr>
        <w:t>California Volunteers</w:t>
      </w:r>
      <w:r w:rsidRPr="00B31A89">
        <w:rPr>
          <w:rFonts w:eastAsia="Arial" w:cs="Arial"/>
        </w:rPr>
        <w:t xml:space="preserve"> pursuant to paragraph (3) of subdivision (b), including, but not limited to, obtaining the </w:t>
      </w:r>
      <w:r w:rsidR="004835C6">
        <w:rPr>
          <w:rFonts w:eastAsia="Arial" w:cs="Arial"/>
        </w:rPr>
        <w:t>SSCE.</w:t>
      </w:r>
    </w:p>
    <w:p w14:paraId="47548D06" w14:textId="5615B0C1" w:rsidR="00224343" w:rsidRPr="00B31A89" w:rsidRDefault="00224343" w:rsidP="00224343">
      <w:pPr>
        <w:rPr>
          <w:rFonts w:eastAsia="Arial" w:cs="Arial"/>
          <w:szCs w:val="24"/>
          <w:lang w:val="en"/>
        </w:rPr>
      </w:pPr>
      <w:r w:rsidRPr="00B31A89">
        <w:rPr>
          <w:rFonts w:eastAsia="Arial" w:cs="Arial"/>
          <w:szCs w:val="24"/>
          <w:lang w:val="en"/>
        </w:rPr>
        <w:t>This report</w:t>
      </w:r>
      <w:r w:rsidR="00424D1F" w:rsidRPr="00B31A89">
        <w:rPr>
          <w:rFonts w:eastAsia="Arial" w:cs="Arial"/>
          <w:szCs w:val="24"/>
          <w:lang w:val="en"/>
        </w:rPr>
        <w:t xml:space="preserve"> fulfills requirement 1,</w:t>
      </w:r>
      <w:r w:rsidRPr="00B31A89">
        <w:rPr>
          <w:rFonts w:eastAsia="Arial" w:cs="Arial"/>
          <w:szCs w:val="24"/>
          <w:lang w:val="en"/>
        </w:rPr>
        <w:t xml:space="preserve"> </w:t>
      </w:r>
      <w:r w:rsidR="00424D1F" w:rsidRPr="00B31A89">
        <w:rPr>
          <w:rFonts w:eastAsia="Arial" w:cs="Arial"/>
          <w:szCs w:val="24"/>
          <w:lang w:val="en"/>
        </w:rPr>
        <w:t xml:space="preserve">providing </w:t>
      </w:r>
      <w:r w:rsidRPr="00B31A89">
        <w:rPr>
          <w:rFonts w:eastAsia="Arial" w:cs="Arial"/>
          <w:szCs w:val="24"/>
          <w:lang w:val="en"/>
        </w:rPr>
        <w:t xml:space="preserve">recommendations for evidence-based strategies to expand access to high-quality </w:t>
      </w:r>
      <w:r w:rsidR="00A346A4" w:rsidRPr="00B31A89">
        <w:rPr>
          <w:rFonts w:eastAsia="Arial" w:cs="Arial"/>
          <w:szCs w:val="24"/>
          <w:lang w:val="en"/>
        </w:rPr>
        <w:t>service-learning</w:t>
      </w:r>
      <w:r w:rsidRPr="00B31A89">
        <w:rPr>
          <w:rFonts w:eastAsia="Arial" w:cs="Arial"/>
          <w:szCs w:val="24"/>
          <w:lang w:val="en"/>
        </w:rPr>
        <w:t xml:space="preserve"> programs in California high schools.</w:t>
      </w:r>
    </w:p>
    <w:p w14:paraId="05D6BB7B" w14:textId="192AAEFD" w:rsidR="00D900B4" w:rsidRPr="00B31A89" w:rsidRDefault="00D900B4" w:rsidP="00E37E0D">
      <w:pPr>
        <w:pStyle w:val="Heading2"/>
      </w:pPr>
      <w:bookmarkStart w:id="10" w:name="_Toc93405149"/>
      <w:bookmarkStart w:id="11" w:name="_Toc167277544"/>
      <w:r w:rsidRPr="00B31A89">
        <w:lastRenderedPageBreak/>
        <w:t>Introduction</w:t>
      </w:r>
      <w:r w:rsidR="00352FF8" w:rsidRPr="00B31A89">
        <w:t xml:space="preserve"> and </w:t>
      </w:r>
      <w:r w:rsidR="00352FF8" w:rsidRPr="00E37E0D">
        <w:t>Background</w:t>
      </w:r>
      <w:r w:rsidRPr="00B31A89">
        <w:t xml:space="preserve">: </w:t>
      </w:r>
      <w:bookmarkEnd w:id="10"/>
      <w:r w:rsidR="00224343" w:rsidRPr="00B31A89">
        <w:t>Civic Engagement and Learning</w:t>
      </w:r>
      <w:r w:rsidR="00352FF8" w:rsidRPr="00B31A89">
        <w:t xml:space="preserve"> in California</w:t>
      </w:r>
      <w:bookmarkEnd w:id="11"/>
    </w:p>
    <w:p w14:paraId="6DFA2EB0" w14:textId="77777777" w:rsidR="00352FF8" w:rsidRPr="00B31A89" w:rsidRDefault="00352FF8" w:rsidP="00E37E0D">
      <w:pPr>
        <w:pStyle w:val="Heading3"/>
      </w:pPr>
      <w:bookmarkStart w:id="12" w:name="_Toc122354225"/>
      <w:bookmarkStart w:id="13" w:name="_Toc167277545"/>
      <w:r w:rsidRPr="00B31A89">
        <w:t>Civic Education Initiative</w:t>
      </w:r>
      <w:bookmarkEnd w:id="12"/>
      <w:bookmarkEnd w:id="13"/>
    </w:p>
    <w:p w14:paraId="31DE11CC" w14:textId="623D8D4D" w:rsidR="00352FF8" w:rsidRPr="00B31A89" w:rsidRDefault="00224343" w:rsidP="00352FF8">
      <w:pPr>
        <w:shd w:val="clear" w:color="auto" w:fill="FFFFFF"/>
        <w:rPr>
          <w:rFonts w:eastAsia="Cambria" w:cs="Arial"/>
          <w:szCs w:val="24"/>
        </w:rPr>
      </w:pPr>
      <w:r w:rsidRPr="00B31A89">
        <w:rPr>
          <w:rFonts w:eastAsia="Cambria" w:cs="Arial"/>
          <w:szCs w:val="24"/>
        </w:rPr>
        <w:t xml:space="preserve">For more than a decade, the CDE has </w:t>
      </w:r>
      <w:r w:rsidR="00864A1B" w:rsidRPr="00B31A89">
        <w:rPr>
          <w:rFonts w:eastAsia="Cambria" w:cs="Arial"/>
          <w:szCs w:val="24"/>
        </w:rPr>
        <w:t>supported</w:t>
      </w:r>
      <w:r w:rsidRPr="00B31A89">
        <w:rPr>
          <w:rFonts w:eastAsia="Cambria" w:cs="Arial"/>
          <w:szCs w:val="24"/>
        </w:rPr>
        <w:t xml:space="preserve"> a variety of </w:t>
      </w:r>
      <w:r w:rsidR="00352FF8" w:rsidRPr="00B31A89">
        <w:rPr>
          <w:rFonts w:eastAsia="Cambria" w:cs="Arial"/>
          <w:szCs w:val="24"/>
        </w:rPr>
        <w:t>projects that promote civic learning and engagement</w:t>
      </w:r>
      <w:r w:rsidRPr="00B31A89">
        <w:rPr>
          <w:rFonts w:eastAsia="Cambria" w:cs="Arial"/>
          <w:szCs w:val="24"/>
        </w:rPr>
        <w:t xml:space="preserve"> for students in kindergarten through grade </w:t>
      </w:r>
      <w:r w:rsidR="00566B06">
        <w:rPr>
          <w:rFonts w:eastAsia="Cambria" w:cs="Arial"/>
          <w:szCs w:val="24"/>
        </w:rPr>
        <w:t>twelve</w:t>
      </w:r>
      <w:r w:rsidRPr="00B31A89">
        <w:rPr>
          <w:rFonts w:eastAsia="Cambria" w:cs="Arial"/>
          <w:szCs w:val="24"/>
        </w:rPr>
        <w:t xml:space="preserve"> (K–12)</w:t>
      </w:r>
      <w:r w:rsidR="00352FF8" w:rsidRPr="00B31A89">
        <w:rPr>
          <w:rFonts w:eastAsia="Cambria" w:cs="Arial"/>
          <w:szCs w:val="24"/>
        </w:rPr>
        <w:t xml:space="preserve">. This </w:t>
      </w:r>
      <w:r w:rsidR="00864A1B" w:rsidRPr="00B31A89">
        <w:rPr>
          <w:rFonts w:eastAsia="Cambria" w:cs="Arial"/>
          <w:szCs w:val="24"/>
        </w:rPr>
        <w:t>most recent work on civic engagement and learning began in</w:t>
      </w:r>
      <w:r w:rsidR="00352FF8" w:rsidRPr="00B31A89">
        <w:rPr>
          <w:rFonts w:eastAsia="Cambria" w:cs="Arial"/>
          <w:szCs w:val="24"/>
        </w:rPr>
        <w:t xml:space="preserve"> 2013, when </w:t>
      </w:r>
      <w:r w:rsidRPr="00B31A89">
        <w:rPr>
          <w:rFonts w:eastAsia="Cambria" w:cs="Arial"/>
          <w:szCs w:val="24"/>
        </w:rPr>
        <w:t>then-</w:t>
      </w:r>
      <w:r w:rsidR="00352FF8" w:rsidRPr="00B31A89">
        <w:rPr>
          <w:rFonts w:eastAsia="Cambria" w:cs="Arial"/>
          <w:szCs w:val="24"/>
        </w:rPr>
        <w:t xml:space="preserve">Chief Justice Tani G. Cantil-Sakauye and then-State Superintendent of Public Instruction (SSPI) Tom Torlakson joined together to establish the California Task Force on </w:t>
      </w:r>
      <w:r w:rsidRPr="00B31A89">
        <w:rPr>
          <w:rFonts w:eastAsia="Cambria" w:cs="Arial"/>
          <w:szCs w:val="24"/>
        </w:rPr>
        <w:t>K–12</w:t>
      </w:r>
      <w:r w:rsidR="00352FF8" w:rsidRPr="00B31A89">
        <w:rPr>
          <w:rFonts w:eastAsia="Cambria" w:cs="Arial"/>
          <w:szCs w:val="24"/>
        </w:rPr>
        <w:t xml:space="preserve"> Civic Learning. The task force sought to define the skills, knowledge, and dispositions that students need to be informed and involved citizens and community members, as well as made recommendations for how to achieve those outcomes for all students in California. The result was </w:t>
      </w:r>
      <w:r w:rsidR="00352FF8" w:rsidRPr="00F36084">
        <w:rPr>
          <w:rFonts w:eastAsia="Cambria" w:cs="Arial"/>
          <w:i/>
          <w:iCs/>
          <w:szCs w:val="24"/>
        </w:rPr>
        <w:t>Revitalizing K–12 Civic Learning in California: A Blueprint for Action</w:t>
      </w:r>
      <w:r w:rsidR="00352FF8" w:rsidRPr="00B31A89">
        <w:rPr>
          <w:rFonts w:eastAsia="Cambria" w:cs="Arial"/>
          <w:szCs w:val="24"/>
        </w:rPr>
        <w:t xml:space="preserve">, </w:t>
      </w:r>
      <w:r w:rsidR="007F5DC1">
        <w:rPr>
          <w:rFonts w:eastAsia="Cambria" w:cs="Arial"/>
          <w:szCs w:val="24"/>
        </w:rPr>
        <w:t>a report that</w:t>
      </w:r>
      <w:r w:rsidR="00352FF8" w:rsidRPr="00B31A89">
        <w:rPr>
          <w:rFonts w:eastAsia="Cambria" w:cs="Arial"/>
          <w:szCs w:val="24"/>
        </w:rPr>
        <w:t xml:space="preserve"> may be found </w:t>
      </w:r>
      <w:r w:rsidR="00352FF8" w:rsidRPr="00B31A89">
        <w:rPr>
          <w:rFonts w:eastAsia="Cambria" w:cs="Arial"/>
          <w:noProof/>
          <w:szCs w:val="24"/>
        </w:rPr>
        <w:t>on the California Educators Together</w:t>
      </w:r>
      <w:r w:rsidR="00F36084">
        <w:rPr>
          <w:rFonts w:eastAsia="Cambria" w:cs="Arial"/>
          <w:noProof/>
          <w:szCs w:val="24"/>
        </w:rPr>
        <w:t xml:space="preserve"> </w:t>
      </w:r>
      <w:r w:rsidR="00352FF8" w:rsidRPr="00B31A89">
        <w:rPr>
          <w:rFonts w:eastAsia="Cambria" w:cs="Arial"/>
          <w:noProof/>
          <w:szCs w:val="24"/>
        </w:rPr>
        <w:t xml:space="preserve">web page (note: </w:t>
      </w:r>
      <w:r w:rsidR="00352FF8" w:rsidRPr="00B31A89">
        <w:rPr>
          <w:rFonts w:eastAsia="Cambria" w:cs="Arial"/>
          <w:szCs w:val="24"/>
        </w:rPr>
        <w:t>logon required).</w:t>
      </w:r>
      <w:r w:rsidR="00F36084" w:rsidRPr="00B31A89">
        <w:rPr>
          <w:rStyle w:val="FootnoteReference"/>
          <w:rFonts w:eastAsia="Cambria" w:cs="Arial"/>
          <w:noProof/>
          <w:szCs w:val="24"/>
        </w:rPr>
        <w:footnoteReference w:id="2"/>
      </w:r>
      <w:r w:rsidR="00F36084" w:rsidRPr="00B31A89">
        <w:rPr>
          <w:rFonts w:eastAsia="Cambria" w:cs="Arial"/>
          <w:noProof/>
          <w:szCs w:val="24"/>
        </w:rPr>
        <w:t xml:space="preserve"> </w:t>
      </w:r>
      <w:r w:rsidR="00352FF8" w:rsidRPr="00B31A89">
        <w:rPr>
          <w:rFonts w:eastAsia="Cambria" w:cs="Arial"/>
          <w:szCs w:val="24"/>
        </w:rPr>
        <w:t xml:space="preserve">The </w:t>
      </w:r>
      <w:r w:rsidR="00721F8C">
        <w:rPr>
          <w:rFonts w:eastAsia="Cambria" w:cs="Arial"/>
          <w:szCs w:val="24"/>
        </w:rPr>
        <w:t xml:space="preserve">report </w:t>
      </w:r>
      <w:r w:rsidR="00352FF8" w:rsidRPr="00B31A89">
        <w:rPr>
          <w:rFonts w:eastAsia="Cambria" w:cs="Arial"/>
          <w:szCs w:val="24"/>
        </w:rPr>
        <w:t>outlines a plan of action for students, teachers, administrators, business and community leaders, courts, local government and elected officials to improve civic learning in all California schools and communities.</w:t>
      </w:r>
    </w:p>
    <w:p w14:paraId="2F5D9341" w14:textId="77777777" w:rsidR="00352FF8" w:rsidRPr="00B31A89" w:rsidRDefault="00352FF8" w:rsidP="00E37E0D">
      <w:pPr>
        <w:pStyle w:val="Heading3"/>
      </w:pPr>
      <w:bookmarkStart w:id="14" w:name="_Toc122354226"/>
      <w:bookmarkStart w:id="15" w:name="_Toc167277546"/>
      <w:r w:rsidRPr="00B31A89">
        <w:t>State Seal of Civic Engagement</w:t>
      </w:r>
      <w:bookmarkEnd w:id="14"/>
      <w:bookmarkEnd w:id="15"/>
    </w:p>
    <w:p w14:paraId="33E6FDC7" w14:textId="772A7A80" w:rsidR="00352FF8" w:rsidRPr="00B31A89" w:rsidRDefault="00352FF8" w:rsidP="00352FF8">
      <w:pPr>
        <w:pBdr>
          <w:top w:val="nil"/>
          <w:left w:val="nil"/>
          <w:bottom w:val="nil"/>
          <w:right w:val="nil"/>
          <w:between w:val="nil"/>
          <w:bar w:val="nil"/>
        </w:pBdr>
        <w:rPr>
          <w:rFonts w:eastAsia="Arial Unicode MS" w:cs="Arial"/>
          <w:color w:val="000000"/>
          <w:szCs w:val="24"/>
          <w:u w:color="000000"/>
          <w:bdr w:val="nil"/>
          <w14:textOutline w14:w="0" w14:cap="flat" w14:cmpd="sng" w14:algn="ctr">
            <w14:noFill/>
            <w14:prstDash w14:val="solid"/>
            <w14:bevel/>
          </w14:textOutline>
        </w:rPr>
      </w:pPr>
      <w:r w:rsidRPr="00B31A89">
        <w:rPr>
          <w:rFonts w:eastAsia="Arial Unicode MS" w:cs="Arial"/>
          <w:color w:val="000000"/>
          <w:szCs w:val="24"/>
          <w:u w:color="000000"/>
          <w:bdr w:val="nil"/>
          <w14:textOutline w14:w="0" w14:cap="flat" w14:cmpd="sng" w14:algn="ctr">
            <w14:noFill/>
            <w14:prstDash w14:val="solid"/>
            <w14:bevel/>
          </w14:textOutline>
        </w:rPr>
        <w:t>In 2017, A</w:t>
      </w:r>
      <w:r w:rsidR="00C86941">
        <w:rPr>
          <w:rFonts w:eastAsia="Arial Unicode MS" w:cs="Arial"/>
          <w:color w:val="000000"/>
          <w:szCs w:val="24"/>
          <w:u w:color="000000"/>
          <w:bdr w:val="nil"/>
          <w14:textOutline w14:w="0" w14:cap="flat" w14:cmpd="sng" w14:algn="ctr">
            <w14:noFill/>
            <w14:prstDash w14:val="solid"/>
            <w14:bevel/>
          </w14:textOutline>
        </w:rPr>
        <w:t>B</w:t>
      </w:r>
      <w:r w:rsidRPr="00B31A89">
        <w:rPr>
          <w:rFonts w:eastAsia="Arial Unicode MS" w:cs="Arial"/>
          <w:color w:val="000000"/>
          <w:szCs w:val="24"/>
          <w:u w:color="000000"/>
          <w:bdr w:val="nil"/>
          <w14:textOutline w14:w="0" w14:cap="flat" w14:cmpd="sng" w14:algn="ctr">
            <w14:noFill/>
            <w14:prstDash w14:val="solid"/>
            <w14:bevel/>
          </w14:textOutline>
        </w:rPr>
        <w:t xml:space="preserve"> 24, Chap</w:t>
      </w:r>
      <w:r w:rsidR="00657C92">
        <w:rPr>
          <w:rFonts w:eastAsia="Arial Unicode MS" w:cs="Arial"/>
          <w:color w:val="000000"/>
          <w:szCs w:val="24"/>
          <w:u w:color="000000"/>
          <w:bdr w:val="nil"/>
          <w14:textOutline w14:w="0" w14:cap="flat" w14:cmpd="sng" w14:algn="ctr">
            <w14:noFill/>
            <w14:prstDash w14:val="solid"/>
            <w14:bevel/>
          </w14:textOutline>
        </w:rPr>
        <w:t>ter</w:t>
      </w:r>
      <w:r w:rsidRPr="00B31A89">
        <w:rPr>
          <w:rFonts w:eastAsia="Arial Unicode MS" w:cs="Arial"/>
          <w:color w:val="000000"/>
          <w:szCs w:val="24"/>
          <w:u w:color="000000"/>
          <w:bdr w:val="nil"/>
          <w14:textOutline w14:w="0" w14:cap="flat" w14:cmpd="sng" w14:algn="ctr">
            <w14:noFill/>
            <w14:prstDash w14:val="solid"/>
            <w14:bevel/>
          </w14:textOutline>
        </w:rPr>
        <w:t xml:space="preserve"> 604 (</w:t>
      </w:r>
      <w:r w:rsidR="001D2066">
        <w:rPr>
          <w:rFonts w:eastAsia="Arial Unicode MS" w:cs="Arial"/>
          <w:color w:val="000000"/>
          <w:szCs w:val="24"/>
          <w:u w:color="000000"/>
          <w:bdr w:val="nil"/>
          <w14:textOutline w14:w="0" w14:cap="flat" w14:cmpd="sng" w14:algn="ctr">
            <w14:noFill/>
            <w14:prstDash w14:val="solid"/>
            <w14:bevel/>
          </w14:textOutline>
        </w:rPr>
        <w:t xml:space="preserve">California </w:t>
      </w:r>
      <w:r w:rsidR="00414C20" w:rsidRPr="00B31A89">
        <w:rPr>
          <w:rFonts w:eastAsia="Arial Unicode MS" w:cs="Arial"/>
          <w:i/>
          <w:iCs/>
          <w:color w:val="000000"/>
          <w:szCs w:val="24"/>
          <w:u w:color="000000"/>
          <w:bdr w:val="nil"/>
          <w14:textOutline w14:w="0" w14:cap="flat" w14:cmpd="sng" w14:algn="ctr">
            <w14:noFill/>
            <w14:prstDash w14:val="solid"/>
            <w14:bevel/>
          </w14:textOutline>
        </w:rPr>
        <w:t>Education Code</w:t>
      </w:r>
      <w:r w:rsidR="00414C20" w:rsidRPr="00DD5E42">
        <w:rPr>
          <w:rFonts w:eastAsia="Arial Unicode MS" w:cs="Arial"/>
          <w:color w:val="000000"/>
          <w:szCs w:val="24"/>
          <w:u w:color="000000"/>
          <w:bdr w:val="nil"/>
          <w14:textOutline w14:w="0" w14:cap="flat" w14:cmpd="sng" w14:algn="ctr">
            <w14:noFill/>
            <w14:prstDash w14:val="solid"/>
            <w14:bevel/>
          </w14:textOutline>
        </w:rPr>
        <w:t xml:space="preserve"> [</w:t>
      </w:r>
      <w:r w:rsidR="00414C20" w:rsidRPr="00B31A89">
        <w:rPr>
          <w:rFonts w:eastAsia="Arial Unicode MS" w:cs="Arial"/>
          <w:i/>
          <w:iCs/>
          <w:color w:val="000000"/>
          <w:szCs w:val="24"/>
          <w:u w:color="000000"/>
          <w:bdr w:val="nil"/>
          <w14:textOutline w14:w="0" w14:cap="flat" w14:cmpd="sng" w14:algn="ctr">
            <w14:noFill/>
            <w14:prstDash w14:val="solid"/>
            <w14:bevel/>
          </w14:textOutline>
        </w:rPr>
        <w:t>EC</w:t>
      </w:r>
      <w:r w:rsidR="00414C20" w:rsidRPr="00DD5E42">
        <w:rPr>
          <w:rFonts w:eastAsia="Arial Unicode MS" w:cs="Arial"/>
          <w:color w:val="000000"/>
          <w:szCs w:val="24"/>
          <w:u w:color="000000"/>
          <w:bdr w:val="nil"/>
          <w14:textOutline w14:w="0" w14:cap="flat" w14:cmpd="sng" w14:algn="ctr">
            <w14:noFill/>
            <w14:prstDash w14:val="solid"/>
            <w14:bevel/>
          </w14:textOutline>
        </w:rPr>
        <w:t>]</w:t>
      </w:r>
      <w:r w:rsidRPr="001D2066">
        <w:rPr>
          <w:rFonts w:eastAsia="Arial Unicode MS" w:cs="Arial"/>
          <w:color w:val="000000"/>
          <w:szCs w:val="24"/>
          <w:u w:color="000000"/>
          <w:bdr w:val="nil"/>
          <w14:textOutline w14:w="0" w14:cap="flat" w14:cmpd="sng" w14:algn="ctr">
            <w14:noFill/>
            <w14:prstDash w14:val="solid"/>
            <w14:bevel/>
          </w14:textOutline>
        </w:rPr>
        <w:t xml:space="preserve"> </w:t>
      </w:r>
      <w:r w:rsidRPr="00B31A89">
        <w:rPr>
          <w:rFonts w:eastAsia="Arial Unicode MS" w:cs="Arial"/>
          <w:color w:val="000000"/>
          <w:szCs w:val="24"/>
          <w:u w:color="000000"/>
          <w:bdr w:val="nil"/>
          <w14:textOutline w14:w="0" w14:cap="flat" w14:cmpd="sng" w14:algn="ctr">
            <w14:noFill/>
            <w14:prstDash w14:val="solid"/>
            <w14:bevel/>
          </w14:textOutline>
        </w:rPr>
        <w:t xml:space="preserve">sections 51470–51474) directed the SSPI to develop, and the State Board of Education (SBE) to adopt, a set of criteria for LEAs choosing to offer </w:t>
      </w:r>
      <w:r w:rsidR="0081287B">
        <w:rPr>
          <w:rFonts w:eastAsia="Arial Unicode MS" w:cs="Arial"/>
          <w:color w:val="000000"/>
          <w:szCs w:val="24"/>
          <w:u w:color="000000"/>
          <w:bdr w:val="nil"/>
          <w14:textOutline w14:w="0" w14:cap="flat" w14:cmpd="sng" w14:algn="ctr">
            <w14:noFill/>
            <w14:prstDash w14:val="solid"/>
            <w14:bevel/>
          </w14:textOutline>
        </w:rPr>
        <w:t>an</w:t>
      </w:r>
      <w:r w:rsidRPr="00B31A89">
        <w:rPr>
          <w:rFonts w:eastAsia="Arial Unicode MS" w:cs="Arial"/>
          <w:color w:val="000000"/>
          <w:szCs w:val="24"/>
          <w:u w:color="000000"/>
          <w:bdr w:val="nil"/>
          <w14:textOutline w14:w="0" w14:cap="flat" w14:cmpd="sng" w14:algn="ctr">
            <w14:noFill/>
            <w14:prstDash w14:val="solid"/>
            <w14:bevel/>
          </w14:textOutline>
        </w:rPr>
        <w:t xml:space="preserve"> SSCE locally. The SBE adopted statewide criteria and guidance for awarding an SSCE on September 10, 2020. More information about the development of the SSCE, including the adopted statewide criteria and guidance, is available from the “Criteria and Guidance” tab on the CDE SSCE</w:t>
      </w:r>
      <w:r w:rsidR="003E6966">
        <w:rPr>
          <w:rFonts w:eastAsia="Arial Unicode MS" w:cs="Arial"/>
          <w:color w:val="000000"/>
          <w:szCs w:val="24"/>
          <w:u w:color="000000"/>
          <w:bdr w:val="nil"/>
          <w14:textOutline w14:w="0" w14:cap="flat" w14:cmpd="sng" w14:algn="ctr">
            <w14:noFill/>
            <w14:prstDash w14:val="solid"/>
            <w14:bevel/>
          </w14:textOutline>
        </w:rPr>
        <w:t xml:space="preserve"> </w:t>
      </w:r>
      <w:r w:rsidRPr="00B31A89">
        <w:rPr>
          <w:rFonts w:eastAsia="Arial Unicode MS" w:cs="Arial"/>
          <w:color w:val="000000"/>
          <w:szCs w:val="24"/>
          <w:u w:color="000000"/>
          <w:bdr w:val="nil"/>
          <w14:textOutline w14:w="0" w14:cap="flat" w14:cmpd="sng" w14:algn="ctr">
            <w14:noFill/>
            <w14:prstDash w14:val="solid"/>
            <w14:bevel/>
          </w14:textOutline>
        </w:rPr>
        <w:t xml:space="preserve">web </w:t>
      </w:r>
      <w:r w:rsidR="0030086C" w:rsidRPr="00B31A89">
        <w:rPr>
          <w:rFonts w:eastAsia="Arial Unicode MS" w:cs="Arial"/>
          <w:color w:val="000000"/>
          <w:szCs w:val="24"/>
          <w:u w:color="000000"/>
          <w:bdr w:val="nil"/>
          <w14:textOutline w14:w="0" w14:cap="flat" w14:cmpd="sng" w14:algn="ctr">
            <w14:noFill/>
            <w14:prstDash w14:val="solid"/>
            <w14:bevel/>
          </w14:textOutline>
        </w:rPr>
        <w:t>page</w:t>
      </w:r>
      <w:r w:rsidR="003E6966">
        <w:rPr>
          <w:rFonts w:eastAsia="Arial Unicode MS" w:cs="Arial"/>
          <w:color w:val="000000"/>
          <w:szCs w:val="24"/>
          <w:u w:color="000000"/>
          <w:bdr w:val="nil"/>
          <w14:textOutline w14:w="0" w14:cap="flat" w14:cmpd="sng" w14:algn="ctr">
            <w14:noFill/>
            <w14:prstDash w14:val="solid"/>
            <w14:bevel/>
          </w14:textOutline>
        </w:rPr>
        <w:t>.</w:t>
      </w:r>
      <w:r w:rsidR="003E6966" w:rsidRPr="00B31A89">
        <w:rPr>
          <w:rStyle w:val="FootnoteReference"/>
          <w:rFonts w:eastAsia="Arial Unicode MS" w:cs="Arial"/>
          <w:color w:val="000000"/>
          <w:szCs w:val="24"/>
          <w:u w:color="000000"/>
          <w:bdr w:val="nil"/>
          <w14:textOutline w14:w="0" w14:cap="flat" w14:cmpd="sng" w14:algn="ctr">
            <w14:noFill/>
            <w14:prstDash w14:val="solid"/>
            <w14:bevel/>
          </w14:textOutline>
        </w:rPr>
        <w:footnoteReference w:id="3"/>
      </w:r>
    </w:p>
    <w:p w14:paraId="3FA29AFA" w14:textId="77777777" w:rsidR="00352FF8" w:rsidRPr="00B31A89" w:rsidRDefault="00352FF8" w:rsidP="00E37E0D">
      <w:pPr>
        <w:pStyle w:val="Heading3"/>
      </w:pPr>
      <w:bookmarkStart w:id="16" w:name="_Toc122354227"/>
      <w:bookmarkStart w:id="17" w:name="_Toc167277547"/>
      <w:r w:rsidRPr="00B31A89">
        <w:t>California Serves</w:t>
      </w:r>
      <w:bookmarkEnd w:id="16"/>
      <w:bookmarkEnd w:id="17"/>
    </w:p>
    <w:p w14:paraId="5C2040EF" w14:textId="5C81F70E" w:rsidR="00352FF8" w:rsidRPr="00B31A89" w:rsidRDefault="00224343" w:rsidP="00352FF8">
      <w:pPr>
        <w:pBdr>
          <w:top w:val="nil"/>
          <w:left w:val="nil"/>
          <w:bottom w:val="nil"/>
          <w:right w:val="nil"/>
          <w:between w:val="nil"/>
          <w:bar w:val="nil"/>
        </w:pBdr>
        <w:rPr>
          <w:rFonts w:eastAsia="Arial Unicode MS" w:cs="Arial"/>
          <w:color w:val="000000"/>
          <w:szCs w:val="24"/>
          <w:u w:color="000000"/>
          <w:bdr w:val="nil"/>
          <w14:textOutline w14:w="0" w14:cap="flat" w14:cmpd="sng" w14:algn="ctr">
            <w14:noFill/>
            <w14:prstDash w14:val="solid"/>
            <w14:bevel/>
          </w14:textOutline>
        </w:rPr>
      </w:pPr>
      <w:r w:rsidRPr="00B31A89">
        <w:rPr>
          <w:rFonts w:eastAsia="Arial Unicode MS" w:cs="Arial"/>
          <w:color w:val="000000"/>
          <w:szCs w:val="24"/>
          <w:u w:color="000000"/>
          <w:bdr w:val="nil"/>
          <w14:textOutline w14:w="0" w14:cap="flat" w14:cmpd="sng" w14:algn="ctr">
            <w14:noFill/>
            <w14:prstDash w14:val="solid"/>
            <w14:bevel/>
          </w14:textOutline>
        </w:rPr>
        <w:t>The</w:t>
      </w:r>
      <w:r w:rsidR="00352FF8" w:rsidRPr="00B31A89">
        <w:rPr>
          <w:rFonts w:eastAsia="Arial Unicode MS" w:cs="Arial"/>
          <w:color w:val="000000"/>
          <w:szCs w:val="24"/>
          <w:u w:color="000000"/>
          <w:bdr w:val="nil"/>
          <w14:textOutline w14:w="0" w14:cap="flat" w14:cmpd="sng" w14:algn="ctr">
            <w14:noFill/>
            <w14:prstDash w14:val="solid"/>
            <w14:bevel/>
          </w14:textOutline>
        </w:rPr>
        <w:t xml:space="preserve"> 2022 Education Omnibus Budget Trailer Bill (AB 181, Section 71) added </w:t>
      </w:r>
      <w:r w:rsidR="00C35A0E" w:rsidRPr="00B31A89">
        <w:rPr>
          <w:rFonts w:eastAsia="Arial Unicode MS" w:cs="Arial"/>
          <w:i/>
          <w:color w:val="000000"/>
          <w:szCs w:val="24"/>
          <w:u w:color="000000"/>
          <w:bdr w:val="nil"/>
          <w14:textOutline w14:w="0" w14:cap="flat" w14:cmpd="sng" w14:algn="ctr">
            <w14:noFill/>
            <w14:prstDash w14:val="solid"/>
            <w14:bevel/>
          </w14:textOutline>
        </w:rPr>
        <w:t>EC</w:t>
      </w:r>
      <w:r w:rsidR="00C35A0E">
        <w:rPr>
          <w:rFonts w:eastAsia="Arial Unicode MS" w:cs="Arial"/>
          <w:i/>
          <w:color w:val="000000"/>
          <w:szCs w:val="24"/>
          <w:u w:color="000000"/>
          <w:bdr w:val="nil"/>
          <w14:textOutline w14:w="0" w14:cap="flat" w14:cmpd="sng" w14:algn="ctr">
            <w14:noFill/>
            <w14:prstDash w14:val="solid"/>
            <w14:bevel/>
          </w14:textOutline>
        </w:rPr>
        <w:t> </w:t>
      </w:r>
      <w:r w:rsidR="00352FF8" w:rsidRPr="00B31A89">
        <w:rPr>
          <w:rFonts w:eastAsia="Arial Unicode MS" w:cs="Arial"/>
          <w:color w:val="000000"/>
          <w:szCs w:val="24"/>
          <w:u w:color="000000"/>
          <w:bdr w:val="nil"/>
          <w14:textOutline w14:w="0" w14:cap="flat" w14:cmpd="sng" w14:algn="ctr">
            <w14:noFill/>
            <w14:prstDash w14:val="solid"/>
            <w14:bevel/>
          </w14:textOutline>
        </w:rPr>
        <w:t xml:space="preserve">Section 51475, which establishes the California Serves </w:t>
      </w:r>
      <w:r w:rsidR="00984BF3">
        <w:rPr>
          <w:rFonts w:eastAsia="Arial Unicode MS" w:cs="Arial"/>
          <w:color w:val="000000"/>
          <w:szCs w:val="24"/>
          <w:u w:color="000000"/>
          <w:bdr w:val="nil"/>
          <w14:textOutline w14:w="0" w14:cap="flat" w14:cmpd="sng" w14:algn="ctr">
            <w14:noFill/>
            <w14:prstDash w14:val="solid"/>
            <w14:bevel/>
          </w14:textOutline>
        </w:rPr>
        <w:t>p</w:t>
      </w:r>
      <w:r w:rsidR="00352FF8" w:rsidRPr="00B31A89">
        <w:rPr>
          <w:rFonts w:eastAsia="Arial Unicode MS" w:cs="Arial"/>
          <w:color w:val="000000"/>
          <w:szCs w:val="24"/>
          <w:u w:color="000000"/>
          <w:bdr w:val="nil"/>
          <w14:textOutline w14:w="0" w14:cap="flat" w14:cmpd="sng" w14:algn="ctr">
            <w14:noFill/>
            <w14:prstDash w14:val="solid"/>
            <w14:bevel/>
          </w14:textOutline>
        </w:rPr>
        <w:t xml:space="preserve">rogram, administered by the CDE in collaboration with California Volunteers. The purpose of </w:t>
      </w:r>
      <w:r w:rsidR="00186E26">
        <w:rPr>
          <w:rFonts w:eastAsia="Arial Unicode MS" w:cs="Arial"/>
          <w:color w:val="000000"/>
          <w:szCs w:val="24"/>
          <w:u w:color="000000"/>
          <w:bdr w:val="nil"/>
          <w14:textOutline w14:w="0" w14:cap="flat" w14:cmpd="sng" w14:algn="ctr">
            <w14:noFill/>
            <w14:prstDash w14:val="solid"/>
            <w14:bevel/>
          </w14:textOutline>
        </w:rPr>
        <w:t xml:space="preserve">the </w:t>
      </w:r>
      <w:r w:rsidR="00352FF8" w:rsidRPr="00B31A89">
        <w:rPr>
          <w:rFonts w:eastAsia="Arial Unicode MS" w:cs="Arial"/>
          <w:color w:val="000000"/>
          <w:szCs w:val="24"/>
          <w:u w:color="000000"/>
          <w:bdr w:val="nil"/>
          <w14:textOutline w14:w="0" w14:cap="flat" w14:cmpd="sng" w14:algn="ctr">
            <w14:noFill/>
            <w14:prstDash w14:val="solid"/>
            <w14:bevel/>
          </w14:textOutline>
        </w:rPr>
        <w:t>California Serves</w:t>
      </w:r>
      <w:r w:rsidR="00186E26">
        <w:rPr>
          <w:rFonts w:eastAsia="Arial Unicode MS" w:cs="Arial"/>
          <w:color w:val="000000"/>
          <w:szCs w:val="24"/>
          <w:u w:color="000000"/>
          <w:bdr w:val="nil"/>
          <w14:textOutline w14:w="0" w14:cap="flat" w14:cmpd="sng" w14:algn="ctr">
            <w14:noFill/>
            <w14:prstDash w14:val="solid"/>
            <w14:bevel/>
          </w14:textOutline>
        </w:rPr>
        <w:t xml:space="preserve"> program</w:t>
      </w:r>
      <w:r w:rsidR="00352FF8" w:rsidRPr="00B31A89">
        <w:rPr>
          <w:rFonts w:eastAsia="Arial Unicode MS" w:cs="Arial"/>
          <w:color w:val="000000"/>
          <w:szCs w:val="24"/>
          <w:u w:color="000000"/>
          <w:bdr w:val="nil"/>
          <w14:textOutline w14:w="0" w14:cap="flat" w14:cmpd="sng" w14:algn="ctr">
            <w14:noFill/>
            <w14:prstDash w14:val="solid"/>
            <w14:bevel/>
          </w14:textOutline>
        </w:rPr>
        <w:t xml:space="preserve"> is to promote access to effective </w:t>
      </w:r>
      <w:r w:rsidR="00A346A4" w:rsidRPr="00B31A89">
        <w:rPr>
          <w:rFonts w:eastAsia="Arial Unicode MS" w:cs="Arial"/>
          <w:color w:val="000000"/>
          <w:szCs w:val="24"/>
          <w:u w:color="000000"/>
          <w:bdr w:val="nil"/>
          <w14:textOutline w14:w="0" w14:cap="flat" w14:cmpd="sng" w14:algn="ctr">
            <w14:noFill/>
            <w14:prstDash w14:val="solid"/>
            <w14:bevel/>
          </w14:textOutline>
        </w:rPr>
        <w:t>service-learning</w:t>
      </w:r>
      <w:r w:rsidR="00352FF8" w:rsidRPr="00B31A89">
        <w:rPr>
          <w:rFonts w:eastAsia="Arial Unicode MS" w:cs="Arial"/>
          <w:color w:val="000000"/>
          <w:szCs w:val="24"/>
          <w:u w:color="000000"/>
          <w:bdr w:val="nil"/>
          <w14:textOutline w14:w="0" w14:cap="flat" w14:cmpd="sng" w14:algn="ctr">
            <w14:noFill/>
            <w14:prstDash w14:val="solid"/>
            <w14:bevel/>
          </w14:textOutline>
        </w:rPr>
        <w:t xml:space="preserve"> for pupils in grade twelve who are enrolled at participating LEAs, with the goal of expanding access for high school graduates in obtaining a</w:t>
      </w:r>
      <w:r w:rsidR="00EB5BCA">
        <w:rPr>
          <w:rFonts w:eastAsia="Arial Unicode MS" w:cs="Arial"/>
          <w:color w:val="000000"/>
          <w:szCs w:val="24"/>
          <w:u w:color="000000"/>
          <w:bdr w:val="nil"/>
          <w14:textOutline w14:w="0" w14:cap="flat" w14:cmpd="sng" w14:algn="ctr">
            <w14:noFill/>
            <w14:prstDash w14:val="solid"/>
            <w14:bevel/>
          </w14:textOutline>
        </w:rPr>
        <w:t>n</w:t>
      </w:r>
      <w:r w:rsidR="00352FF8" w:rsidRPr="00B31A89">
        <w:rPr>
          <w:rFonts w:eastAsia="Arial Unicode MS" w:cs="Arial"/>
          <w:color w:val="000000"/>
          <w:szCs w:val="24"/>
          <w:u w:color="000000"/>
          <w:bdr w:val="nil"/>
          <w14:textOutline w14:w="0" w14:cap="flat" w14:cmpd="sng" w14:algn="ctr">
            <w14:noFill/>
            <w14:prstDash w14:val="solid"/>
            <w14:bevel/>
          </w14:textOutline>
        </w:rPr>
        <w:t xml:space="preserve"> SSCE through </w:t>
      </w:r>
      <w:r w:rsidR="00A346A4" w:rsidRPr="00B31A89">
        <w:rPr>
          <w:rFonts w:eastAsia="Arial Unicode MS" w:cs="Arial"/>
          <w:color w:val="000000"/>
          <w:szCs w:val="24"/>
          <w:u w:color="000000"/>
          <w:bdr w:val="nil"/>
          <w14:textOutline w14:w="0" w14:cap="flat" w14:cmpd="sng" w14:algn="ctr">
            <w14:noFill/>
            <w14:prstDash w14:val="solid"/>
            <w14:bevel/>
          </w14:textOutline>
        </w:rPr>
        <w:t>service-learning</w:t>
      </w:r>
      <w:r w:rsidR="00352FF8" w:rsidRPr="00B31A89">
        <w:rPr>
          <w:rFonts w:eastAsia="Arial Unicode MS" w:cs="Arial"/>
          <w:color w:val="000000"/>
          <w:szCs w:val="24"/>
          <w:u w:color="000000"/>
          <w:bdr w:val="nil"/>
          <w14:textOutline w14:w="0" w14:cap="flat" w14:cmpd="sng" w14:algn="ctr">
            <w14:noFill/>
            <w14:prstDash w14:val="solid"/>
            <w14:bevel/>
          </w14:textOutline>
        </w:rPr>
        <w:t>. Additional information about the California Serves program is available on the CDE California Serves web pag</w:t>
      </w:r>
      <w:r w:rsidR="00E54F07" w:rsidRPr="00B31A89">
        <w:rPr>
          <w:rFonts w:eastAsia="Arial Unicode MS" w:cs="Arial"/>
          <w:color w:val="000000"/>
          <w:szCs w:val="24"/>
          <w:u w:color="000000"/>
          <w:bdr w:val="nil"/>
          <w14:textOutline w14:w="0" w14:cap="flat" w14:cmpd="sng" w14:algn="ctr">
            <w14:noFill/>
            <w14:prstDash w14:val="solid"/>
            <w14:bevel/>
          </w14:textOutline>
        </w:rPr>
        <w:t>e</w:t>
      </w:r>
      <w:r w:rsidR="00352FF8" w:rsidRPr="00B31A89">
        <w:rPr>
          <w:rFonts w:eastAsia="Arial Unicode MS" w:cs="Arial"/>
          <w:color w:val="000000"/>
          <w:szCs w:val="24"/>
          <w:u w:color="000000"/>
          <w:bdr w:val="nil"/>
          <w14:textOutline w14:w="0" w14:cap="flat" w14:cmpd="sng" w14:algn="ctr">
            <w14:noFill/>
            <w14:prstDash w14:val="solid"/>
            <w14:bevel/>
          </w14:textOutline>
        </w:rPr>
        <w:t>.</w:t>
      </w:r>
      <w:r w:rsidR="00A42336" w:rsidRPr="00B31A89">
        <w:rPr>
          <w:rStyle w:val="FootnoteReference"/>
          <w:rFonts w:eastAsia="Arial Unicode MS" w:cs="Arial"/>
          <w:color w:val="000000"/>
          <w:szCs w:val="24"/>
          <w:u w:color="000000"/>
          <w:bdr w:val="nil"/>
          <w14:textOutline w14:w="0" w14:cap="flat" w14:cmpd="sng" w14:algn="ctr">
            <w14:noFill/>
            <w14:prstDash w14:val="solid"/>
            <w14:bevel/>
          </w14:textOutline>
        </w:rPr>
        <w:footnoteReference w:id="4"/>
      </w:r>
    </w:p>
    <w:p w14:paraId="4FE43272" w14:textId="533573C9" w:rsidR="00352FF8" w:rsidRPr="00B31A89" w:rsidRDefault="00352FF8" w:rsidP="00E37E0D">
      <w:pPr>
        <w:pStyle w:val="Heading2"/>
      </w:pPr>
      <w:bookmarkStart w:id="18" w:name="_Toc167277548"/>
      <w:r w:rsidRPr="00B31A89">
        <w:lastRenderedPageBreak/>
        <w:t>Overview: California Serves</w:t>
      </w:r>
      <w:bookmarkEnd w:id="18"/>
    </w:p>
    <w:p w14:paraId="467AFE23" w14:textId="7027DD1F" w:rsidR="002E1094" w:rsidRPr="00B31A89" w:rsidRDefault="002E1094" w:rsidP="003903CB">
      <w:pPr>
        <w:spacing w:after="0"/>
        <w:rPr>
          <w:rFonts w:cs="Arial"/>
          <w:szCs w:val="24"/>
        </w:rPr>
      </w:pPr>
      <w:r w:rsidRPr="00B31A89">
        <w:rPr>
          <w:rFonts w:cs="Arial"/>
          <w:szCs w:val="24"/>
        </w:rPr>
        <w:t xml:space="preserve">The California Serves program includes two components: </w:t>
      </w:r>
      <w:r w:rsidR="007D5876">
        <w:rPr>
          <w:rFonts w:cs="Arial"/>
          <w:szCs w:val="24"/>
        </w:rPr>
        <w:t>(</w:t>
      </w:r>
      <w:r w:rsidR="00B211A5">
        <w:rPr>
          <w:rFonts w:cs="Arial"/>
          <w:szCs w:val="24"/>
        </w:rPr>
        <w:t xml:space="preserve">1) </w:t>
      </w:r>
      <w:r w:rsidRPr="00B31A89">
        <w:rPr>
          <w:rFonts w:cs="Arial"/>
          <w:szCs w:val="24"/>
        </w:rPr>
        <w:t>an annual grant program</w:t>
      </w:r>
      <w:r w:rsidR="001364F9" w:rsidRPr="00B31A89">
        <w:rPr>
          <w:rFonts w:cs="Arial"/>
          <w:szCs w:val="24"/>
        </w:rPr>
        <w:t xml:space="preserve"> and related annual reporting</w:t>
      </w:r>
      <w:r w:rsidRPr="00B31A89">
        <w:rPr>
          <w:rFonts w:cs="Arial"/>
          <w:szCs w:val="24"/>
        </w:rPr>
        <w:t>, and</w:t>
      </w:r>
      <w:r w:rsidR="00B211A5">
        <w:rPr>
          <w:rFonts w:cs="Arial"/>
          <w:szCs w:val="24"/>
        </w:rPr>
        <w:t xml:space="preserve"> </w:t>
      </w:r>
      <w:r w:rsidR="007D5876">
        <w:rPr>
          <w:rFonts w:cs="Arial"/>
          <w:szCs w:val="24"/>
        </w:rPr>
        <w:t>(</w:t>
      </w:r>
      <w:r w:rsidR="00B211A5">
        <w:rPr>
          <w:rFonts w:cs="Arial"/>
          <w:szCs w:val="24"/>
        </w:rPr>
        <w:t>2) an</w:t>
      </w:r>
      <w:r w:rsidRPr="00B31A89">
        <w:rPr>
          <w:rFonts w:cs="Arial"/>
          <w:szCs w:val="24"/>
        </w:rPr>
        <w:t xml:space="preserve"> initial, one-time research into existing evidence-based </w:t>
      </w:r>
      <w:r w:rsidR="00A346A4" w:rsidRPr="00B31A89">
        <w:rPr>
          <w:rFonts w:cs="Arial"/>
          <w:szCs w:val="24"/>
        </w:rPr>
        <w:t>service-learning</w:t>
      </w:r>
      <w:r w:rsidRPr="00B31A89">
        <w:rPr>
          <w:rFonts w:cs="Arial"/>
          <w:szCs w:val="24"/>
        </w:rPr>
        <w:t xml:space="preserve"> strategies that culminates in a set of recommendations and model uniform metrics.</w:t>
      </w:r>
    </w:p>
    <w:p w14:paraId="0A50A892" w14:textId="0D809CA9" w:rsidR="002E1094" w:rsidRPr="00B31A89" w:rsidRDefault="002E1094" w:rsidP="00E37E0D">
      <w:pPr>
        <w:pStyle w:val="Heading3"/>
      </w:pPr>
      <w:bookmarkStart w:id="19" w:name="_Toc167277549"/>
      <w:r w:rsidRPr="00B31A89">
        <w:t>Annual Grant Program</w:t>
      </w:r>
      <w:bookmarkEnd w:id="19"/>
    </w:p>
    <w:p w14:paraId="427A4949" w14:textId="00EFB9EB" w:rsidR="00A31F02" w:rsidRPr="00B31A89" w:rsidRDefault="002E1094" w:rsidP="00875934">
      <w:pPr>
        <w:rPr>
          <w:rFonts w:eastAsia="Arial" w:cs="Arial"/>
        </w:rPr>
      </w:pPr>
      <w:r w:rsidRPr="00B31A89">
        <w:rPr>
          <w:rFonts w:eastAsia="Arial" w:cs="Arial"/>
        </w:rPr>
        <w:t xml:space="preserve">The $5 million annual grant program was first available during the 2022–23 school </w:t>
      </w:r>
      <w:r w:rsidR="00FD0798" w:rsidRPr="00B31A89">
        <w:rPr>
          <w:rFonts w:eastAsia="Arial" w:cs="Arial"/>
        </w:rPr>
        <w:t>year and</w:t>
      </w:r>
      <w:r w:rsidRPr="00B31A89">
        <w:rPr>
          <w:rFonts w:eastAsia="Arial" w:cs="Arial"/>
        </w:rPr>
        <w:t xml:space="preserve"> </w:t>
      </w:r>
      <w:r w:rsidR="00A31F02" w:rsidRPr="00B31A89">
        <w:rPr>
          <w:rFonts w:eastAsia="Arial" w:cs="Arial"/>
        </w:rPr>
        <w:t>is</w:t>
      </w:r>
      <w:r w:rsidRPr="00B31A89">
        <w:rPr>
          <w:rFonts w:eastAsia="Arial" w:cs="Arial"/>
        </w:rPr>
        <w:t xml:space="preserve"> intended to support expanding access to the SSCE through high</w:t>
      </w:r>
      <w:r w:rsidR="003E5199">
        <w:rPr>
          <w:rFonts w:eastAsia="Arial" w:cs="Arial"/>
        </w:rPr>
        <w:t>-</w:t>
      </w:r>
      <w:r w:rsidRPr="00B31A89">
        <w:rPr>
          <w:rFonts w:eastAsia="Arial" w:cs="Arial"/>
        </w:rPr>
        <w:t xml:space="preserve">quality </w:t>
      </w:r>
      <w:r w:rsidR="00A346A4" w:rsidRPr="00B31A89">
        <w:rPr>
          <w:rFonts w:eastAsia="Arial" w:cs="Arial"/>
        </w:rPr>
        <w:t>service-learning</w:t>
      </w:r>
      <w:r w:rsidRPr="00B31A89">
        <w:rPr>
          <w:rFonts w:eastAsia="Arial" w:cs="Arial"/>
        </w:rPr>
        <w:t xml:space="preserve"> programs.</w:t>
      </w:r>
    </w:p>
    <w:p w14:paraId="6C1969BF" w14:textId="72A86D69" w:rsidR="002E1094" w:rsidRPr="00B31A89" w:rsidRDefault="002E1094" w:rsidP="00875934">
      <w:pPr>
        <w:rPr>
          <w:rFonts w:eastAsia="Arial" w:cs="Arial"/>
          <w:color w:val="000000"/>
          <w:shd w:val="clear" w:color="auto" w:fill="FFFFFF"/>
        </w:rPr>
      </w:pPr>
      <w:r w:rsidRPr="00B31A89">
        <w:rPr>
          <w:rFonts w:eastAsia="Arial" w:cs="Arial"/>
        </w:rPr>
        <w:t>During the 2022–23 school year, the</w:t>
      </w:r>
      <w:r w:rsidRPr="00B31A89">
        <w:rPr>
          <w:rFonts w:eastAsia="Arial" w:cs="Arial"/>
          <w:color w:val="000000"/>
          <w:shd w:val="clear" w:color="auto" w:fill="FFFFFF"/>
        </w:rPr>
        <w:t xml:space="preserve"> CDE developed and administered this pilot year of the grant program, including formulating initial criteria for the awarding of grants, developing an application process, requesting data from participating LEAs, and awarding grants. Eligible LEAs applied for grants of up to $500,000, which may be used for:</w:t>
      </w:r>
    </w:p>
    <w:p w14:paraId="20DBC09A" w14:textId="006758F6" w:rsidR="002E1094" w:rsidRPr="00B31A89" w:rsidRDefault="002E1094" w:rsidP="00875934">
      <w:pPr>
        <w:numPr>
          <w:ilvl w:val="0"/>
          <w:numId w:val="4"/>
        </w:numPr>
        <w:shd w:val="clear" w:color="auto" w:fill="FFFFFF"/>
        <w:rPr>
          <w:rFonts w:eastAsia="Times New Roman" w:cs="Times New Roman"/>
          <w:color w:val="000000"/>
          <w:szCs w:val="24"/>
        </w:rPr>
      </w:pPr>
      <w:r w:rsidRPr="00B31A89">
        <w:rPr>
          <w:rFonts w:eastAsia="Times New Roman" w:cs="Times New Roman"/>
          <w:color w:val="000000"/>
          <w:szCs w:val="24"/>
        </w:rPr>
        <w:t xml:space="preserve">Paid planning time for teachers to increase the use of </w:t>
      </w:r>
      <w:r w:rsidR="00A346A4" w:rsidRPr="00B31A89">
        <w:rPr>
          <w:rFonts w:eastAsia="Times New Roman" w:cs="Times New Roman"/>
          <w:color w:val="000000"/>
          <w:szCs w:val="24"/>
        </w:rPr>
        <w:t>service-learning</w:t>
      </w:r>
      <w:r w:rsidRPr="00B31A89">
        <w:rPr>
          <w:rFonts w:eastAsia="Times New Roman" w:cs="Times New Roman"/>
          <w:color w:val="000000"/>
          <w:szCs w:val="24"/>
        </w:rPr>
        <w:t xml:space="preserve"> in instruction.</w:t>
      </w:r>
    </w:p>
    <w:p w14:paraId="29789309" w14:textId="19B3BA49" w:rsidR="002E1094" w:rsidRPr="00B31A89" w:rsidRDefault="000C1962" w:rsidP="00875934">
      <w:pPr>
        <w:numPr>
          <w:ilvl w:val="0"/>
          <w:numId w:val="4"/>
        </w:numPr>
        <w:shd w:val="clear" w:color="auto" w:fill="FFFFFF"/>
        <w:rPr>
          <w:rFonts w:eastAsia="Times New Roman" w:cs="Times New Roman"/>
          <w:color w:val="000000"/>
          <w:szCs w:val="24"/>
        </w:rPr>
      </w:pPr>
      <w:r w:rsidRPr="00B31A89">
        <w:rPr>
          <w:rFonts w:eastAsia="Times New Roman" w:cs="Times New Roman"/>
          <w:color w:val="000000"/>
          <w:szCs w:val="24"/>
        </w:rPr>
        <w:t>Professional development</w:t>
      </w:r>
      <w:r w:rsidR="002E1094" w:rsidRPr="00B31A89">
        <w:rPr>
          <w:rFonts w:eastAsia="Times New Roman" w:cs="Times New Roman"/>
          <w:color w:val="000000"/>
          <w:szCs w:val="24"/>
        </w:rPr>
        <w:t xml:space="preserve"> on </w:t>
      </w:r>
      <w:r w:rsidR="00A346A4" w:rsidRPr="00B31A89">
        <w:rPr>
          <w:rFonts w:eastAsia="Times New Roman" w:cs="Times New Roman"/>
          <w:color w:val="000000"/>
          <w:szCs w:val="24"/>
        </w:rPr>
        <w:t>service-learning</w:t>
      </w:r>
      <w:r w:rsidR="002E1094" w:rsidRPr="00B31A89">
        <w:rPr>
          <w:rFonts w:eastAsia="Times New Roman" w:cs="Times New Roman"/>
          <w:color w:val="000000"/>
          <w:szCs w:val="24"/>
        </w:rPr>
        <w:t xml:space="preserve"> for administrators and teachers.</w:t>
      </w:r>
    </w:p>
    <w:p w14:paraId="11AD97DD" w14:textId="1D91217E" w:rsidR="002E1094" w:rsidRPr="00B31A89" w:rsidRDefault="002E1094" w:rsidP="00875934">
      <w:pPr>
        <w:numPr>
          <w:ilvl w:val="0"/>
          <w:numId w:val="4"/>
        </w:numPr>
        <w:shd w:val="clear" w:color="auto" w:fill="FFFFFF"/>
        <w:rPr>
          <w:rFonts w:eastAsia="Times New Roman" w:cs="Times New Roman"/>
          <w:color w:val="000000"/>
          <w:szCs w:val="24"/>
        </w:rPr>
      </w:pPr>
      <w:r w:rsidRPr="00B31A89">
        <w:rPr>
          <w:rFonts w:eastAsia="Times New Roman" w:cs="Times New Roman"/>
          <w:color w:val="000000"/>
          <w:szCs w:val="24"/>
        </w:rPr>
        <w:t xml:space="preserve">Purchase of instructional materials to help integrate </w:t>
      </w:r>
      <w:r w:rsidR="00A346A4" w:rsidRPr="00B31A89">
        <w:rPr>
          <w:rFonts w:eastAsia="Times New Roman" w:cs="Times New Roman"/>
          <w:color w:val="000000"/>
          <w:szCs w:val="24"/>
        </w:rPr>
        <w:t>service-learning</w:t>
      </w:r>
      <w:r w:rsidRPr="00B31A89">
        <w:rPr>
          <w:rFonts w:eastAsia="Times New Roman" w:cs="Times New Roman"/>
          <w:color w:val="000000"/>
          <w:szCs w:val="24"/>
        </w:rPr>
        <w:t xml:space="preserve"> in instruction.</w:t>
      </w:r>
    </w:p>
    <w:p w14:paraId="4BA7B9B9" w14:textId="23FA1086" w:rsidR="002E1094" w:rsidRPr="00B31A89" w:rsidRDefault="002E1094" w:rsidP="00875934">
      <w:pPr>
        <w:numPr>
          <w:ilvl w:val="0"/>
          <w:numId w:val="4"/>
        </w:numPr>
        <w:shd w:val="clear" w:color="auto" w:fill="FFFFFF"/>
        <w:rPr>
          <w:rFonts w:eastAsia="Times New Roman" w:cs="Times New Roman"/>
          <w:color w:val="000000"/>
          <w:szCs w:val="24"/>
        </w:rPr>
      </w:pPr>
      <w:r w:rsidRPr="00B31A89">
        <w:rPr>
          <w:rFonts w:eastAsia="Times New Roman" w:cs="Times New Roman"/>
          <w:color w:val="000000"/>
          <w:szCs w:val="24"/>
        </w:rPr>
        <w:t xml:space="preserve">Participation costs, including materials or travel expenses related to </w:t>
      </w:r>
      <w:r w:rsidR="00A346A4" w:rsidRPr="00B31A89">
        <w:rPr>
          <w:rFonts w:eastAsia="Times New Roman" w:cs="Times New Roman"/>
          <w:color w:val="000000"/>
          <w:szCs w:val="24"/>
        </w:rPr>
        <w:t>service-learning</w:t>
      </w:r>
      <w:r w:rsidRPr="00B31A89">
        <w:rPr>
          <w:rFonts w:eastAsia="Times New Roman" w:cs="Times New Roman"/>
          <w:color w:val="000000"/>
          <w:szCs w:val="24"/>
        </w:rPr>
        <w:t xml:space="preserve"> activities.</w:t>
      </w:r>
    </w:p>
    <w:p w14:paraId="7C8CD023" w14:textId="23336CCA" w:rsidR="002E1094" w:rsidRPr="00B31A89" w:rsidRDefault="002E1094" w:rsidP="00875934">
      <w:pPr>
        <w:numPr>
          <w:ilvl w:val="0"/>
          <w:numId w:val="4"/>
        </w:numPr>
        <w:shd w:val="clear" w:color="auto" w:fill="FFFFFF"/>
        <w:rPr>
          <w:rFonts w:eastAsia="Times New Roman" w:cs="Times New Roman"/>
          <w:color w:val="000000"/>
          <w:szCs w:val="24"/>
        </w:rPr>
      </w:pPr>
      <w:r w:rsidRPr="00B31A89">
        <w:rPr>
          <w:rFonts w:eastAsia="Times New Roman" w:cs="Times New Roman"/>
          <w:color w:val="000000"/>
          <w:szCs w:val="24"/>
        </w:rPr>
        <w:t xml:space="preserve">Personnel costs for coordinating </w:t>
      </w:r>
      <w:r w:rsidR="00A346A4" w:rsidRPr="00B31A89">
        <w:rPr>
          <w:rFonts w:eastAsia="Times New Roman" w:cs="Times New Roman"/>
          <w:color w:val="000000"/>
          <w:szCs w:val="24"/>
        </w:rPr>
        <w:t>service-learning</w:t>
      </w:r>
      <w:r w:rsidRPr="00B31A89">
        <w:rPr>
          <w:rFonts w:eastAsia="Times New Roman" w:cs="Times New Roman"/>
          <w:color w:val="000000"/>
          <w:szCs w:val="24"/>
        </w:rPr>
        <w:t xml:space="preserve"> at the LEA or a school site.</w:t>
      </w:r>
    </w:p>
    <w:p w14:paraId="4119B810" w14:textId="77777777" w:rsidR="002E1094" w:rsidRPr="00B31A89" w:rsidRDefault="002E1094" w:rsidP="00875934">
      <w:pPr>
        <w:numPr>
          <w:ilvl w:val="0"/>
          <w:numId w:val="4"/>
        </w:numPr>
        <w:shd w:val="clear" w:color="auto" w:fill="FFFFFF"/>
        <w:rPr>
          <w:rFonts w:eastAsia="Times New Roman" w:cs="Times New Roman"/>
          <w:color w:val="000000"/>
          <w:szCs w:val="24"/>
        </w:rPr>
      </w:pPr>
      <w:r w:rsidRPr="00B31A89">
        <w:rPr>
          <w:rFonts w:eastAsia="Times New Roman" w:cs="Times New Roman"/>
          <w:color w:val="000000"/>
          <w:szCs w:val="24"/>
        </w:rPr>
        <w:t>Participation costs associated with grant program evaluation.</w:t>
      </w:r>
    </w:p>
    <w:p w14:paraId="69086C18" w14:textId="7E31F07C" w:rsidR="00A31F02" w:rsidRPr="00B31A89" w:rsidRDefault="002E1094" w:rsidP="00875934">
      <w:pPr>
        <w:rPr>
          <w:rFonts w:eastAsia="Arial" w:cs="Arial"/>
        </w:rPr>
      </w:pPr>
      <w:r w:rsidRPr="00B31A89">
        <w:rPr>
          <w:rFonts w:eastAsia="Arial" w:cs="Arial"/>
        </w:rPr>
        <w:t>Emphasis was on programs that demonstrated rich civic engagement and learning in pursuit of a</w:t>
      </w:r>
      <w:r w:rsidR="004E5DC2">
        <w:rPr>
          <w:rFonts w:eastAsia="Arial" w:cs="Arial"/>
        </w:rPr>
        <w:t>n</w:t>
      </w:r>
      <w:r w:rsidRPr="00B31A89">
        <w:rPr>
          <w:rFonts w:eastAsia="Arial" w:cs="Arial"/>
        </w:rPr>
        <w:t xml:space="preserve"> SSCE</w:t>
      </w:r>
      <w:bookmarkStart w:id="20" w:name="_Hlk99090049"/>
      <w:r w:rsidR="008D1B30">
        <w:rPr>
          <w:rFonts w:eastAsia="Arial" w:cs="Arial"/>
        </w:rPr>
        <w:t xml:space="preserve"> through service-learning.</w:t>
      </w:r>
    </w:p>
    <w:p w14:paraId="42D14649" w14:textId="07BC1A15" w:rsidR="002E1094" w:rsidRPr="00B31A89" w:rsidRDefault="002E1094" w:rsidP="00875934">
      <w:pPr>
        <w:rPr>
          <w:rFonts w:eastAsia="Arial" w:cs="Arial"/>
          <w:szCs w:val="24"/>
          <w:lang w:val="en"/>
        </w:rPr>
      </w:pPr>
      <w:r w:rsidRPr="00B31A89">
        <w:rPr>
          <w:rFonts w:eastAsia="Arial" w:cs="Arial"/>
          <w:szCs w:val="24"/>
          <w:lang w:val="en"/>
        </w:rPr>
        <w:t xml:space="preserve">Per </w:t>
      </w:r>
      <w:r w:rsidRPr="00B31A89">
        <w:rPr>
          <w:rFonts w:eastAsia="Arial" w:cs="Arial"/>
          <w:i/>
          <w:iCs/>
          <w:szCs w:val="24"/>
          <w:lang w:val="en"/>
        </w:rPr>
        <w:t xml:space="preserve">EC </w:t>
      </w:r>
      <w:r w:rsidRPr="00B31A89">
        <w:rPr>
          <w:rFonts w:eastAsia="Arial" w:cs="Arial"/>
          <w:szCs w:val="24"/>
          <w:lang w:val="en"/>
        </w:rPr>
        <w:t xml:space="preserve">Section 51475(a), applicant eligibility was limited to LEAs, defined as a school district, county office of education (COE), or direct funded charter school, within the State of California that serves students in grade twelve. Additionally, per </w:t>
      </w:r>
      <w:r w:rsidRPr="00B31A89">
        <w:rPr>
          <w:rFonts w:eastAsia="Arial" w:cs="Arial"/>
          <w:i/>
          <w:iCs/>
          <w:szCs w:val="24"/>
          <w:lang w:val="en"/>
        </w:rPr>
        <w:t xml:space="preserve">EC </w:t>
      </w:r>
      <w:r w:rsidRPr="00B31A89">
        <w:rPr>
          <w:rFonts w:eastAsia="Arial" w:cs="Arial"/>
          <w:szCs w:val="24"/>
          <w:lang w:val="en"/>
        </w:rPr>
        <w:t>Section 51475(d), at least 55 percent of the pupils enrolled in the applicant LEA were unduplicated pupils as defined in Section 2574 or 42238.02, as applicable.</w:t>
      </w:r>
      <w:bookmarkEnd w:id="20"/>
    </w:p>
    <w:p w14:paraId="00A5914F" w14:textId="150047F9" w:rsidR="002E1094" w:rsidRPr="00B31A89" w:rsidRDefault="002E1094" w:rsidP="00E37E0D">
      <w:pPr>
        <w:pStyle w:val="Heading3"/>
      </w:pPr>
      <w:bookmarkStart w:id="21" w:name="_Toc167277550"/>
      <w:r w:rsidRPr="00B31A89">
        <w:t>Research, Recommendations, and Metrics</w:t>
      </w:r>
      <w:bookmarkEnd w:id="21"/>
    </w:p>
    <w:p w14:paraId="1517057D" w14:textId="09F2C8E1" w:rsidR="002E1094" w:rsidRPr="00B31A89" w:rsidRDefault="002E1094" w:rsidP="3BFC5438">
      <w:pPr>
        <w:rPr>
          <w:rFonts w:eastAsia="Arial" w:cs="Arial"/>
        </w:rPr>
      </w:pPr>
      <w:r w:rsidRPr="00B31A89">
        <w:rPr>
          <w:rFonts w:eastAsia="Arial" w:cs="Arial"/>
        </w:rPr>
        <w:t xml:space="preserve">In addition to facilitating an annual grant program, </w:t>
      </w:r>
      <w:r w:rsidRPr="00B31A89">
        <w:rPr>
          <w:rFonts w:eastAsia="Arial" w:cs="Arial"/>
          <w:i/>
          <w:iCs/>
        </w:rPr>
        <w:t xml:space="preserve">EC </w:t>
      </w:r>
      <w:r w:rsidRPr="00B31A89">
        <w:rPr>
          <w:rFonts w:eastAsia="Arial" w:cs="Arial"/>
        </w:rPr>
        <w:t xml:space="preserve">Section 51475 also requires the CDE, in partnership with California </w:t>
      </w:r>
      <w:r w:rsidR="00E22E43" w:rsidRPr="00B31A89">
        <w:rPr>
          <w:rFonts w:eastAsia="Arial" w:cs="Arial"/>
        </w:rPr>
        <w:t>V</w:t>
      </w:r>
      <w:r w:rsidRPr="00B31A89">
        <w:rPr>
          <w:rFonts w:eastAsia="Arial" w:cs="Arial"/>
        </w:rPr>
        <w:t>olunteers, to:</w:t>
      </w:r>
    </w:p>
    <w:p w14:paraId="393CF5F8" w14:textId="268BF70E" w:rsidR="002E1094" w:rsidRPr="00B31A89" w:rsidRDefault="002E1094" w:rsidP="00F36C8B">
      <w:pPr>
        <w:pStyle w:val="ListParagraph"/>
        <w:numPr>
          <w:ilvl w:val="0"/>
          <w:numId w:val="5"/>
        </w:numPr>
        <w:contextualSpacing w:val="0"/>
        <w:rPr>
          <w:rFonts w:eastAsia="Arial" w:cs="Arial"/>
          <w:szCs w:val="24"/>
          <w:lang w:val="en"/>
        </w:rPr>
      </w:pPr>
      <w:r w:rsidRPr="00B31A89">
        <w:rPr>
          <w:rFonts w:eastAsia="Arial" w:cs="Arial"/>
          <w:szCs w:val="24"/>
          <w:lang w:val="en"/>
        </w:rPr>
        <w:lastRenderedPageBreak/>
        <w:t xml:space="preserve">Review the available evidence on ways to incorporate effective </w:t>
      </w:r>
      <w:r w:rsidR="00A346A4" w:rsidRPr="00B31A89">
        <w:rPr>
          <w:rFonts w:eastAsia="Arial" w:cs="Arial"/>
          <w:szCs w:val="24"/>
          <w:lang w:val="en"/>
        </w:rPr>
        <w:t>service-learning</w:t>
      </w:r>
      <w:r w:rsidRPr="00B31A89">
        <w:rPr>
          <w:rFonts w:eastAsia="Arial" w:cs="Arial"/>
          <w:szCs w:val="24"/>
          <w:lang w:val="en"/>
        </w:rPr>
        <w:t xml:space="preserve"> for students in grades</w:t>
      </w:r>
      <w:r w:rsidR="006C3E5B">
        <w:rPr>
          <w:rFonts w:eastAsia="Arial" w:cs="Arial"/>
          <w:szCs w:val="24"/>
          <w:lang w:val="en"/>
        </w:rPr>
        <w:t xml:space="preserve"> 9–12</w:t>
      </w:r>
      <w:r w:rsidRPr="00B31A89">
        <w:rPr>
          <w:rFonts w:eastAsia="Arial" w:cs="Arial"/>
          <w:szCs w:val="24"/>
          <w:lang w:val="en"/>
        </w:rPr>
        <w:t>.</w:t>
      </w:r>
    </w:p>
    <w:p w14:paraId="72B4F711" w14:textId="1472F3D4" w:rsidR="002E1094" w:rsidRPr="00B31A89" w:rsidRDefault="002E1094" w:rsidP="00F36C8B">
      <w:pPr>
        <w:pStyle w:val="ListParagraph"/>
        <w:numPr>
          <w:ilvl w:val="0"/>
          <w:numId w:val="5"/>
        </w:numPr>
        <w:contextualSpacing w:val="0"/>
        <w:rPr>
          <w:rFonts w:eastAsia="Arial" w:cs="Arial"/>
        </w:rPr>
      </w:pPr>
      <w:r w:rsidRPr="00B31A89">
        <w:rPr>
          <w:rFonts w:eastAsia="Arial" w:cs="Arial"/>
        </w:rPr>
        <w:t xml:space="preserve">Provide recommendations to the Legislature on evidence-based strategies to expand access to high-quality </w:t>
      </w:r>
      <w:r w:rsidR="00A346A4" w:rsidRPr="00B31A89">
        <w:rPr>
          <w:rFonts w:eastAsia="Arial" w:cs="Arial"/>
        </w:rPr>
        <w:t>service-learning</w:t>
      </w:r>
      <w:r w:rsidRPr="00B31A89">
        <w:rPr>
          <w:rFonts w:eastAsia="Arial" w:cs="Arial"/>
        </w:rPr>
        <w:t xml:space="preserve"> programs in California high </w:t>
      </w:r>
      <w:r w:rsidR="007A632E" w:rsidRPr="00B31A89">
        <w:rPr>
          <w:rFonts w:eastAsia="Arial" w:cs="Arial"/>
        </w:rPr>
        <w:t>schools and</w:t>
      </w:r>
      <w:r w:rsidRPr="00B31A89">
        <w:rPr>
          <w:rFonts w:eastAsia="Arial" w:cs="Arial"/>
        </w:rPr>
        <w:t xml:space="preserve"> promote equitable access to these programs.</w:t>
      </w:r>
    </w:p>
    <w:p w14:paraId="23774E6C" w14:textId="04243464" w:rsidR="002E1094" w:rsidRPr="00B31A89" w:rsidRDefault="002E1094" w:rsidP="00F36C8B">
      <w:pPr>
        <w:pStyle w:val="ListParagraph"/>
        <w:numPr>
          <w:ilvl w:val="0"/>
          <w:numId w:val="5"/>
        </w:numPr>
        <w:contextualSpacing w:val="0"/>
        <w:rPr>
          <w:rFonts w:eastAsia="Arial" w:cs="Arial"/>
          <w:szCs w:val="24"/>
          <w:lang w:val="en"/>
        </w:rPr>
      </w:pPr>
      <w:r w:rsidRPr="00B31A89">
        <w:rPr>
          <w:rFonts w:eastAsia="Arial" w:cs="Arial"/>
          <w:szCs w:val="24"/>
          <w:lang w:val="en"/>
        </w:rPr>
        <w:t xml:space="preserve">Develop and post information on evidence-based strategies for expanding access to high-quality </w:t>
      </w:r>
      <w:r w:rsidR="00A346A4" w:rsidRPr="00B31A89">
        <w:rPr>
          <w:rFonts w:eastAsia="Arial" w:cs="Arial"/>
          <w:szCs w:val="24"/>
          <w:lang w:val="en"/>
        </w:rPr>
        <w:t>service-learning</w:t>
      </w:r>
      <w:r w:rsidRPr="00B31A89">
        <w:rPr>
          <w:rFonts w:eastAsia="Arial" w:cs="Arial"/>
          <w:szCs w:val="24"/>
          <w:lang w:val="en"/>
        </w:rPr>
        <w:t xml:space="preserve"> programs that may be used by teachers and LEAs.</w:t>
      </w:r>
    </w:p>
    <w:p w14:paraId="330859D4" w14:textId="77777777" w:rsidR="002E1094" w:rsidRPr="00B31A89" w:rsidRDefault="002E1094" w:rsidP="00F36C8B">
      <w:pPr>
        <w:pStyle w:val="ListParagraph"/>
        <w:numPr>
          <w:ilvl w:val="0"/>
          <w:numId w:val="5"/>
        </w:numPr>
        <w:contextualSpacing w:val="0"/>
        <w:rPr>
          <w:rFonts w:eastAsia="Arial" w:cs="Arial"/>
        </w:rPr>
      </w:pPr>
      <w:r w:rsidRPr="00B31A89">
        <w:rPr>
          <w:rFonts w:eastAsia="Arial" w:cs="Arial"/>
        </w:rPr>
        <w:t>Develop model uniform metrics, based on the recommended criteria for the SSCE, for the measurement of student progress toward academic, civic engagement, and other learning objectives, including awarding the SSCE.</w:t>
      </w:r>
    </w:p>
    <w:p w14:paraId="7095702C" w14:textId="0837C0E1" w:rsidR="00AA6E15" w:rsidRPr="00B31A89" w:rsidRDefault="002E1094" w:rsidP="00F36C8B">
      <w:pPr>
        <w:pStyle w:val="ListParagraph"/>
        <w:numPr>
          <w:ilvl w:val="0"/>
          <w:numId w:val="5"/>
        </w:numPr>
        <w:contextualSpacing w:val="0"/>
        <w:rPr>
          <w:rFonts w:eastAsia="Arial" w:cs="Arial"/>
        </w:rPr>
      </w:pPr>
      <w:r w:rsidRPr="00B31A89">
        <w:rPr>
          <w:rFonts w:eastAsia="Arial" w:cs="Arial"/>
        </w:rPr>
        <w:t xml:space="preserve">Use the evidence, recommendations, and metrics identified to administer the California Serves </w:t>
      </w:r>
      <w:r w:rsidR="006C3E5B">
        <w:rPr>
          <w:rFonts w:eastAsia="Arial" w:cs="Arial"/>
        </w:rPr>
        <w:t>grant</w:t>
      </w:r>
      <w:r w:rsidRPr="00B31A89">
        <w:rPr>
          <w:rFonts w:eastAsia="Arial" w:cs="Arial"/>
        </w:rPr>
        <w:t xml:space="preserve"> </w:t>
      </w:r>
      <w:r w:rsidR="006C3E5B">
        <w:rPr>
          <w:rFonts w:eastAsia="Arial" w:cs="Arial"/>
        </w:rPr>
        <w:t>p</w:t>
      </w:r>
      <w:r w:rsidRPr="00B31A89">
        <w:rPr>
          <w:rFonts w:eastAsia="Arial" w:cs="Arial"/>
        </w:rPr>
        <w:t>rogram.</w:t>
      </w:r>
    </w:p>
    <w:p w14:paraId="00CD5CA9" w14:textId="55072841" w:rsidR="00AA6E15" w:rsidRPr="00B31A89" w:rsidRDefault="00AA6E15" w:rsidP="00E22E43">
      <w:pPr>
        <w:rPr>
          <w:rFonts w:eastAsia="Arial" w:cs="Arial"/>
          <w:szCs w:val="24"/>
          <w:lang w:val="en"/>
        </w:rPr>
      </w:pPr>
      <w:r w:rsidRPr="00B31A89">
        <w:rPr>
          <w:rFonts w:eastAsia="Arial" w:cs="Arial"/>
          <w:szCs w:val="24"/>
          <w:lang w:val="en"/>
        </w:rPr>
        <w:t xml:space="preserve">This report fulfills </w:t>
      </w:r>
      <w:r w:rsidR="00424D1F" w:rsidRPr="00B31A89">
        <w:rPr>
          <w:rFonts w:eastAsia="Arial" w:cs="Arial"/>
          <w:szCs w:val="24"/>
          <w:lang w:val="en"/>
        </w:rPr>
        <w:t>requirements</w:t>
      </w:r>
      <w:r w:rsidRPr="00B31A89">
        <w:rPr>
          <w:rFonts w:eastAsia="Arial" w:cs="Arial"/>
          <w:szCs w:val="24"/>
          <w:lang w:val="en"/>
        </w:rPr>
        <w:t xml:space="preserve"> 1 and 2 listed above.</w:t>
      </w:r>
      <w:r w:rsidR="00424D1F" w:rsidRPr="00B31A89">
        <w:rPr>
          <w:rFonts w:eastAsia="Arial" w:cs="Arial"/>
          <w:szCs w:val="24"/>
          <w:lang w:val="en"/>
        </w:rPr>
        <w:t xml:space="preserve"> Following </w:t>
      </w:r>
      <w:r w:rsidR="00AC1BC4">
        <w:rPr>
          <w:rFonts w:eastAsia="Arial" w:cs="Arial"/>
          <w:szCs w:val="24"/>
          <w:lang w:val="en"/>
        </w:rPr>
        <w:t xml:space="preserve">the </w:t>
      </w:r>
      <w:r w:rsidR="00424D1F" w:rsidRPr="00B31A89">
        <w:rPr>
          <w:rFonts w:eastAsia="Arial" w:cs="Arial"/>
          <w:szCs w:val="24"/>
          <w:lang w:val="en"/>
        </w:rPr>
        <w:t xml:space="preserve">submission of this report, the CDE will post a web page that includes information on and recommendations for evidence-based strategies for expanding access to high-quality </w:t>
      </w:r>
      <w:r w:rsidR="00A346A4" w:rsidRPr="00B31A89">
        <w:rPr>
          <w:rFonts w:eastAsia="Arial" w:cs="Arial"/>
          <w:szCs w:val="24"/>
          <w:lang w:val="en"/>
        </w:rPr>
        <w:t>service-learning</w:t>
      </w:r>
      <w:r w:rsidR="00424D1F" w:rsidRPr="00B31A89">
        <w:rPr>
          <w:rFonts w:eastAsia="Arial" w:cs="Arial"/>
          <w:szCs w:val="24"/>
          <w:lang w:val="en"/>
        </w:rPr>
        <w:t xml:space="preserve"> programs that support the SSCE.</w:t>
      </w:r>
    </w:p>
    <w:p w14:paraId="7D696331" w14:textId="1D08E8F2" w:rsidR="005713EA" w:rsidRPr="006B29EC" w:rsidRDefault="005713EA" w:rsidP="00E37E0D">
      <w:pPr>
        <w:pStyle w:val="Heading2"/>
      </w:pPr>
      <w:bookmarkStart w:id="22" w:name="_Toc167277551"/>
      <w:r w:rsidRPr="006B29EC">
        <w:t>Connection to the State Seal of Civic Engagement</w:t>
      </w:r>
      <w:bookmarkEnd w:id="22"/>
    </w:p>
    <w:p w14:paraId="079F56C3" w14:textId="31CB9DBD" w:rsidR="00AF2ABE" w:rsidRPr="00B31A89" w:rsidRDefault="00135A79" w:rsidP="00875934">
      <w:pPr>
        <w:rPr>
          <w:lang w:val="en"/>
        </w:rPr>
      </w:pPr>
      <w:r w:rsidRPr="00B31A89">
        <w:rPr>
          <w:lang w:val="en"/>
        </w:rPr>
        <w:t>The SSCE has been available</w:t>
      </w:r>
      <w:r w:rsidR="00AF2ABE" w:rsidRPr="00B31A89">
        <w:rPr>
          <w:lang w:val="en"/>
        </w:rPr>
        <w:t xml:space="preserve"> to </w:t>
      </w:r>
      <w:r w:rsidRPr="00B31A89">
        <w:rPr>
          <w:lang w:val="en"/>
        </w:rPr>
        <w:t xml:space="preserve">eligible </w:t>
      </w:r>
      <w:r w:rsidR="007F7EBA" w:rsidRPr="00B31A89">
        <w:rPr>
          <w:lang w:val="en"/>
        </w:rPr>
        <w:t xml:space="preserve">California students in participating LEAs since the 2020–21 school year. </w:t>
      </w:r>
      <w:r w:rsidR="00536287" w:rsidRPr="00B31A89">
        <w:rPr>
          <w:lang w:val="en"/>
        </w:rPr>
        <w:t>To</w:t>
      </w:r>
      <w:r w:rsidR="002C53BE" w:rsidRPr="00B31A89">
        <w:rPr>
          <w:lang w:val="en"/>
        </w:rPr>
        <w:t xml:space="preserve"> ear</w:t>
      </w:r>
      <w:r w:rsidR="00AC1BC4">
        <w:rPr>
          <w:lang w:val="en"/>
        </w:rPr>
        <w:t xml:space="preserve">n an </w:t>
      </w:r>
      <w:r w:rsidR="002C53BE" w:rsidRPr="00B31A89">
        <w:rPr>
          <w:lang w:val="en"/>
        </w:rPr>
        <w:t>SSCE insignia, students</w:t>
      </w:r>
      <w:r w:rsidR="00AD7A8D" w:rsidRPr="00B31A89">
        <w:rPr>
          <w:lang w:val="en"/>
        </w:rPr>
        <w:t xml:space="preserve"> must be in grade </w:t>
      </w:r>
      <w:r w:rsidR="00207214">
        <w:rPr>
          <w:lang w:val="en"/>
        </w:rPr>
        <w:t>eleven</w:t>
      </w:r>
      <w:r w:rsidR="00AD7A8D" w:rsidRPr="00B31A89">
        <w:rPr>
          <w:lang w:val="en"/>
        </w:rPr>
        <w:t xml:space="preserve"> or </w:t>
      </w:r>
      <w:r w:rsidR="00207214">
        <w:rPr>
          <w:lang w:val="en"/>
        </w:rPr>
        <w:t>twelve</w:t>
      </w:r>
      <w:r w:rsidR="00AE36FD" w:rsidRPr="00B31A89">
        <w:rPr>
          <w:lang w:val="en"/>
        </w:rPr>
        <w:t xml:space="preserve">, attend school </w:t>
      </w:r>
      <w:r w:rsidR="00AD7A8D" w:rsidRPr="00B31A89">
        <w:rPr>
          <w:lang w:val="en"/>
        </w:rPr>
        <w:t>in a participating LEA</w:t>
      </w:r>
      <w:r w:rsidR="00AE36FD" w:rsidRPr="00B31A89">
        <w:rPr>
          <w:lang w:val="en"/>
        </w:rPr>
        <w:t>, and fulfill the five statewide criteria adopted by the SBE in September 2020</w:t>
      </w:r>
      <w:r w:rsidR="00B31241">
        <w:rPr>
          <w:lang w:val="en"/>
        </w:rPr>
        <w:t>:</w:t>
      </w:r>
      <w:r w:rsidR="00B76CB8" w:rsidRPr="00B31A89">
        <w:rPr>
          <w:rStyle w:val="FootnoteReference"/>
          <w:lang w:val="en"/>
        </w:rPr>
        <w:footnoteReference w:id="5"/>
      </w:r>
    </w:p>
    <w:p w14:paraId="4D35C666" w14:textId="13AC3633" w:rsidR="009D0917" w:rsidRPr="00B31A89" w:rsidRDefault="009D0917" w:rsidP="00875934">
      <w:pPr>
        <w:pStyle w:val="ListParagraph"/>
        <w:numPr>
          <w:ilvl w:val="0"/>
          <w:numId w:val="8"/>
        </w:numPr>
        <w:contextualSpacing w:val="0"/>
        <w:rPr>
          <w:lang w:val="en"/>
        </w:rPr>
      </w:pPr>
      <w:r w:rsidRPr="00B31A89">
        <w:rPr>
          <w:lang w:val="en"/>
        </w:rPr>
        <w:t xml:space="preserve">Be engaged in academic work in a productive </w:t>
      </w:r>
      <w:r w:rsidR="00536287" w:rsidRPr="00B31A89">
        <w:rPr>
          <w:lang w:val="en"/>
        </w:rPr>
        <w:t>way.</w:t>
      </w:r>
    </w:p>
    <w:p w14:paraId="23091DC9" w14:textId="0A70DBA7" w:rsidR="009D0917" w:rsidRPr="00B31A89" w:rsidRDefault="009D0917" w:rsidP="00875934">
      <w:pPr>
        <w:pStyle w:val="ListParagraph"/>
        <w:numPr>
          <w:ilvl w:val="0"/>
          <w:numId w:val="8"/>
        </w:numPr>
        <w:contextualSpacing w:val="0"/>
        <w:rPr>
          <w:lang w:val="en"/>
        </w:rPr>
      </w:pPr>
      <w:r w:rsidRPr="00B31A89">
        <w:rPr>
          <w:lang w:val="en"/>
        </w:rPr>
        <w:t xml:space="preserve">Demonstrate a competent understanding of </w:t>
      </w:r>
      <w:r w:rsidR="005B5E9B">
        <w:rPr>
          <w:lang w:val="en"/>
        </w:rPr>
        <w:t xml:space="preserve">the </w:t>
      </w:r>
      <w:r w:rsidRPr="00B31A89">
        <w:rPr>
          <w:lang w:val="en"/>
        </w:rPr>
        <w:t xml:space="preserve">United States and California constitutions; functions and governance of local governments; tribal government structures and organizations; the role of the citizen in a constitutional democracy; and democratic principles, concepts, and </w:t>
      </w:r>
      <w:r w:rsidR="00536287" w:rsidRPr="00B31A89">
        <w:rPr>
          <w:lang w:val="en"/>
        </w:rPr>
        <w:t>processes.</w:t>
      </w:r>
    </w:p>
    <w:p w14:paraId="2FC85C9F" w14:textId="0FCA7457" w:rsidR="009D0917" w:rsidRPr="00B31A89" w:rsidRDefault="009D0917" w:rsidP="00875934">
      <w:pPr>
        <w:pStyle w:val="ListParagraph"/>
        <w:numPr>
          <w:ilvl w:val="0"/>
          <w:numId w:val="8"/>
        </w:numPr>
        <w:contextualSpacing w:val="0"/>
      </w:pPr>
      <w:r w:rsidRPr="00B31A89">
        <w:t xml:space="preserve">Participate in one or more informed civic engagement project(s) that address real-world problems and require students to identify and inquire into civic needs or problems, consider varied responses, </w:t>
      </w:r>
      <w:proofErr w:type="gramStart"/>
      <w:r w:rsidRPr="00B31A89">
        <w:t>take action</w:t>
      </w:r>
      <w:proofErr w:type="gramEnd"/>
      <w:r w:rsidRPr="00B31A89">
        <w:t xml:space="preserve">, and reflect on </w:t>
      </w:r>
      <w:r w:rsidR="00536287" w:rsidRPr="00B31A89">
        <w:t>efforts.</w:t>
      </w:r>
    </w:p>
    <w:p w14:paraId="349606DF" w14:textId="3B32092E" w:rsidR="009D0917" w:rsidRPr="00B31A89" w:rsidRDefault="009D0917" w:rsidP="00875934">
      <w:pPr>
        <w:pStyle w:val="ListParagraph"/>
        <w:numPr>
          <w:ilvl w:val="0"/>
          <w:numId w:val="8"/>
        </w:numPr>
        <w:contextualSpacing w:val="0"/>
        <w:rPr>
          <w:lang w:val="en"/>
        </w:rPr>
      </w:pPr>
      <w:r w:rsidRPr="00B31A89">
        <w:rPr>
          <w:lang w:val="en"/>
        </w:rPr>
        <w:t>Demonstrate civic knowledge, skills, and dispositions through self-reflection</w:t>
      </w:r>
      <w:r w:rsidR="00536287" w:rsidRPr="00B31A89">
        <w:rPr>
          <w:lang w:val="en"/>
        </w:rPr>
        <w:t>.</w:t>
      </w:r>
    </w:p>
    <w:p w14:paraId="04E240FB" w14:textId="0D905880" w:rsidR="00976A74" w:rsidRPr="00B31A89" w:rsidRDefault="009D0917" w:rsidP="00875934">
      <w:pPr>
        <w:pStyle w:val="ListParagraph"/>
        <w:numPr>
          <w:ilvl w:val="0"/>
          <w:numId w:val="8"/>
        </w:numPr>
      </w:pPr>
      <w:r w:rsidRPr="00B31A89">
        <w:lastRenderedPageBreak/>
        <w:t>Exhibit character traits that reflect civic-mindedness and a commitment to positively impact the classroom, school, community</w:t>
      </w:r>
      <w:r w:rsidR="00CD2A1C">
        <w:t>,</w:t>
      </w:r>
      <w:r w:rsidRPr="00B31A89">
        <w:t xml:space="preserve"> and society.</w:t>
      </w:r>
    </w:p>
    <w:p w14:paraId="64623C51" w14:textId="24FBF601" w:rsidR="00C40D36" w:rsidRPr="00B31A89" w:rsidRDefault="00C40D36" w:rsidP="00875934">
      <w:r w:rsidRPr="00B31A89">
        <w:t>Additionally, each LEA determines any additional local requirements and procedures students undergo to earn</w:t>
      </w:r>
      <w:r w:rsidR="00AC1BC4">
        <w:t xml:space="preserve"> </w:t>
      </w:r>
      <w:r w:rsidR="00173D52">
        <w:t>the</w:t>
      </w:r>
      <w:r w:rsidR="00F714E4" w:rsidRPr="00B31A89">
        <w:t xml:space="preserve"> </w:t>
      </w:r>
      <w:r w:rsidRPr="00B31A89">
        <w:t>SSCE, including optional and additional local criteria.</w:t>
      </w:r>
    </w:p>
    <w:p w14:paraId="655E94AC" w14:textId="19A68778" w:rsidR="005725DC" w:rsidRPr="00B31A89" w:rsidRDefault="00C40D36" w:rsidP="00875934">
      <w:r w:rsidRPr="00B31A89">
        <w:t xml:space="preserve">The five statewide SSCE </w:t>
      </w:r>
      <w:r w:rsidR="005725DC" w:rsidRPr="00B31A89">
        <w:t xml:space="preserve">criteria </w:t>
      </w:r>
      <w:r w:rsidR="00536287" w:rsidRPr="00B31A89">
        <w:t>emphasize</w:t>
      </w:r>
      <w:r w:rsidR="0067484A" w:rsidRPr="00B31A89">
        <w:t xml:space="preserve"> deep, authentic civic learning </w:t>
      </w:r>
      <w:r w:rsidR="00F33696" w:rsidRPr="00B31A89">
        <w:t>on behalf of the student, demonstrated through extensive content mastery and rigorous, rich civic engagement projects.</w:t>
      </w:r>
      <w:r w:rsidR="0049439D" w:rsidRPr="00B31A89">
        <w:t xml:space="preserve"> </w:t>
      </w:r>
      <w:r w:rsidR="00A346A4" w:rsidRPr="00B31A89">
        <w:t>Service-learning</w:t>
      </w:r>
      <w:r w:rsidR="0049439D" w:rsidRPr="00B31A89">
        <w:t xml:space="preserve"> programs established and supported through the California Serves program must be rigorous enough to support students meeting the statewide SSCE criteria, which may include additional emphasis on </w:t>
      </w:r>
      <w:r w:rsidR="00C8791D" w:rsidRPr="00B31A89">
        <w:t xml:space="preserve">demonstrating civic learning and engagement through the </w:t>
      </w:r>
      <w:r w:rsidR="00A346A4" w:rsidRPr="00B31A89">
        <w:t>service-learning</w:t>
      </w:r>
      <w:r w:rsidR="00C8791D" w:rsidRPr="00B31A89">
        <w:t xml:space="preserve"> project. Resources </w:t>
      </w:r>
      <w:r w:rsidR="00CF4B56" w:rsidRPr="00B31A89">
        <w:t xml:space="preserve">mentioned </w:t>
      </w:r>
      <w:r w:rsidR="0003016C" w:rsidRPr="00B31A89">
        <w:t>in</w:t>
      </w:r>
      <w:r w:rsidR="00CF4B56" w:rsidRPr="00B31A89">
        <w:t xml:space="preserve"> this report typically </w:t>
      </w:r>
      <w:r w:rsidR="0003016C" w:rsidRPr="00B31A89">
        <w:t>support</w:t>
      </w:r>
      <w:r w:rsidR="00CF4B56" w:rsidRPr="00B31A89">
        <w:t xml:space="preserve"> civic engagement </w:t>
      </w:r>
      <w:r w:rsidR="005002B7" w:rsidRPr="00B31A89">
        <w:t>projects and</w:t>
      </w:r>
      <w:r w:rsidR="0003016C" w:rsidRPr="00B31A89">
        <w:t xml:space="preserve"> can generally be modified in ways that support rigorous </w:t>
      </w:r>
      <w:r w:rsidR="00A346A4" w:rsidRPr="00B31A89">
        <w:t>service-learning</w:t>
      </w:r>
      <w:r w:rsidR="0003016C" w:rsidRPr="00B31A89">
        <w:t xml:space="preserve"> projects that lead to</w:t>
      </w:r>
      <w:r w:rsidR="00FD29D4">
        <w:t xml:space="preserve"> </w:t>
      </w:r>
      <w:r w:rsidR="00001757">
        <w:t>earning the</w:t>
      </w:r>
      <w:r w:rsidR="00FD29D4">
        <w:t xml:space="preserve"> </w:t>
      </w:r>
      <w:r w:rsidR="0003016C" w:rsidRPr="00B31A89">
        <w:t>SSCE.</w:t>
      </w:r>
    </w:p>
    <w:p w14:paraId="6FDE3C60" w14:textId="64DDE3ED" w:rsidR="000F7CCC" w:rsidRPr="00B31A89" w:rsidRDefault="002962D4" w:rsidP="00875934">
      <w:r w:rsidRPr="00B31A89">
        <w:t xml:space="preserve">The CDE has administered the process of distributing SSCE insignias to participating LEAs since the 2020–21 school year. </w:t>
      </w:r>
      <w:r w:rsidR="00C15DE9" w:rsidRPr="00B31A89">
        <w:t xml:space="preserve">The table </w:t>
      </w:r>
      <w:r w:rsidR="00CD2A1C" w:rsidRPr="00B31A89">
        <w:t xml:space="preserve">below </w:t>
      </w:r>
      <w:r w:rsidR="00C15DE9" w:rsidRPr="00B31A89">
        <w:t>provides statewide insignia request data for the three school years during which the SSCE has been available</w:t>
      </w:r>
      <w:r w:rsidR="00610F49" w:rsidRPr="00B31A89">
        <w:t>:</w:t>
      </w:r>
    </w:p>
    <w:p w14:paraId="3B58F36C" w14:textId="640661E5" w:rsidR="00E461B7" w:rsidRPr="00875934" w:rsidRDefault="00E461B7" w:rsidP="00197483">
      <w:pPr>
        <w:spacing w:before="480"/>
        <w:rPr>
          <w:b/>
          <w:bCs/>
        </w:rPr>
      </w:pPr>
      <w:r w:rsidRPr="00875934">
        <w:rPr>
          <w:b/>
          <w:bCs/>
        </w:rPr>
        <w:t>Table 1: Statewide S</w:t>
      </w:r>
      <w:r w:rsidR="00921BB0">
        <w:rPr>
          <w:b/>
          <w:bCs/>
        </w:rPr>
        <w:t xml:space="preserve">tate </w:t>
      </w:r>
      <w:r w:rsidRPr="00875934">
        <w:rPr>
          <w:b/>
          <w:bCs/>
        </w:rPr>
        <w:t>S</w:t>
      </w:r>
      <w:r w:rsidR="00921BB0">
        <w:rPr>
          <w:b/>
          <w:bCs/>
        </w:rPr>
        <w:t xml:space="preserve">eal of </w:t>
      </w:r>
      <w:r w:rsidRPr="00875934">
        <w:rPr>
          <w:b/>
          <w:bCs/>
        </w:rPr>
        <w:t>C</w:t>
      </w:r>
      <w:r w:rsidR="00921BB0">
        <w:rPr>
          <w:b/>
          <w:bCs/>
        </w:rPr>
        <w:t xml:space="preserve">ivic </w:t>
      </w:r>
      <w:r w:rsidRPr="00875934">
        <w:rPr>
          <w:b/>
          <w:bCs/>
        </w:rPr>
        <w:t>E</w:t>
      </w:r>
      <w:r w:rsidR="00921BB0">
        <w:rPr>
          <w:b/>
          <w:bCs/>
        </w:rPr>
        <w:t>ngagement</w:t>
      </w:r>
      <w:r w:rsidRPr="00875934">
        <w:rPr>
          <w:b/>
          <w:bCs/>
        </w:rPr>
        <w:t xml:space="preserve"> Insignia Request Data</w:t>
      </w:r>
    </w:p>
    <w:tbl>
      <w:tblPr>
        <w:tblStyle w:val="TableGrid"/>
        <w:tblW w:w="0" w:type="auto"/>
        <w:tblLook w:val="04A0" w:firstRow="1" w:lastRow="0" w:firstColumn="1" w:lastColumn="0" w:noHBand="0" w:noVBand="1"/>
        <w:tblCaption w:val="Table 1: Statewide State Seal of Civic Engagement Insignia Request Data"/>
        <w:tblDescription w:val="Table that shows the amount and distribution of State Seal of Civic Engagement insignias requested for the 2020–21, 2021–22, and 2022–23 school years. "/>
      </w:tblPr>
      <w:tblGrid>
        <w:gridCol w:w="3235"/>
        <w:gridCol w:w="1890"/>
        <w:gridCol w:w="2160"/>
        <w:gridCol w:w="2065"/>
      </w:tblGrid>
      <w:tr w:rsidR="00137B75" w:rsidRPr="00B31A89" w14:paraId="2B0E7695" w14:textId="77777777" w:rsidTr="005B0134">
        <w:trPr>
          <w:cantSplit/>
          <w:trHeight w:val="368"/>
          <w:tblHeader/>
        </w:trPr>
        <w:tc>
          <w:tcPr>
            <w:tcW w:w="3235" w:type="dxa"/>
            <w:shd w:val="clear" w:color="auto" w:fill="BFBFBF" w:themeFill="background1" w:themeFillShade="BF"/>
            <w:vAlign w:val="center"/>
          </w:tcPr>
          <w:p w14:paraId="10217BF9" w14:textId="30B92DD2" w:rsidR="00137B75" w:rsidRPr="00B31A89" w:rsidRDefault="0068536F" w:rsidP="00BD0001">
            <w:pPr>
              <w:spacing w:line="276" w:lineRule="auto"/>
              <w:jc w:val="center"/>
              <w:rPr>
                <w:b/>
                <w:szCs w:val="24"/>
              </w:rPr>
            </w:pPr>
            <w:r>
              <w:rPr>
                <w:b/>
                <w:szCs w:val="24"/>
              </w:rPr>
              <w:t>Document Insignia</w:t>
            </w:r>
            <w:r w:rsidR="00F657DD">
              <w:rPr>
                <w:b/>
                <w:szCs w:val="24"/>
              </w:rPr>
              <w:t xml:space="preserve"> was Affixed On</w:t>
            </w:r>
            <w:r w:rsidR="00C71E58">
              <w:rPr>
                <w:b/>
                <w:szCs w:val="24"/>
              </w:rPr>
              <w:t>to</w:t>
            </w:r>
          </w:p>
        </w:tc>
        <w:tc>
          <w:tcPr>
            <w:tcW w:w="1890" w:type="dxa"/>
            <w:shd w:val="clear" w:color="auto" w:fill="BFBFBF" w:themeFill="background1" w:themeFillShade="BF"/>
            <w:vAlign w:val="center"/>
          </w:tcPr>
          <w:p w14:paraId="6F9DAEA9" w14:textId="33DDD55E" w:rsidR="00137B75" w:rsidRPr="00B31A89" w:rsidRDefault="00137B75" w:rsidP="00CD2A1C">
            <w:pPr>
              <w:spacing w:line="360" w:lineRule="auto"/>
              <w:jc w:val="center"/>
              <w:rPr>
                <w:b/>
                <w:szCs w:val="24"/>
              </w:rPr>
            </w:pPr>
            <w:r w:rsidRPr="00B31A89">
              <w:rPr>
                <w:b/>
                <w:szCs w:val="24"/>
              </w:rPr>
              <w:t>2022–23</w:t>
            </w:r>
          </w:p>
        </w:tc>
        <w:tc>
          <w:tcPr>
            <w:tcW w:w="2160" w:type="dxa"/>
            <w:shd w:val="clear" w:color="auto" w:fill="BFBFBF" w:themeFill="background1" w:themeFillShade="BF"/>
            <w:vAlign w:val="center"/>
          </w:tcPr>
          <w:p w14:paraId="0F4273DF" w14:textId="77777777" w:rsidR="00137B75" w:rsidRPr="00B31A89" w:rsidRDefault="00137B75" w:rsidP="00CD2A1C">
            <w:pPr>
              <w:spacing w:line="360" w:lineRule="auto"/>
              <w:jc w:val="center"/>
              <w:rPr>
                <w:b/>
                <w:szCs w:val="24"/>
              </w:rPr>
            </w:pPr>
            <w:r w:rsidRPr="00B31A89">
              <w:rPr>
                <w:b/>
                <w:szCs w:val="24"/>
              </w:rPr>
              <w:t>2021–22</w:t>
            </w:r>
          </w:p>
        </w:tc>
        <w:tc>
          <w:tcPr>
            <w:tcW w:w="2065" w:type="dxa"/>
            <w:shd w:val="clear" w:color="auto" w:fill="BFBFBF" w:themeFill="background1" w:themeFillShade="BF"/>
            <w:vAlign w:val="center"/>
          </w:tcPr>
          <w:p w14:paraId="0363E9D6" w14:textId="77777777" w:rsidR="00137B75" w:rsidRPr="00B31A89" w:rsidRDefault="00137B75" w:rsidP="00CD2A1C">
            <w:pPr>
              <w:spacing w:line="360" w:lineRule="auto"/>
              <w:jc w:val="center"/>
              <w:rPr>
                <w:b/>
                <w:szCs w:val="24"/>
              </w:rPr>
            </w:pPr>
            <w:r w:rsidRPr="00B31A89">
              <w:rPr>
                <w:b/>
                <w:szCs w:val="24"/>
              </w:rPr>
              <w:t>2020–21</w:t>
            </w:r>
          </w:p>
        </w:tc>
      </w:tr>
      <w:tr w:rsidR="00137B75" w:rsidRPr="00B31A89" w14:paraId="63AE8A69" w14:textId="77777777" w:rsidTr="006555C5">
        <w:tc>
          <w:tcPr>
            <w:tcW w:w="3235" w:type="dxa"/>
          </w:tcPr>
          <w:p w14:paraId="64E802AD" w14:textId="77777777" w:rsidR="00137B75" w:rsidRPr="00B31A89" w:rsidRDefault="00137B75" w:rsidP="006555C5">
            <w:pPr>
              <w:spacing w:line="360" w:lineRule="auto"/>
              <w:rPr>
                <w:szCs w:val="24"/>
              </w:rPr>
            </w:pPr>
            <w:r w:rsidRPr="00B31A89">
              <w:rPr>
                <w:szCs w:val="24"/>
              </w:rPr>
              <w:t>Diplomas</w:t>
            </w:r>
          </w:p>
        </w:tc>
        <w:tc>
          <w:tcPr>
            <w:tcW w:w="1890" w:type="dxa"/>
          </w:tcPr>
          <w:p w14:paraId="33BB8ACE" w14:textId="7A44B3B8" w:rsidR="00137B75" w:rsidRPr="00B31A89" w:rsidRDefault="00906B4C" w:rsidP="005B0134">
            <w:pPr>
              <w:spacing w:line="360" w:lineRule="auto"/>
              <w:jc w:val="center"/>
              <w:rPr>
                <w:color w:val="000000" w:themeColor="dark1"/>
                <w:kern w:val="24"/>
                <w:szCs w:val="24"/>
              </w:rPr>
            </w:pPr>
            <w:r w:rsidRPr="00B31A89">
              <w:rPr>
                <w:color w:val="000000" w:themeColor="dark1"/>
                <w:kern w:val="24"/>
                <w:szCs w:val="24"/>
              </w:rPr>
              <w:t>9,876</w:t>
            </w:r>
          </w:p>
        </w:tc>
        <w:tc>
          <w:tcPr>
            <w:tcW w:w="2160" w:type="dxa"/>
          </w:tcPr>
          <w:p w14:paraId="3CC8C027" w14:textId="77777777" w:rsidR="00137B75" w:rsidRPr="00B31A89" w:rsidRDefault="00137B75" w:rsidP="005B0134">
            <w:pPr>
              <w:spacing w:line="360" w:lineRule="auto"/>
              <w:jc w:val="center"/>
              <w:rPr>
                <w:szCs w:val="24"/>
              </w:rPr>
            </w:pPr>
            <w:r w:rsidRPr="00B31A89">
              <w:rPr>
                <w:color w:val="000000" w:themeColor="dark1"/>
                <w:kern w:val="24"/>
                <w:szCs w:val="24"/>
              </w:rPr>
              <w:t>8,354</w:t>
            </w:r>
          </w:p>
        </w:tc>
        <w:tc>
          <w:tcPr>
            <w:tcW w:w="2065" w:type="dxa"/>
          </w:tcPr>
          <w:p w14:paraId="7C805E4C" w14:textId="77777777" w:rsidR="00137B75" w:rsidRPr="00B31A89" w:rsidRDefault="00137B75" w:rsidP="005B0134">
            <w:pPr>
              <w:spacing w:line="360" w:lineRule="auto"/>
              <w:jc w:val="center"/>
              <w:rPr>
                <w:szCs w:val="24"/>
              </w:rPr>
            </w:pPr>
            <w:r w:rsidRPr="00B31A89">
              <w:rPr>
                <w:color w:val="000000" w:themeColor="dark1"/>
                <w:kern w:val="24"/>
                <w:szCs w:val="24"/>
              </w:rPr>
              <w:t>4,794</w:t>
            </w:r>
          </w:p>
        </w:tc>
      </w:tr>
      <w:tr w:rsidR="00137B75" w:rsidRPr="00B31A89" w14:paraId="18593931" w14:textId="77777777" w:rsidTr="006555C5">
        <w:tc>
          <w:tcPr>
            <w:tcW w:w="3235" w:type="dxa"/>
          </w:tcPr>
          <w:p w14:paraId="3A00C146" w14:textId="608A02A3" w:rsidR="00137B75" w:rsidRPr="00B31A89" w:rsidRDefault="00540236" w:rsidP="006555C5">
            <w:pPr>
              <w:spacing w:after="120"/>
              <w:rPr>
                <w:szCs w:val="24"/>
              </w:rPr>
            </w:pPr>
            <w:r>
              <w:rPr>
                <w:szCs w:val="24"/>
              </w:rPr>
              <w:t>G</w:t>
            </w:r>
            <w:r>
              <w:t>eneral Education Development</w:t>
            </w:r>
            <w:r w:rsidR="00137B75" w:rsidRPr="00B31A89">
              <w:rPr>
                <w:szCs w:val="24"/>
              </w:rPr>
              <w:t xml:space="preserve"> Certificates</w:t>
            </w:r>
          </w:p>
        </w:tc>
        <w:tc>
          <w:tcPr>
            <w:tcW w:w="1890" w:type="dxa"/>
          </w:tcPr>
          <w:p w14:paraId="4A03802F" w14:textId="77777777" w:rsidR="00137B75" w:rsidRPr="00B31A89" w:rsidRDefault="00137B75" w:rsidP="005B0134">
            <w:pPr>
              <w:spacing w:line="360" w:lineRule="auto"/>
              <w:jc w:val="center"/>
              <w:rPr>
                <w:color w:val="000000" w:themeColor="dark1"/>
                <w:kern w:val="24"/>
                <w:szCs w:val="24"/>
              </w:rPr>
            </w:pPr>
            <w:r w:rsidRPr="00B31A89">
              <w:rPr>
                <w:color w:val="000000" w:themeColor="dark1"/>
                <w:kern w:val="24"/>
                <w:szCs w:val="24"/>
              </w:rPr>
              <w:t>2</w:t>
            </w:r>
          </w:p>
        </w:tc>
        <w:tc>
          <w:tcPr>
            <w:tcW w:w="2160" w:type="dxa"/>
          </w:tcPr>
          <w:p w14:paraId="0359582E" w14:textId="77777777" w:rsidR="00137B75" w:rsidRPr="00B31A89" w:rsidRDefault="00137B75" w:rsidP="005B0134">
            <w:pPr>
              <w:spacing w:line="360" w:lineRule="auto"/>
              <w:jc w:val="center"/>
              <w:rPr>
                <w:szCs w:val="24"/>
              </w:rPr>
            </w:pPr>
            <w:r w:rsidRPr="00B31A89">
              <w:rPr>
                <w:color w:val="000000" w:themeColor="dark1"/>
                <w:kern w:val="24"/>
                <w:szCs w:val="24"/>
              </w:rPr>
              <w:t>0</w:t>
            </w:r>
          </w:p>
        </w:tc>
        <w:tc>
          <w:tcPr>
            <w:tcW w:w="2065" w:type="dxa"/>
          </w:tcPr>
          <w:p w14:paraId="15988CAB" w14:textId="77777777" w:rsidR="00137B75" w:rsidRPr="00B31A89" w:rsidRDefault="00137B75" w:rsidP="005B0134">
            <w:pPr>
              <w:spacing w:line="360" w:lineRule="auto"/>
              <w:jc w:val="center"/>
              <w:rPr>
                <w:szCs w:val="24"/>
              </w:rPr>
            </w:pPr>
            <w:r w:rsidRPr="00B31A89">
              <w:rPr>
                <w:color w:val="000000" w:themeColor="dark1"/>
                <w:kern w:val="24"/>
                <w:szCs w:val="24"/>
              </w:rPr>
              <w:t>6</w:t>
            </w:r>
          </w:p>
        </w:tc>
      </w:tr>
      <w:tr w:rsidR="00137B75" w:rsidRPr="00B31A89" w14:paraId="4D00D5AC" w14:textId="77777777" w:rsidTr="006555C5">
        <w:tc>
          <w:tcPr>
            <w:tcW w:w="3235" w:type="dxa"/>
          </w:tcPr>
          <w:p w14:paraId="31F3C1B4" w14:textId="77777777" w:rsidR="00137B75" w:rsidRPr="00B31A89" w:rsidRDefault="00137B75" w:rsidP="006555C5">
            <w:pPr>
              <w:spacing w:line="360" w:lineRule="auto"/>
              <w:rPr>
                <w:szCs w:val="24"/>
              </w:rPr>
            </w:pPr>
            <w:r w:rsidRPr="00B31A89">
              <w:rPr>
                <w:szCs w:val="24"/>
              </w:rPr>
              <w:t>Certificates of Completion</w:t>
            </w:r>
          </w:p>
        </w:tc>
        <w:tc>
          <w:tcPr>
            <w:tcW w:w="1890" w:type="dxa"/>
          </w:tcPr>
          <w:p w14:paraId="6F5AD301" w14:textId="77777777" w:rsidR="00137B75" w:rsidRPr="00B31A89" w:rsidRDefault="00137B75" w:rsidP="005B0134">
            <w:pPr>
              <w:spacing w:line="360" w:lineRule="auto"/>
              <w:jc w:val="center"/>
              <w:rPr>
                <w:color w:val="000000" w:themeColor="dark1"/>
                <w:kern w:val="24"/>
                <w:szCs w:val="24"/>
              </w:rPr>
            </w:pPr>
            <w:r w:rsidRPr="00B31A89">
              <w:rPr>
                <w:color w:val="000000" w:themeColor="dark1"/>
                <w:kern w:val="24"/>
                <w:szCs w:val="24"/>
              </w:rPr>
              <w:t>14</w:t>
            </w:r>
          </w:p>
        </w:tc>
        <w:tc>
          <w:tcPr>
            <w:tcW w:w="2160" w:type="dxa"/>
          </w:tcPr>
          <w:p w14:paraId="0A5DCB8C" w14:textId="77777777" w:rsidR="00137B75" w:rsidRPr="00B31A89" w:rsidRDefault="00137B75" w:rsidP="005B0134">
            <w:pPr>
              <w:spacing w:line="360" w:lineRule="auto"/>
              <w:jc w:val="center"/>
              <w:rPr>
                <w:szCs w:val="24"/>
              </w:rPr>
            </w:pPr>
            <w:r w:rsidRPr="00B31A89">
              <w:rPr>
                <w:color w:val="000000" w:themeColor="dark1"/>
                <w:kern w:val="24"/>
                <w:szCs w:val="24"/>
              </w:rPr>
              <w:t>59</w:t>
            </w:r>
          </w:p>
        </w:tc>
        <w:tc>
          <w:tcPr>
            <w:tcW w:w="2065" w:type="dxa"/>
          </w:tcPr>
          <w:p w14:paraId="4B5668D7" w14:textId="77777777" w:rsidR="00137B75" w:rsidRPr="00B31A89" w:rsidRDefault="00137B75" w:rsidP="005B0134">
            <w:pPr>
              <w:spacing w:line="360" w:lineRule="auto"/>
              <w:jc w:val="center"/>
              <w:rPr>
                <w:szCs w:val="24"/>
              </w:rPr>
            </w:pPr>
            <w:r w:rsidRPr="00B31A89">
              <w:rPr>
                <w:color w:val="000000" w:themeColor="dark1"/>
                <w:kern w:val="24"/>
                <w:szCs w:val="24"/>
              </w:rPr>
              <w:t>7</w:t>
            </w:r>
          </w:p>
        </w:tc>
      </w:tr>
      <w:tr w:rsidR="00137B75" w:rsidRPr="00B31A89" w14:paraId="3CEA8C61" w14:textId="77777777" w:rsidTr="006555C5">
        <w:tc>
          <w:tcPr>
            <w:tcW w:w="3235" w:type="dxa"/>
          </w:tcPr>
          <w:p w14:paraId="341211F5" w14:textId="77777777" w:rsidR="00137B75" w:rsidRPr="00B31A89" w:rsidRDefault="00137B75" w:rsidP="006555C5">
            <w:pPr>
              <w:spacing w:line="360" w:lineRule="auto"/>
              <w:rPr>
                <w:szCs w:val="24"/>
              </w:rPr>
            </w:pPr>
            <w:r w:rsidRPr="00B31A89">
              <w:rPr>
                <w:szCs w:val="24"/>
              </w:rPr>
              <w:t>Grade Eleven Transcripts</w:t>
            </w:r>
          </w:p>
        </w:tc>
        <w:tc>
          <w:tcPr>
            <w:tcW w:w="1890" w:type="dxa"/>
          </w:tcPr>
          <w:p w14:paraId="3447C21D" w14:textId="3FDE02D2" w:rsidR="00137B75" w:rsidRPr="00B31A89" w:rsidRDefault="00906B4C" w:rsidP="005B0134">
            <w:pPr>
              <w:spacing w:line="360" w:lineRule="auto"/>
              <w:jc w:val="center"/>
              <w:rPr>
                <w:color w:val="000000" w:themeColor="dark1"/>
                <w:kern w:val="24"/>
                <w:szCs w:val="24"/>
              </w:rPr>
            </w:pPr>
            <w:r w:rsidRPr="00B31A89">
              <w:rPr>
                <w:color w:val="000000" w:themeColor="dark1"/>
                <w:kern w:val="24"/>
                <w:szCs w:val="24"/>
              </w:rPr>
              <w:t>136</w:t>
            </w:r>
          </w:p>
        </w:tc>
        <w:tc>
          <w:tcPr>
            <w:tcW w:w="2160" w:type="dxa"/>
          </w:tcPr>
          <w:p w14:paraId="3FEEB1C5" w14:textId="77777777" w:rsidR="00137B75" w:rsidRPr="00B31A89" w:rsidRDefault="00137B75" w:rsidP="005B0134">
            <w:pPr>
              <w:spacing w:line="360" w:lineRule="auto"/>
              <w:jc w:val="center"/>
              <w:rPr>
                <w:szCs w:val="24"/>
              </w:rPr>
            </w:pPr>
            <w:r w:rsidRPr="00B31A89">
              <w:rPr>
                <w:color w:val="000000" w:themeColor="dark1"/>
                <w:kern w:val="24"/>
                <w:szCs w:val="24"/>
              </w:rPr>
              <w:t>61</w:t>
            </w:r>
          </w:p>
        </w:tc>
        <w:tc>
          <w:tcPr>
            <w:tcW w:w="2065" w:type="dxa"/>
          </w:tcPr>
          <w:p w14:paraId="4326A73C" w14:textId="6F6E52BA" w:rsidR="00137B75" w:rsidRPr="00B31A89" w:rsidRDefault="00137B75" w:rsidP="005B0134">
            <w:pPr>
              <w:spacing w:after="120"/>
              <w:jc w:val="center"/>
              <w:rPr>
                <w:szCs w:val="24"/>
              </w:rPr>
            </w:pPr>
            <w:r w:rsidRPr="00B31A89">
              <w:rPr>
                <w:color w:val="000000" w:themeColor="dark1"/>
                <w:kern w:val="24"/>
                <w:szCs w:val="24"/>
              </w:rPr>
              <w:t>552</w:t>
            </w:r>
            <w:r w:rsidR="006555C5">
              <w:rPr>
                <w:color w:val="000000" w:themeColor="dark1"/>
                <w:kern w:val="24"/>
                <w:szCs w:val="24"/>
              </w:rPr>
              <w:t xml:space="preserve"> </w:t>
            </w:r>
            <w:r w:rsidR="006555C5">
              <w:rPr>
                <w:color w:val="000000" w:themeColor="dark1"/>
                <w:kern w:val="24"/>
              </w:rPr>
              <w:t>(total for grades eleven and twelve)</w:t>
            </w:r>
          </w:p>
        </w:tc>
      </w:tr>
      <w:tr w:rsidR="00137B75" w:rsidRPr="00B31A89" w14:paraId="6C24537C" w14:textId="77777777" w:rsidTr="006555C5">
        <w:tc>
          <w:tcPr>
            <w:tcW w:w="3235" w:type="dxa"/>
          </w:tcPr>
          <w:p w14:paraId="0D182814" w14:textId="77777777" w:rsidR="00137B75" w:rsidRPr="00B31A89" w:rsidRDefault="00137B75" w:rsidP="006555C5">
            <w:pPr>
              <w:spacing w:line="360" w:lineRule="auto"/>
              <w:rPr>
                <w:szCs w:val="24"/>
              </w:rPr>
            </w:pPr>
            <w:r w:rsidRPr="00B31A89">
              <w:rPr>
                <w:szCs w:val="24"/>
              </w:rPr>
              <w:t>Grade Twelve Transcripts</w:t>
            </w:r>
          </w:p>
        </w:tc>
        <w:tc>
          <w:tcPr>
            <w:tcW w:w="1890" w:type="dxa"/>
          </w:tcPr>
          <w:p w14:paraId="72C63BA3" w14:textId="40D1548A" w:rsidR="00137B75" w:rsidRPr="00B31A89" w:rsidRDefault="00137B75" w:rsidP="005B0134">
            <w:pPr>
              <w:spacing w:line="360" w:lineRule="auto"/>
              <w:jc w:val="center"/>
              <w:rPr>
                <w:color w:val="000000" w:themeColor="dark1"/>
                <w:kern w:val="24"/>
                <w:szCs w:val="24"/>
              </w:rPr>
            </w:pPr>
            <w:r w:rsidRPr="00B31A89">
              <w:rPr>
                <w:color w:val="000000" w:themeColor="dark1"/>
                <w:kern w:val="24"/>
                <w:szCs w:val="24"/>
              </w:rPr>
              <w:t>2,</w:t>
            </w:r>
            <w:r w:rsidR="00906B4C" w:rsidRPr="00B31A89">
              <w:rPr>
                <w:color w:val="000000" w:themeColor="dark1"/>
                <w:kern w:val="24"/>
                <w:szCs w:val="24"/>
              </w:rPr>
              <w:t>531</w:t>
            </w:r>
          </w:p>
        </w:tc>
        <w:tc>
          <w:tcPr>
            <w:tcW w:w="2160" w:type="dxa"/>
          </w:tcPr>
          <w:p w14:paraId="39EADB25" w14:textId="77777777" w:rsidR="00137B75" w:rsidRPr="00B31A89" w:rsidRDefault="00137B75" w:rsidP="005B0134">
            <w:pPr>
              <w:spacing w:line="360" w:lineRule="auto"/>
              <w:jc w:val="center"/>
              <w:rPr>
                <w:szCs w:val="24"/>
              </w:rPr>
            </w:pPr>
            <w:r w:rsidRPr="00B31A89">
              <w:rPr>
                <w:color w:val="000000" w:themeColor="dark1"/>
                <w:kern w:val="24"/>
                <w:szCs w:val="24"/>
              </w:rPr>
              <w:t>1,630</w:t>
            </w:r>
          </w:p>
        </w:tc>
        <w:tc>
          <w:tcPr>
            <w:tcW w:w="2065" w:type="dxa"/>
          </w:tcPr>
          <w:p w14:paraId="01E5E8E5" w14:textId="75DB5491" w:rsidR="00137B75" w:rsidRPr="00B31A89" w:rsidRDefault="003C50D9" w:rsidP="005B0134">
            <w:pPr>
              <w:spacing w:line="360" w:lineRule="auto"/>
              <w:jc w:val="center"/>
              <w:rPr>
                <w:szCs w:val="24"/>
              </w:rPr>
            </w:pPr>
            <w:r>
              <w:rPr>
                <w:szCs w:val="24"/>
              </w:rPr>
              <w:t>*</w:t>
            </w:r>
          </w:p>
        </w:tc>
      </w:tr>
      <w:tr w:rsidR="00137B75" w:rsidRPr="00B31A89" w14:paraId="5B5C7A0C" w14:textId="77777777" w:rsidTr="00174340">
        <w:tc>
          <w:tcPr>
            <w:tcW w:w="3235" w:type="dxa"/>
            <w:shd w:val="clear" w:color="auto" w:fill="F2F2F2" w:themeFill="background1" w:themeFillShade="F2"/>
            <w:vAlign w:val="center"/>
          </w:tcPr>
          <w:p w14:paraId="48A3A207" w14:textId="77777777" w:rsidR="00137B75" w:rsidRPr="00B31A89" w:rsidRDefault="00137B75" w:rsidP="00BD0001">
            <w:pPr>
              <w:spacing w:line="360" w:lineRule="auto"/>
              <w:rPr>
                <w:b/>
                <w:szCs w:val="24"/>
              </w:rPr>
            </w:pPr>
            <w:r w:rsidRPr="00B31A89">
              <w:rPr>
                <w:b/>
                <w:szCs w:val="24"/>
              </w:rPr>
              <w:t>Total</w:t>
            </w:r>
          </w:p>
        </w:tc>
        <w:tc>
          <w:tcPr>
            <w:tcW w:w="1890" w:type="dxa"/>
            <w:shd w:val="clear" w:color="auto" w:fill="F2F2F2" w:themeFill="background1" w:themeFillShade="F2"/>
            <w:vAlign w:val="center"/>
          </w:tcPr>
          <w:p w14:paraId="488BB930" w14:textId="27909CA3" w:rsidR="00137B75" w:rsidRPr="00B31A89" w:rsidRDefault="00137B75" w:rsidP="005B0134">
            <w:pPr>
              <w:spacing w:line="360" w:lineRule="auto"/>
              <w:jc w:val="center"/>
              <w:rPr>
                <w:b/>
                <w:color w:val="000000" w:themeColor="dark1"/>
                <w:kern w:val="24"/>
                <w:szCs w:val="24"/>
              </w:rPr>
            </w:pPr>
            <w:r w:rsidRPr="00B31A89">
              <w:rPr>
                <w:b/>
                <w:color w:val="000000" w:themeColor="dark1"/>
                <w:kern w:val="24"/>
                <w:szCs w:val="24"/>
              </w:rPr>
              <w:t>12,</w:t>
            </w:r>
            <w:r w:rsidR="00906B4C" w:rsidRPr="00B31A89">
              <w:rPr>
                <w:b/>
                <w:color w:val="000000" w:themeColor="dark1"/>
                <w:kern w:val="24"/>
                <w:szCs w:val="24"/>
              </w:rPr>
              <w:t>559</w:t>
            </w:r>
            <w:r w:rsidRPr="00B31A89">
              <w:rPr>
                <w:b/>
                <w:color w:val="000000" w:themeColor="dark1"/>
                <w:kern w:val="24"/>
                <w:szCs w:val="24"/>
              </w:rPr>
              <w:t xml:space="preserve"> </w:t>
            </w:r>
            <w:r w:rsidR="000C32E5">
              <w:rPr>
                <w:b/>
                <w:color w:val="000000" w:themeColor="dark1"/>
                <w:kern w:val="24"/>
                <w:szCs w:val="24"/>
              </w:rPr>
              <w:br/>
            </w:r>
            <w:r w:rsidRPr="00B31A89">
              <w:rPr>
                <w:bCs/>
                <w:color w:val="000000" w:themeColor="dark1"/>
                <w:kern w:val="24"/>
                <w:szCs w:val="24"/>
              </w:rPr>
              <w:t>(</w:t>
            </w:r>
            <w:r w:rsidR="004D0D9C" w:rsidRPr="00B31A89">
              <w:rPr>
                <w:bCs/>
                <w:color w:val="000000" w:themeColor="dark1"/>
                <w:kern w:val="24"/>
                <w:szCs w:val="24"/>
              </w:rPr>
              <w:t>86</w:t>
            </w:r>
            <w:r w:rsidRPr="00B31A89">
              <w:rPr>
                <w:bCs/>
                <w:color w:val="000000" w:themeColor="dark1"/>
                <w:kern w:val="24"/>
                <w:szCs w:val="24"/>
              </w:rPr>
              <w:t xml:space="preserve"> districts)</w:t>
            </w:r>
          </w:p>
        </w:tc>
        <w:tc>
          <w:tcPr>
            <w:tcW w:w="2160" w:type="dxa"/>
            <w:shd w:val="clear" w:color="auto" w:fill="F2F2F2" w:themeFill="background1" w:themeFillShade="F2"/>
            <w:vAlign w:val="center"/>
          </w:tcPr>
          <w:p w14:paraId="334C4DB1" w14:textId="71D5D6E1" w:rsidR="00137B75" w:rsidRPr="00B31A89" w:rsidRDefault="00137B75" w:rsidP="005B0134">
            <w:pPr>
              <w:spacing w:line="360" w:lineRule="auto"/>
              <w:jc w:val="center"/>
              <w:rPr>
                <w:b/>
                <w:szCs w:val="24"/>
              </w:rPr>
            </w:pPr>
            <w:r w:rsidRPr="00B31A89">
              <w:rPr>
                <w:b/>
                <w:color w:val="000000" w:themeColor="dark1"/>
                <w:kern w:val="24"/>
                <w:szCs w:val="24"/>
              </w:rPr>
              <w:t xml:space="preserve">10,104 </w:t>
            </w:r>
            <w:r w:rsidR="000C32E5">
              <w:rPr>
                <w:b/>
                <w:color w:val="000000" w:themeColor="dark1"/>
                <w:kern w:val="24"/>
                <w:szCs w:val="24"/>
              </w:rPr>
              <w:br/>
            </w:r>
            <w:r w:rsidRPr="00B31A89">
              <w:rPr>
                <w:color w:val="000000" w:themeColor="dark1"/>
                <w:kern w:val="24"/>
                <w:szCs w:val="24"/>
              </w:rPr>
              <w:t>(65 districts)</w:t>
            </w:r>
          </w:p>
        </w:tc>
        <w:tc>
          <w:tcPr>
            <w:tcW w:w="2065" w:type="dxa"/>
            <w:shd w:val="clear" w:color="auto" w:fill="F2F2F2" w:themeFill="background1" w:themeFillShade="F2"/>
            <w:vAlign w:val="center"/>
          </w:tcPr>
          <w:p w14:paraId="114D3E52" w14:textId="33A16263" w:rsidR="00137B75" w:rsidRPr="00B31A89" w:rsidRDefault="00137B75" w:rsidP="005B0134">
            <w:pPr>
              <w:spacing w:line="360" w:lineRule="auto"/>
              <w:jc w:val="center"/>
              <w:rPr>
                <w:b/>
                <w:szCs w:val="24"/>
              </w:rPr>
            </w:pPr>
            <w:r w:rsidRPr="00B31A89">
              <w:rPr>
                <w:b/>
                <w:color w:val="000000" w:themeColor="dark1"/>
                <w:kern w:val="24"/>
                <w:szCs w:val="24"/>
              </w:rPr>
              <w:t xml:space="preserve">5,359 </w:t>
            </w:r>
            <w:r w:rsidR="000C32E5">
              <w:rPr>
                <w:b/>
                <w:color w:val="000000" w:themeColor="dark1"/>
                <w:kern w:val="24"/>
                <w:szCs w:val="24"/>
              </w:rPr>
              <w:br/>
            </w:r>
            <w:r w:rsidRPr="00B31A89">
              <w:rPr>
                <w:color w:val="000000" w:themeColor="dark1"/>
                <w:kern w:val="24"/>
                <w:szCs w:val="24"/>
              </w:rPr>
              <w:t>(28 districts)</w:t>
            </w:r>
          </w:p>
        </w:tc>
      </w:tr>
    </w:tbl>
    <w:p w14:paraId="333B9720" w14:textId="77777777" w:rsidR="00137B75" w:rsidRPr="00B31A89" w:rsidRDefault="00137B75" w:rsidP="00BD0001">
      <w:pPr>
        <w:spacing w:after="0"/>
        <w:rPr>
          <w:lang w:val="en"/>
        </w:rPr>
      </w:pPr>
    </w:p>
    <w:p w14:paraId="00DFB17D" w14:textId="6E340CB2" w:rsidR="002C4CC7" w:rsidRPr="00B31A89" w:rsidRDefault="00773A25" w:rsidP="000F7CCC">
      <w:pPr>
        <w:rPr>
          <w:lang w:val="en"/>
        </w:rPr>
      </w:pPr>
      <w:r w:rsidRPr="00B31A89">
        <w:rPr>
          <w:lang w:val="en"/>
        </w:rPr>
        <w:t xml:space="preserve">Statewide </w:t>
      </w:r>
      <w:r w:rsidR="002C4CC7" w:rsidRPr="00B31A89">
        <w:rPr>
          <w:lang w:val="en"/>
        </w:rPr>
        <w:t xml:space="preserve">SSCE request </w:t>
      </w:r>
      <w:r w:rsidRPr="00B31A89">
        <w:rPr>
          <w:lang w:val="en"/>
        </w:rPr>
        <w:t>data is available from the</w:t>
      </w:r>
      <w:r w:rsidR="002C4CC7" w:rsidRPr="00B31A89">
        <w:rPr>
          <w:lang w:val="en"/>
        </w:rPr>
        <w:t xml:space="preserve"> </w:t>
      </w:r>
      <w:r w:rsidR="001633D7">
        <w:rPr>
          <w:lang w:val="en"/>
        </w:rPr>
        <w:t xml:space="preserve">CDE </w:t>
      </w:r>
      <w:r w:rsidR="002C4CC7" w:rsidRPr="00B31A89">
        <w:rPr>
          <w:lang w:val="en"/>
        </w:rPr>
        <w:t xml:space="preserve">SSCE web page at </w:t>
      </w:r>
      <w:hyperlink r:id="rId19" w:tooltip="CDE State Seal of Civic Engagement web page" w:history="1">
        <w:r w:rsidR="002C4CC7" w:rsidRPr="00B31A89">
          <w:rPr>
            <w:rStyle w:val="Hyperlink"/>
            <w:lang w:val="en"/>
          </w:rPr>
          <w:t>https://www.cde.ca.gov/pd/ca/hs/hssstateseal.asp</w:t>
        </w:r>
      </w:hyperlink>
      <w:r w:rsidR="002C4CC7" w:rsidRPr="00B31A89">
        <w:rPr>
          <w:lang w:val="en"/>
        </w:rPr>
        <w:t>.</w:t>
      </w:r>
    </w:p>
    <w:p w14:paraId="14C49776" w14:textId="5DD801AC" w:rsidR="00610F49" w:rsidRPr="00B31A89" w:rsidRDefault="00610F49" w:rsidP="3BFC5438">
      <w:r w:rsidRPr="00B31A89">
        <w:t xml:space="preserve">Until the California Serves program was authorized, no statewide funding had been appropriated to the SSCE. </w:t>
      </w:r>
      <w:r w:rsidR="008E3423" w:rsidRPr="00B31A89">
        <w:t xml:space="preserve">The $5 million in annual grant funds allocated through the California Serves grant program, beginning with the 2022–23 </w:t>
      </w:r>
      <w:r w:rsidR="0062384F" w:rsidRPr="00B31A89">
        <w:t>school year</w:t>
      </w:r>
      <w:r w:rsidR="008E3423" w:rsidRPr="00B31A89">
        <w:t xml:space="preserve">, is the first example of </w:t>
      </w:r>
      <w:r w:rsidR="00066BE2" w:rsidRPr="00B31A89">
        <w:t xml:space="preserve">statewide </w:t>
      </w:r>
      <w:r w:rsidR="008E3423" w:rsidRPr="00B31A89">
        <w:t>funding to support the SSCE</w:t>
      </w:r>
      <w:r w:rsidR="002666FA" w:rsidRPr="00B31A89">
        <w:t xml:space="preserve">. This funding is intended to </w:t>
      </w:r>
      <w:r w:rsidR="002666FA" w:rsidRPr="00B31A89">
        <w:lastRenderedPageBreak/>
        <w:t>encourage</w:t>
      </w:r>
      <w:r w:rsidR="008E3423" w:rsidRPr="00B31A89">
        <w:t xml:space="preserve"> LEAs to create and expand </w:t>
      </w:r>
      <w:r w:rsidR="00066BE2" w:rsidRPr="00B31A89">
        <w:t>high</w:t>
      </w:r>
      <w:r w:rsidR="00662B56">
        <w:t>-</w:t>
      </w:r>
      <w:r w:rsidR="00066BE2" w:rsidRPr="00B31A89">
        <w:t xml:space="preserve">quality and equitable </w:t>
      </w:r>
      <w:r w:rsidR="00A346A4" w:rsidRPr="00B31A89">
        <w:t>service-learning</w:t>
      </w:r>
      <w:r w:rsidR="008E3423" w:rsidRPr="00B31A89">
        <w:t xml:space="preserve"> programs that lead to students earning </w:t>
      </w:r>
      <w:r w:rsidR="00F73121">
        <w:t>the</w:t>
      </w:r>
      <w:r w:rsidR="00066BE2" w:rsidRPr="00B31A89">
        <w:t xml:space="preserve"> SSCE.</w:t>
      </w:r>
    </w:p>
    <w:p w14:paraId="314B4A34" w14:textId="3030748E" w:rsidR="00677D09" w:rsidRPr="006B29EC" w:rsidRDefault="00415BCC" w:rsidP="00E37E0D">
      <w:pPr>
        <w:pStyle w:val="Heading2"/>
      </w:pPr>
      <w:bookmarkStart w:id="23" w:name="_Toc167277552"/>
      <w:r w:rsidRPr="006B29EC">
        <w:t>Historic</w:t>
      </w:r>
      <w:r w:rsidR="00677D09" w:rsidRPr="006B29EC">
        <w:t xml:space="preserve"> Context</w:t>
      </w:r>
      <w:bookmarkEnd w:id="23"/>
    </w:p>
    <w:p w14:paraId="7DCE92FF" w14:textId="12257EC6" w:rsidR="00677D09" w:rsidRPr="00B31A89" w:rsidRDefault="00BB4FAB" w:rsidP="3BFC5438">
      <w:r w:rsidRPr="00B31A89">
        <w:t xml:space="preserve">It is relatively common today for American public schools to include a community service, volunteer, and </w:t>
      </w:r>
      <w:r w:rsidR="00A346A4" w:rsidRPr="00B31A89">
        <w:t>service-learning</w:t>
      </w:r>
      <w:r w:rsidRPr="00B31A89">
        <w:t xml:space="preserve"> requirement that students must fulfill </w:t>
      </w:r>
      <w:r w:rsidR="00424D1F" w:rsidRPr="00B31A89">
        <w:t>to</w:t>
      </w:r>
      <w:r w:rsidRPr="00B31A89">
        <w:t xml:space="preserve"> graduate.</w:t>
      </w:r>
      <w:r w:rsidR="00837886" w:rsidRPr="00B31A89">
        <w:t xml:space="preserve"> Th</w:t>
      </w:r>
      <w:r w:rsidR="00424D1F" w:rsidRPr="00B31A89">
        <w:t>is movement began as part of</w:t>
      </w:r>
      <w:r w:rsidR="00837886" w:rsidRPr="00B31A89">
        <w:t xml:space="preserve"> educational reforms of the 1990s, which </w:t>
      </w:r>
      <w:r w:rsidR="004B2270" w:rsidRPr="00B31A89">
        <w:t xml:space="preserve">encouraged schools to harness the power of service to </w:t>
      </w:r>
      <w:r w:rsidR="00816EE4" w:rsidRPr="00B31A89">
        <w:t>further academic goals</w:t>
      </w:r>
      <w:r w:rsidR="00424D1F" w:rsidRPr="00B31A89">
        <w:t xml:space="preserve"> for students.</w:t>
      </w:r>
      <w:r w:rsidRPr="00B31A89">
        <w:t xml:space="preserve"> </w:t>
      </w:r>
      <w:r w:rsidR="00AB052E" w:rsidRPr="00B31A89">
        <w:t>For example, in 1990, President George H.</w:t>
      </w:r>
      <w:r w:rsidR="15FED661" w:rsidRPr="00B31A89">
        <w:t xml:space="preserve"> W.</w:t>
      </w:r>
      <w:r w:rsidR="00AB052E" w:rsidRPr="00B31A89">
        <w:t xml:space="preserve"> Bush signed into law the National and Community Service Act</w:t>
      </w:r>
      <w:r w:rsidR="00424D1F" w:rsidRPr="00B31A89">
        <w:t>, which was followed in 1993 by the National and Community Service Trust Act (which created AmeriCorps</w:t>
      </w:r>
      <w:r w:rsidR="003044C2" w:rsidRPr="00B31A89">
        <w:t xml:space="preserve"> as well as the Learn and Serve America programs</w:t>
      </w:r>
      <w:r w:rsidR="00424D1F" w:rsidRPr="00B31A89">
        <w:t>), signed into law by President Bill Clinton.</w:t>
      </w:r>
      <w:r w:rsidR="02CF202D" w:rsidRPr="00B31A89">
        <w:t xml:space="preserve"> In 1990,</w:t>
      </w:r>
      <w:r w:rsidR="00DD7A3C" w:rsidRPr="00B31A89">
        <w:t xml:space="preserve"> Maryland became the first state to require community service for high school graduates</w:t>
      </w:r>
      <w:r w:rsidR="00424D1F" w:rsidRPr="00B31A89">
        <w:t>.</w:t>
      </w:r>
      <w:r w:rsidR="00424D1F" w:rsidRPr="00B31A89">
        <w:rPr>
          <w:rStyle w:val="FootnoteReference"/>
        </w:rPr>
        <w:footnoteReference w:id="6"/>
      </w:r>
    </w:p>
    <w:p w14:paraId="6194DDD5" w14:textId="0C8A4FD8" w:rsidR="003044C2" w:rsidRPr="00B31A89" w:rsidRDefault="00415BCC" w:rsidP="3BFC5438">
      <w:r w:rsidRPr="00B31A89">
        <w:t>Specific to California,</w:t>
      </w:r>
      <w:r w:rsidR="003044C2" w:rsidRPr="00B31A89">
        <w:t xml:space="preserve"> the CalServe Initiative was established within the CDE in 1990, using federal funding provided through the National and Community Service Act.</w:t>
      </w:r>
      <w:r w:rsidR="008C7707" w:rsidRPr="00B31A89">
        <w:rPr>
          <w:rStyle w:val="FootnoteReference"/>
        </w:rPr>
        <w:footnoteReference w:id="7"/>
      </w:r>
      <w:r w:rsidR="003044C2" w:rsidRPr="00B31A89">
        <w:t xml:space="preserve"> From 1990 through 2012, CalServe funded California’s </w:t>
      </w:r>
      <w:r w:rsidR="001A4A92">
        <w:t>COEs</w:t>
      </w:r>
      <w:r w:rsidR="003044C2" w:rsidRPr="00B31A89">
        <w:t xml:space="preserve">, districts, and schools to support statewide implementation of </w:t>
      </w:r>
      <w:r w:rsidR="00A346A4" w:rsidRPr="00B31A89">
        <w:t>service-learning</w:t>
      </w:r>
      <w:r w:rsidR="003044C2" w:rsidRPr="00B31A89">
        <w:t>. Federal funding for Learn and Serve America was eliminated from the 2011–12 budget, which eliminated funding for CalServe.</w:t>
      </w:r>
    </w:p>
    <w:p w14:paraId="1F149C26" w14:textId="2EF6F495" w:rsidR="00415BCC" w:rsidRPr="00B31A89" w:rsidRDefault="003044C2" w:rsidP="3BFC5438">
      <w:r w:rsidRPr="00B31A89">
        <w:t>Relatedly,</w:t>
      </w:r>
      <w:r w:rsidR="00415BCC" w:rsidRPr="00B31A89">
        <w:t xml:space="preserve"> </w:t>
      </w:r>
      <w:r w:rsidR="00D4155E" w:rsidRPr="00B31A89">
        <w:t>in 2000</w:t>
      </w:r>
      <w:r w:rsidR="00A34BCD">
        <w:t>,</w:t>
      </w:r>
      <w:r w:rsidR="00D4155E" w:rsidRPr="00B31A89">
        <w:t xml:space="preserve"> </w:t>
      </w:r>
      <w:r w:rsidR="00415BCC" w:rsidRPr="00B31A89">
        <w:t>Governor Gray Davis</w:t>
      </w:r>
      <w:r w:rsidR="00D4155E" w:rsidRPr="00B31A89">
        <w:t xml:space="preserve"> </w:t>
      </w:r>
      <w:r w:rsidR="00C52E30" w:rsidRPr="00B31A89">
        <w:t>signed into law Senate Bill 984, which established</w:t>
      </w:r>
      <w:r w:rsidR="00D4155E" w:rsidRPr="00B31A89">
        <w:t xml:space="preserve"> C</w:t>
      </w:r>
      <w:r w:rsidR="00964CF4" w:rsidRPr="00B31A89">
        <w:t>é</w:t>
      </w:r>
      <w:r w:rsidR="00D4155E" w:rsidRPr="00B31A89">
        <w:t>sar Ch</w:t>
      </w:r>
      <w:r w:rsidR="00964CF4" w:rsidRPr="00B31A89">
        <w:t>á</w:t>
      </w:r>
      <w:r w:rsidR="00D4155E" w:rsidRPr="00B31A89">
        <w:t>vez Day</w:t>
      </w:r>
      <w:r w:rsidR="21D4D91B" w:rsidRPr="00B31A89">
        <w:t>,</w:t>
      </w:r>
      <w:r w:rsidR="002C0EEC" w:rsidRPr="00B31A89">
        <w:t xml:space="preserve"> as well as </w:t>
      </w:r>
      <w:r w:rsidR="003A55C5" w:rsidRPr="00B31A89">
        <w:t xml:space="preserve">the </w:t>
      </w:r>
      <w:r w:rsidR="00964CF4" w:rsidRPr="00B31A89">
        <w:t xml:space="preserve">César Chávez </w:t>
      </w:r>
      <w:r w:rsidR="003A55C5" w:rsidRPr="00B31A89">
        <w:t xml:space="preserve">Day of Service and Learning Program, authorizing public schools to </w:t>
      </w:r>
      <w:r w:rsidR="009E34FA" w:rsidRPr="00B31A89">
        <w:t xml:space="preserve">incorporate activities that encourage service and volunteerism by promoting the life of </w:t>
      </w:r>
      <w:r w:rsidR="00964CF4" w:rsidRPr="00B31A89">
        <w:t>César Chávez</w:t>
      </w:r>
      <w:r w:rsidR="009E34FA" w:rsidRPr="00B31A89">
        <w:t>.</w:t>
      </w:r>
      <w:r w:rsidR="00D44DE3" w:rsidRPr="00B31A89">
        <w:rPr>
          <w:rStyle w:val="FootnoteReference"/>
        </w:rPr>
        <w:footnoteReference w:id="8"/>
      </w:r>
    </w:p>
    <w:p w14:paraId="2D7E749A" w14:textId="1691D831" w:rsidR="00AA6E15" w:rsidRPr="006B29EC" w:rsidRDefault="00697052" w:rsidP="00E37E0D">
      <w:pPr>
        <w:pStyle w:val="Heading2"/>
      </w:pPr>
      <w:bookmarkStart w:id="24" w:name="_Toc167277553"/>
      <w:r w:rsidRPr="006B29EC">
        <w:t xml:space="preserve">Defining </w:t>
      </w:r>
      <w:r w:rsidR="00A346A4" w:rsidRPr="006B29EC">
        <w:t>Service-</w:t>
      </w:r>
      <w:r w:rsidR="006F2377" w:rsidRPr="006B29EC">
        <w:t>L</w:t>
      </w:r>
      <w:r w:rsidR="00A346A4" w:rsidRPr="006B29EC">
        <w:t>earning</w:t>
      </w:r>
      <w:bookmarkEnd w:id="24"/>
    </w:p>
    <w:p w14:paraId="058033C1" w14:textId="42C50AD0" w:rsidR="00FE32CB" w:rsidRPr="00B31A89" w:rsidRDefault="003413E3" w:rsidP="009A2AFD">
      <w:pPr>
        <w:rPr>
          <w:rFonts w:cs="Arial"/>
        </w:rPr>
      </w:pPr>
      <w:r w:rsidRPr="00B31A89">
        <w:rPr>
          <w:rFonts w:cs="Arial"/>
        </w:rPr>
        <w:t xml:space="preserve">Key terms used in this report are defined in </w:t>
      </w:r>
      <w:r w:rsidR="00562CEE">
        <w:rPr>
          <w:rFonts w:cs="Arial"/>
        </w:rPr>
        <w:t>a</w:t>
      </w:r>
      <w:r w:rsidRPr="00B31A89">
        <w:rPr>
          <w:rFonts w:cs="Arial"/>
        </w:rPr>
        <w:t xml:space="preserve">ppendix </w:t>
      </w:r>
      <w:r w:rsidR="00F22E7D" w:rsidRPr="00B31A89">
        <w:rPr>
          <w:rFonts w:cs="Arial"/>
        </w:rPr>
        <w:t>B</w:t>
      </w:r>
      <w:r w:rsidRPr="00B31A89">
        <w:rPr>
          <w:rFonts w:cs="Arial"/>
        </w:rPr>
        <w:t xml:space="preserve">. </w:t>
      </w:r>
      <w:r w:rsidR="00FE32CB" w:rsidRPr="00B31A89">
        <w:rPr>
          <w:rFonts w:cs="Arial"/>
        </w:rPr>
        <w:t xml:space="preserve">However, it is important to establish a clear conception of </w:t>
      </w:r>
      <w:r w:rsidR="00A346A4" w:rsidRPr="00B31A89">
        <w:rPr>
          <w:rFonts w:cs="Arial"/>
        </w:rPr>
        <w:t>service-learning</w:t>
      </w:r>
      <w:r w:rsidR="00FE32CB" w:rsidRPr="00B31A89">
        <w:rPr>
          <w:rFonts w:cs="Arial"/>
        </w:rPr>
        <w:t xml:space="preserve"> before making recommendations on effective implementation, especially given the tendency to equate </w:t>
      </w:r>
      <w:r w:rsidR="00A346A4" w:rsidRPr="00B31A89">
        <w:rPr>
          <w:rFonts w:cs="Arial"/>
        </w:rPr>
        <w:t>service-learning</w:t>
      </w:r>
      <w:r w:rsidR="00FE32CB" w:rsidRPr="00B31A89">
        <w:rPr>
          <w:rFonts w:cs="Arial"/>
        </w:rPr>
        <w:t xml:space="preserve"> with community service, volunteer work, or civic engagement in general.</w:t>
      </w:r>
    </w:p>
    <w:p w14:paraId="2BE0CF16" w14:textId="1C3C938C" w:rsidR="006368DE" w:rsidRPr="00B31A89" w:rsidRDefault="0035657B" w:rsidP="009A2AFD">
      <w:pPr>
        <w:rPr>
          <w:rFonts w:cs="Arial"/>
          <w:lang w:val="en"/>
        </w:rPr>
      </w:pPr>
      <w:r w:rsidRPr="00B31A89">
        <w:rPr>
          <w:rFonts w:cs="Arial"/>
          <w:lang w:val="en"/>
        </w:rPr>
        <w:t xml:space="preserve">The </w:t>
      </w:r>
      <w:r w:rsidR="008A346E" w:rsidRPr="00B31A89">
        <w:rPr>
          <w:rFonts w:cs="Arial"/>
          <w:lang w:val="en"/>
        </w:rPr>
        <w:t>1993</w:t>
      </w:r>
      <w:r w:rsidRPr="00B31A89">
        <w:rPr>
          <w:rFonts w:cs="Arial"/>
          <w:lang w:val="en"/>
        </w:rPr>
        <w:t xml:space="preserve"> National and Community Service </w:t>
      </w:r>
      <w:r w:rsidR="008A346E" w:rsidRPr="00B31A89">
        <w:rPr>
          <w:rFonts w:cs="Arial"/>
          <w:lang w:val="en"/>
        </w:rPr>
        <w:t xml:space="preserve">Trust </w:t>
      </w:r>
      <w:r w:rsidRPr="00B31A89">
        <w:rPr>
          <w:rFonts w:cs="Arial"/>
          <w:lang w:val="en"/>
        </w:rPr>
        <w:t>Act defined</w:t>
      </w:r>
      <w:r w:rsidR="005747D3" w:rsidRPr="00B31A89">
        <w:rPr>
          <w:rFonts w:cs="Arial"/>
          <w:lang w:val="en"/>
        </w:rPr>
        <w:t xml:space="preserve"> </w:t>
      </w:r>
      <w:r w:rsidR="00A346A4" w:rsidRPr="00B31A89">
        <w:rPr>
          <w:rFonts w:cs="Arial"/>
          <w:lang w:val="en"/>
        </w:rPr>
        <w:t>service-learning</w:t>
      </w:r>
      <w:r w:rsidR="005747D3" w:rsidRPr="00B31A89">
        <w:rPr>
          <w:rFonts w:cs="Arial"/>
          <w:lang w:val="en"/>
        </w:rPr>
        <w:t xml:space="preserve"> as </w:t>
      </w:r>
      <w:r w:rsidR="006368DE" w:rsidRPr="00B31A89">
        <w:rPr>
          <w:rFonts w:cs="Arial"/>
          <w:lang w:val="en"/>
        </w:rPr>
        <w:t xml:space="preserve">“an innovative instructional strategy that actively involves youth in the curriculum through </w:t>
      </w:r>
      <w:r w:rsidR="006368DE" w:rsidRPr="00B31A89">
        <w:rPr>
          <w:rFonts w:cs="Arial"/>
          <w:lang w:val="en"/>
        </w:rPr>
        <w:lastRenderedPageBreak/>
        <w:t xml:space="preserve">service to their community.” This differs from community service, volunteer work, and even civic engagement by </w:t>
      </w:r>
      <w:r w:rsidR="00BB7F6F" w:rsidRPr="00B31A89">
        <w:rPr>
          <w:rFonts w:cs="Arial"/>
          <w:lang w:val="en"/>
        </w:rPr>
        <w:t xml:space="preserve">purposefully integrating academic content, skills, and civic learning into service for one’s community. </w:t>
      </w:r>
      <w:r w:rsidR="008102CC" w:rsidRPr="00B31A89">
        <w:rPr>
          <w:rFonts w:cs="Arial"/>
          <w:lang w:val="en"/>
        </w:rPr>
        <w:t xml:space="preserve">Furthermore, </w:t>
      </w:r>
      <w:r w:rsidR="009E0DE8" w:rsidRPr="00B31A89">
        <w:rPr>
          <w:rFonts w:cs="Arial"/>
          <w:lang w:val="en"/>
        </w:rPr>
        <w:t xml:space="preserve">students are provided structured time and methods for reflecting on their academic and service experiences in the community. </w:t>
      </w:r>
      <w:r w:rsidR="00A346A4" w:rsidRPr="00B31A89">
        <w:rPr>
          <w:rFonts w:cs="Arial"/>
          <w:lang w:val="en"/>
        </w:rPr>
        <w:t>Service-learning</w:t>
      </w:r>
      <w:r w:rsidR="00895F19" w:rsidRPr="00B31A89">
        <w:rPr>
          <w:rFonts w:cs="Arial"/>
          <w:lang w:val="en"/>
        </w:rPr>
        <w:t xml:space="preserve"> is interdisciplinary </w:t>
      </w:r>
      <w:r w:rsidR="003700EC" w:rsidRPr="00B31A89">
        <w:rPr>
          <w:rFonts w:cs="Arial"/>
          <w:lang w:val="en"/>
        </w:rPr>
        <w:t>and can be applied across the content areas.</w:t>
      </w:r>
    </w:p>
    <w:p w14:paraId="1451A5F2" w14:textId="5AF52E5C" w:rsidR="00D0331E" w:rsidRPr="00B31A89" w:rsidRDefault="00E639BD" w:rsidP="009A2AFD">
      <w:pPr>
        <w:rPr>
          <w:rFonts w:cs="Arial"/>
        </w:rPr>
      </w:pPr>
      <w:r w:rsidRPr="00B31A89">
        <w:rPr>
          <w:rFonts w:cs="Arial"/>
          <w:i/>
          <w:iCs/>
        </w:rPr>
        <w:t xml:space="preserve">EC </w:t>
      </w:r>
      <w:r w:rsidRPr="00B31A89">
        <w:rPr>
          <w:rFonts w:cs="Arial"/>
        </w:rPr>
        <w:t>Section 51475, the statute authorizing the California Serves program</w:t>
      </w:r>
      <w:r w:rsidR="000D70F9" w:rsidRPr="00B31A89">
        <w:rPr>
          <w:rFonts w:cs="Arial"/>
        </w:rPr>
        <w:t>,</w:t>
      </w:r>
      <w:r w:rsidR="00F07A9F" w:rsidRPr="00B31A89">
        <w:rPr>
          <w:rFonts w:cs="Arial"/>
        </w:rPr>
        <w:t xml:space="preserve"> defines </w:t>
      </w:r>
      <w:r w:rsidR="00A346A4" w:rsidRPr="00B31A89">
        <w:rPr>
          <w:rFonts w:cs="Arial"/>
        </w:rPr>
        <w:t>service-learning</w:t>
      </w:r>
      <w:r w:rsidR="00F07A9F" w:rsidRPr="00B31A89">
        <w:rPr>
          <w:rFonts w:cs="Arial"/>
        </w:rPr>
        <w:t xml:space="preserve"> as “an educ</w:t>
      </w:r>
      <w:r w:rsidR="00F16DEA" w:rsidRPr="00B31A89">
        <w:rPr>
          <w:rFonts w:cs="Arial"/>
        </w:rPr>
        <w:t>ational approach that intentionally combines meaningful community service activities with instruction and reflection to support pupil progress toward academic and civic engagement learning objectives while also meeting societal needs.”</w:t>
      </w:r>
      <w:r w:rsidR="00054340" w:rsidRPr="00B31A89">
        <w:rPr>
          <w:rStyle w:val="FootnoteReference"/>
          <w:rFonts w:cs="Arial"/>
        </w:rPr>
        <w:footnoteReference w:id="9"/>
      </w:r>
      <w:r w:rsidR="00F16DEA" w:rsidRPr="00B31A89">
        <w:rPr>
          <w:rFonts w:cs="Arial"/>
        </w:rPr>
        <w:t xml:space="preserve"> </w:t>
      </w:r>
      <w:r w:rsidR="00AE1849" w:rsidRPr="00B31A89">
        <w:rPr>
          <w:rFonts w:cs="Arial"/>
        </w:rPr>
        <w:t xml:space="preserve">While this is related to civic engagement in general, it is still a separate </w:t>
      </w:r>
      <w:r w:rsidR="00015F64" w:rsidRPr="00B31A89">
        <w:rPr>
          <w:rFonts w:cs="Arial"/>
        </w:rPr>
        <w:t>concept.</w:t>
      </w:r>
    </w:p>
    <w:p w14:paraId="35997AFC" w14:textId="2E240056" w:rsidR="00D0331E" w:rsidRPr="00B31A89" w:rsidRDefault="1EA4C18F" w:rsidP="009A2AFD">
      <w:pPr>
        <w:rPr>
          <w:rFonts w:eastAsia="Arial" w:cs="Arial"/>
          <w:szCs w:val="24"/>
        </w:rPr>
      </w:pPr>
      <w:r w:rsidRPr="00B31A89">
        <w:rPr>
          <w:rFonts w:cs="Arial"/>
        </w:rPr>
        <w:t xml:space="preserve">Civic engagement </w:t>
      </w:r>
      <w:r w:rsidRPr="00B31A89">
        <w:rPr>
          <w:rFonts w:eastAsia="Arial" w:cs="Arial"/>
          <w:color w:val="000000" w:themeColor="text1"/>
          <w:szCs w:val="24"/>
        </w:rPr>
        <w:t>involves “working to make a difference in the civic life of one’s community and developing the combination of knowledge, skills, values</w:t>
      </w:r>
      <w:r w:rsidR="00930011">
        <w:rPr>
          <w:rFonts w:eastAsia="Arial" w:cs="Arial"/>
          <w:color w:val="000000" w:themeColor="text1"/>
          <w:szCs w:val="24"/>
        </w:rPr>
        <w:t>,</w:t>
      </w:r>
      <w:r w:rsidRPr="00B31A89">
        <w:rPr>
          <w:rFonts w:eastAsia="Arial" w:cs="Arial"/>
          <w:color w:val="000000" w:themeColor="text1"/>
          <w:szCs w:val="24"/>
        </w:rPr>
        <w:t xml:space="preserve"> and motivation to make that difference. It means promoting the quality of life in a community, through both political and non-political processes.”</w:t>
      </w:r>
      <w:r w:rsidR="00D7480F" w:rsidRPr="00B31A89">
        <w:rPr>
          <w:rStyle w:val="FootnoteReference"/>
          <w:rFonts w:eastAsia="Arial" w:cs="Arial"/>
          <w:color w:val="000000" w:themeColor="text1"/>
          <w:szCs w:val="24"/>
        </w:rPr>
        <w:footnoteReference w:id="10"/>
      </w:r>
    </w:p>
    <w:p w14:paraId="59E883E7" w14:textId="0B006AB9" w:rsidR="00D0331E" w:rsidRPr="00B31A89" w:rsidRDefault="1B6A59D0" w:rsidP="009A2AFD">
      <w:r w:rsidRPr="00B31A89">
        <w:rPr>
          <w:rFonts w:cs="Arial"/>
        </w:rPr>
        <w:t>Service-learning is different from civic engagement, community service, and volunteerism. According to Youth.</w:t>
      </w:r>
      <w:r w:rsidR="002A6514">
        <w:rPr>
          <w:rFonts w:cs="Arial"/>
        </w:rPr>
        <w:t>g</w:t>
      </w:r>
      <w:r w:rsidRPr="00B31A89">
        <w:rPr>
          <w:rFonts w:cs="Arial"/>
        </w:rPr>
        <w:t>ov, in service-learning:</w:t>
      </w:r>
    </w:p>
    <w:p w14:paraId="48940764" w14:textId="721CEF80" w:rsidR="00015F64" w:rsidRPr="00E91A95" w:rsidRDefault="00854D23" w:rsidP="00E91A95">
      <w:pPr>
        <w:pStyle w:val="ListParagraph"/>
        <w:numPr>
          <w:ilvl w:val="0"/>
          <w:numId w:val="6"/>
        </w:numPr>
        <w:ind w:left="720" w:right="720"/>
        <w:contextualSpacing w:val="0"/>
        <w:rPr>
          <w:rFonts w:cs="Arial"/>
          <w:lang w:val="en"/>
        </w:rPr>
      </w:pPr>
      <w:r>
        <w:rPr>
          <w:rFonts w:cs="Arial"/>
          <w:lang w:val="en"/>
        </w:rPr>
        <w:t>t</w:t>
      </w:r>
      <w:r w:rsidR="00015F64" w:rsidRPr="00E91A95">
        <w:rPr>
          <w:rFonts w:cs="Arial"/>
          <w:lang w:val="en"/>
        </w:rPr>
        <w:t xml:space="preserve">he service activity is directly integrated with </w:t>
      </w:r>
      <w:r w:rsidR="001B6FF4" w:rsidRPr="00E91A95">
        <w:rPr>
          <w:rFonts w:cs="Arial"/>
          <w:lang w:val="en"/>
        </w:rPr>
        <w:t xml:space="preserve">the </w:t>
      </w:r>
      <w:r w:rsidR="00015F64" w:rsidRPr="00E91A95">
        <w:rPr>
          <w:rFonts w:cs="Arial"/>
          <w:lang w:val="en"/>
        </w:rPr>
        <w:t>academic curriculum and content; and</w:t>
      </w:r>
    </w:p>
    <w:p w14:paraId="7F3DB77B" w14:textId="2A0AF2E1" w:rsidR="00015F64" w:rsidRPr="00E91A95" w:rsidRDefault="00854D23" w:rsidP="00E91A95">
      <w:pPr>
        <w:pStyle w:val="ListParagraph"/>
        <w:numPr>
          <w:ilvl w:val="0"/>
          <w:numId w:val="6"/>
        </w:numPr>
        <w:ind w:left="720" w:right="720"/>
        <w:contextualSpacing w:val="0"/>
        <w:rPr>
          <w:rFonts w:cs="Arial"/>
        </w:rPr>
      </w:pPr>
      <w:r>
        <w:rPr>
          <w:rFonts w:cs="Arial"/>
        </w:rPr>
        <w:t>s</w:t>
      </w:r>
      <w:r w:rsidR="00015F64" w:rsidRPr="00E91A95">
        <w:rPr>
          <w:rFonts w:cs="Arial"/>
        </w:rPr>
        <w:t>tudents engage in reflection activities after their service experience and apply their learning in real-life activities.</w:t>
      </w:r>
      <w:r w:rsidR="004623BE" w:rsidRPr="00E91A95">
        <w:rPr>
          <w:rStyle w:val="FootnoteReference"/>
          <w:rFonts w:cs="Arial"/>
        </w:rPr>
        <w:footnoteReference w:id="11"/>
      </w:r>
    </w:p>
    <w:p w14:paraId="4927D151" w14:textId="3172EB14" w:rsidR="00AA6E15" w:rsidRPr="00B31A89" w:rsidRDefault="003413E3" w:rsidP="009A2AFD">
      <w:pPr>
        <w:rPr>
          <w:rFonts w:cs="Arial"/>
          <w:szCs w:val="24"/>
          <w:lang w:val="en"/>
        </w:rPr>
      </w:pPr>
      <w:r w:rsidRPr="00B31A89">
        <w:rPr>
          <w:rFonts w:cs="Arial"/>
          <w:szCs w:val="24"/>
          <w:lang w:val="en"/>
        </w:rPr>
        <w:t xml:space="preserve">The 2017 California </w:t>
      </w:r>
      <w:r w:rsidR="00036DB4" w:rsidRPr="005B0134">
        <w:rPr>
          <w:rFonts w:cs="Arial"/>
          <w:i/>
          <w:iCs/>
          <w:szCs w:val="24"/>
          <w:lang w:val="en"/>
        </w:rPr>
        <w:t>History</w:t>
      </w:r>
      <w:r w:rsidR="00CF7822" w:rsidRPr="005B0134">
        <w:rPr>
          <w:rFonts w:cs="Arial"/>
          <w:i/>
          <w:iCs/>
          <w:szCs w:val="24"/>
          <w:lang w:val="en"/>
        </w:rPr>
        <w:t>–</w:t>
      </w:r>
      <w:r w:rsidR="00036DB4" w:rsidRPr="005B0134">
        <w:rPr>
          <w:rFonts w:cs="Arial"/>
          <w:i/>
          <w:iCs/>
          <w:szCs w:val="24"/>
          <w:lang w:val="en"/>
        </w:rPr>
        <w:t>Social</w:t>
      </w:r>
      <w:r w:rsidR="003D6895" w:rsidRPr="005B0134">
        <w:rPr>
          <w:rFonts w:cs="Arial"/>
          <w:i/>
          <w:iCs/>
          <w:szCs w:val="24"/>
          <w:lang w:val="en"/>
        </w:rPr>
        <w:t xml:space="preserve"> Science </w:t>
      </w:r>
      <w:r w:rsidR="003D6895" w:rsidRPr="002A6514">
        <w:rPr>
          <w:rFonts w:cs="Arial"/>
          <w:szCs w:val="24"/>
          <w:lang w:val="en"/>
        </w:rPr>
        <w:t>(HSS)</w:t>
      </w:r>
      <w:r w:rsidR="003D6895" w:rsidRPr="005B0134">
        <w:rPr>
          <w:rFonts w:cs="Arial"/>
          <w:i/>
          <w:iCs/>
          <w:szCs w:val="24"/>
          <w:lang w:val="en"/>
        </w:rPr>
        <w:t xml:space="preserve"> Framework</w:t>
      </w:r>
      <w:r w:rsidR="003D6895" w:rsidRPr="00B31A89">
        <w:rPr>
          <w:rFonts w:cs="Arial"/>
          <w:szCs w:val="24"/>
          <w:lang w:val="en"/>
        </w:rPr>
        <w:t xml:space="preserve"> </w:t>
      </w:r>
      <w:r w:rsidR="00DE656A" w:rsidRPr="00B31A89">
        <w:rPr>
          <w:rFonts w:cs="Arial"/>
          <w:szCs w:val="24"/>
          <w:lang w:val="en"/>
        </w:rPr>
        <w:t>expands on this definition, explaining</w:t>
      </w:r>
      <w:r w:rsidR="003D6895" w:rsidRPr="00B31A89">
        <w:rPr>
          <w:rFonts w:cs="Arial"/>
          <w:szCs w:val="24"/>
          <w:lang w:val="en"/>
        </w:rPr>
        <w:t xml:space="preserve"> that:</w:t>
      </w:r>
    </w:p>
    <w:p w14:paraId="42D28142" w14:textId="00DB07AE" w:rsidR="003D6895" w:rsidRPr="00B33F21" w:rsidRDefault="00A346A4" w:rsidP="009A2AFD">
      <w:pPr>
        <w:ind w:left="720" w:right="720"/>
        <w:rPr>
          <w:rFonts w:cs="Arial"/>
        </w:rPr>
      </w:pPr>
      <w:r w:rsidRPr="00B33F21">
        <w:rPr>
          <w:rFonts w:cs="Arial"/>
        </w:rPr>
        <w:t>Service-learning</w:t>
      </w:r>
      <w:r w:rsidR="003D6895" w:rsidRPr="00B33F21">
        <w:rPr>
          <w:rFonts w:cs="Arial"/>
        </w:rPr>
        <w:t xml:space="preserve"> is an instructional strategy that engages students in real-world problem solving. Students work on community issues/problems that matter to them, applying critical thinking skills as they analyze causes and </w:t>
      </w:r>
      <w:r w:rsidR="00AF1431" w:rsidRPr="00B33F21">
        <w:rPr>
          <w:rFonts w:cs="Arial"/>
        </w:rPr>
        <w:t>effects</w:t>
      </w:r>
      <w:r w:rsidR="003D6895" w:rsidRPr="00B33F21">
        <w:rPr>
          <w:rFonts w:cs="Arial"/>
        </w:rPr>
        <w:t xml:space="preserve">, discuss possible ways to address the issue/problem, and plan and execute service activities. To implement </w:t>
      </w:r>
      <w:r w:rsidRPr="00B33F21">
        <w:rPr>
          <w:rFonts w:cs="Arial"/>
        </w:rPr>
        <w:t>service-learning</w:t>
      </w:r>
      <w:r w:rsidR="003D6895" w:rsidRPr="00B33F21">
        <w:rPr>
          <w:rFonts w:cs="Arial"/>
        </w:rPr>
        <w:t xml:space="preserve"> </w:t>
      </w:r>
      <w:r w:rsidR="00AF1431" w:rsidRPr="00B33F21">
        <w:rPr>
          <w:rFonts w:cs="Arial"/>
        </w:rPr>
        <w:t>effectively</w:t>
      </w:r>
      <w:r w:rsidR="003D6895" w:rsidRPr="00B33F21">
        <w:rPr>
          <w:rFonts w:cs="Arial"/>
        </w:rPr>
        <w:t xml:space="preserve">, there must be an intentional link between academic content and skills and the </w:t>
      </w:r>
      <w:r w:rsidR="003D6895" w:rsidRPr="00B33F21">
        <w:rPr>
          <w:rFonts w:cs="Arial"/>
        </w:rPr>
        <w:lastRenderedPageBreak/>
        <w:t>students’ service activities, which can provide opportunities to make what is learned in class even more relevant to students.</w:t>
      </w:r>
    </w:p>
    <w:p w14:paraId="0EC80658" w14:textId="54E9A5E9" w:rsidR="00624FE3" w:rsidRPr="00B33F21" w:rsidRDefault="00A346A4" w:rsidP="009A2AFD">
      <w:pPr>
        <w:ind w:left="720" w:right="720"/>
        <w:rPr>
          <w:rFonts w:cs="Arial"/>
        </w:rPr>
      </w:pPr>
      <w:r w:rsidRPr="00B33F21">
        <w:rPr>
          <w:rFonts w:cs="Arial"/>
        </w:rPr>
        <w:t>Service-learning</w:t>
      </w:r>
      <w:r w:rsidR="00507EC7" w:rsidRPr="00B33F21">
        <w:rPr>
          <w:rFonts w:cs="Arial"/>
        </w:rPr>
        <w:t xml:space="preserve"> is applicable for </w:t>
      </w:r>
      <w:proofErr w:type="gramStart"/>
      <w:r w:rsidR="00507EC7" w:rsidRPr="00B33F21">
        <w:rPr>
          <w:rFonts w:cs="Arial"/>
        </w:rPr>
        <w:t>all of</w:t>
      </w:r>
      <w:proofErr w:type="gramEnd"/>
      <w:r w:rsidR="00507EC7" w:rsidRPr="00B33F21">
        <w:rPr>
          <w:rFonts w:cs="Arial"/>
        </w:rPr>
        <w:t xml:space="preserve"> the core disciplines (science,</w:t>
      </w:r>
      <w:r w:rsidR="003D32CF" w:rsidRPr="00B33F21">
        <w:rPr>
          <w:rFonts w:cs="Arial"/>
        </w:rPr>
        <w:t xml:space="preserve"> </w:t>
      </w:r>
      <w:r w:rsidR="00507EC7" w:rsidRPr="00B33F21">
        <w:rPr>
          <w:rFonts w:cs="Arial"/>
        </w:rPr>
        <w:t>mathematics, English language arts), but for social studies, service-learning has</w:t>
      </w:r>
      <w:r w:rsidR="003D32CF" w:rsidRPr="00B33F21">
        <w:rPr>
          <w:rFonts w:cs="Arial"/>
        </w:rPr>
        <w:t xml:space="preserve"> </w:t>
      </w:r>
      <w:r w:rsidR="00507EC7" w:rsidRPr="00B33F21">
        <w:rPr>
          <w:rFonts w:cs="Arial"/>
        </w:rPr>
        <w:t xml:space="preserve">particular </w:t>
      </w:r>
      <w:r w:rsidR="00AF1431" w:rsidRPr="00B33F21">
        <w:rPr>
          <w:rFonts w:cs="Arial"/>
        </w:rPr>
        <w:t>significance</w:t>
      </w:r>
      <w:r w:rsidR="00507EC7" w:rsidRPr="00B33F21">
        <w:rPr>
          <w:rFonts w:cs="Arial"/>
        </w:rPr>
        <w:t xml:space="preserve"> as one of the six Civic Mission of Schools proven practices:</w:t>
      </w:r>
    </w:p>
    <w:p w14:paraId="7BCF5953" w14:textId="04495BF3" w:rsidR="00507EC7" w:rsidRPr="00B33F21" w:rsidRDefault="00A346A4" w:rsidP="00FC49EA">
      <w:pPr>
        <w:ind w:left="1080" w:right="720"/>
        <w:rPr>
          <w:rFonts w:cs="Arial"/>
          <w:szCs w:val="24"/>
          <w:lang w:val="en"/>
        </w:rPr>
      </w:pPr>
      <w:r w:rsidRPr="00B33F21">
        <w:rPr>
          <w:rFonts w:cs="Arial"/>
          <w:szCs w:val="24"/>
          <w:lang w:val="en"/>
        </w:rPr>
        <w:t>Service-learning</w:t>
      </w:r>
      <w:r w:rsidR="00507EC7" w:rsidRPr="00B33F21">
        <w:rPr>
          <w:rFonts w:cs="Arial"/>
          <w:szCs w:val="24"/>
          <w:lang w:val="en"/>
        </w:rPr>
        <w:t xml:space="preserve"> is far more than community service alone; high-quality</w:t>
      </w:r>
      <w:r w:rsidR="00624FE3" w:rsidRPr="00B33F21">
        <w:rPr>
          <w:rFonts w:cs="Arial"/>
          <w:szCs w:val="24"/>
          <w:lang w:val="en"/>
        </w:rPr>
        <w:t xml:space="preserve"> </w:t>
      </w:r>
      <w:r w:rsidRPr="00B33F21">
        <w:rPr>
          <w:rFonts w:cs="Arial"/>
          <w:szCs w:val="24"/>
          <w:lang w:val="en"/>
        </w:rPr>
        <w:t>service-learning</w:t>
      </w:r>
      <w:r w:rsidR="00507EC7" w:rsidRPr="00B33F21">
        <w:rPr>
          <w:rFonts w:cs="Arial"/>
          <w:szCs w:val="24"/>
          <w:lang w:val="en"/>
        </w:rPr>
        <w:t xml:space="preserve"> experiences incorporate intentional opportunities for students</w:t>
      </w:r>
      <w:r w:rsidR="00624FE3" w:rsidRPr="00B33F21">
        <w:rPr>
          <w:rFonts w:cs="Arial"/>
          <w:szCs w:val="24"/>
          <w:lang w:val="en"/>
        </w:rPr>
        <w:t xml:space="preserve"> </w:t>
      </w:r>
      <w:r w:rsidR="00507EC7" w:rsidRPr="00B33F21">
        <w:rPr>
          <w:rFonts w:cs="Arial"/>
          <w:szCs w:val="24"/>
          <w:lang w:val="en"/>
        </w:rPr>
        <w:t>to analyze and solve community problems through the application of</w:t>
      </w:r>
      <w:r w:rsidR="00624FE3" w:rsidRPr="00B33F21">
        <w:rPr>
          <w:rFonts w:cs="Arial"/>
          <w:szCs w:val="24"/>
          <w:lang w:val="en"/>
        </w:rPr>
        <w:t xml:space="preserve"> </w:t>
      </w:r>
      <w:r w:rsidR="00507EC7" w:rsidRPr="00B33F21">
        <w:rPr>
          <w:rFonts w:cs="Arial"/>
          <w:szCs w:val="24"/>
          <w:lang w:val="en"/>
        </w:rPr>
        <w:t>knowledge and skills.</w:t>
      </w:r>
    </w:p>
    <w:p w14:paraId="5984DBE7" w14:textId="1684B529" w:rsidR="00507EC7" w:rsidRPr="00B33F21" w:rsidRDefault="00507EC7" w:rsidP="00FC49EA">
      <w:pPr>
        <w:ind w:left="1080" w:right="720"/>
        <w:rPr>
          <w:rFonts w:cs="Arial"/>
        </w:rPr>
      </w:pPr>
      <w:r w:rsidRPr="00B33F21">
        <w:rPr>
          <w:rFonts w:cs="Arial"/>
        </w:rPr>
        <w:t>Service-learning helps to make education real, connecting academic skills and</w:t>
      </w:r>
      <w:r w:rsidR="00624FE3" w:rsidRPr="00B33F21">
        <w:rPr>
          <w:rFonts w:cs="Arial"/>
        </w:rPr>
        <w:t xml:space="preserve"> </w:t>
      </w:r>
      <w:r w:rsidRPr="00B33F21">
        <w:rPr>
          <w:rFonts w:cs="Arial"/>
        </w:rPr>
        <w:t>knowledge to issues that matter to young people. When students have</w:t>
      </w:r>
      <w:r w:rsidR="00624FE3" w:rsidRPr="00B33F21">
        <w:rPr>
          <w:rFonts w:cs="Arial"/>
        </w:rPr>
        <w:t xml:space="preserve"> </w:t>
      </w:r>
      <w:r w:rsidRPr="00B33F21">
        <w:rPr>
          <w:rFonts w:cs="Arial"/>
        </w:rPr>
        <w:t xml:space="preserve">opportunities to use the knowledge and </w:t>
      </w:r>
      <w:proofErr w:type="gramStart"/>
      <w:r w:rsidRPr="00B33F21">
        <w:rPr>
          <w:rFonts w:cs="Arial"/>
        </w:rPr>
        <w:t>skills</w:t>
      </w:r>
      <w:proofErr w:type="gramEnd"/>
      <w:r w:rsidRPr="00B33F21">
        <w:rPr>
          <w:rFonts w:cs="Arial"/>
        </w:rPr>
        <w:t xml:space="preserve"> they are acquiring in school to</w:t>
      </w:r>
      <w:r w:rsidR="00624FE3" w:rsidRPr="00B33F21">
        <w:rPr>
          <w:rFonts w:cs="Arial"/>
        </w:rPr>
        <w:t xml:space="preserve"> </w:t>
      </w:r>
      <w:r w:rsidRPr="00B33F21">
        <w:rPr>
          <w:rFonts w:cs="Arial"/>
        </w:rPr>
        <w:t>address meaningful issues in their community, the content of their learning</w:t>
      </w:r>
      <w:r w:rsidR="00624FE3" w:rsidRPr="00B33F21">
        <w:rPr>
          <w:rFonts w:cs="Arial"/>
        </w:rPr>
        <w:t xml:space="preserve"> </w:t>
      </w:r>
      <w:r w:rsidRPr="00B33F21">
        <w:rPr>
          <w:rFonts w:cs="Arial"/>
        </w:rPr>
        <w:t>becomes more relevant to their lives, and they better understand the importance</w:t>
      </w:r>
      <w:r w:rsidR="00624FE3" w:rsidRPr="00B33F21">
        <w:rPr>
          <w:rFonts w:cs="Arial"/>
        </w:rPr>
        <w:t xml:space="preserve"> </w:t>
      </w:r>
      <w:r w:rsidRPr="00B33F21">
        <w:rPr>
          <w:rFonts w:cs="Arial"/>
        </w:rPr>
        <w:t>of civic participation.</w:t>
      </w:r>
      <w:r w:rsidR="00F01607" w:rsidRPr="00B33F21">
        <w:rPr>
          <w:rStyle w:val="FootnoteReference"/>
          <w:rFonts w:cs="Arial"/>
        </w:rPr>
        <w:footnoteReference w:id="12"/>
      </w:r>
    </w:p>
    <w:p w14:paraId="7CD618E2" w14:textId="60D3BD98" w:rsidR="00FD1C95" w:rsidRPr="00B31A89" w:rsidRDefault="00C5078F" w:rsidP="009A2AFD">
      <w:pPr>
        <w:ind w:right="720"/>
        <w:rPr>
          <w:rFonts w:cs="Arial"/>
          <w:szCs w:val="24"/>
          <w:lang w:val="en"/>
        </w:rPr>
      </w:pPr>
      <w:r w:rsidRPr="00B31A89">
        <w:rPr>
          <w:rFonts w:cs="Arial"/>
          <w:szCs w:val="24"/>
          <w:lang w:val="en"/>
        </w:rPr>
        <w:t>The National Youth Leadership Counci</w:t>
      </w:r>
      <w:r w:rsidR="00DD7428">
        <w:rPr>
          <w:rFonts w:cs="Arial"/>
          <w:szCs w:val="24"/>
          <w:lang w:val="en"/>
        </w:rPr>
        <w:t>l</w:t>
      </w:r>
      <w:r w:rsidR="00190EA5">
        <w:rPr>
          <w:rFonts w:cs="Arial"/>
          <w:szCs w:val="24"/>
          <w:lang w:val="en"/>
        </w:rPr>
        <w:t xml:space="preserve"> </w:t>
      </w:r>
      <w:r w:rsidRPr="00B31A89">
        <w:rPr>
          <w:rFonts w:cs="Arial"/>
          <w:szCs w:val="24"/>
          <w:lang w:val="en"/>
        </w:rPr>
        <w:t xml:space="preserve">further adds that through the process of </w:t>
      </w:r>
      <w:r w:rsidR="00A346A4" w:rsidRPr="00B31A89">
        <w:rPr>
          <w:rFonts w:cs="Arial"/>
          <w:szCs w:val="24"/>
          <w:lang w:val="en"/>
        </w:rPr>
        <w:t>service-learning</w:t>
      </w:r>
      <w:r w:rsidRPr="00B31A89">
        <w:rPr>
          <w:rFonts w:cs="Arial"/>
          <w:szCs w:val="24"/>
          <w:lang w:val="en"/>
        </w:rPr>
        <w:t>, young people answer questions such as:</w:t>
      </w:r>
    </w:p>
    <w:p w14:paraId="754AA8D5" w14:textId="656298D0" w:rsidR="00C5078F" w:rsidRPr="002700CB" w:rsidRDefault="00C5078F" w:rsidP="009A2AFD">
      <w:pPr>
        <w:pStyle w:val="ListParagraph"/>
        <w:numPr>
          <w:ilvl w:val="0"/>
          <w:numId w:val="10"/>
        </w:numPr>
        <w:ind w:right="720"/>
        <w:rPr>
          <w:rFonts w:cs="Arial"/>
          <w:szCs w:val="24"/>
          <w:lang w:val="en"/>
        </w:rPr>
      </w:pPr>
      <w:r w:rsidRPr="002700CB">
        <w:rPr>
          <w:rFonts w:cs="Arial"/>
          <w:szCs w:val="24"/>
          <w:lang w:val="en"/>
        </w:rPr>
        <w:t>What are the true needs in my community?</w:t>
      </w:r>
    </w:p>
    <w:p w14:paraId="5253893E" w14:textId="6B0E9E25" w:rsidR="00C5078F" w:rsidRPr="002700CB" w:rsidRDefault="00C5078F" w:rsidP="009A2AFD">
      <w:pPr>
        <w:pStyle w:val="ListParagraph"/>
        <w:numPr>
          <w:ilvl w:val="0"/>
          <w:numId w:val="10"/>
        </w:numPr>
        <w:ind w:right="720"/>
        <w:rPr>
          <w:rFonts w:cs="Arial"/>
          <w:szCs w:val="24"/>
          <w:lang w:val="en"/>
        </w:rPr>
      </w:pPr>
      <w:r w:rsidRPr="002700CB">
        <w:rPr>
          <w:rFonts w:cs="Arial"/>
          <w:szCs w:val="24"/>
          <w:lang w:val="en"/>
        </w:rPr>
        <w:t>What are the root causes of these needs?</w:t>
      </w:r>
    </w:p>
    <w:p w14:paraId="6CD7D65C" w14:textId="40F635E1" w:rsidR="00C5078F" w:rsidRPr="002700CB" w:rsidRDefault="00C5078F" w:rsidP="009A2AFD">
      <w:pPr>
        <w:pStyle w:val="ListParagraph"/>
        <w:numPr>
          <w:ilvl w:val="0"/>
          <w:numId w:val="10"/>
        </w:numPr>
        <w:ind w:right="720"/>
        <w:rPr>
          <w:rFonts w:cs="Arial"/>
          <w:szCs w:val="24"/>
          <w:lang w:val="en"/>
        </w:rPr>
      </w:pPr>
      <w:r w:rsidRPr="002700CB">
        <w:rPr>
          <w:rFonts w:cs="Arial"/>
          <w:szCs w:val="24"/>
          <w:lang w:val="en"/>
        </w:rPr>
        <w:t>How, where, and from whom can I learn more?</w:t>
      </w:r>
    </w:p>
    <w:p w14:paraId="33806668" w14:textId="01147A02" w:rsidR="00C5078F" w:rsidRPr="002700CB" w:rsidRDefault="00C5078F" w:rsidP="7618E0EE">
      <w:pPr>
        <w:pStyle w:val="ListParagraph"/>
        <w:numPr>
          <w:ilvl w:val="0"/>
          <w:numId w:val="10"/>
        </w:numPr>
        <w:ind w:right="720"/>
        <w:rPr>
          <w:rFonts w:cs="Arial"/>
        </w:rPr>
      </w:pPr>
      <w:r w:rsidRPr="7618E0EE">
        <w:rPr>
          <w:rFonts w:cs="Arial"/>
        </w:rPr>
        <w:t>How can I contribute to a solution?</w:t>
      </w:r>
      <w:r w:rsidR="00190EA5" w:rsidRPr="005A7E57">
        <w:rPr>
          <w:rStyle w:val="FootnoteReference"/>
          <w:rFonts w:cs="Arial"/>
        </w:rPr>
        <w:footnoteReference w:id="13"/>
      </w:r>
    </w:p>
    <w:p w14:paraId="2AF4D965" w14:textId="09995128" w:rsidR="00C5078F" w:rsidRPr="00B31A89" w:rsidRDefault="006C2C54" w:rsidP="009A2AFD">
      <w:pPr>
        <w:ind w:right="720"/>
        <w:rPr>
          <w:rFonts w:cs="Arial"/>
        </w:rPr>
      </w:pPr>
      <w:r w:rsidRPr="00B31A89">
        <w:rPr>
          <w:rFonts w:cs="Arial"/>
        </w:rPr>
        <w:t xml:space="preserve">For example, a student </w:t>
      </w:r>
      <w:r w:rsidR="00502DB6" w:rsidRPr="00B31A89">
        <w:rPr>
          <w:rFonts w:cs="Arial"/>
        </w:rPr>
        <w:t xml:space="preserve">enrolled in a biology course may engage in volunteer work by picking up trash on a </w:t>
      </w:r>
      <w:r w:rsidR="00742BC4" w:rsidRPr="00B31A89">
        <w:rPr>
          <w:rFonts w:cs="Arial"/>
        </w:rPr>
        <w:t>riverbank</w:t>
      </w:r>
      <w:r w:rsidR="00502DB6" w:rsidRPr="00B31A89">
        <w:rPr>
          <w:rFonts w:cs="Arial"/>
        </w:rPr>
        <w:t xml:space="preserve">. </w:t>
      </w:r>
      <w:r w:rsidR="00C22B0E" w:rsidRPr="00B31A89">
        <w:rPr>
          <w:rFonts w:cs="Arial"/>
        </w:rPr>
        <w:t>If this experience is directly tied to a student</w:t>
      </w:r>
      <w:r w:rsidR="002A6514">
        <w:rPr>
          <w:rFonts w:cs="Arial"/>
        </w:rPr>
        <w:t>’</w:t>
      </w:r>
      <w:r w:rsidR="00C22B0E" w:rsidRPr="00B31A89">
        <w:rPr>
          <w:rFonts w:cs="Arial"/>
        </w:rPr>
        <w:t>s biology course, a teacher-led lesson on studying water samples under a microscope could be expanded on with a root cause analysis of the garbage situation, who is affected by shoreline garbage, and then present water test results with the expanded information to a local pollution control agency</w:t>
      </w:r>
      <w:r w:rsidR="00F44AE9" w:rsidRPr="00B31A89">
        <w:rPr>
          <w:rFonts w:cs="Arial"/>
        </w:rPr>
        <w:t>.</w:t>
      </w:r>
      <w:r w:rsidR="00F44AE9" w:rsidRPr="00B31A89">
        <w:rPr>
          <w:rStyle w:val="FootnoteReference"/>
          <w:rFonts w:cs="Arial"/>
        </w:rPr>
        <w:footnoteReference w:id="14"/>
      </w:r>
    </w:p>
    <w:p w14:paraId="786EF597" w14:textId="20B12347" w:rsidR="00697052" w:rsidRPr="006B29EC" w:rsidRDefault="00697052" w:rsidP="00E37E0D">
      <w:pPr>
        <w:pStyle w:val="Heading2"/>
      </w:pPr>
      <w:bookmarkStart w:id="25" w:name="_Toc167277554"/>
      <w:r w:rsidRPr="006B29EC">
        <w:t xml:space="preserve">Summary of Available Evidence on </w:t>
      </w:r>
      <w:r w:rsidR="00A346A4" w:rsidRPr="006B29EC">
        <w:t>Service-</w:t>
      </w:r>
      <w:r w:rsidR="009C7FD9">
        <w:t>L</w:t>
      </w:r>
      <w:r w:rsidR="00A346A4" w:rsidRPr="006B29EC">
        <w:t>earning</w:t>
      </w:r>
      <w:r w:rsidRPr="006B29EC">
        <w:t xml:space="preserve"> for Students, Grades </w:t>
      </w:r>
      <w:r w:rsidR="007C2B52" w:rsidRPr="006B29EC">
        <w:t xml:space="preserve">Nine </w:t>
      </w:r>
      <w:r w:rsidR="009C7FD9">
        <w:t>T</w:t>
      </w:r>
      <w:r w:rsidR="007C2B52" w:rsidRPr="006B29EC">
        <w:t>hrough Twelve</w:t>
      </w:r>
      <w:bookmarkEnd w:id="25"/>
    </w:p>
    <w:p w14:paraId="463E5F62" w14:textId="59CB285F" w:rsidR="00DB0DB6" w:rsidRPr="00B31A89" w:rsidRDefault="00246980" w:rsidP="00E37E0D">
      <w:pPr>
        <w:pStyle w:val="Heading3"/>
      </w:pPr>
      <w:bookmarkStart w:id="26" w:name="_Toc167277555"/>
      <w:r w:rsidRPr="00B31A89">
        <w:lastRenderedPageBreak/>
        <w:t xml:space="preserve">Benefits of </w:t>
      </w:r>
      <w:r w:rsidR="007A6C8A" w:rsidRPr="00B31A89">
        <w:t xml:space="preserve">Equitable, Accessible </w:t>
      </w:r>
      <w:r w:rsidRPr="00B31A89">
        <w:t>Service-Learning</w:t>
      </w:r>
      <w:bookmarkEnd w:id="26"/>
    </w:p>
    <w:p w14:paraId="183F5B09" w14:textId="61D8BCBC" w:rsidR="00052498" w:rsidRPr="00B31A89" w:rsidRDefault="00CD33E0" w:rsidP="009A2AFD">
      <w:r w:rsidRPr="00B31A89">
        <w:t xml:space="preserve">The </w:t>
      </w:r>
      <w:r w:rsidRPr="00B075A3">
        <w:rPr>
          <w:i/>
          <w:iCs/>
        </w:rPr>
        <w:t xml:space="preserve">Six Proven Practices </w:t>
      </w:r>
      <w:r w:rsidR="00337DC7" w:rsidRPr="00B075A3">
        <w:rPr>
          <w:i/>
          <w:iCs/>
        </w:rPr>
        <w:t>for Effective</w:t>
      </w:r>
      <w:r w:rsidR="00CF0504" w:rsidRPr="00B075A3">
        <w:rPr>
          <w:i/>
          <w:iCs/>
        </w:rPr>
        <w:t xml:space="preserve"> Civic Learning</w:t>
      </w:r>
      <w:r w:rsidR="00CF0504" w:rsidRPr="00B31A89">
        <w:t xml:space="preserve"> w</w:t>
      </w:r>
      <w:r w:rsidR="006E67AD">
        <w:t>as</w:t>
      </w:r>
      <w:r w:rsidR="00CF0504" w:rsidRPr="00B31A89">
        <w:t xml:space="preserve"> first established in 2003 </w:t>
      </w:r>
      <w:r w:rsidR="00052498" w:rsidRPr="00B31A89">
        <w:t xml:space="preserve">as a </w:t>
      </w:r>
      <w:r w:rsidR="004010E2" w:rsidRPr="00B31A89">
        <w:t>set of</w:t>
      </w:r>
      <w:r w:rsidR="00052498" w:rsidRPr="00B31A89">
        <w:t xml:space="preserve"> </w:t>
      </w:r>
      <w:r w:rsidR="00587B48" w:rsidRPr="00B31A89">
        <w:t xml:space="preserve">research-based </w:t>
      </w:r>
      <w:r w:rsidR="00052498" w:rsidRPr="00B31A89">
        <w:t xml:space="preserve">promising </w:t>
      </w:r>
      <w:r w:rsidR="00790D56" w:rsidRPr="00B31A89">
        <w:t>approaches</w:t>
      </w:r>
      <w:r w:rsidR="00052498" w:rsidRPr="00B31A89">
        <w:t xml:space="preserve"> that, taken together, constitute well-rounded civic learning</w:t>
      </w:r>
      <w:r w:rsidR="0062394C" w:rsidRPr="00B31A89">
        <w:t>.</w:t>
      </w:r>
      <w:r w:rsidR="00614B08" w:rsidRPr="00B31A89">
        <w:rPr>
          <w:rStyle w:val="FootnoteReference"/>
        </w:rPr>
        <w:footnoteReference w:id="15"/>
      </w:r>
      <w:r w:rsidR="0062394C" w:rsidRPr="00B31A89">
        <w:t xml:space="preserve"> Proven practice three is</w:t>
      </w:r>
      <w:r w:rsidR="00C947F7" w:rsidRPr="00B31A89">
        <w:t xml:space="preserve"> to design and implement </w:t>
      </w:r>
      <w:r w:rsidR="00CF04C5">
        <w:t>high-quality</w:t>
      </w:r>
      <w:r w:rsidR="00C947F7" w:rsidRPr="00B31A89">
        <w:t xml:space="preserve"> </w:t>
      </w:r>
      <w:r w:rsidR="00A346A4" w:rsidRPr="00B31A89">
        <w:t>service-learning</w:t>
      </w:r>
      <w:r w:rsidR="00C947F7" w:rsidRPr="00B31A89">
        <w:t xml:space="preserve"> programs.</w:t>
      </w:r>
    </w:p>
    <w:p w14:paraId="1893F369" w14:textId="52CD4FF6" w:rsidR="0011507A" w:rsidRPr="00B31A89" w:rsidRDefault="003C076A" w:rsidP="009A2AFD">
      <w:r w:rsidRPr="00B31A89">
        <w:t>Research into service-learning has shown that all youth can benefit from high</w:t>
      </w:r>
      <w:r w:rsidR="00C17CA9">
        <w:t>-</w:t>
      </w:r>
      <w:r w:rsidRPr="00B31A89">
        <w:t>quality service-learning programs</w:t>
      </w:r>
      <w:r w:rsidR="00141D6E" w:rsidRPr="00B31A89">
        <w:t>.</w:t>
      </w:r>
      <w:r w:rsidR="0035417D" w:rsidRPr="00B31A89">
        <w:t xml:space="preserve"> Service-learning connects classroom learning to the community, </w:t>
      </w:r>
      <w:r w:rsidR="009158C4" w:rsidRPr="00B31A89">
        <w:t xml:space="preserve">engaging students in the world around them and helping the content of their classrooms become more relevant to their daily </w:t>
      </w:r>
      <w:r w:rsidR="00CF04C5">
        <w:t>lives</w:t>
      </w:r>
      <w:r w:rsidR="009158C4" w:rsidRPr="00B31A89">
        <w:t>.</w:t>
      </w:r>
      <w:r w:rsidR="00141D6E" w:rsidRPr="00B31A89">
        <w:t xml:space="preserve"> The following</w:t>
      </w:r>
      <w:r w:rsidR="00B320DD" w:rsidRPr="00B31A89">
        <w:t xml:space="preserve"> general</w:t>
      </w:r>
      <w:r w:rsidR="00141D6E" w:rsidRPr="00B31A89">
        <w:t xml:space="preserve"> list of benefits </w:t>
      </w:r>
      <w:r w:rsidR="005B501A" w:rsidRPr="00B31A89">
        <w:t xml:space="preserve">for students </w:t>
      </w:r>
      <w:r w:rsidR="006C68AA" w:rsidRPr="00B31A89">
        <w:t xml:space="preserve">is adapted from research into service-learning </w:t>
      </w:r>
      <w:r w:rsidR="00D03E29" w:rsidRPr="00B31A89">
        <w:t xml:space="preserve">and is </w:t>
      </w:r>
      <w:r w:rsidR="00B320DD" w:rsidRPr="00B31A89">
        <w:t>also summarized</w:t>
      </w:r>
      <w:r w:rsidR="006C68AA" w:rsidRPr="00B31A89">
        <w:t xml:space="preserve"> </w:t>
      </w:r>
      <w:r w:rsidR="002F54DB" w:rsidRPr="00B31A89">
        <w:t>at</w:t>
      </w:r>
      <w:r w:rsidR="006C68AA" w:rsidRPr="00B31A89">
        <w:t xml:space="preserve"> Youth.</w:t>
      </w:r>
      <w:r w:rsidR="002A6514">
        <w:t>g</w:t>
      </w:r>
      <w:r w:rsidR="006C68AA" w:rsidRPr="00B31A89">
        <w:t>ov</w:t>
      </w:r>
      <w:r w:rsidR="00DF7DD6">
        <w:t>:</w:t>
      </w:r>
      <w:r w:rsidR="00B11BBC" w:rsidRPr="00B31A89">
        <w:rPr>
          <w:rStyle w:val="FootnoteReference"/>
        </w:rPr>
        <w:footnoteReference w:id="16"/>
      </w:r>
      <w:r w:rsidR="0021752A">
        <w:rPr>
          <w:vertAlign w:val="superscript"/>
        </w:rPr>
        <w:t xml:space="preserve"> </w:t>
      </w:r>
      <w:r w:rsidR="00345126" w:rsidRPr="00B31A89">
        <w:rPr>
          <w:rStyle w:val="FootnoteReference"/>
        </w:rPr>
        <w:footnoteReference w:id="17"/>
      </w:r>
    </w:p>
    <w:p w14:paraId="314699C6" w14:textId="4FA96B11" w:rsidR="0064499A" w:rsidRPr="00B31A89" w:rsidRDefault="0064499A" w:rsidP="009A2AFD">
      <w:pPr>
        <w:pStyle w:val="ListParagraph"/>
        <w:numPr>
          <w:ilvl w:val="0"/>
          <w:numId w:val="13"/>
        </w:numPr>
        <w:contextualSpacing w:val="0"/>
      </w:pPr>
      <w:r w:rsidRPr="00B31A89">
        <w:t>Improve character</w:t>
      </w:r>
      <w:r w:rsidR="00D17DC0" w:rsidRPr="00B31A89">
        <w:t xml:space="preserve"> values and </w:t>
      </w:r>
      <w:r w:rsidRPr="00B31A89">
        <w:t xml:space="preserve">promote responsible behavior, </w:t>
      </w:r>
      <w:r w:rsidR="003D4FC5" w:rsidRPr="00B31A89">
        <w:t>learn</w:t>
      </w:r>
      <w:r w:rsidRPr="00B31A89">
        <w:t xml:space="preserve"> about cultural diversity</w:t>
      </w:r>
      <w:r w:rsidR="00083EC7">
        <w:t>,</w:t>
      </w:r>
      <w:r w:rsidRPr="00B31A89">
        <w:t xml:space="preserve"> and demonstrate greater respect </w:t>
      </w:r>
      <w:r w:rsidR="00083EC7" w:rsidRPr="00B31A89">
        <w:t>for</w:t>
      </w:r>
      <w:r w:rsidRPr="00B31A89">
        <w:t xml:space="preserve"> ethnic diversity</w:t>
      </w:r>
      <w:r w:rsidR="00D03E29" w:rsidRPr="00B31A89">
        <w:t>.</w:t>
      </w:r>
    </w:p>
    <w:p w14:paraId="5F20BF9E" w14:textId="51A981BB" w:rsidR="00EF4ECE" w:rsidRPr="00B31A89" w:rsidRDefault="0064499A" w:rsidP="009A2AFD">
      <w:pPr>
        <w:pStyle w:val="ListParagraph"/>
        <w:numPr>
          <w:ilvl w:val="0"/>
          <w:numId w:val="13"/>
        </w:numPr>
        <w:contextualSpacing w:val="0"/>
        <w:rPr>
          <w:lang w:val="en"/>
        </w:rPr>
      </w:pPr>
      <w:r w:rsidRPr="00B31A89">
        <w:rPr>
          <w:lang w:val="en"/>
        </w:rPr>
        <w:t>Improve academic outcomes for students</w:t>
      </w:r>
      <w:r w:rsidR="00EF4ECE" w:rsidRPr="00B31A89">
        <w:rPr>
          <w:lang w:val="en"/>
        </w:rPr>
        <w:t xml:space="preserve"> (</w:t>
      </w:r>
      <w:r w:rsidR="00894EF4" w:rsidRPr="00B31A89">
        <w:rPr>
          <w:lang w:val="en"/>
        </w:rPr>
        <w:t>including</w:t>
      </w:r>
      <w:r w:rsidR="00EF4ECE" w:rsidRPr="00B31A89">
        <w:rPr>
          <w:lang w:val="en"/>
        </w:rPr>
        <w:t xml:space="preserve"> engagement and motivation)</w:t>
      </w:r>
      <w:r w:rsidRPr="00B31A89">
        <w:rPr>
          <w:lang w:val="en"/>
        </w:rPr>
        <w:t xml:space="preserve">, </w:t>
      </w:r>
      <w:r w:rsidR="00943A43" w:rsidRPr="00B31A89">
        <w:rPr>
          <w:lang w:val="en"/>
        </w:rPr>
        <w:t>especially civic knowledge, skills, dispositions, and engagement</w:t>
      </w:r>
      <w:r w:rsidR="00094F19" w:rsidRPr="00B31A89">
        <w:rPr>
          <w:lang w:val="en"/>
        </w:rPr>
        <w:t>.</w:t>
      </w:r>
    </w:p>
    <w:p w14:paraId="58B89FE0" w14:textId="3B9626B7" w:rsidR="00EF4ECE" w:rsidRPr="00B31A89" w:rsidRDefault="00907D77" w:rsidP="009A2AFD">
      <w:pPr>
        <w:pStyle w:val="ListParagraph"/>
        <w:numPr>
          <w:ilvl w:val="0"/>
          <w:numId w:val="13"/>
        </w:numPr>
        <w:contextualSpacing w:val="0"/>
      </w:pPr>
      <w:r w:rsidRPr="00B31A89">
        <w:t>Promote</w:t>
      </w:r>
      <w:r w:rsidR="00EF4ECE" w:rsidRPr="00B31A89">
        <w:t xml:space="preserve"> a sense of connectedness to the school and community, </w:t>
      </w:r>
      <w:r w:rsidRPr="00B31A89">
        <w:t xml:space="preserve">which can lead to a tendency to </w:t>
      </w:r>
      <w:proofErr w:type="gramStart"/>
      <w:r w:rsidRPr="00B31A89">
        <w:t>take action</w:t>
      </w:r>
      <w:proofErr w:type="gramEnd"/>
      <w:r w:rsidRPr="00B31A89">
        <w:t xml:space="preserve"> for the benefit of the community</w:t>
      </w:r>
      <w:r w:rsidR="005204CC" w:rsidRPr="00B31A89">
        <w:t>.</w:t>
      </w:r>
    </w:p>
    <w:p w14:paraId="62849A24" w14:textId="6E9A3042" w:rsidR="00907D77" w:rsidRPr="00B31A89" w:rsidRDefault="00907D77" w:rsidP="009A2AFD">
      <w:pPr>
        <w:pStyle w:val="ListParagraph"/>
        <w:numPr>
          <w:ilvl w:val="0"/>
          <w:numId w:val="13"/>
        </w:numPr>
        <w:contextualSpacing w:val="0"/>
        <w:rPr>
          <w:lang w:val="en"/>
        </w:rPr>
      </w:pPr>
      <w:r w:rsidRPr="00B31A89">
        <w:rPr>
          <w:lang w:val="en"/>
        </w:rPr>
        <w:t>Promote social</w:t>
      </w:r>
      <w:r w:rsidR="00C17CA9">
        <w:rPr>
          <w:rFonts w:cs="Arial"/>
          <w:lang w:val="en"/>
        </w:rPr>
        <w:t>–</w:t>
      </w:r>
      <w:r w:rsidRPr="00B31A89">
        <w:rPr>
          <w:lang w:val="en"/>
        </w:rPr>
        <w:t>emotional skills, including improved social skills, better cooperation skills in the classroom, improved psychological well-being, and a better ability to set and achieve goals</w:t>
      </w:r>
      <w:r w:rsidR="00BF1A3F" w:rsidRPr="00B31A89">
        <w:rPr>
          <w:lang w:val="en"/>
        </w:rPr>
        <w:t>.</w:t>
      </w:r>
    </w:p>
    <w:p w14:paraId="64892F36" w14:textId="0A581AFE" w:rsidR="00907D77" w:rsidRPr="00B31A89" w:rsidRDefault="00907D77" w:rsidP="009A2AFD">
      <w:pPr>
        <w:pStyle w:val="ListParagraph"/>
        <w:numPr>
          <w:ilvl w:val="0"/>
          <w:numId w:val="13"/>
        </w:numPr>
        <w:contextualSpacing w:val="0"/>
        <w:rPr>
          <w:lang w:val="en"/>
        </w:rPr>
      </w:pPr>
      <w:r w:rsidRPr="00B31A89">
        <w:rPr>
          <w:lang w:val="en"/>
        </w:rPr>
        <w:t>Promote civic participation by supporting civic knowledge and commitment to the community</w:t>
      </w:r>
      <w:r w:rsidR="0002488D" w:rsidRPr="00B31A89">
        <w:rPr>
          <w:lang w:val="en"/>
        </w:rPr>
        <w:t>.</w:t>
      </w:r>
    </w:p>
    <w:p w14:paraId="3A2ADF32" w14:textId="60ACEA4C" w:rsidR="0007299F" w:rsidRPr="00B31A89" w:rsidRDefault="006C1776" w:rsidP="009A2AFD">
      <w:r w:rsidRPr="00B31A89">
        <w:t>In addition to helping students, quality service-learning programs provide additional benefits to community-based organizations, service recipients, communities, and society</w:t>
      </w:r>
      <w:r w:rsidR="00BD765A" w:rsidRPr="00B31A89">
        <w:t>, also outlined by Youth.gov</w:t>
      </w:r>
      <w:r w:rsidR="003E0FE8">
        <w:t>:</w:t>
      </w:r>
      <w:r w:rsidR="006D7D06" w:rsidRPr="00B31A89">
        <w:rPr>
          <w:rStyle w:val="FootnoteReference"/>
        </w:rPr>
        <w:footnoteReference w:id="18"/>
      </w:r>
    </w:p>
    <w:p w14:paraId="04AA74B1" w14:textId="6B85073D" w:rsidR="00FF29D0" w:rsidRPr="00B31A89" w:rsidRDefault="00FF29D0" w:rsidP="009A2AFD">
      <w:pPr>
        <w:pStyle w:val="ListParagraph"/>
        <w:numPr>
          <w:ilvl w:val="0"/>
          <w:numId w:val="18"/>
        </w:numPr>
        <w:contextualSpacing w:val="0"/>
      </w:pPr>
      <w:r w:rsidRPr="00B31A89">
        <w:lastRenderedPageBreak/>
        <w:t xml:space="preserve">Community-based organizations </w:t>
      </w:r>
      <w:r w:rsidR="00897994" w:rsidRPr="00B31A89">
        <w:t>benefit through new ideas, specialized skills,</w:t>
      </w:r>
      <w:r w:rsidR="00644A33" w:rsidRPr="00B31A89">
        <w:t xml:space="preserve"> motivation, increased public support and visibility, and cultivation of a new generation of volunteers.</w:t>
      </w:r>
    </w:p>
    <w:p w14:paraId="11EE04A5" w14:textId="73BDA345" w:rsidR="00644A33" w:rsidRPr="00B31A89" w:rsidRDefault="004F4CC3" w:rsidP="009A2AFD">
      <w:pPr>
        <w:pStyle w:val="ListParagraph"/>
        <w:numPr>
          <w:ilvl w:val="0"/>
          <w:numId w:val="18"/>
        </w:numPr>
        <w:contextualSpacing w:val="0"/>
      </w:pPr>
      <w:r w:rsidRPr="00B31A89">
        <w:t xml:space="preserve">Young people can bring energy, increased capacity, and creative ideas that </w:t>
      </w:r>
      <w:r w:rsidR="002B476E" w:rsidRPr="00B31A89">
        <w:t>help support identification of real needs and clear priorities.</w:t>
      </w:r>
    </w:p>
    <w:p w14:paraId="6487638A" w14:textId="2C801A63" w:rsidR="002B476E" w:rsidRPr="00B31A89" w:rsidRDefault="002B476E" w:rsidP="009A2AFD">
      <w:pPr>
        <w:pStyle w:val="ListParagraph"/>
        <w:numPr>
          <w:ilvl w:val="0"/>
          <w:numId w:val="18"/>
        </w:numPr>
        <w:contextualSpacing w:val="0"/>
        <w:rPr>
          <w:lang w:val="en"/>
        </w:rPr>
      </w:pPr>
      <w:r w:rsidRPr="00B31A89">
        <w:rPr>
          <w:lang w:val="en"/>
        </w:rPr>
        <w:t>Communities can begin to see youth as a resource, rather than a problem or complication.</w:t>
      </w:r>
    </w:p>
    <w:p w14:paraId="775742E6" w14:textId="29817E24" w:rsidR="002B476E" w:rsidRPr="00B31A89" w:rsidRDefault="002B476E" w:rsidP="009A2AFD">
      <w:pPr>
        <w:pStyle w:val="ListParagraph"/>
        <w:numPr>
          <w:ilvl w:val="0"/>
          <w:numId w:val="18"/>
        </w:numPr>
        <w:contextualSpacing w:val="0"/>
        <w:rPr>
          <w:lang w:val="en"/>
        </w:rPr>
      </w:pPr>
      <w:r w:rsidRPr="00B31A89">
        <w:rPr>
          <w:lang w:val="en"/>
        </w:rPr>
        <w:t>A new generation of volunteers can be cultivated.</w:t>
      </w:r>
    </w:p>
    <w:p w14:paraId="7D0EC0F2" w14:textId="24F3D1C1" w:rsidR="007E02DA" w:rsidRPr="00B31A89" w:rsidRDefault="003D4072" w:rsidP="00E37E0D">
      <w:pPr>
        <w:pStyle w:val="Heading2"/>
      </w:pPr>
      <w:bookmarkStart w:id="27" w:name="_Toc167277556"/>
      <w:r w:rsidRPr="00B31A89">
        <w:t>Policies and Practices to Support</w:t>
      </w:r>
      <w:r w:rsidR="00DA0C35" w:rsidRPr="00B31A89">
        <w:t xml:space="preserve"> Access to</w:t>
      </w:r>
      <w:r w:rsidRPr="00B31A89">
        <w:t xml:space="preserve"> Equitable</w:t>
      </w:r>
      <w:r w:rsidR="00C16BBB" w:rsidRPr="00B31A89">
        <w:t xml:space="preserve"> and High-Quality </w:t>
      </w:r>
      <w:r w:rsidR="00A346A4" w:rsidRPr="00B31A89">
        <w:t>Service-</w:t>
      </w:r>
      <w:r w:rsidR="007749AD">
        <w:t>L</w:t>
      </w:r>
      <w:r w:rsidR="00A346A4" w:rsidRPr="00B31A89">
        <w:t>earning</w:t>
      </w:r>
      <w:r w:rsidR="00C16BBB" w:rsidRPr="00B31A89">
        <w:t xml:space="preserve"> Programs</w:t>
      </w:r>
      <w:bookmarkEnd w:id="27"/>
    </w:p>
    <w:p w14:paraId="16285B45" w14:textId="67D0E286" w:rsidR="00533D56" w:rsidRPr="00B31A89" w:rsidRDefault="00533D56" w:rsidP="00533D56">
      <w:r w:rsidRPr="00B31A89">
        <w:t xml:space="preserve">Expanding access to high-quality service-learning programs first requires an understanding of the characteristics of high-quality service-learning programs that can culminate in a student earning </w:t>
      </w:r>
      <w:r w:rsidR="00844264">
        <w:t>an</w:t>
      </w:r>
      <w:r w:rsidRPr="00B31A89">
        <w:t xml:space="preserve"> SSCE.</w:t>
      </w:r>
    </w:p>
    <w:p w14:paraId="1B1F0EA5" w14:textId="33A80C92" w:rsidR="003021C9" w:rsidRPr="00B31A89" w:rsidRDefault="003021C9" w:rsidP="4758CA2D">
      <w:r w:rsidRPr="00B31A89">
        <w:t xml:space="preserve">As stated in the </w:t>
      </w:r>
      <w:r w:rsidRPr="00B075A3">
        <w:rPr>
          <w:i/>
          <w:iCs/>
        </w:rPr>
        <w:t>Six Proven Practices for Effective Civic Learning</w:t>
      </w:r>
      <w:r w:rsidRPr="00B31A89">
        <w:t>, service-learning “is neither a packaged curriculum nor a cut-and-dried program, and no two service-learning projects are completely alike.”</w:t>
      </w:r>
      <w:r w:rsidRPr="00B31A89">
        <w:rPr>
          <w:rStyle w:val="FootnoteReference"/>
        </w:rPr>
        <w:footnoteReference w:id="19"/>
      </w:r>
      <w:r w:rsidR="00995C39" w:rsidRPr="00B31A89">
        <w:t xml:space="preserve"> </w:t>
      </w:r>
      <w:r w:rsidR="0093798B" w:rsidRPr="00B31A89">
        <w:t xml:space="preserve">However, </w:t>
      </w:r>
      <w:r w:rsidR="00B5059C" w:rsidRPr="00B31A89">
        <w:t xml:space="preserve">high-quality </w:t>
      </w:r>
      <w:r w:rsidR="0093798B" w:rsidRPr="00B31A89">
        <w:t xml:space="preserve">evidence-based service-learning programs </w:t>
      </w:r>
      <w:r w:rsidR="00C4298C" w:rsidRPr="00B31A89">
        <w:t>have some commonalities</w:t>
      </w:r>
      <w:r w:rsidR="00F2085A" w:rsidRPr="00B31A89">
        <w:t>.</w:t>
      </w:r>
      <w:r w:rsidR="008A7B01" w:rsidRPr="00B31A89">
        <w:t xml:space="preserve"> </w:t>
      </w:r>
      <w:r w:rsidR="00C4298C" w:rsidRPr="00B31A89">
        <w:t>The following</w:t>
      </w:r>
      <w:r w:rsidR="008509FF" w:rsidRPr="00B31A89">
        <w:t xml:space="preserve"> recommendations are geared toward LEAs seeking to implement </w:t>
      </w:r>
      <w:r w:rsidR="00A346A4" w:rsidRPr="00B31A89">
        <w:t>service-learning</w:t>
      </w:r>
      <w:r w:rsidR="00D63C99" w:rsidRPr="00B31A89">
        <w:t xml:space="preserve"> programs </w:t>
      </w:r>
      <w:r w:rsidR="00A346A4" w:rsidRPr="00B31A89">
        <w:t xml:space="preserve">that culminate in the awarding of an </w:t>
      </w:r>
      <w:r w:rsidR="004D0561" w:rsidRPr="00B31A89">
        <w:t>SSCE but</w:t>
      </w:r>
      <w:r w:rsidR="00A346A4" w:rsidRPr="00B31A89">
        <w:t xml:space="preserve"> are also applicable for any organization seeking to implement an accessible, high-quality service-learning program for students in grades 9–12. County, district, and site administrators, as well as school educators, may find the most value in these guidelines and recommendations.</w:t>
      </w:r>
    </w:p>
    <w:p w14:paraId="7417C5BE" w14:textId="7060FC5E" w:rsidR="0040782D" w:rsidRPr="00B31A89" w:rsidRDefault="005F6B05" w:rsidP="00E37E0D">
      <w:pPr>
        <w:pStyle w:val="Heading3"/>
      </w:pPr>
      <w:bookmarkStart w:id="28" w:name="_Toc167277557"/>
      <w:r w:rsidRPr="006B29EC">
        <w:t xml:space="preserve">Recommendation 1: </w:t>
      </w:r>
      <w:r w:rsidR="0040782D" w:rsidRPr="006B29EC">
        <w:t xml:space="preserve">Establish </w:t>
      </w:r>
      <w:r w:rsidR="00D34898" w:rsidRPr="006B29EC">
        <w:t>Effective Standards and Indicators</w:t>
      </w:r>
      <w:bookmarkEnd w:id="28"/>
    </w:p>
    <w:p w14:paraId="7F7F1A7D" w14:textId="50F71F1F" w:rsidR="00A34A19" w:rsidRPr="00B31A89" w:rsidRDefault="00797A2A" w:rsidP="7E684A10">
      <w:r w:rsidRPr="7E684A10">
        <w:t xml:space="preserve">The </w:t>
      </w:r>
      <w:r w:rsidR="00750851">
        <w:t>National Youth Leadership Council</w:t>
      </w:r>
      <w:r w:rsidR="008B6768" w:rsidRPr="7E684A10">
        <w:t xml:space="preserve"> K–12 </w:t>
      </w:r>
      <w:r w:rsidR="001F0C38" w:rsidRPr="7E684A10">
        <w:t>Service-Learning</w:t>
      </w:r>
      <w:r w:rsidR="008B6768" w:rsidRPr="7E684A10">
        <w:t xml:space="preserve"> Standards for Quality Practice</w:t>
      </w:r>
      <w:r w:rsidRPr="7E684A10">
        <w:t xml:space="preserve"> </w:t>
      </w:r>
      <w:r w:rsidR="00E50A8A" w:rsidRPr="7E684A10">
        <w:t>developed</w:t>
      </w:r>
      <w:r w:rsidRPr="7E684A10">
        <w:t xml:space="preserve"> </w:t>
      </w:r>
      <w:r w:rsidR="00E50A8A" w:rsidRPr="7E684A10">
        <w:t>the below</w:t>
      </w:r>
      <w:r w:rsidRPr="7E684A10">
        <w:t xml:space="preserve"> framework of critical elements that educators can use to develop high-quality, rigorous, relevant projects.</w:t>
      </w:r>
      <w:r w:rsidR="00750851" w:rsidRPr="7E684A10">
        <w:rPr>
          <w:rStyle w:val="FootnoteReference"/>
        </w:rPr>
        <w:footnoteReference w:id="20"/>
      </w:r>
    </w:p>
    <w:p w14:paraId="14BC365C" w14:textId="506F8F7E" w:rsidR="00FE4A3F" w:rsidRPr="00373D11" w:rsidRDefault="005A66BA" w:rsidP="00373D11">
      <w:r w:rsidRPr="00B31A89">
        <w:t xml:space="preserve">Adopted in 2008, these </w:t>
      </w:r>
      <w:r w:rsidR="00E50A8A" w:rsidRPr="00B31A89">
        <w:t xml:space="preserve">six </w:t>
      </w:r>
      <w:r w:rsidRPr="00B31A89">
        <w:t xml:space="preserve">standards and indicators </w:t>
      </w:r>
      <w:r w:rsidR="00E26B25" w:rsidRPr="00B31A89">
        <w:t xml:space="preserve">can effectively guide development of equitable, high-quality </w:t>
      </w:r>
      <w:r w:rsidR="00A346A4" w:rsidRPr="00B31A89">
        <w:t>service-learning</w:t>
      </w:r>
      <w:r w:rsidR="00E26B25" w:rsidRPr="00B31A89">
        <w:t xml:space="preserve"> programs that can also support student attainment of the SSCE.</w:t>
      </w:r>
    </w:p>
    <w:p w14:paraId="466BAD90" w14:textId="77777777" w:rsidR="00373D11" w:rsidRPr="00B31A89" w:rsidRDefault="00373D11" w:rsidP="00373D11">
      <w:pPr>
        <w:pStyle w:val="ListParagraph"/>
        <w:numPr>
          <w:ilvl w:val="0"/>
          <w:numId w:val="12"/>
        </w:numPr>
        <w:contextualSpacing w:val="0"/>
        <w:rPr>
          <w:b/>
          <w:bCs/>
          <w:lang w:val="en"/>
        </w:rPr>
      </w:pPr>
      <w:r w:rsidRPr="00B31A89">
        <w:rPr>
          <w:b/>
          <w:bCs/>
          <w:lang w:val="en"/>
        </w:rPr>
        <w:lastRenderedPageBreak/>
        <w:t>Meaningful Service</w:t>
      </w:r>
    </w:p>
    <w:p w14:paraId="2BEE5983" w14:textId="77777777" w:rsidR="00373D11" w:rsidRPr="00B31A89" w:rsidRDefault="00373D11" w:rsidP="00373D11">
      <w:pPr>
        <w:rPr>
          <w:i/>
          <w:iCs/>
          <w:lang w:val="en"/>
        </w:rPr>
      </w:pPr>
      <w:r w:rsidRPr="00B31A89">
        <w:rPr>
          <w:i/>
          <w:iCs/>
        </w:rPr>
        <w:t>Service-learning actively engages participants in meaningful and personally</w:t>
      </w:r>
      <w:r>
        <w:rPr>
          <w:i/>
          <w:iCs/>
        </w:rPr>
        <w:t xml:space="preserve"> </w:t>
      </w:r>
      <w:r w:rsidRPr="00B31A89">
        <w:rPr>
          <w:i/>
          <w:iCs/>
        </w:rPr>
        <w:t>relevant</w:t>
      </w:r>
      <w:r>
        <w:rPr>
          <w:i/>
          <w:iCs/>
          <w:lang w:val="en"/>
        </w:rPr>
        <w:t xml:space="preserve"> </w:t>
      </w:r>
      <w:r w:rsidRPr="00B31A89">
        <w:rPr>
          <w:i/>
          <w:iCs/>
          <w:lang w:val="en"/>
        </w:rPr>
        <w:t>service activities.</w:t>
      </w:r>
    </w:p>
    <w:p w14:paraId="71ECB527" w14:textId="77777777" w:rsidR="00373D11" w:rsidRPr="00B31A89" w:rsidRDefault="00373D11" w:rsidP="00373D11">
      <w:pPr>
        <w:rPr>
          <w:b/>
          <w:bCs/>
          <w:lang w:val="en"/>
        </w:rPr>
      </w:pPr>
      <w:r w:rsidRPr="00B31A89">
        <w:rPr>
          <w:b/>
          <w:bCs/>
          <w:lang w:val="en"/>
        </w:rPr>
        <w:t>Indicators:</w:t>
      </w:r>
    </w:p>
    <w:p w14:paraId="20EE8CB6" w14:textId="77777777" w:rsidR="00373D11" w:rsidRPr="00B31A89" w:rsidRDefault="00373D11" w:rsidP="00373D11">
      <w:pPr>
        <w:pStyle w:val="ListParagraph"/>
        <w:numPr>
          <w:ilvl w:val="0"/>
          <w:numId w:val="29"/>
        </w:numPr>
        <w:contextualSpacing w:val="0"/>
      </w:pPr>
      <w:r w:rsidRPr="00B31A89">
        <w:t>Service-learning experiences are appropriate to participant ages and developmental abilities.</w:t>
      </w:r>
    </w:p>
    <w:p w14:paraId="7A98D930" w14:textId="77777777" w:rsidR="00373D11" w:rsidRPr="00B31A89" w:rsidRDefault="00373D11" w:rsidP="00373D11">
      <w:pPr>
        <w:pStyle w:val="ListParagraph"/>
        <w:numPr>
          <w:ilvl w:val="0"/>
          <w:numId w:val="29"/>
        </w:numPr>
        <w:contextualSpacing w:val="0"/>
        <w:rPr>
          <w:lang w:val="en"/>
        </w:rPr>
      </w:pPr>
      <w:r w:rsidRPr="00B31A89">
        <w:rPr>
          <w:lang w:val="en"/>
        </w:rPr>
        <w:t>Service-learning addresses issues that are personally relevant to the participants.</w:t>
      </w:r>
    </w:p>
    <w:p w14:paraId="54D0F3AF" w14:textId="77777777" w:rsidR="00373D11" w:rsidRPr="00B31A89" w:rsidRDefault="00373D11" w:rsidP="00373D11">
      <w:pPr>
        <w:pStyle w:val="ListParagraph"/>
        <w:numPr>
          <w:ilvl w:val="0"/>
          <w:numId w:val="29"/>
        </w:numPr>
        <w:contextualSpacing w:val="0"/>
        <w:rPr>
          <w:lang w:val="en"/>
        </w:rPr>
      </w:pPr>
      <w:r w:rsidRPr="00B31A89">
        <w:rPr>
          <w:lang w:val="en"/>
        </w:rPr>
        <w:t>Service-learning provides participants with interesting and engaging service activities.</w:t>
      </w:r>
    </w:p>
    <w:p w14:paraId="6F21541E" w14:textId="77777777" w:rsidR="00373D11" w:rsidRPr="00B31A89" w:rsidRDefault="00373D11" w:rsidP="00373D11">
      <w:pPr>
        <w:pStyle w:val="ListParagraph"/>
        <w:numPr>
          <w:ilvl w:val="0"/>
          <w:numId w:val="29"/>
        </w:numPr>
        <w:contextualSpacing w:val="0"/>
        <w:rPr>
          <w:lang w:val="en"/>
        </w:rPr>
      </w:pPr>
      <w:r w:rsidRPr="00B31A89">
        <w:rPr>
          <w:lang w:val="en"/>
        </w:rPr>
        <w:t>Service-learning encourages participants to understand their service experiences in the context of the underlying societal issues being addressed.</w:t>
      </w:r>
    </w:p>
    <w:p w14:paraId="6CA4F10A" w14:textId="77777777" w:rsidR="00373D11" w:rsidRPr="00B31A89" w:rsidRDefault="00373D11" w:rsidP="00373D11">
      <w:pPr>
        <w:pStyle w:val="ListParagraph"/>
        <w:numPr>
          <w:ilvl w:val="0"/>
          <w:numId w:val="29"/>
        </w:numPr>
        <w:contextualSpacing w:val="0"/>
      </w:pPr>
      <w:r w:rsidRPr="00B31A89">
        <w:t>Service-learning leads to attainable and visible outcomes that are valued by those being served.</w:t>
      </w:r>
    </w:p>
    <w:p w14:paraId="0EC00D70" w14:textId="77777777" w:rsidR="00373D11" w:rsidRPr="00B31A89" w:rsidRDefault="00373D11" w:rsidP="00373D11">
      <w:pPr>
        <w:pStyle w:val="ListParagraph"/>
        <w:numPr>
          <w:ilvl w:val="0"/>
          <w:numId w:val="12"/>
        </w:numPr>
        <w:contextualSpacing w:val="0"/>
        <w:rPr>
          <w:b/>
          <w:bCs/>
          <w:lang w:val="en"/>
        </w:rPr>
      </w:pPr>
      <w:r w:rsidRPr="00B31A89">
        <w:rPr>
          <w:b/>
          <w:bCs/>
          <w:lang w:val="en"/>
        </w:rPr>
        <w:t>Link to Curriculum</w:t>
      </w:r>
    </w:p>
    <w:p w14:paraId="78D03E74" w14:textId="77777777" w:rsidR="00373D11" w:rsidRPr="00416AB5" w:rsidRDefault="00373D11" w:rsidP="00373D11">
      <w:pPr>
        <w:rPr>
          <w:i/>
          <w:iCs/>
          <w:lang w:val="en"/>
        </w:rPr>
      </w:pPr>
      <w:r w:rsidRPr="00B31A89">
        <w:rPr>
          <w:i/>
          <w:iCs/>
          <w:lang w:val="en"/>
        </w:rPr>
        <w:t>Service-learning is intentionally used as an instructional strategy to meet learning</w:t>
      </w:r>
      <w:r>
        <w:rPr>
          <w:i/>
          <w:iCs/>
          <w:lang w:val="en"/>
        </w:rPr>
        <w:t xml:space="preserve"> </w:t>
      </w:r>
      <w:r w:rsidRPr="00B31A89">
        <w:rPr>
          <w:i/>
          <w:iCs/>
          <w:lang w:val="en"/>
        </w:rPr>
        <w:t>goals and content standards.</w:t>
      </w:r>
    </w:p>
    <w:p w14:paraId="67F8CDE4" w14:textId="77777777" w:rsidR="00373D11" w:rsidRPr="00B31A89" w:rsidRDefault="00373D11" w:rsidP="00373D11">
      <w:pPr>
        <w:rPr>
          <w:b/>
          <w:bCs/>
          <w:lang w:val="en"/>
        </w:rPr>
      </w:pPr>
      <w:r w:rsidRPr="00B31A89">
        <w:rPr>
          <w:b/>
          <w:bCs/>
          <w:lang w:val="en"/>
        </w:rPr>
        <w:t>Indicators:</w:t>
      </w:r>
    </w:p>
    <w:p w14:paraId="4EFF9771" w14:textId="77777777" w:rsidR="00373D11" w:rsidRPr="00B31A89" w:rsidRDefault="00373D11" w:rsidP="00373D11">
      <w:pPr>
        <w:pStyle w:val="ListParagraph"/>
        <w:numPr>
          <w:ilvl w:val="0"/>
          <w:numId w:val="30"/>
        </w:numPr>
        <w:contextualSpacing w:val="0"/>
        <w:rPr>
          <w:lang w:val="en"/>
        </w:rPr>
      </w:pPr>
      <w:r w:rsidRPr="00B31A89">
        <w:rPr>
          <w:lang w:val="en"/>
        </w:rPr>
        <w:t>Service-learning has clearly articulated learning goals.</w:t>
      </w:r>
    </w:p>
    <w:p w14:paraId="3E61AE4E" w14:textId="77777777" w:rsidR="00373D11" w:rsidRPr="00B31A89" w:rsidRDefault="00373D11" w:rsidP="00373D11">
      <w:pPr>
        <w:pStyle w:val="ListParagraph"/>
        <w:numPr>
          <w:ilvl w:val="0"/>
          <w:numId w:val="30"/>
        </w:numPr>
        <w:contextualSpacing w:val="0"/>
        <w:rPr>
          <w:lang w:val="en"/>
        </w:rPr>
      </w:pPr>
      <w:r w:rsidRPr="00B31A89">
        <w:rPr>
          <w:lang w:val="en"/>
        </w:rPr>
        <w:t>Service-learning is aligned with the academic and programmatic curriculum.</w:t>
      </w:r>
    </w:p>
    <w:p w14:paraId="4468C186" w14:textId="77777777" w:rsidR="00373D11" w:rsidRPr="00B31A89" w:rsidRDefault="00373D11" w:rsidP="00373D11">
      <w:pPr>
        <w:pStyle w:val="ListParagraph"/>
        <w:numPr>
          <w:ilvl w:val="0"/>
          <w:numId w:val="30"/>
        </w:numPr>
        <w:contextualSpacing w:val="0"/>
        <w:rPr>
          <w:lang w:val="en"/>
        </w:rPr>
      </w:pPr>
      <w:r w:rsidRPr="00B31A89">
        <w:rPr>
          <w:lang w:val="en"/>
        </w:rPr>
        <w:t>Service-learning helps participants learn how to transfer knowledge and skills from one setting to another.</w:t>
      </w:r>
    </w:p>
    <w:p w14:paraId="01D50DB2" w14:textId="77777777" w:rsidR="00373D11" w:rsidRPr="00B31A89" w:rsidRDefault="00373D11" w:rsidP="00373D11">
      <w:pPr>
        <w:pStyle w:val="ListParagraph"/>
        <w:numPr>
          <w:ilvl w:val="0"/>
          <w:numId w:val="30"/>
        </w:numPr>
        <w:contextualSpacing w:val="0"/>
        <w:rPr>
          <w:lang w:val="en"/>
        </w:rPr>
      </w:pPr>
      <w:r w:rsidRPr="00B31A89">
        <w:rPr>
          <w:lang w:val="en"/>
        </w:rPr>
        <w:t>Service-learning that takes place in schools is formally recognized in school board policies and student records.</w:t>
      </w:r>
    </w:p>
    <w:p w14:paraId="657B1B3C" w14:textId="77777777" w:rsidR="00373D11" w:rsidRPr="00B31A89" w:rsidRDefault="00373D11" w:rsidP="00373D11">
      <w:pPr>
        <w:pStyle w:val="ListParagraph"/>
        <w:numPr>
          <w:ilvl w:val="0"/>
          <w:numId w:val="12"/>
        </w:numPr>
        <w:contextualSpacing w:val="0"/>
        <w:rPr>
          <w:b/>
          <w:bCs/>
          <w:lang w:val="en"/>
        </w:rPr>
      </w:pPr>
      <w:r w:rsidRPr="00B31A89">
        <w:rPr>
          <w:b/>
          <w:bCs/>
          <w:lang w:val="en"/>
        </w:rPr>
        <w:t>Reflection</w:t>
      </w:r>
    </w:p>
    <w:p w14:paraId="3ED0C822" w14:textId="77777777" w:rsidR="00373D11" w:rsidRPr="00B31A89" w:rsidRDefault="00373D11" w:rsidP="00373D11">
      <w:pPr>
        <w:rPr>
          <w:i/>
          <w:iCs/>
          <w:lang w:val="en"/>
        </w:rPr>
      </w:pPr>
      <w:r w:rsidRPr="00B31A89">
        <w:rPr>
          <w:i/>
          <w:iCs/>
          <w:lang w:val="en"/>
        </w:rPr>
        <w:t>Service-learning incorporates multiple challenging reflection activities that are ongoing and that prompt deep thinking and analysis about oneself and one’s relationship to society.</w:t>
      </w:r>
    </w:p>
    <w:p w14:paraId="6A9A8A14" w14:textId="77777777" w:rsidR="00373D11" w:rsidRPr="00B31A89" w:rsidRDefault="00373D11" w:rsidP="00373D11">
      <w:pPr>
        <w:rPr>
          <w:b/>
          <w:bCs/>
          <w:lang w:val="en"/>
        </w:rPr>
      </w:pPr>
      <w:r w:rsidRPr="00B31A89">
        <w:rPr>
          <w:b/>
          <w:bCs/>
          <w:lang w:val="en"/>
        </w:rPr>
        <w:t>Indicators:</w:t>
      </w:r>
    </w:p>
    <w:p w14:paraId="45B01747" w14:textId="77777777" w:rsidR="00373D11" w:rsidRPr="00B31A89" w:rsidRDefault="00373D11" w:rsidP="00373D11">
      <w:pPr>
        <w:pStyle w:val="ListParagraph"/>
        <w:numPr>
          <w:ilvl w:val="0"/>
          <w:numId w:val="31"/>
        </w:numPr>
        <w:contextualSpacing w:val="0"/>
      </w:pPr>
      <w:r w:rsidRPr="00B31A89">
        <w:lastRenderedPageBreak/>
        <w:t>Service-learning reflection includes a variety of verbal, written, artistic, and nonverbal activities to demonstrate understanding and changes in participants’ knowledge, skills, and attitudes.</w:t>
      </w:r>
    </w:p>
    <w:p w14:paraId="0F79DBDB" w14:textId="77777777" w:rsidR="00373D11" w:rsidRPr="00B31A89" w:rsidRDefault="00373D11" w:rsidP="00373D11">
      <w:pPr>
        <w:pStyle w:val="ListParagraph"/>
        <w:numPr>
          <w:ilvl w:val="0"/>
          <w:numId w:val="31"/>
        </w:numPr>
        <w:contextualSpacing w:val="0"/>
        <w:rPr>
          <w:lang w:val="en"/>
        </w:rPr>
      </w:pPr>
      <w:r w:rsidRPr="00B31A89">
        <w:rPr>
          <w:lang w:val="en"/>
        </w:rPr>
        <w:t>Service-learning reflection occurs before, during, and after the service experience.</w:t>
      </w:r>
    </w:p>
    <w:p w14:paraId="50F42AF6" w14:textId="77777777" w:rsidR="00373D11" w:rsidRPr="00B31A89" w:rsidRDefault="00373D11" w:rsidP="00373D11">
      <w:pPr>
        <w:pStyle w:val="ListParagraph"/>
        <w:numPr>
          <w:ilvl w:val="0"/>
          <w:numId w:val="31"/>
        </w:numPr>
        <w:contextualSpacing w:val="0"/>
        <w:rPr>
          <w:lang w:val="en"/>
        </w:rPr>
      </w:pPr>
      <w:r w:rsidRPr="00B31A89">
        <w:rPr>
          <w:lang w:val="en"/>
        </w:rPr>
        <w:t>Service-learning reflection prompts participants to think deeply about complex community problems and alternative solutions.</w:t>
      </w:r>
    </w:p>
    <w:p w14:paraId="4221075E" w14:textId="77777777" w:rsidR="00373D11" w:rsidRPr="00B31A89" w:rsidRDefault="00373D11" w:rsidP="00373D11">
      <w:pPr>
        <w:pStyle w:val="ListParagraph"/>
        <w:numPr>
          <w:ilvl w:val="0"/>
          <w:numId w:val="31"/>
        </w:numPr>
        <w:contextualSpacing w:val="0"/>
      </w:pPr>
      <w:r w:rsidRPr="00B31A89">
        <w:t xml:space="preserve">Service-learning reflection encourages participants to examine their preconceptions and assumptions </w:t>
      </w:r>
      <w:proofErr w:type="gramStart"/>
      <w:r w:rsidRPr="00B31A89">
        <w:t>in order to</w:t>
      </w:r>
      <w:proofErr w:type="gramEnd"/>
      <w:r w:rsidRPr="00B31A89">
        <w:t xml:space="preserve"> explore and understand their roles and responsibilities as citizens.</w:t>
      </w:r>
    </w:p>
    <w:p w14:paraId="08247F7D" w14:textId="77777777" w:rsidR="00373D11" w:rsidRPr="00B31A89" w:rsidRDefault="00373D11" w:rsidP="00373D11">
      <w:pPr>
        <w:pStyle w:val="ListParagraph"/>
        <w:numPr>
          <w:ilvl w:val="0"/>
          <w:numId w:val="31"/>
        </w:numPr>
        <w:contextualSpacing w:val="0"/>
        <w:rPr>
          <w:lang w:val="en"/>
        </w:rPr>
      </w:pPr>
      <w:r w:rsidRPr="00B31A89">
        <w:rPr>
          <w:lang w:val="en"/>
        </w:rPr>
        <w:t>Service-learning reflection encourages participants to examine a variety of social and civic issues related to their service-learning experience so that participants understand connections to public policy and civic life.</w:t>
      </w:r>
    </w:p>
    <w:p w14:paraId="7B3B85D2" w14:textId="77777777" w:rsidR="00373D11" w:rsidRPr="00B31A89" w:rsidRDefault="00373D11" w:rsidP="00373D11">
      <w:pPr>
        <w:pStyle w:val="ListParagraph"/>
        <w:numPr>
          <w:ilvl w:val="0"/>
          <w:numId w:val="12"/>
        </w:numPr>
        <w:contextualSpacing w:val="0"/>
        <w:rPr>
          <w:b/>
          <w:bCs/>
          <w:lang w:val="en"/>
        </w:rPr>
      </w:pPr>
      <w:r w:rsidRPr="00B31A89">
        <w:rPr>
          <w:b/>
          <w:bCs/>
          <w:lang w:val="en"/>
        </w:rPr>
        <w:t>Diversity</w:t>
      </w:r>
    </w:p>
    <w:p w14:paraId="3589B7F6" w14:textId="77777777" w:rsidR="00373D11" w:rsidRPr="00B31A89" w:rsidRDefault="00373D11" w:rsidP="00373D11">
      <w:pPr>
        <w:rPr>
          <w:i/>
          <w:iCs/>
          <w:lang w:val="en"/>
        </w:rPr>
      </w:pPr>
      <w:r w:rsidRPr="00B31A89">
        <w:rPr>
          <w:i/>
          <w:iCs/>
          <w:lang w:val="en"/>
        </w:rPr>
        <w:t>Service-learning promotes understanding of diversity and mutual respect among all participants.</w:t>
      </w:r>
    </w:p>
    <w:p w14:paraId="7F6316C7" w14:textId="77777777" w:rsidR="00373D11" w:rsidRPr="00B31A89" w:rsidRDefault="00373D11" w:rsidP="00373D11">
      <w:pPr>
        <w:rPr>
          <w:b/>
          <w:bCs/>
          <w:lang w:val="en"/>
        </w:rPr>
      </w:pPr>
      <w:r w:rsidRPr="00B31A89">
        <w:rPr>
          <w:b/>
          <w:bCs/>
          <w:lang w:val="en"/>
        </w:rPr>
        <w:t>Indicators:</w:t>
      </w:r>
    </w:p>
    <w:p w14:paraId="176DDC43" w14:textId="77777777" w:rsidR="00373D11" w:rsidRPr="00B31A89" w:rsidRDefault="00373D11" w:rsidP="00373D11">
      <w:pPr>
        <w:pStyle w:val="ListParagraph"/>
        <w:numPr>
          <w:ilvl w:val="0"/>
          <w:numId w:val="32"/>
        </w:numPr>
        <w:contextualSpacing w:val="0"/>
      </w:pPr>
      <w:r w:rsidRPr="00B31A89">
        <w:t xml:space="preserve">Service-learning helps participants identify and analyze different points of view to gain </w:t>
      </w:r>
      <w:r>
        <w:t xml:space="preserve">an </w:t>
      </w:r>
      <w:r w:rsidRPr="00B31A89">
        <w:t>understanding of multiple perspectives.</w:t>
      </w:r>
    </w:p>
    <w:p w14:paraId="6CA7B581" w14:textId="77777777" w:rsidR="00373D11" w:rsidRPr="00B31A89" w:rsidRDefault="00373D11" w:rsidP="00373D11">
      <w:pPr>
        <w:pStyle w:val="ListParagraph"/>
        <w:numPr>
          <w:ilvl w:val="0"/>
          <w:numId w:val="32"/>
        </w:numPr>
        <w:contextualSpacing w:val="0"/>
        <w:rPr>
          <w:lang w:val="en"/>
        </w:rPr>
      </w:pPr>
      <w:r w:rsidRPr="00B31A89">
        <w:rPr>
          <w:lang w:val="en"/>
        </w:rPr>
        <w:t>Service-learning helps participants develop interpersonal skills in conflict resolution and group decision-making.</w:t>
      </w:r>
    </w:p>
    <w:p w14:paraId="78EAF46B" w14:textId="77777777" w:rsidR="00373D11" w:rsidRPr="00B31A89" w:rsidRDefault="00373D11" w:rsidP="00373D11">
      <w:pPr>
        <w:pStyle w:val="ListParagraph"/>
        <w:numPr>
          <w:ilvl w:val="0"/>
          <w:numId w:val="32"/>
        </w:numPr>
        <w:contextualSpacing w:val="0"/>
      </w:pPr>
      <w:r w:rsidRPr="00B31A89">
        <w:t>Service-learning helps participants actively seek to understand and value the diverse backgrounds and perspectives of those offering and receiving service.</w:t>
      </w:r>
    </w:p>
    <w:p w14:paraId="68AFB610" w14:textId="77777777" w:rsidR="00373D11" w:rsidRPr="00FE4A3F" w:rsidRDefault="00373D11" w:rsidP="00373D11">
      <w:pPr>
        <w:pStyle w:val="ListParagraph"/>
        <w:numPr>
          <w:ilvl w:val="0"/>
          <w:numId w:val="32"/>
        </w:numPr>
        <w:contextualSpacing w:val="0"/>
        <w:rPr>
          <w:lang w:val="en"/>
        </w:rPr>
      </w:pPr>
      <w:r w:rsidRPr="00B31A89">
        <w:rPr>
          <w:lang w:val="en"/>
        </w:rPr>
        <w:t>Service-learning encourages participants to recognize and overcome stereotypes.</w:t>
      </w:r>
    </w:p>
    <w:p w14:paraId="37E87421" w14:textId="77777777" w:rsidR="00373D11" w:rsidRPr="00FE4A3F" w:rsidRDefault="00373D11" w:rsidP="00373D11">
      <w:pPr>
        <w:rPr>
          <w:b/>
          <w:bCs/>
          <w:lang w:val="en"/>
        </w:rPr>
        <w:sectPr w:rsidR="00373D11" w:rsidRPr="00FE4A3F" w:rsidSect="00373D11">
          <w:headerReference w:type="even" r:id="rId20"/>
          <w:headerReference w:type="default" r:id="rId21"/>
          <w:footerReference w:type="default" r:id="rId22"/>
          <w:headerReference w:type="first" r:id="rId23"/>
          <w:pgSz w:w="12240" w:h="15840"/>
          <w:pgMar w:top="1440" w:right="1440" w:bottom="1440" w:left="1440" w:header="720" w:footer="720" w:gutter="0"/>
          <w:cols w:space="720"/>
          <w:docGrid w:linePitch="360"/>
        </w:sectPr>
      </w:pPr>
    </w:p>
    <w:p w14:paraId="6BBBFA8A" w14:textId="77777777" w:rsidR="00373D11" w:rsidRPr="00B31A89" w:rsidRDefault="00373D11" w:rsidP="00373D11">
      <w:pPr>
        <w:pStyle w:val="ListParagraph"/>
        <w:numPr>
          <w:ilvl w:val="0"/>
          <w:numId w:val="12"/>
        </w:numPr>
        <w:contextualSpacing w:val="0"/>
        <w:rPr>
          <w:b/>
          <w:bCs/>
          <w:lang w:val="en"/>
        </w:rPr>
      </w:pPr>
      <w:r w:rsidRPr="00B31A89">
        <w:rPr>
          <w:b/>
          <w:bCs/>
          <w:lang w:val="en"/>
        </w:rPr>
        <w:lastRenderedPageBreak/>
        <w:t>Youth Voice</w:t>
      </w:r>
    </w:p>
    <w:p w14:paraId="25877732" w14:textId="77777777" w:rsidR="00373D11" w:rsidRPr="00B31A89" w:rsidRDefault="00373D11" w:rsidP="00373D11">
      <w:pPr>
        <w:rPr>
          <w:i/>
          <w:iCs/>
          <w:lang w:val="en"/>
        </w:rPr>
      </w:pPr>
      <w:r w:rsidRPr="00B31A89">
        <w:rPr>
          <w:i/>
          <w:iCs/>
          <w:lang w:val="en"/>
        </w:rPr>
        <w:t>Service-learning provides youth with a strong voice in planning, implementing, and evaluating service-learning experiences with guidance from adults.</w:t>
      </w:r>
    </w:p>
    <w:p w14:paraId="58F484C4" w14:textId="77777777" w:rsidR="00373D11" w:rsidRPr="00B31A89" w:rsidRDefault="00373D11" w:rsidP="00373D11">
      <w:pPr>
        <w:rPr>
          <w:b/>
          <w:bCs/>
          <w:lang w:val="en"/>
        </w:rPr>
      </w:pPr>
      <w:r w:rsidRPr="00B31A89">
        <w:rPr>
          <w:b/>
          <w:bCs/>
          <w:lang w:val="en"/>
        </w:rPr>
        <w:t>Indicators:</w:t>
      </w:r>
    </w:p>
    <w:p w14:paraId="3796379C" w14:textId="77777777" w:rsidR="00373D11" w:rsidRPr="00B31A89" w:rsidRDefault="00373D11" w:rsidP="00373D11">
      <w:pPr>
        <w:pStyle w:val="ListParagraph"/>
        <w:numPr>
          <w:ilvl w:val="0"/>
          <w:numId w:val="33"/>
        </w:numPr>
        <w:contextualSpacing w:val="0"/>
      </w:pPr>
      <w:r w:rsidRPr="00B31A89">
        <w:t>Service-learning engages youth in generating ideas during the planning, implementation, and evaluation processes.</w:t>
      </w:r>
    </w:p>
    <w:p w14:paraId="18E01E70" w14:textId="77777777" w:rsidR="00373D11" w:rsidRPr="00B31A89" w:rsidRDefault="00373D11" w:rsidP="00373D11">
      <w:pPr>
        <w:pStyle w:val="ListParagraph"/>
        <w:numPr>
          <w:ilvl w:val="0"/>
          <w:numId w:val="33"/>
        </w:numPr>
        <w:contextualSpacing w:val="0"/>
      </w:pPr>
      <w:r w:rsidRPr="00B31A89">
        <w:t>Service-learning involves youth in the decision-making process throughout the service-learning experiences.</w:t>
      </w:r>
    </w:p>
    <w:p w14:paraId="68FC5C18" w14:textId="77777777" w:rsidR="00373D11" w:rsidRPr="00B31A89" w:rsidRDefault="00373D11" w:rsidP="00373D11">
      <w:pPr>
        <w:pStyle w:val="ListParagraph"/>
        <w:numPr>
          <w:ilvl w:val="0"/>
          <w:numId w:val="33"/>
        </w:numPr>
        <w:contextualSpacing w:val="0"/>
      </w:pPr>
      <w:r w:rsidRPr="00B31A89">
        <w:t>Service-learning involves youth and adults in creating an environment that supports trust and open expression of ideas.</w:t>
      </w:r>
    </w:p>
    <w:p w14:paraId="3465E168" w14:textId="77777777" w:rsidR="00373D11" w:rsidRPr="00B31A89" w:rsidRDefault="00373D11" w:rsidP="00373D11">
      <w:pPr>
        <w:pStyle w:val="ListParagraph"/>
        <w:numPr>
          <w:ilvl w:val="0"/>
          <w:numId w:val="33"/>
        </w:numPr>
        <w:contextualSpacing w:val="0"/>
      </w:pPr>
      <w:r w:rsidRPr="00B31A89">
        <w:t xml:space="preserve">Service-learning promotes </w:t>
      </w:r>
      <w:r>
        <w:t xml:space="preserve">the </w:t>
      </w:r>
      <w:r w:rsidRPr="00B31A89">
        <w:t>acquisition of knowledge and skills to enhance youth leadership and decision-making.</w:t>
      </w:r>
    </w:p>
    <w:p w14:paraId="438520B5" w14:textId="77777777" w:rsidR="00373D11" w:rsidRPr="00416AB5" w:rsidRDefault="00373D11" w:rsidP="00373D11">
      <w:pPr>
        <w:pStyle w:val="ListParagraph"/>
        <w:numPr>
          <w:ilvl w:val="0"/>
          <w:numId w:val="33"/>
        </w:numPr>
        <w:contextualSpacing w:val="0"/>
      </w:pPr>
      <w:r w:rsidRPr="00B31A89">
        <w:t>Service-learning involves youth in evaluating the quality and effectiveness of the service-learning experience.</w:t>
      </w:r>
    </w:p>
    <w:p w14:paraId="654495FF" w14:textId="77777777" w:rsidR="00373D11" w:rsidRPr="00B31A89" w:rsidRDefault="00373D11" w:rsidP="00373D11">
      <w:pPr>
        <w:rPr>
          <w:i/>
          <w:iCs/>
          <w:lang w:val="en"/>
        </w:rPr>
      </w:pPr>
      <w:r w:rsidRPr="00B31A89">
        <w:rPr>
          <w:i/>
          <w:iCs/>
          <w:lang w:val="en"/>
        </w:rPr>
        <w:t>Service-learning partnerships are collaborative, mutually beneficial, and address community needs.</w:t>
      </w:r>
    </w:p>
    <w:p w14:paraId="133B341A" w14:textId="77777777" w:rsidR="00373D11" w:rsidRPr="00B31A89" w:rsidRDefault="00373D11" w:rsidP="00373D11">
      <w:pPr>
        <w:rPr>
          <w:b/>
          <w:bCs/>
          <w:lang w:val="en"/>
        </w:rPr>
      </w:pPr>
      <w:r w:rsidRPr="00B31A89">
        <w:rPr>
          <w:b/>
          <w:bCs/>
          <w:lang w:val="en"/>
        </w:rPr>
        <w:t>Indicators:</w:t>
      </w:r>
    </w:p>
    <w:p w14:paraId="614A8277" w14:textId="77777777" w:rsidR="00373D11" w:rsidRPr="00B31A89" w:rsidRDefault="00373D11" w:rsidP="00373D11">
      <w:pPr>
        <w:pStyle w:val="ListParagraph"/>
        <w:numPr>
          <w:ilvl w:val="0"/>
          <w:numId w:val="34"/>
        </w:numPr>
        <w:contextualSpacing w:val="0"/>
      </w:pPr>
      <w:r w:rsidRPr="00B31A89">
        <w:t>Service-learning involves a variety of partners, including youth, educators, families, community members, community-based organizations, and businesses.</w:t>
      </w:r>
    </w:p>
    <w:p w14:paraId="027BF1D7" w14:textId="77777777" w:rsidR="00373D11" w:rsidRPr="00B31A89" w:rsidRDefault="00373D11" w:rsidP="00373D11">
      <w:pPr>
        <w:pStyle w:val="ListParagraph"/>
        <w:numPr>
          <w:ilvl w:val="0"/>
          <w:numId w:val="34"/>
        </w:numPr>
        <w:contextualSpacing w:val="0"/>
      </w:pPr>
      <w:r w:rsidRPr="00B31A89">
        <w:t>Service-learning partnerships are characterized by frequent and regular communication to keep all partners well-informed about activities and progress.</w:t>
      </w:r>
    </w:p>
    <w:p w14:paraId="67F97A14" w14:textId="77777777" w:rsidR="00373D11" w:rsidRPr="00B31A89" w:rsidRDefault="00373D11" w:rsidP="00373D11">
      <w:pPr>
        <w:pStyle w:val="ListParagraph"/>
        <w:numPr>
          <w:ilvl w:val="0"/>
          <w:numId w:val="34"/>
        </w:numPr>
        <w:contextualSpacing w:val="0"/>
      </w:pPr>
      <w:r w:rsidRPr="00B31A89">
        <w:t>Service-learning partners collaborate to establish a shared vision and set common goals to address community needs.</w:t>
      </w:r>
    </w:p>
    <w:p w14:paraId="68CD3B37" w14:textId="77777777" w:rsidR="00373D11" w:rsidRPr="00B31A89" w:rsidRDefault="00373D11" w:rsidP="00373D11">
      <w:pPr>
        <w:pStyle w:val="ListParagraph"/>
        <w:numPr>
          <w:ilvl w:val="0"/>
          <w:numId w:val="34"/>
        </w:numPr>
        <w:contextualSpacing w:val="0"/>
      </w:pPr>
      <w:r w:rsidRPr="00B31A89">
        <w:t>Service-learning partners collaboratively develop and implement action plans to meet specified goals.</w:t>
      </w:r>
    </w:p>
    <w:p w14:paraId="246597AE" w14:textId="77777777" w:rsidR="00373D11" w:rsidRPr="00B31A89" w:rsidRDefault="00373D11" w:rsidP="00373D11">
      <w:pPr>
        <w:pStyle w:val="ListParagraph"/>
        <w:numPr>
          <w:ilvl w:val="0"/>
          <w:numId w:val="34"/>
        </w:numPr>
        <w:contextualSpacing w:val="0"/>
      </w:pPr>
      <w:r w:rsidRPr="00B31A89">
        <w:t>Service-learning partners share knowledge and understanding of school and community assets and needs and view each other as valued resources.</w:t>
      </w:r>
    </w:p>
    <w:p w14:paraId="1DFD841A" w14:textId="77777777" w:rsidR="00FE4A3F" w:rsidRPr="00FE4A3F" w:rsidRDefault="00FE4A3F" w:rsidP="00FE4A3F">
      <w:pPr>
        <w:rPr>
          <w:b/>
          <w:bCs/>
          <w:lang w:val="en"/>
        </w:rPr>
        <w:sectPr w:rsidR="00FE4A3F" w:rsidRPr="00FE4A3F" w:rsidSect="00760A30">
          <w:headerReference w:type="even" r:id="rId24"/>
          <w:headerReference w:type="default" r:id="rId25"/>
          <w:footerReference w:type="default" r:id="rId26"/>
          <w:headerReference w:type="first" r:id="rId27"/>
          <w:pgSz w:w="12240" w:h="15840"/>
          <w:pgMar w:top="1440" w:right="1440" w:bottom="1440" w:left="1440" w:header="720" w:footer="720" w:gutter="0"/>
          <w:cols w:space="720"/>
          <w:docGrid w:linePitch="360"/>
        </w:sectPr>
      </w:pPr>
    </w:p>
    <w:p w14:paraId="3E54FCC8" w14:textId="11CE3629" w:rsidR="00D34898" w:rsidRPr="00B31A89" w:rsidRDefault="00023A04" w:rsidP="00E37E0D">
      <w:pPr>
        <w:pStyle w:val="Heading3"/>
        <w:spacing w:before="240"/>
      </w:pPr>
      <w:bookmarkStart w:id="29" w:name="_Toc167277558"/>
      <w:r w:rsidRPr="00B31A89">
        <w:t xml:space="preserve">Recommendation 2: </w:t>
      </w:r>
      <w:r w:rsidR="00CA77ED" w:rsidRPr="00B31A89">
        <w:t xml:space="preserve">Incorporate </w:t>
      </w:r>
      <w:r w:rsidR="00D45D48" w:rsidRPr="00B31A89">
        <w:t xml:space="preserve">Curriculum and Strategies </w:t>
      </w:r>
      <w:r w:rsidR="009C05C7">
        <w:t>T</w:t>
      </w:r>
      <w:r w:rsidR="00D45D48" w:rsidRPr="00B31A89">
        <w:t>hat Encourage Deep Civic Learning</w:t>
      </w:r>
      <w:bookmarkEnd w:id="29"/>
    </w:p>
    <w:p w14:paraId="7567A7AA" w14:textId="2B21A899" w:rsidR="006B393F" w:rsidRPr="00B31A89" w:rsidRDefault="00307AD9" w:rsidP="006B393F">
      <w:r w:rsidRPr="00B31A89">
        <w:t>LEAs seeking to develop and promote access to service-learning programs</w:t>
      </w:r>
      <w:r w:rsidR="003D4C4B" w:rsidRPr="00B31A89">
        <w:t xml:space="preserve"> should ensure</w:t>
      </w:r>
      <w:r w:rsidR="001F3137" w:rsidRPr="00B31A89">
        <w:t xml:space="preserve"> that these programs include </w:t>
      </w:r>
      <w:r w:rsidR="000D4767">
        <w:t>curricula</w:t>
      </w:r>
      <w:r w:rsidR="001F3137" w:rsidRPr="00B31A89">
        <w:t xml:space="preserve"> and strategies that encourage deep civic learning. </w:t>
      </w:r>
      <w:r w:rsidR="0008493C" w:rsidRPr="00B31A89">
        <w:t>Examples of instructional strategies and curriculum resources that can support this recommendation are provided below.</w:t>
      </w:r>
    </w:p>
    <w:p w14:paraId="0C58043D" w14:textId="356BD815" w:rsidR="00D34898" w:rsidRPr="000C32AC" w:rsidRDefault="00BD04F1" w:rsidP="00E37E0D">
      <w:pPr>
        <w:pStyle w:val="Heading4"/>
        <w:rPr>
          <w:i/>
          <w:iCs/>
        </w:rPr>
      </w:pPr>
      <w:bookmarkStart w:id="30" w:name="_Toc167277559"/>
      <w:r w:rsidRPr="00E37E0D">
        <w:lastRenderedPageBreak/>
        <w:t>College</w:t>
      </w:r>
      <w:r w:rsidRPr="000C32AC">
        <w:t xml:space="preserve">, Career, and Civic </w:t>
      </w:r>
      <w:r w:rsidR="00A34A19" w:rsidRPr="000C32AC">
        <w:t>Life</w:t>
      </w:r>
      <w:r w:rsidRPr="000C32AC">
        <w:t xml:space="preserve"> Framework for Social Studies State Standards</w:t>
      </w:r>
      <w:r w:rsidR="00D34898" w:rsidRPr="000C32AC">
        <w:t xml:space="preserve"> Inquiry Arc</w:t>
      </w:r>
      <w:bookmarkEnd w:id="30"/>
    </w:p>
    <w:p w14:paraId="402F3FEF" w14:textId="2F008CC6" w:rsidR="00C96DE9" w:rsidRPr="00B31A89" w:rsidRDefault="00472F06" w:rsidP="3BFC5438">
      <w:r w:rsidRPr="00B31A89">
        <w:t>The</w:t>
      </w:r>
      <w:r w:rsidR="00A34A19" w:rsidRPr="00B31A89">
        <w:t xml:space="preserve"> </w:t>
      </w:r>
      <w:r w:rsidR="00A34A19" w:rsidRPr="004F1487">
        <w:rPr>
          <w:i/>
          <w:iCs/>
        </w:rPr>
        <w:t>College, Career, and Civic Life</w:t>
      </w:r>
      <w:r w:rsidRPr="004F1487">
        <w:rPr>
          <w:i/>
          <w:iCs/>
        </w:rPr>
        <w:t xml:space="preserve"> </w:t>
      </w:r>
      <w:r w:rsidR="00A34A19" w:rsidRPr="00906070">
        <w:t>(</w:t>
      </w:r>
      <w:r w:rsidRPr="004F1487">
        <w:rPr>
          <w:i/>
          <w:iCs/>
        </w:rPr>
        <w:t>C3</w:t>
      </w:r>
      <w:r w:rsidR="00A34A19" w:rsidRPr="00906070">
        <w:t>)</w:t>
      </w:r>
      <w:r w:rsidRPr="00906070">
        <w:t xml:space="preserve"> </w:t>
      </w:r>
      <w:r w:rsidRPr="004F1487">
        <w:rPr>
          <w:i/>
          <w:iCs/>
        </w:rPr>
        <w:t>Framework</w:t>
      </w:r>
      <w:r w:rsidR="00190FA8">
        <w:rPr>
          <w:i/>
          <w:iCs/>
        </w:rPr>
        <w:t xml:space="preserve"> </w:t>
      </w:r>
      <w:r w:rsidRPr="00B31A89">
        <w:t>provides guidance to states on concepts, skills, and disciplinary tools that can prepare students for college, career, and civic life.</w:t>
      </w:r>
      <w:r w:rsidR="00190FA8" w:rsidRPr="00813D8C">
        <w:rPr>
          <w:rStyle w:val="FootnoteReference"/>
        </w:rPr>
        <w:footnoteReference w:id="21"/>
      </w:r>
      <w:r w:rsidR="00190FA8" w:rsidRPr="00813D8C">
        <w:t xml:space="preserve"> </w:t>
      </w:r>
      <w:r w:rsidR="00570CA0" w:rsidRPr="00B31A89">
        <w:t>The C3 Inquiry Arc highlights</w:t>
      </w:r>
      <w:r w:rsidR="00757B93" w:rsidRPr="00B31A89">
        <w:t xml:space="preserve"> four dimensions of inquiry, which support the pursuit of knowledge through questions, and can be used to guide </w:t>
      </w:r>
      <w:r w:rsidR="00932519">
        <w:t xml:space="preserve">the </w:t>
      </w:r>
      <w:r w:rsidR="00757B93" w:rsidRPr="00B31A89">
        <w:t xml:space="preserve">development of high-quality </w:t>
      </w:r>
      <w:r w:rsidR="00A346A4" w:rsidRPr="00B31A89">
        <w:t>service-learning</w:t>
      </w:r>
      <w:r w:rsidR="00757B93" w:rsidRPr="00B31A89">
        <w:t xml:space="preserve"> programs.</w:t>
      </w:r>
    </w:p>
    <w:p w14:paraId="7C55484E" w14:textId="43256584" w:rsidR="00C96DE9" w:rsidRPr="006524E7" w:rsidRDefault="00C96DE9" w:rsidP="006524E7">
      <w:pPr>
        <w:pStyle w:val="ListParagraph"/>
        <w:numPr>
          <w:ilvl w:val="0"/>
          <w:numId w:val="28"/>
        </w:numPr>
        <w:ind w:left="720"/>
        <w:contextualSpacing w:val="0"/>
        <w:rPr>
          <w:lang w:val="en"/>
        </w:rPr>
      </w:pPr>
      <w:r w:rsidRPr="006524E7">
        <w:rPr>
          <w:lang w:val="en"/>
        </w:rPr>
        <w:t>Dimension 1: Developing Questions and Planning Inquiries</w:t>
      </w:r>
    </w:p>
    <w:p w14:paraId="10A70BA8" w14:textId="45E2F223" w:rsidR="00C96DE9" w:rsidRPr="006524E7" w:rsidRDefault="00C96DE9" w:rsidP="006524E7">
      <w:pPr>
        <w:pStyle w:val="ListParagraph"/>
        <w:numPr>
          <w:ilvl w:val="0"/>
          <w:numId w:val="28"/>
        </w:numPr>
        <w:ind w:left="720"/>
        <w:contextualSpacing w:val="0"/>
        <w:rPr>
          <w:lang w:val="en"/>
        </w:rPr>
      </w:pPr>
      <w:r w:rsidRPr="006524E7">
        <w:rPr>
          <w:lang w:val="en"/>
        </w:rPr>
        <w:t xml:space="preserve">Dimension 2: Applying Disciplinary Tools and Concepts (in </w:t>
      </w:r>
      <w:r w:rsidR="0020639E">
        <w:rPr>
          <w:lang w:val="en"/>
        </w:rPr>
        <w:t>C</w:t>
      </w:r>
      <w:r w:rsidRPr="006524E7">
        <w:rPr>
          <w:lang w:val="en"/>
        </w:rPr>
        <w:t xml:space="preserve">ivics, </w:t>
      </w:r>
      <w:r w:rsidR="0020639E">
        <w:rPr>
          <w:lang w:val="en"/>
        </w:rPr>
        <w:t>E</w:t>
      </w:r>
      <w:r w:rsidRPr="006524E7">
        <w:rPr>
          <w:lang w:val="en"/>
        </w:rPr>
        <w:t xml:space="preserve">conomics, </w:t>
      </w:r>
      <w:r w:rsidR="0020639E">
        <w:rPr>
          <w:lang w:val="en"/>
        </w:rPr>
        <w:t>G</w:t>
      </w:r>
      <w:r w:rsidRPr="006524E7">
        <w:rPr>
          <w:lang w:val="en"/>
        </w:rPr>
        <w:t xml:space="preserve">eography, and </w:t>
      </w:r>
      <w:r w:rsidR="0020639E">
        <w:rPr>
          <w:lang w:val="en"/>
        </w:rPr>
        <w:t>H</w:t>
      </w:r>
      <w:r w:rsidRPr="006524E7">
        <w:rPr>
          <w:lang w:val="en"/>
        </w:rPr>
        <w:t>istory)</w:t>
      </w:r>
    </w:p>
    <w:p w14:paraId="472026B4" w14:textId="64A2EB93" w:rsidR="00C96DE9" w:rsidRPr="006524E7" w:rsidRDefault="00C96DE9" w:rsidP="006524E7">
      <w:pPr>
        <w:pStyle w:val="ListParagraph"/>
        <w:numPr>
          <w:ilvl w:val="0"/>
          <w:numId w:val="28"/>
        </w:numPr>
        <w:ind w:left="720"/>
        <w:contextualSpacing w:val="0"/>
        <w:rPr>
          <w:lang w:val="en"/>
        </w:rPr>
      </w:pPr>
      <w:r w:rsidRPr="006524E7">
        <w:rPr>
          <w:lang w:val="en"/>
        </w:rPr>
        <w:t>Dimension 3: Evaluating Sources and Using Evidence</w:t>
      </w:r>
    </w:p>
    <w:p w14:paraId="464368AB" w14:textId="2C4EC93B" w:rsidR="00C96DE9" w:rsidRPr="006524E7" w:rsidRDefault="00C96DE9" w:rsidP="006524E7">
      <w:pPr>
        <w:pStyle w:val="ListParagraph"/>
        <w:numPr>
          <w:ilvl w:val="0"/>
          <w:numId w:val="28"/>
        </w:numPr>
        <w:ind w:left="720"/>
        <w:rPr>
          <w:lang w:val="en"/>
        </w:rPr>
      </w:pPr>
      <w:r w:rsidRPr="006524E7">
        <w:rPr>
          <w:lang w:val="en"/>
        </w:rPr>
        <w:t>Dimension 4: Communicating Conclusions and Taking Informed Action</w:t>
      </w:r>
    </w:p>
    <w:p w14:paraId="2FD58C60" w14:textId="0CB44DC7" w:rsidR="000253E0" w:rsidRPr="00B31A89" w:rsidRDefault="005D042A" w:rsidP="00D34898">
      <w:pPr>
        <w:rPr>
          <w:lang w:val="en"/>
        </w:rPr>
      </w:pPr>
      <w:r w:rsidRPr="00B31A89">
        <w:rPr>
          <w:lang w:val="en"/>
        </w:rPr>
        <w:t xml:space="preserve">Designing </w:t>
      </w:r>
      <w:r w:rsidR="00A346A4" w:rsidRPr="00B31A89">
        <w:rPr>
          <w:lang w:val="en"/>
        </w:rPr>
        <w:t>service-learning</w:t>
      </w:r>
      <w:r w:rsidRPr="00B31A89">
        <w:rPr>
          <w:lang w:val="en"/>
        </w:rPr>
        <w:t xml:space="preserve"> programs that incorporate these four dimensions can help LEAs ensure </w:t>
      </w:r>
      <w:r w:rsidR="000253E0" w:rsidRPr="00B31A89">
        <w:rPr>
          <w:lang w:val="en"/>
        </w:rPr>
        <w:t xml:space="preserve">that students who are working towards </w:t>
      </w:r>
      <w:r w:rsidR="00357E5F">
        <w:rPr>
          <w:lang w:val="en"/>
        </w:rPr>
        <w:t>the</w:t>
      </w:r>
      <w:r w:rsidR="000253E0" w:rsidRPr="00B31A89">
        <w:rPr>
          <w:lang w:val="en"/>
        </w:rPr>
        <w:t xml:space="preserve"> SSCE are engaging in rigorous civic engagement and learning.</w:t>
      </w:r>
    </w:p>
    <w:p w14:paraId="13F51206" w14:textId="2E700B06" w:rsidR="007151D0" w:rsidRPr="000C32AC" w:rsidRDefault="0080033F" w:rsidP="00E37E0D">
      <w:pPr>
        <w:pStyle w:val="Heading4"/>
        <w:rPr>
          <w:i/>
          <w:iCs/>
        </w:rPr>
      </w:pPr>
      <w:bookmarkStart w:id="31" w:name="_Toc167277560"/>
      <w:r w:rsidRPr="000C32AC">
        <w:t xml:space="preserve">A Teacher’s Guide to </w:t>
      </w:r>
      <w:r w:rsidR="00A346A4" w:rsidRPr="000C32AC">
        <w:t>Service-</w:t>
      </w:r>
      <w:r w:rsidR="003C3372" w:rsidRPr="000C32AC">
        <w:t>L</w:t>
      </w:r>
      <w:r w:rsidR="00A346A4" w:rsidRPr="000C32AC">
        <w:t>earning</w:t>
      </w:r>
      <w:bookmarkEnd w:id="31"/>
    </w:p>
    <w:p w14:paraId="3A803CC0" w14:textId="54E4E020" w:rsidR="003D4FC7" w:rsidRPr="00B31A89" w:rsidRDefault="0080033F" w:rsidP="3BFC5438">
      <w:r w:rsidRPr="00B31A89">
        <w:t>The CDE C</w:t>
      </w:r>
      <w:r w:rsidR="00A34A19" w:rsidRPr="00B31A89">
        <w:t>é</w:t>
      </w:r>
      <w:r w:rsidRPr="00B31A89">
        <w:t>sar E. Ch</w:t>
      </w:r>
      <w:r w:rsidR="00A34A19" w:rsidRPr="00B31A89">
        <w:t>á</w:t>
      </w:r>
      <w:r w:rsidRPr="00B31A89">
        <w:t>vez Model Curriculum</w:t>
      </w:r>
      <w:r w:rsidR="003B4523">
        <w:t xml:space="preserve"> </w:t>
      </w:r>
      <w:r w:rsidR="00D14729" w:rsidRPr="00B31A89">
        <w:t xml:space="preserve">teacher resources </w:t>
      </w:r>
      <w:r w:rsidR="00B07890" w:rsidRPr="00B31A89">
        <w:t>include</w:t>
      </w:r>
      <w:r w:rsidR="00D14729" w:rsidRPr="00B31A89">
        <w:t xml:space="preserve"> </w:t>
      </w:r>
      <w:r w:rsidR="00F668E8" w:rsidRPr="00B31A89">
        <w:t xml:space="preserve">the essay, “A Teacher’s Guide to </w:t>
      </w:r>
      <w:r w:rsidR="00A346A4" w:rsidRPr="00B31A89">
        <w:t>Service-learning</w:t>
      </w:r>
      <w:r w:rsidR="00F668E8" w:rsidRPr="00B31A89">
        <w:t>.”</w:t>
      </w:r>
      <w:r w:rsidR="003B4523" w:rsidRPr="00B31A89">
        <w:rPr>
          <w:rStyle w:val="FootnoteReference"/>
        </w:rPr>
        <w:footnoteReference w:id="22"/>
      </w:r>
      <w:r w:rsidR="0002514A">
        <w:rPr>
          <w:vertAlign w:val="superscript"/>
        </w:rPr>
        <w:t xml:space="preserve"> </w:t>
      </w:r>
      <w:r w:rsidR="00F668E8" w:rsidRPr="00B31A89">
        <w:rPr>
          <w:rStyle w:val="FootnoteReference"/>
        </w:rPr>
        <w:footnoteReference w:id="23"/>
      </w:r>
      <w:r w:rsidR="00F668E8" w:rsidRPr="00B31A89">
        <w:t xml:space="preserve"> </w:t>
      </w:r>
      <w:r w:rsidR="00B07890" w:rsidRPr="00B31A89">
        <w:t xml:space="preserve">In addition to defining and providing context related to </w:t>
      </w:r>
      <w:r w:rsidR="00A346A4" w:rsidRPr="00B31A89">
        <w:t>service-learning</w:t>
      </w:r>
      <w:r w:rsidR="00B07890" w:rsidRPr="00B31A89">
        <w:t xml:space="preserve">, this essay also provides five concrete </w:t>
      </w:r>
      <w:r w:rsidR="00F37B1E" w:rsidRPr="00B31A89">
        <w:t>elements</w:t>
      </w:r>
      <w:r w:rsidR="00BF50D4" w:rsidRPr="00B31A89">
        <w:t xml:space="preserve"> </w:t>
      </w:r>
      <w:r w:rsidR="00F37B1E" w:rsidRPr="00B31A89">
        <w:t xml:space="preserve">that should be addressed in all </w:t>
      </w:r>
      <w:r w:rsidR="00A346A4" w:rsidRPr="00B31A89">
        <w:t>service-learning</w:t>
      </w:r>
      <w:r w:rsidR="00F37B1E" w:rsidRPr="00B31A89">
        <w:t xml:space="preserve"> programs to ensure </w:t>
      </w:r>
      <w:r w:rsidR="003D4FC7" w:rsidRPr="00B31A89">
        <w:t xml:space="preserve">rigor and fidelity to </w:t>
      </w:r>
      <w:r w:rsidR="00A346A4" w:rsidRPr="00B31A89">
        <w:t>service-learning</w:t>
      </w:r>
      <w:r w:rsidR="003D4FC7" w:rsidRPr="00B31A89">
        <w:t xml:space="preserve"> principles:</w:t>
      </w:r>
    </w:p>
    <w:p w14:paraId="0A107396" w14:textId="1BB75000" w:rsidR="003D4FC7" w:rsidRPr="00B31A89" w:rsidRDefault="003D4FC7" w:rsidP="00D808E3">
      <w:pPr>
        <w:pStyle w:val="ListParagraph"/>
        <w:numPr>
          <w:ilvl w:val="0"/>
          <w:numId w:val="20"/>
        </w:numPr>
        <w:contextualSpacing w:val="0"/>
        <w:rPr>
          <w:lang w:val="en"/>
        </w:rPr>
      </w:pPr>
      <w:r w:rsidRPr="00B31A89">
        <w:rPr>
          <w:lang w:val="en"/>
        </w:rPr>
        <w:t>Meeting a Real Community Need</w:t>
      </w:r>
      <w:r w:rsidR="009106A3">
        <w:rPr>
          <w:lang w:val="en"/>
        </w:rPr>
        <w:t>.</w:t>
      </w:r>
    </w:p>
    <w:p w14:paraId="2D380755" w14:textId="7C187014" w:rsidR="0080033F" w:rsidRPr="00B31A89" w:rsidRDefault="003D4FC7" w:rsidP="206ED95D">
      <w:pPr>
        <w:pStyle w:val="ListParagraph"/>
        <w:numPr>
          <w:ilvl w:val="0"/>
          <w:numId w:val="20"/>
        </w:numPr>
        <w:contextualSpacing w:val="0"/>
      </w:pPr>
      <w:r w:rsidRPr="206ED95D">
        <w:t>Integrated to</w:t>
      </w:r>
      <w:r w:rsidR="00932519" w:rsidRPr="206ED95D">
        <w:t>,</w:t>
      </w:r>
      <w:r w:rsidRPr="206ED95D">
        <w:t xml:space="preserve"> and </w:t>
      </w:r>
      <w:r w:rsidR="00377364" w:rsidRPr="206ED95D">
        <w:t>enhances</w:t>
      </w:r>
      <w:r w:rsidR="00932519" w:rsidRPr="206ED95D">
        <w:t>,</w:t>
      </w:r>
      <w:r w:rsidRPr="206ED95D">
        <w:t xml:space="preserve"> the Curriculum</w:t>
      </w:r>
      <w:r w:rsidR="009106A3">
        <w:t>.</w:t>
      </w:r>
    </w:p>
    <w:p w14:paraId="53DA5103" w14:textId="6BAA4F9F" w:rsidR="003D4FC7" w:rsidRPr="00B31A89" w:rsidRDefault="003D4FC7" w:rsidP="00D808E3">
      <w:pPr>
        <w:pStyle w:val="ListParagraph"/>
        <w:numPr>
          <w:ilvl w:val="0"/>
          <w:numId w:val="20"/>
        </w:numPr>
        <w:contextualSpacing w:val="0"/>
        <w:rPr>
          <w:lang w:val="en"/>
        </w:rPr>
      </w:pPr>
      <w:r w:rsidRPr="00B31A89">
        <w:rPr>
          <w:lang w:val="en"/>
        </w:rPr>
        <w:t>Coordinated with a Community Agency, Another School, or the Community-at-Large</w:t>
      </w:r>
      <w:r w:rsidR="009106A3">
        <w:rPr>
          <w:lang w:val="en"/>
        </w:rPr>
        <w:t>.</w:t>
      </w:r>
    </w:p>
    <w:p w14:paraId="4E886A61" w14:textId="06021718" w:rsidR="003D4FC7" w:rsidRPr="00B31A89" w:rsidRDefault="00BF50D4" w:rsidP="00D808E3">
      <w:pPr>
        <w:pStyle w:val="ListParagraph"/>
        <w:numPr>
          <w:ilvl w:val="0"/>
          <w:numId w:val="20"/>
        </w:numPr>
        <w:contextualSpacing w:val="0"/>
        <w:rPr>
          <w:lang w:val="en"/>
        </w:rPr>
      </w:pPr>
      <w:r w:rsidRPr="00B31A89">
        <w:rPr>
          <w:lang w:val="en"/>
        </w:rPr>
        <w:lastRenderedPageBreak/>
        <w:t>Helps Foster Civic Responsibility, Civic Pride</w:t>
      </w:r>
      <w:r w:rsidR="009C05C7">
        <w:rPr>
          <w:lang w:val="en"/>
        </w:rPr>
        <w:t>,</w:t>
      </w:r>
      <w:r w:rsidRPr="00B31A89">
        <w:rPr>
          <w:lang w:val="en"/>
        </w:rPr>
        <w:t xml:space="preserve"> and Connection to Community</w:t>
      </w:r>
      <w:r w:rsidR="009106A3">
        <w:rPr>
          <w:lang w:val="en"/>
        </w:rPr>
        <w:t>.</w:t>
      </w:r>
    </w:p>
    <w:p w14:paraId="3BB1C7AD" w14:textId="54471E17" w:rsidR="00BF50D4" w:rsidRPr="00B31A89" w:rsidRDefault="00BF50D4" w:rsidP="00D808E3">
      <w:pPr>
        <w:pStyle w:val="ListParagraph"/>
        <w:numPr>
          <w:ilvl w:val="0"/>
          <w:numId w:val="20"/>
        </w:numPr>
        <w:contextualSpacing w:val="0"/>
        <w:rPr>
          <w:lang w:val="en"/>
        </w:rPr>
      </w:pPr>
      <w:r w:rsidRPr="00B31A89">
        <w:rPr>
          <w:lang w:val="en"/>
        </w:rPr>
        <w:t>Provides Structured Time for Reflection</w:t>
      </w:r>
      <w:r w:rsidR="009106A3">
        <w:rPr>
          <w:lang w:val="en"/>
        </w:rPr>
        <w:t>.</w:t>
      </w:r>
    </w:p>
    <w:p w14:paraId="67874A85" w14:textId="5090B696" w:rsidR="00413F78" w:rsidRPr="00B31A89" w:rsidRDefault="00413F78" w:rsidP="00413F78">
      <w:pPr>
        <w:rPr>
          <w:lang w:val="en"/>
        </w:rPr>
      </w:pPr>
      <w:r w:rsidRPr="00B31A89">
        <w:rPr>
          <w:lang w:val="en"/>
        </w:rPr>
        <w:t xml:space="preserve">The essay also cites examples of each element and includes guidance for conceptualizing a </w:t>
      </w:r>
      <w:r w:rsidR="00A346A4" w:rsidRPr="00B31A89">
        <w:rPr>
          <w:lang w:val="en"/>
        </w:rPr>
        <w:t>service-learning</w:t>
      </w:r>
      <w:r w:rsidRPr="00B31A89">
        <w:rPr>
          <w:lang w:val="en"/>
        </w:rPr>
        <w:t xml:space="preserve"> project that is connected to California content standards.</w:t>
      </w:r>
    </w:p>
    <w:p w14:paraId="1EB2E570" w14:textId="586716DA" w:rsidR="00413CC2" w:rsidRPr="000C32AC" w:rsidRDefault="00413CC2" w:rsidP="00E37E0D">
      <w:pPr>
        <w:pStyle w:val="Heading4"/>
        <w:rPr>
          <w:i/>
          <w:iCs/>
        </w:rPr>
      </w:pPr>
      <w:bookmarkStart w:id="32" w:name="_Toc167277561"/>
      <w:r w:rsidRPr="000C32AC">
        <w:t>Teach Democracy</w:t>
      </w:r>
      <w:bookmarkEnd w:id="32"/>
    </w:p>
    <w:p w14:paraId="61CB66FC" w14:textId="5AEF09F2" w:rsidR="00413CC2" w:rsidRPr="00B31A89" w:rsidRDefault="00413CC2" w:rsidP="00D808E3">
      <w:r w:rsidRPr="00B31A89">
        <w:t>Teach Democracy (formerly Constitutional Rights Foundation) provides academic, nonpartisan programs and curricula that increase civic knowledge, skills, and dispositions using research-based methodologies including content about government and policy, student-directed discussion, and authentic civic engagement.</w:t>
      </w:r>
      <w:r w:rsidR="003753DD" w:rsidRPr="009F7C43">
        <w:rPr>
          <w:rStyle w:val="FootnoteReference"/>
        </w:rPr>
        <w:footnoteReference w:id="24"/>
      </w:r>
      <w:r w:rsidRPr="00B31A89">
        <w:t xml:space="preserve"> </w:t>
      </w:r>
      <w:r w:rsidR="009C05C7">
        <w:t>Its</w:t>
      </w:r>
      <w:r w:rsidR="009C05C7" w:rsidRPr="00B31A89">
        <w:t xml:space="preserve"> </w:t>
      </w:r>
      <w:r w:rsidRPr="00B31A89">
        <w:t>Civic Action Project is a free project-based learning program for civics and government, in which students identify an issue or problem that matters to them, connect it to public policy, and then take action related to their selected issue or problem. The C</w:t>
      </w:r>
      <w:r w:rsidR="001A31C4">
        <w:t xml:space="preserve">ivic Action Project </w:t>
      </w:r>
      <w:r w:rsidRPr="00B31A89">
        <w:t xml:space="preserve">can be integrated into a service-learning program by ensuring that student projects meet the needs of the community, </w:t>
      </w:r>
      <w:r w:rsidR="006C6E9B">
        <w:t>are</w:t>
      </w:r>
      <w:r w:rsidR="006C6E9B" w:rsidRPr="00B31A89">
        <w:t xml:space="preserve"> </w:t>
      </w:r>
      <w:r w:rsidRPr="00B31A89">
        <w:t xml:space="preserve">coordinated within the school environment, help foster civic responsibility, </w:t>
      </w:r>
      <w:r w:rsidR="00377364">
        <w:t>are</w:t>
      </w:r>
      <w:r w:rsidR="00377364" w:rsidRPr="00B31A89">
        <w:t xml:space="preserve"> </w:t>
      </w:r>
      <w:r w:rsidRPr="00B31A89">
        <w:t xml:space="preserve">integrated into the curriculum, and </w:t>
      </w:r>
      <w:r w:rsidR="00377364">
        <w:t>provide</w:t>
      </w:r>
      <w:r w:rsidR="00377364" w:rsidRPr="00B31A89">
        <w:t xml:space="preserve"> </w:t>
      </w:r>
      <w:r w:rsidRPr="00B31A89">
        <w:t>structured time for students to reflect on the service experience.</w:t>
      </w:r>
    </w:p>
    <w:p w14:paraId="0F3216D8" w14:textId="012B2798" w:rsidR="00D7535D" w:rsidRPr="000C32AC" w:rsidRDefault="00D7535D" w:rsidP="00E37E0D">
      <w:pPr>
        <w:pStyle w:val="Heading4"/>
        <w:rPr>
          <w:i/>
          <w:iCs/>
        </w:rPr>
      </w:pPr>
      <w:bookmarkStart w:id="33" w:name="_Toc167277562"/>
      <w:r w:rsidRPr="000C32AC">
        <w:t>U</w:t>
      </w:r>
      <w:r w:rsidR="00462010" w:rsidRPr="000C32AC">
        <w:t xml:space="preserve">niversity of </w:t>
      </w:r>
      <w:r w:rsidRPr="000C32AC">
        <w:t>C</w:t>
      </w:r>
      <w:r w:rsidR="00462010" w:rsidRPr="000C32AC">
        <w:t>alifornia</w:t>
      </w:r>
      <w:r w:rsidR="006C6E9B">
        <w:t>,</w:t>
      </w:r>
      <w:r w:rsidRPr="000C32AC">
        <w:t xml:space="preserve"> Berkeley Programs and Resources</w:t>
      </w:r>
      <w:bookmarkEnd w:id="33"/>
    </w:p>
    <w:p w14:paraId="59471B1B" w14:textId="1D2BBDFB" w:rsidR="001E1462" w:rsidRPr="00B31A89" w:rsidRDefault="0095249E" w:rsidP="3BFC5438">
      <w:r>
        <w:t xml:space="preserve">The </w:t>
      </w:r>
      <w:r w:rsidR="00925E17" w:rsidRPr="00B31A89">
        <w:t>U</w:t>
      </w:r>
      <w:r w:rsidR="005F7E46">
        <w:t xml:space="preserve">niversity of </w:t>
      </w:r>
      <w:r w:rsidR="00925E17" w:rsidRPr="00B31A89">
        <w:t>C</w:t>
      </w:r>
      <w:r w:rsidR="005F7E46">
        <w:t>alifornia (UC)</w:t>
      </w:r>
      <w:r>
        <w:t>,</w:t>
      </w:r>
      <w:r w:rsidR="00925E17" w:rsidRPr="00B31A89">
        <w:t xml:space="preserve"> Berkeley has provided a series of programs that support high-quality </w:t>
      </w:r>
      <w:r w:rsidR="00A346A4" w:rsidRPr="00B31A89">
        <w:t>service-learning</w:t>
      </w:r>
      <w:r w:rsidR="00925E17" w:rsidRPr="00B31A89">
        <w:t xml:space="preserve"> programs in pursuit of the SSCE. In addition to using the C3 Inquiry Arc as a general framework to develop </w:t>
      </w:r>
      <w:r w:rsidR="00A346A4" w:rsidRPr="00B31A89">
        <w:t>service-learning</w:t>
      </w:r>
      <w:r w:rsidR="00925E17" w:rsidRPr="00B31A89">
        <w:t xml:space="preserve"> programs, </w:t>
      </w:r>
      <w:r w:rsidR="0047793C" w:rsidRPr="00B31A89">
        <w:t xml:space="preserve">LEAs </w:t>
      </w:r>
      <w:r w:rsidR="000253E0" w:rsidRPr="00B31A89">
        <w:t xml:space="preserve">may also </w:t>
      </w:r>
      <w:r w:rsidR="00925E17" w:rsidRPr="00B31A89">
        <w:t xml:space="preserve">wish to consider the following models </w:t>
      </w:r>
      <w:r w:rsidR="00A161D7" w:rsidRPr="00B31A89">
        <w:t xml:space="preserve">to guide student </w:t>
      </w:r>
      <w:r w:rsidR="00A346A4" w:rsidRPr="00B31A89">
        <w:t>service-learning</w:t>
      </w:r>
      <w:r w:rsidR="00A161D7" w:rsidRPr="00B31A89">
        <w:t xml:space="preserve"> projects.</w:t>
      </w:r>
      <w:r w:rsidR="000253E0" w:rsidRPr="00B31A89">
        <w:t xml:space="preserve"> </w:t>
      </w:r>
    </w:p>
    <w:p w14:paraId="48973038" w14:textId="7D961847" w:rsidR="00F568CC" w:rsidRPr="00B31A89" w:rsidRDefault="00F568CC" w:rsidP="005A0AD0">
      <w:pPr>
        <w:spacing w:before="480"/>
        <w:ind w:left="360"/>
        <w:rPr>
          <w:b/>
          <w:bCs/>
          <w:lang w:val="en"/>
        </w:rPr>
      </w:pPr>
      <w:r w:rsidRPr="00B31A89">
        <w:rPr>
          <w:b/>
          <w:bCs/>
          <w:lang w:val="en"/>
        </w:rPr>
        <w:t>Integrated Action Civics Project</w:t>
      </w:r>
    </w:p>
    <w:p w14:paraId="5942791B" w14:textId="326270E2" w:rsidR="00D001AA" w:rsidRPr="00B31A89" w:rsidRDefault="00D001AA" w:rsidP="00AE396F">
      <w:pPr>
        <w:ind w:left="360"/>
      </w:pPr>
      <w:r w:rsidRPr="00B31A89">
        <w:t xml:space="preserve">The UC Berkeley Integrated Action Civics Project (IACP) </w:t>
      </w:r>
      <w:r w:rsidR="007F26DE" w:rsidRPr="00B31A89">
        <w:t xml:space="preserve">provides a framework for students to embark on civic engagement projects that promote a student sense of self, focused on </w:t>
      </w:r>
      <w:r w:rsidR="00152F97">
        <w:t>identity</w:t>
      </w:r>
      <w:r w:rsidR="007F26DE" w:rsidRPr="00B31A89">
        <w:t>, justice, and worldview.</w:t>
      </w:r>
      <w:r w:rsidR="003753DD" w:rsidRPr="00B31A89">
        <w:rPr>
          <w:rStyle w:val="FootnoteReference"/>
        </w:rPr>
        <w:footnoteReference w:id="25"/>
      </w:r>
      <w:r w:rsidR="007F26DE" w:rsidRPr="00B31A89">
        <w:t xml:space="preserve"> </w:t>
      </w:r>
      <w:r w:rsidR="00C3047B" w:rsidRPr="00B31A89">
        <w:t xml:space="preserve">This approach weaves civic </w:t>
      </w:r>
      <w:r w:rsidR="003E1511" w:rsidRPr="00B31A89">
        <w:t>action</w:t>
      </w:r>
      <w:r w:rsidR="00C3047B" w:rsidRPr="00B31A89">
        <w:t xml:space="preserve"> </w:t>
      </w:r>
      <w:r w:rsidR="003E1511" w:rsidRPr="00B31A89">
        <w:t>a</w:t>
      </w:r>
      <w:r w:rsidR="00C3047B" w:rsidRPr="00B31A89">
        <w:t xml:space="preserve">nd </w:t>
      </w:r>
      <w:r w:rsidR="00DC2CB1">
        <w:t>change analysis</w:t>
      </w:r>
      <w:r w:rsidR="00C3047B" w:rsidRPr="00B31A89">
        <w:t xml:space="preserve"> throughout course content, with the goal of </w:t>
      </w:r>
      <w:r w:rsidR="00D75CCB" w:rsidRPr="00B31A89">
        <w:t xml:space="preserve">providing the disposition, skills, and strategies that empower </w:t>
      </w:r>
      <w:r w:rsidR="00C3047B" w:rsidRPr="00B31A89">
        <w:t xml:space="preserve">all students as change-makers within K–12 </w:t>
      </w:r>
      <w:r w:rsidR="003E1511" w:rsidRPr="00B31A89">
        <w:t>HSS</w:t>
      </w:r>
      <w:r w:rsidR="00C3047B" w:rsidRPr="00B31A89">
        <w:t xml:space="preserve"> courses.</w:t>
      </w:r>
    </w:p>
    <w:p w14:paraId="0CEC7140" w14:textId="059160E7" w:rsidR="00BE41F7" w:rsidRPr="00B31A89" w:rsidRDefault="00BE41F7" w:rsidP="00AE396F">
      <w:pPr>
        <w:ind w:left="360"/>
      </w:pPr>
      <w:r w:rsidRPr="00B31A89">
        <w:t xml:space="preserve">This framework specifically focuses on a thematic exploration of the past </w:t>
      </w:r>
      <w:proofErr w:type="gramStart"/>
      <w:r w:rsidRPr="00B31A89">
        <w:t>as a means to</w:t>
      </w:r>
      <w:proofErr w:type="gramEnd"/>
      <w:r w:rsidRPr="00B31A89">
        <w:t xml:space="preserve"> support informed civic action projects. When incorporated with the </w:t>
      </w:r>
      <w:r w:rsidRPr="00B31A89">
        <w:lastRenderedPageBreak/>
        <w:t xml:space="preserve">principles of the C3 framework, as well as principles of </w:t>
      </w:r>
      <w:r w:rsidR="00A346A4" w:rsidRPr="00B31A89">
        <w:t>service-learning</w:t>
      </w:r>
      <w:r w:rsidRPr="00B31A89">
        <w:t xml:space="preserve"> projects, the IACP can help guide educators and students through high-quality </w:t>
      </w:r>
      <w:r w:rsidR="00A346A4" w:rsidRPr="00B31A89">
        <w:t>service-learning</w:t>
      </w:r>
      <w:r w:rsidRPr="00B31A89">
        <w:t xml:space="preserve"> programs in HSS courses. This may be especially appropriate to students working towards an SSCE, given the content requirements embedded in</w:t>
      </w:r>
      <w:r w:rsidR="006C10AB">
        <w:t xml:space="preserve"> SSCE statewide</w:t>
      </w:r>
      <w:r w:rsidRPr="00B31A89">
        <w:t xml:space="preserve"> criterion 2.</w:t>
      </w:r>
    </w:p>
    <w:p w14:paraId="608F7368" w14:textId="353F2661" w:rsidR="001E1462" w:rsidRPr="00B31A89" w:rsidRDefault="001E1462" w:rsidP="005A0AD0">
      <w:pPr>
        <w:spacing w:before="480"/>
        <w:ind w:left="360"/>
        <w:rPr>
          <w:b/>
          <w:bCs/>
          <w:lang w:val="en"/>
        </w:rPr>
      </w:pPr>
      <w:r w:rsidRPr="00B31A89">
        <w:rPr>
          <w:b/>
          <w:bCs/>
          <w:lang w:val="en"/>
        </w:rPr>
        <w:t>Youth Participatory Action Research</w:t>
      </w:r>
    </w:p>
    <w:p w14:paraId="392E2CD9" w14:textId="6A2C3E1C" w:rsidR="00DE44AD" w:rsidRPr="00B31A89" w:rsidRDefault="00D13C16" w:rsidP="00AE396F">
      <w:pPr>
        <w:ind w:left="360"/>
        <w:rPr>
          <w:lang w:val="en"/>
        </w:rPr>
      </w:pPr>
      <w:r w:rsidRPr="00B31A89">
        <w:rPr>
          <w:lang w:val="en"/>
        </w:rPr>
        <w:t xml:space="preserve">The Youth Participatory Action Research (YPAR) Hub, created and administered by UC Berkeley, </w:t>
      </w:r>
      <w:r w:rsidR="007A40DB" w:rsidRPr="00B31A89">
        <w:rPr>
          <w:lang w:val="en"/>
        </w:rPr>
        <w:t>approaches youth community development projects through social justice principles.</w:t>
      </w:r>
      <w:r w:rsidR="006C10AB" w:rsidRPr="00B31A89">
        <w:rPr>
          <w:rStyle w:val="FootnoteReference"/>
          <w:lang w:val="en"/>
        </w:rPr>
        <w:footnoteReference w:id="26"/>
      </w:r>
      <w:r w:rsidR="007A40DB" w:rsidRPr="00B31A89">
        <w:rPr>
          <w:lang w:val="en"/>
        </w:rPr>
        <w:t xml:space="preserve"> </w:t>
      </w:r>
      <w:r w:rsidR="00AD57EB" w:rsidRPr="00B31A89">
        <w:rPr>
          <w:lang w:val="en"/>
        </w:rPr>
        <w:t xml:space="preserve">YPAR provides a framework, including reflection questions, specific guidance and resources, and sample projects to guide youth </w:t>
      </w:r>
      <w:r w:rsidR="00955D11" w:rsidRPr="00B31A89">
        <w:rPr>
          <w:lang w:val="en"/>
        </w:rPr>
        <w:t>through community development projects that incorporate</w:t>
      </w:r>
      <w:r w:rsidR="00AD57EB" w:rsidRPr="00B31A89">
        <w:rPr>
          <w:lang w:val="en"/>
        </w:rPr>
        <w:t xml:space="preserve"> a process of action-oriented research</w:t>
      </w:r>
      <w:r w:rsidR="00955D11" w:rsidRPr="00B31A89">
        <w:rPr>
          <w:lang w:val="en"/>
        </w:rPr>
        <w:t xml:space="preserve">. </w:t>
      </w:r>
    </w:p>
    <w:p w14:paraId="1CCC9968" w14:textId="0F4549C3" w:rsidR="00955D11" w:rsidRPr="00B31A89" w:rsidRDefault="00F568CC" w:rsidP="00AE396F">
      <w:pPr>
        <w:ind w:left="360"/>
      </w:pPr>
      <w:r w:rsidRPr="00B31A89">
        <w:t xml:space="preserve">While the IACP incorporates extensive analysis of history as a method of preparing students for </w:t>
      </w:r>
      <w:r w:rsidR="00E57406" w:rsidRPr="00B31A89">
        <w:t xml:space="preserve">informed action, </w:t>
      </w:r>
      <w:r w:rsidR="00955D11" w:rsidRPr="00B31A89">
        <w:t>YPAR is a cyclical process of learning and action</w:t>
      </w:r>
      <w:r w:rsidR="00E57406" w:rsidRPr="00B31A89">
        <w:t xml:space="preserve">. This program focuses on providing </w:t>
      </w:r>
      <w:r w:rsidR="00377364">
        <w:t>social-justice-oriented</w:t>
      </w:r>
      <w:r w:rsidR="00E57406" w:rsidRPr="00B31A89">
        <w:t xml:space="preserve"> research, including providing</w:t>
      </w:r>
      <w:r w:rsidR="007D692C" w:rsidRPr="00B31A89">
        <w:t xml:space="preserve"> skills in inquiry, </w:t>
      </w:r>
      <w:r w:rsidR="00DC2CB1" w:rsidRPr="00B31A89">
        <w:t>analysis,</w:t>
      </w:r>
      <w:r w:rsidR="007D692C" w:rsidRPr="00B31A89">
        <w:t xml:space="preserve"> and presentation, </w:t>
      </w:r>
      <w:r w:rsidR="00E57406" w:rsidRPr="00B31A89">
        <w:t>generating</w:t>
      </w:r>
      <w:r w:rsidR="007D692C" w:rsidRPr="00B31A89">
        <w:t xml:space="preserve"> insights into issues faced by youth, </w:t>
      </w:r>
      <w:r w:rsidR="00E57406" w:rsidRPr="00B31A89">
        <w:t>promoting</w:t>
      </w:r>
      <w:r w:rsidR="007D692C" w:rsidRPr="00B31A89">
        <w:t xml:space="preserve"> </w:t>
      </w:r>
      <w:r w:rsidR="00A34A19" w:rsidRPr="00B31A89">
        <w:t>sociopolitical</w:t>
      </w:r>
      <w:r w:rsidR="007D692C" w:rsidRPr="00B31A89">
        <w:t xml:space="preserve"> development, and </w:t>
      </w:r>
      <w:r w:rsidR="00E57406" w:rsidRPr="00B31A89">
        <w:t>helping</w:t>
      </w:r>
      <w:r w:rsidR="007D692C" w:rsidRPr="00B31A89">
        <w:t xml:space="preserve"> evaluate programs and policies</w:t>
      </w:r>
      <w:r w:rsidR="00E57406" w:rsidRPr="00B31A89">
        <w:t xml:space="preserve"> that affect young people.</w:t>
      </w:r>
    </w:p>
    <w:p w14:paraId="57586608" w14:textId="17BD1219" w:rsidR="00D34898" w:rsidRPr="00B31A89" w:rsidRDefault="00A161D7" w:rsidP="005A0AD0">
      <w:pPr>
        <w:spacing w:before="480"/>
        <w:ind w:left="360"/>
        <w:rPr>
          <w:b/>
          <w:bCs/>
          <w:lang w:val="en"/>
        </w:rPr>
      </w:pPr>
      <w:r w:rsidRPr="00B31A89">
        <w:rPr>
          <w:b/>
          <w:bCs/>
          <w:lang w:val="en"/>
        </w:rPr>
        <w:t>Youth</w:t>
      </w:r>
      <w:r w:rsidR="0040342B" w:rsidRPr="00B31A89">
        <w:rPr>
          <w:b/>
          <w:bCs/>
          <w:lang w:val="en"/>
        </w:rPr>
        <w:t>-</w:t>
      </w:r>
      <w:r w:rsidRPr="00B31A89">
        <w:rPr>
          <w:b/>
          <w:bCs/>
          <w:lang w:val="en"/>
        </w:rPr>
        <w:t>Plan, Learn, Act Now</w:t>
      </w:r>
    </w:p>
    <w:p w14:paraId="56A13E39" w14:textId="4CD6183F" w:rsidR="00A161D7" w:rsidRPr="00B31A89" w:rsidRDefault="00A161D7" w:rsidP="00AE396F">
      <w:pPr>
        <w:ind w:left="360"/>
      </w:pPr>
      <w:r w:rsidRPr="00B31A89">
        <w:t>The Y</w:t>
      </w:r>
      <w:r w:rsidR="0094633D" w:rsidRPr="00B31A89">
        <w:t>outh</w:t>
      </w:r>
      <w:r w:rsidR="0040342B" w:rsidRPr="00B31A89">
        <w:t>-</w:t>
      </w:r>
      <w:r w:rsidR="0094633D" w:rsidRPr="00B31A89">
        <w:t>Plan, Learn, Act Now (Y</w:t>
      </w:r>
      <w:r w:rsidR="0040342B" w:rsidRPr="00B31A89">
        <w:t>-</w:t>
      </w:r>
      <w:r w:rsidRPr="00B31A89">
        <w:t>PLAN</w:t>
      </w:r>
      <w:r w:rsidR="0094633D" w:rsidRPr="00B31A89">
        <w:t>)</w:t>
      </w:r>
      <w:r w:rsidRPr="00B31A89">
        <w:t xml:space="preserve"> program is a long-standing civic learning </w:t>
      </w:r>
      <w:r w:rsidR="00690FF5" w:rsidRPr="00B31A89">
        <w:t>methodology</w:t>
      </w:r>
      <w:r w:rsidRPr="00B31A89">
        <w:t xml:space="preserve"> developed by </w:t>
      </w:r>
      <w:r w:rsidR="003A4C84">
        <w:t xml:space="preserve">the </w:t>
      </w:r>
      <w:r w:rsidRPr="00B31A89">
        <w:t>UC Berkeley Center for Cities + Schools</w:t>
      </w:r>
      <w:r w:rsidR="00690FF5" w:rsidRPr="00B31A89">
        <w:t xml:space="preserve"> that incorporates youth into city planning projects.</w:t>
      </w:r>
      <w:r w:rsidR="008976BC" w:rsidRPr="00B31A89">
        <w:rPr>
          <w:rStyle w:val="FootnoteReference"/>
        </w:rPr>
        <w:footnoteReference w:id="27"/>
      </w:r>
    </w:p>
    <w:p w14:paraId="132A9874" w14:textId="4C6D0CC4" w:rsidR="00690FF5" w:rsidRPr="00B31A89" w:rsidRDefault="00690FF5" w:rsidP="00AE396F">
      <w:pPr>
        <w:ind w:left="360"/>
      </w:pPr>
      <w:r w:rsidRPr="00B31A89">
        <w:t xml:space="preserve">Y-PLAN </w:t>
      </w:r>
      <w:r w:rsidR="0089758E" w:rsidRPr="00B31A89">
        <w:t>seeks to</w:t>
      </w:r>
      <w:r w:rsidR="00EE396E" w:rsidRPr="00B31A89">
        <w:t xml:space="preserve"> </w:t>
      </w:r>
      <w:r w:rsidR="00861840" w:rsidRPr="00B31A89">
        <w:t xml:space="preserve">bypass the silos </w:t>
      </w:r>
      <w:r w:rsidR="00EE396E" w:rsidRPr="00B31A89">
        <w:t xml:space="preserve">that traditionally separate city planning from K–12 and higher education, creating a community of practice </w:t>
      </w:r>
      <w:r w:rsidR="00861840" w:rsidRPr="00B31A89">
        <w:t>with</w:t>
      </w:r>
      <w:r w:rsidR="00EE396E" w:rsidRPr="00B31A89">
        <w:t xml:space="preserve"> diverse perspectives. The program supports young people accessing civic leaders and </w:t>
      </w:r>
      <w:r w:rsidR="00E723ED" w:rsidRPr="00B31A89">
        <w:t xml:space="preserve">city </w:t>
      </w:r>
      <w:r w:rsidR="00930011" w:rsidRPr="00B31A89">
        <w:t>institutions and</w:t>
      </w:r>
      <w:r w:rsidR="0021271A" w:rsidRPr="00B31A89">
        <w:t xml:space="preserve"> </w:t>
      </w:r>
      <w:r w:rsidR="00EE396E" w:rsidRPr="00B31A89">
        <w:t xml:space="preserve">provides guidance to </w:t>
      </w:r>
      <w:r w:rsidR="0021271A" w:rsidRPr="00B31A89">
        <w:t>navigate</w:t>
      </w:r>
      <w:r w:rsidR="00EE396E" w:rsidRPr="00B31A89">
        <w:t xml:space="preserve"> </w:t>
      </w:r>
      <w:r w:rsidR="00E723ED" w:rsidRPr="00B31A89">
        <w:t xml:space="preserve">these </w:t>
      </w:r>
      <w:r w:rsidR="0021271A" w:rsidRPr="00B31A89">
        <w:t>complex</w:t>
      </w:r>
      <w:r w:rsidR="00EE396E" w:rsidRPr="00B31A89">
        <w:t xml:space="preserve"> structures</w:t>
      </w:r>
      <w:r w:rsidR="0021271A" w:rsidRPr="00B31A89">
        <w:t xml:space="preserve">. The methodology includes a </w:t>
      </w:r>
      <w:r w:rsidR="004C1979">
        <w:t>five</w:t>
      </w:r>
      <w:r w:rsidR="0021271A" w:rsidRPr="00B31A89">
        <w:t xml:space="preserve">-step roadmap </w:t>
      </w:r>
      <w:r w:rsidR="005714E0" w:rsidRPr="00B31A89">
        <w:t xml:space="preserve">modeled on the scientific method and participatory planning techniques used by civic professionals that guide students from project planning to getting started, researching the city, </w:t>
      </w:r>
      <w:r w:rsidR="004C48BA" w:rsidRPr="00B31A89">
        <w:t>developing action steps, going public with those steps, and evaluating their progress and next steps.</w:t>
      </w:r>
    </w:p>
    <w:p w14:paraId="7FAA8348" w14:textId="3870B164" w:rsidR="0096397E" w:rsidRPr="00B31A89" w:rsidRDefault="0096397E" w:rsidP="00E37E0D">
      <w:pPr>
        <w:pStyle w:val="Heading3"/>
      </w:pPr>
      <w:bookmarkStart w:id="34" w:name="_Toc167277563"/>
      <w:r w:rsidRPr="00B31A89">
        <w:lastRenderedPageBreak/>
        <w:t>Recommendation 3: Ensure Teacher Access to Ongoing Professional Development and Learning</w:t>
      </w:r>
      <w:bookmarkEnd w:id="34"/>
    </w:p>
    <w:p w14:paraId="00D45BA7" w14:textId="0E8F99EA" w:rsidR="004E73DC" w:rsidRDefault="00E50144" w:rsidP="3BFC5438">
      <w:r w:rsidRPr="00B31A89">
        <w:t>The weight of day-to-day implementation, maintenance, and growth of a local SSCE program is often carried by educators</w:t>
      </w:r>
      <w:r w:rsidR="005B7CFD" w:rsidRPr="00B31A89">
        <w:t xml:space="preserve">, whose participation </w:t>
      </w:r>
      <w:r w:rsidR="00B64B9E" w:rsidRPr="00B31A89">
        <w:t xml:space="preserve">in high-quality, ongoing professional learning and development </w:t>
      </w:r>
      <w:r w:rsidR="000762FB" w:rsidRPr="00B31A89">
        <w:t>is crucial to student access to equitable SSCE and service</w:t>
      </w:r>
      <w:r w:rsidR="009E6158" w:rsidRPr="00B31A89">
        <w:t>-learning programs.</w:t>
      </w:r>
    </w:p>
    <w:p w14:paraId="408EA0AB" w14:textId="77777777" w:rsidR="008C4220" w:rsidRPr="00136D3D" w:rsidRDefault="008C4220" w:rsidP="00E37E0D">
      <w:pPr>
        <w:pStyle w:val="Heading4"/>
        <w:rPr>
          <w:i/>
          <w:iCs/>
        </w:rPr>
      </w:pPr>
      <w:bookmarkStart w:id="35" w:name="_Toc124933491"/>
      <w:bookmarkStart w:id="36" w:name="_Toc167277564"/>
      <w:r w:rsidRPr="00136D3D">
        <w:t>The Quality Professional Learning Standards</w:t>
      </w:r>
      <w:bookmarkEnd w:id="35"/>
      <w:bookmarkEnd w:id="36"/>
    </w:p>
    <w:p w14:paraId="11103A92" w14:textId="263B18AA" w:rsidR="0057677F" w:rsidRPr="00B31A89" w:rsidRDefault="0057677F" w:rsidP="00AE396F">
      <w:r w:rsidRPr="00B31A89">
        <w:t xml:space="preserve">Recognizing </w:t>
      </w:r>
      <w:r>
        <w:t>the</w:t>
      </w:r>
      <w:r w:rsidRPr="00B31A89">
        <w:t xml:space="preserve"> critical connection between educator effectiveness and student outcomes, in 2012</w:t>
      </w:r>
      <w:r w:rsidR="001125A6">
        <w:t>,</w:t>
      </w:r>
      <w:r w:rsidRPr="00B31A89">
        <w:t xml:space="preserve"> the CDE and </w:t>
      </w:r>
      <w:r w:rsidR="008867B3">
        <w:t xml:space="preserve">the California </w:t>
      </w:r>
      <w:r w:rsidRPr="00B31A89">
        <w:t xml:space="preserve">Commission on Teacher Credentialing convened the California Educator Excellence Task Force, which published </w:t>
      </w:r>
      <w:r w:rsidRPr="00B075A3">
        <w:rPr>
          <w:i/>
          <w:iCs/>
        </w:rPr>
        <w:t>Greatness by Design: Supporting Outstanding Teaching to Sustain a Golden State</w:t>
      </w:r>
      <w:r w:rsidRPr="00B31A89">
        <w:t xml:space="preserve"> (</w:t>
      </w:r>
      <w:r w:rsidRPr="009B79D4">
        <w:rPr>
          <w:i/>
          <w:iCs/>
        </w:rPr>
        <w:t>GbD</w:t>
      </w:r>
      <w:r w:rsidR="00766264">
        <w:rPr>
          <w:i/>
          <w:iCs/>
        </w:rPr>
        <w:t xml:space="preserve"> </w:t>
      </w:r>
      <w:r w:rsidR="00766264" w:rsidRPr="005B0134">
        <w:t>Report</w:t>
      </w:r>
      <w:r w:rsidRPr="00B31A89">
        <w:t>).</w:t>
      </w:r>
      <w:r w:rsidR="00C40052" w:rsidRPr="00B31A89">
        <w:rPr>
          <w:rStyle w:val="FootnoteReference"/>
        </w:rPr>
        <w:footnoteReference w:id="28"/>
      </w:r>
    </w:p>
    <w:p w14:paraId="149959A1" w14:textId="442E011B" w:rsidR="00CE6CB1" w:rsidRPr="00B31A89" w:rsidRDefault="00C2552D" w:rsidP="00AE396F">
      <w:r w:rsidRPr="00B31A89">
        <w:t xml:space="preserve">Fulfilling the recommendations outlined in the </w:t>
      </w:r>
      <w:r w:rsidRPr="00604657">
        <w:rPr>
          <w:i/>
          <w:iCs/>
        </w:rPr>
        <w:t>GbD</w:t>
      </w:r>
      <w:r w:rsidRPr="00B31A89">
        <w:t xml:space="preserve"> </w:t>
      </w:r>
      <w:r w:rsidR="00BE72B4">
        <w:t xml:space="preserve">Report </w:t>
      </w:r>
      <w:r w:rsidR="00A91F17" w:rsidRPr="00B31A89">
        <w:t>led to the</w:t>
      </w:r>
      <w:r w:rsidRPr="00B31A89">
        <w:t xml:space="preserve"> Quality Professional Learning Standards (QPLS),</w:t>
      </w:r>
      <w:r w:rsidR="00A62A16" w:rsidRPr="00B31A89">
        <w:t xml:space="preserve"> </w:t>
      </w:r>
      <w:r w:rsidR="00A91F17" w:rsidRPr="00B31A89">
        <w:t xml:space="preserve">developed in 2013 by </w:t>
      </w:r>
      <w:r w:rsidR="006262EC" w:rsidRPr="00B31A89">
        <w:t xml:space="preserve">a group of educators from across the state </w:t>
      </w:r>
      <w:r w:rsidR="00A91F17" w:rsidRPr="00B31A89">
        <w:t xml:space="preserve">and approved </w:t>
      </w:r>
      <w:r w:rsidR="006262EC" w:rsidRPr="00B31A89">
        <w:t xml:space="preserve">by the </w:t>
      </w:r>
      <w:r w:rsidR="00D627B3" w:rsidRPr="00B31A89">
        <w:t>SBE</w:t>
      </w:r>
      <w:r w:rsidR="006262EC" w:rsidRPr="00B31A89">
        <w:t xml:space="preserve"> in 2015.</w:t>
      </w:r>
      <w:r w:rsidR="00C40052" w:rsidRPr="00B31A89">
        <w:rPr>
          <w:rStyle w:val="FootnoteReference"/>
        </w:rPr>
        <w:footnoteReference w:id="29"/>
      </w:r>
      <w:r w:rsidR="00BF278C">
        <w:t xml:space="preserve"> </w:t>
      </w:r>
      <w:r w:rsidR="008C4220" w:rsidRPr="00B31A89">
        <w:t>The authors</w:t>
      </w:r>
      <w:r w:rsidR="00A91F17" w:rsidRPr="00B31A89">
        <w:t xml:space="preserve"> of the QPLS</w:t>
      </w:r>
      <w:r w:rsidR="008C4220" w:rsidRPr="00B31A89">
        <w:t xml:space="preserve"> note that, “</w:t>
      </w:r>
      <w:r w:rsidR="0039286A" w:rsidRPr="00B31A89">
        <w:t>q</w:t>
      </w:r>
      <w:r w:rsidR="008C4220" w:rsidRPr="00B31A89">
        <w:t>uality professional learning focuses on equitable access, opportunities, and outcomes for all</w:t>
      </w:r>
      <w:r w:rsidR="001C54FB">
        <w:t xml:space="preserve"> </w:t>
      </w:r>
      <w:r w:rsidR="008C4220" w:rsidRPr="00B31A89">
        <w:t>students, with an emphasis on addressing achievement and opportunity disparities between student groups.”</w:t>
      </w:r>
      <w:r w:rsidR="008C4220" w:rsidRPr="00B31A89">
        <w:rPr>
          <w:rStyle w:val="FootnoteReference"/>
        </w:rPr>
        <w:footnoteReference w:id="30"/>
      </w:r>
    </w:p>
    <w:p w14:paraId="3AB692C5" w14:textId="37BE4E15" w:rsidR="008C4220" w:rsidRPr="00B31A89" w:rsidRDefault="008C4220" w:rsidP="00AE396F">
      <w:r w:rsidRPr="00B31A89">
        <w:t xml:space="preserve">The QPLS </w:t>
      </w:r>
      <w:r w:rsidR="007500AC">
        <w:t>serves</w:t>
      </w:r>
      <w:r w:rsidRPr="00B31A89">
        <w:t xml:space="preserve"> as a foundation for the content, processes, and conditions essential to all educator professional learning over time, which leads to improved educator knowledge, skills, and dispositions. Seven interdependent standards</w:t>
      </w:r>
      <w:r w:rsidR="00D03908" w:rsidRPr="00B31A89">
        <w:t xml:space="preserve"> promote professional learning that is:</w:t>
      </w:r>
    </w:p>
    <w:p w14:paraId="7D6D2C21" w14:textId="4BEB5497" w:rsidR="00D03908" w:rsidRPr="00B31A89" w:rsidRDefault="00D03908" w:rsidP="00D03908">
      <w:pPr>
        <w:pStyle w:val="ListParagraph"/>
        <w:numPr>
          <w:ilvl w:val="0"/>
          <w:numId w:val="24"/>
        </w:numPr>
      </w:pPr>
      <w:r w:rsidRPr="00B31A89">
        <w:t>Rooted in student and educator needs</w:t>
      </w:r>
      <w:r w:rsidR="00856F3A">
        <w:t>,</w:t>
      </w:r>
      <w:r w:rsidRPr="00B31A89">
        <w:t xml:space="preserve"> demonstrated through data</w:t>
      </w:r>
      <w:r w:rsidR="00E625E2" w:rsidRPr="00B31A89">
        <w:t>;</w:t>
      </w:r>
    </w:p>
    <w:p w14:paraId="6042EF2A" w14:textId="509E5E27" w:rsidR="00D03908" w:rsidRPr="00B31A89" w:rsidRDefault="00D03908" w:rsidP="00D03908">
      <w:pPr>
        <w:pStyle w:val="ListParagraph"/>
        <w:numPr>
          <w:ilvl w:val="0"/>
          <w:numId w:val="24"/>
        </w:numPr>
      </w:pPr>
      <w:r w:rsidRPr="00B31A89">
        <w:t>Focused on content and pedagogy</w:t>
      </w:r>
      <w:r w:rsidR="00E625E2" w:rsidRPr="00B31A89">
        <w:t>;</w:t>
      </w:r>
    </w:p>
    <w:p w14:paraId="02DDFDCC" w14:textId="3614606E" w:rsidR="00D03908" w:rsidRPr="00B31A89" w:rsidRDefault="00D03908" w:rsidP="00D03908">
      <w:pPr>
        <w:pStyle w:val="ListParagraph"/>
        <w:numPr>
          <w:ilvl w:val="0"/>
          <w:numId w:val="24"/>
        </w:numPr>
      </w:pPr>
      <w:r w:rsidRPr="00B31A89">
        <w:t>Designed to ensure equitable outcomes</w:t>
      </w:r>
      <w:r w:rsidR="00E625E2" w:rsidRPr="00B31A89">
        <w:t>;</w:t>
      </w:r>
    </w:p>
    <w:p w14:paraId="195E1EEE" w14:textId="178FC6B7" w:rsidR="00D03908" w:rsidRPr="00B31A89" w:rsidRDefault="00D03908" w:rsidP="00D03908">
      <w:pPr>
        <w:pStyle w:val="ListParagraph"/>
        <w:numPr>
          <w:ilvl w:val="0"/>
          <w:numId w:val="24"/>
        </w:numPr>
      </w:pPr>
      <w:r w:rsidRPr="00B31A89">
        <w:t>Designed and structured to be ongoing, intensive, and embedded in practice</w:t>
      </w:r>
      <w:r w:rsidR="00E625E2" w:rsidRPr="00B31A89">
        <w:t>;</w:t>
      </w:r>
    </w:p>
    <w:p w14:paraId="4AD53D32" w14:textId="75101674" w:rsidR="00D03908" w:rsidRPr="00B31A89" w:rsidRDefault="00D03908" w:rsidP="00D03908">
      <w:pPr>
        <w:pStyle w:val="ListParagraph"/>
        <w:numPr>
          <w:ilvl w:val="0"/>
          <w:numId w:val="24"/>
        </w:numPr>
      </w:pPr>
      <w:r w:rsidRPr="00B31A89">
        <w:t>Collaborative with an emphasis on shared accountability</w:t>
      </w:r>
      <w:r w:rsidR="00E625E2" w:rsidRPr="00B31A89">
        <w:t>;</w:t>
      </w:r>
    </w:p>
    <w:p w14:paraId="71998280" w14:textId="6CB996CF" w:rsidR="00D03908" w:rsidRPr="00B31A89" w:rsidRDefault="00D03908" w:rsidP="00D03908">
      <w:pPr>
        <w:pStyle w:val="ListParagraph"/>
        <w:numPr>
          <w:ilvl w:val="0"/>
          <w:numId w:val="24"/>
        </w:numPr>
      </w:pPr>
      <w:r w:rsidRPr="00B31A89">
        <w:t>Supported by adequate resources</w:t>
      </w:r>
      <w:r w:rsidR="00E625E2" w:rsidRPr="00B31A89">
        <w:t>; and</w:t>
      </w:r>
    </w:p>
    <w:p w14:paraId="29305273" w14:textId="02DA547F" w:rsidR="00D03908" w:rsidRPr="00B31A89" w:rsidRDefault="00D03908" w:rsidP="00D03908">
      <w:pPr>
        <w:pStyle w:val="ListParagraph"/>
        <w:numPr>
          <w:ilvl w:val="0"/>
          <w:numId w:val="24"/>
        </w:numPr>
      </w:pPr>
      <w:r w:rsidRPr="00B31A89">
        <w:t>Coherent and aligned with other standards, policies, and programs</w:t>
      </w:r>
      <w:r w:rsidR="00E625E2" w:rsidRPr="00B31A89">
        <w:t>.</w:t>
      </w:r>
    </w:p>
    <w:p w14:paraId="43939A12" w14:textId="33ED505C" w:rsidR="008C5775" w:rsidRPr="00B31A89" w:rsidRDefault="00B664BB" w:rsidP="3BFC5438">
      <w:r w:rsidRPr="00B31A89">
        <w:t xml:space="preserve">The </w:t>
      </w:r>
      <w:r w:rsidR="008953A6">
        <w:t>following</w:t>
      </w:r>
      <w:r w:rsidRPr="00B31A89">
        <w:t xml:space="preserve"> organizations</w:t>
      </w:r>
      <w:r w:rsidR="008953A6">
        <w:t xml:space="preserve"> provide</w:t>
      </w:r>
      <w:r w:rsidRPr="00B31A89">
        <w:t xml:space="preserve"> professional development and learning to </w:t>
      </w:r>
      <w:r w:rsidR="008953A6">
        <w:t>educators, administrators, and other</w:t>
      </w:r>
      <w:r w:rsidRPr="00B31A89">
        <w:t xml:space="preserve"> groups that </w:t>
      </w:r>
      <w:r w:rsidR="008953A6">
        <w:t>align</w:t>
      </w:r>
      <w:r w:rsidRPr="00B31A89">
        <w:t xml:space="preserve"> with the QPLS</w:t>
      </w:r>
      <w:r w:rsidR="008953A6">
        <w:t>,</w:t>
      </w:r>
      <w:r w:rsidRPr="00B31A89">
        <w:t xml:space="preserve"> and </w:t>
      </w:r>
      <w:r w:rsidR="006F0878" w:rsidRPr="00B31A89">
        <w:t xml:space="preserve">include programs focused on service-learning, civic learning, and civic engagement. </w:t>
      </w:r>
      <w:proofErr w:type="gramStart"/>
      <w:r w:rsidR="00146B06" w:rsidRPr="00B31A89">
        <w:t>In order to</w:t>
      </w:r>
      <w:proofErr w:type="gramEnd"/>
      <w:r w:rsidR="00146B06" w:rsidRPr="00B31A89">
        <w:t xml:space="preserve"> </w:t>
      </w:r>
      <w:r w:rsidR="00146B06" w:rsidRPr="00B31A89">
        <w:lastRenderedPageBreak/>
        <w:t xml:space="preserve">ensure educator access to these programs and opportunities, LEAs should prioritize providing educators with ample, dedicated time and resources, such as protected development time and stipends, as well as implement systemic methods of encouragement to </w:t>
      </w:r>
      <w:r w:rsidR="00146B06">
        <w:t>pursue</w:t>
      </w:r>
      <w:r w:rsidR="00146B06" w:rsidRPr="00B31A89">
        <w:t xml:space="preserve"> professional development and learning opportunities.</w:t>
      </w:r>
    </w:p>
    <w:p w14:paraId="3FA0B477" w14:textId="16407291" w:rsidR="003448D2" w:rsidRPr="00136D3D" w:rsidRDefault="00802D5D" w:rsidP="00E37E0D">
      <w:pPr>
        <w:pStyle w:val="Heading4"/>
        <w:rPr>
          <w:i/>
          <w:iCs/>
        </w:rPr>
      </w:pPr>
      <w:bookmarkStart w:id="37" w:name="_Toc167277565"/>
      <w:r w:rsidRPr="00136D3D">
        <w:t>National Council for the Social Studies</w:t>
      </w:r>
      <w:bookmarkEnd w:id="37"/>
    </w:p>
    <w:p w14:paraId="38EAC103" w14:textId="11822134" w:rsidR="002C2A14" w:rsidRPr="00B31A89" w:rsidRDefault="002C2A14" w:rsidP="6EE915AB">
      <w:r w:rsidRPr="6EE915AB">
        <w:t xml:space="preserve">The </w:t>
      </w:r>
      <w:r w:rsidR="00FF2E2D" w:rsidRPr="6EE915AB">
        <w:t xml:space="preserve">National Council for the Social Studies (NCSS) </w:t>
      </w:r>
      <w:r w:rsidR="00BA78B2" w:rsidRPr="6EE915AB">
        <w:t>is the largest professional association in the U</w:t>
      </w:r>
      <w:r w:rsidR="00D5082D" w:rsidRPr="6EE915AB">
        <w:t>nited States</w:t>
      </w:r>
      <w:r w:rsidR="00BA78B2" w:rsidRPr="6EE915AB">
        <w:t xml:space="preserve"> devoted to social studies education.</w:t>
      </w:r>
      <w:r w:rsidR="00B71429" w:rsidRPr="6EE915AB">
        <w:rPr>
          <w:rStyle w:val="FootnoteReference"/>
        </w:rPr>
        <w:footnoteReference w:id="31"/>
      </w:r>
      <w:r w:rsidR="00BA78B2" w:rsidRPr="6EE915AB">
        <w:t xml:space="preserve"> </w:t>
      </w:r>
      <w:r w:rsidR="000615F9" w:rsidRPr="6EE915AB">
        <w:t xml:space="preserve">Members include educators, administrators, curriculum designers, and other education leaders. </w:t>
      </w:r>
      <w:r w:rsidR="00E7724C" w:rsidRPr="6EE915AB">
        <w:t xml:space="preserve">The </w:t>
      </w:r>
      <w:r w:rsidR="00960B0E" w:rsidRPr="6EE915AB">
        <w:t>NCSS provides advocacy</w:t>
      </w:r>
      <w:r w:rsidR="00465F7A" w:rsidRPr="6EE915AB">
        <w:t>, professional learning and development, publications</w:t>
      </w:r>
      <w:r w:rsidR="000E0716" w:rsidRPr="6EE915AB">
        <w:t>, and other resources dedicated to supporting social studies education.</w:t>
      </w:r>
      <w:r w:rsidR="00AA5B42" w:rsidRPr="6EE915AB">
        <w:t xml:space="preserve"> The NCSS annual conference spotlights many of these resources and opportunities.</w:t>
      </w:r>
      <w:r w:rsidR="000E0716" w:rsidRPr="6EE915AB">
        <w:t xml:space="preserve"> </w:t>
      </w:r>
      <w:r w:rsidR="00296F83">
        <w:t>Its</w:t>
      </w:r>
      <w:r w:rsidR="00296F83" w:rsidRPr="6EE915AB">
        <w:t xml:space="preserve"> </w:t>
      </w:r>
      <w:r w:rsidR="000E0716" w:rsidRPr="6EE915AB">
        <w:t>Civic Life Project</w:t>
      </w:r>
      <w:r w:rsidR="00B71429" w:rsidRPr="6EE915AB">
        <w:t xml:space="preserve"> i</w:t>
      </w:r>
      <w:r w:rsidR="000E0716" w:rsidRPr="6EE915AB">
        <w:t xml:space="preserve">s </w:t>
      </w:r>
      <w:r w:rsidR="00A333A6" w:rsidRPr="6EE915AB">
        <w:t xml:space="preserve">dedicated to helping students develop informed, diverse perspectives on social issues, and may be a resource to consider incorporating into a </w:t>
      </w:r>
      <w:r w:rsidR="00A346A4" w:rsidRPr="6EE915AB">
        <w:t>service-learning</w:t>
      </w:r>
      <w:r w:rsidR="00A333A6" w:rsidRPr="6EE915AB">
        <w:t xml:space="preserve"> program that </w:t>
      </w:r>
      <w:r w:rsidR="00AA5B42" w:rsidRPr="6EE915AB">
        <w:t>supports the SSCE.</w:t>
      </w:r>
      <w:r w:rsidR="00B71429" w:rsidRPr="6EE915AB">
        <w:rPr>
          <w:rStyle w:val="FootnoteReference"/>
        </w:rPr>
        <w:footnoteReference w:id="32"/>
      </w:r>
    </w:p>
    <w:p w14:paraId="1807BC1A" w14:textId="0038EB9C" w:rsidR="003448D2" w:rsidRPr="00136D3D" w:rsidRDefault="00802D5D" w:rsidP="00E37E0D">
      <w:pPr>
        <w:pStyle w:val="Heading4"/>
        <w:rPr>
          <w:i/>
          <w:iCs/>
        </w:rPr>
      </w:pPr>
      <w:bookmarkStart w:id="38" w:name="_Toc167277566"/>
      <w:r w:rsidRPr="00136D3D">
        <w:t>California Council for the Social Studies</w:t>
      </w:r>
      <w:bookmarkEnd w:id="38"/>
    </w:p>
    <w:p w14:paraId="13614062" w14:textId="60E26490" w:rsidR="00E457A2" w:rsidRPr="00B31A89" w:rsidRDefault="00E457A2" w:rsidP="6EE915AB">
      <w:r w:rsidRPr="6EE915AB">
        <w:t xml:space="preserve">The California Council for the Social Studies is a membership-based </w:t>
      </w:r>
      <w:r w:rsidR="009111C7" w:rsidRPr="6EE915AB">
        <w:t xml:space="preserve">nonprofit </w:t>
      </w:r>
      <w:r w:rsidRPr="6EE915AB">
        <w:t xml:space="preserve">professional organization dedicated to </w:t>
      </w:r>
      <w:r w:rsidR="009111C7" w:rsidRPr="6EE915AB">
        <w:t xml:space="preserve">supporting </w:t>
      </w:r>
      <w:r w:rsidRPr="6EE915AB">
        <w:t xml:space="preserve">California educators, administrators, and other </w:t>
      </w:r>
      <w:r w:rsidR="009111C7" w:rsidRPr="6EE915AB">
        <w:t>education leaders.</w:t>
      </w:r>
      <w:r w:rsidR="00B71429" w:rsidRPr="6EE915AB">
        <w:rPr>
          <w:rStyle w:val="FootnoteReference"/>
        </w:rPr>
        <w:footnoteReference w:id="33"/>
      </w:r>
      <w:r w:rsidR="009111C7" w:rsidRPr="6EE915AB">
        <w:t xml:space="preserve"> </w:t>
      </w:r>
      <w:r w:rsidR="00106BD7">
        <w:t>It</w:t>
      </w:r>
      <w:r w:rsidR="00106BD7" w:rsidRPr="6EE915AB">
        <w:t xml:space="preserve"> </w:t>
      </w:r>
      <w:r w:rsidR="009111C7" w:rsidRPr="6EE915AB">
        <w:t>provide</w:t>
      </w:r>
      <w:r w:rsidR="00106BD7">
        <w:t>s</w:t>
      </w:r>
      <w:r w:rsidR="009111C7" w:rsidRPr="6EE915AB">
        <w:t xml:space="preserve"> resources, instructional support, </w:t>
      </w:r>
      <w:r w:rsidR="00E37434" w:rsidRPr="6EE915AB">
        <w:t xml:space="preserve">and advocacy at the local, state, and national levels. </w:t>
      </w:r>
      <w:r w:rsidR="00106BD7">
        <w:t>Its</w:t>
      </w:r>
      <w:r w:rsidR="00106BD7" w:rsidRPr="6EE915AB">
        <w:t xml:space="preserve"> </w:t>
      </w:r>
      <w:r w:rsidR="00E37434" w:rsidRPr="6EE915AB">
        <w:t xml:space="preserve">annual conference offers </w:t>
      </w:r>
      <w:r w:rsidR="00BB5093" w:rsidRPr="6EE915AB">
        <w:t xml:space="preserve">a series of professional development sessions that educators and administrators </w:t>
      </w:r>
      <w:r w:rsidR="002C2A14" w:rsidRPr="6EE915AB">
        <w:t xml:space="preserve">may find useful in developing high-quality </w:t>
      </w:r>
      <w:r w:rsidR="00A346A4" w:rsidRPr="6EE915AB">
        <w:t>service-learning</w:t>
      </w:r>
      <w:r w:rsidR="002C2A14" w:rsidRPr="6EE915AB">
        <w:t xml:space="preserve"> programs that support the SSCE.</w:t>
      </w:r>
    </w:p>
    <w:p w14:paraId="4D886ED2" w14:textId="5C9622E4" w:rsidR="003448D2" w:rsidRPr="00136D3D" w:rsidRDefault="00802D5D" w:rsidP="00E37E0D">
      <w:pPr>
        <w:pStyle w:val="Heading4"/>
        <w:rPr>
          <w:i/>
          <w:iCs/>
        </w:rPr>
      </w:pPr>
      <w:bookmarkStart w:id="39" w:name="_Toc167277567"/>
      <w:r w:rsidRPr="00136D3D">
        <w:t xml:space="preserve">California </w:t>
      </w:r>
      <w:r w:rsidR="00AE6078" w:rsidRPr="00136D3D">
        <w:t>History</w:t>
      </w:r>
      <w:r w:rsidR="00A63445" w:rsidRPr="00136D3D">
        <w:rPr>
          <w:rFonts w:cs="Arial"/>
        </w:rPr>
        <w:t>–</w:t>
      </w:r>
      <w:r w:rsidR="00AE6078" w:rsidRPr="00136D3D">
        <w:t>Social</w:t>
      </w:r>
      <w:r w:rsidR="00B67525" w:rsidRPr="00136D3D">
        <w:t xml:space="preserve"> Science</w:t>
      </w:r>
      <w:r w:rsidR="003448D2" w:rsidRPr="00136D3D">
        <w:t xml:space="preserve"> Project</w:t>
      </w:r>
      <w:bookmarkEnd w:id="39"/>
    </w:p>
    <w:p w14:paraId="5BB8C07E" w14:textId="652F5BD2" w:rsidR="00493E83" w:rsidRPr="00B31A89" w:rsidRDefault="00857614" w:rsidP="3BFC5438">
      <w:r w:rsidRPr="00B31A89">
        <w:t xml:space="preserve">Part of a large network of discipline-specific programs known as the California Subject Matter Projects, the California </w:t>
      </w:r>
      <w:r w:rsidR="00AE6078">
        <w:t>History</w:t>
      </w:r>
      <w:r w:rsidR="009B15E9">
        <w:rPr>
          <w:rFonts w:cs="Arial"/>
        </w:rPr>
        <w:t>–</w:t>
      </w:r>
      <w:r w:rsidR="00AE6078">
        <w:t>Social</w:t>
      </w:r>
      <w:r w:rsidRPr="00B31A89">
        <w:t xml:space="preserve"> Science Project</w:t>
      </w:r>
      <w:r w:rsidR="00B71429">
        <w:t xml:space="preserve"> </w:t>
      </w:r>
      <w:r w:rsidR="00D1642E" w:rsidRPr="00B31A89">
        <w:t>specializes in supporting K–12 educators to provide the highest</w:t>
      </w:r>
      <w:r w:rsidR="00106BD7">
        <w:t>-</w:t>
      </w:r>
      <w:r w:rsidR="00D1642E" w:rsidRPr="00B31A89">
        <w:t>quality HSS instruction.</w:t>
      </w:r>
      <w:r w:rsidR="00B71429" w:rsidRPr="00B31A89">
        <w:rPr>
          <w:rStyle w:val="FootnoteReference"/>
        </w:rPr>
        <w:footnoteReference w:id="34"/>
      </w:r>
      <w:r w:rsidR="00B71429" w:rsidRPr="00B31A89">
        <w:t xml:space="preserve"> </w:t>
      </w:r>
      <w:r w:rsidR="00106BD7">
        <w:t>It</w:t>
      </w:r>
      <w:r w:rsidR="00106BD7" w:rsidRPr="00B31A89">
        <w:t xml:space="preserve"> </w:t>
      </w:r>
      <w:r w:rsidR="00D1642E" w:rsidRPr="00B31A89">
        <w:t>focus</w:t>
      </w:r>
      <w:r w:rsidR="00106BD7">
        <w:t>es</w:t>
      </w:r>
      <w:r w:rsidR="00D1642E" w:rsidRPr="00B31A89">
        <w:t xml:space="preserve"> on meeting the needs of English learners, native speakers with low literacy, and students from economically disadvantaged communities. The statewide office supports six regional sites across the state. Each regional site features teachers and scholars collaborating to provide </w:t>
      </w:r>
      <w:r w:rsidR="00F42C76">
        <w:t>high-quality</w:t>
      </w:r>
      <w:r w:rsidR="00D1642E" w:rsidRPr="00B31A89">
        <w:t xml:space="preserve"> classroom instruction</w:t>
      </w:r>
      <w:r w:rsidR="00884BFD" w:rsidRPr="00B31A89">
        <w:t xml:space="preserve"> that may be incorporated into a </w:t>
      </w:r>
      <w:r w:rsidR="00A346A4" w:rsidRPr="00B31A89">
        <w:t>service-learning</w:t>
      </w:r>
      <w:r w:rsidR="00884BFD" w:rsidRPr="00B31A89">
        <w:t xml:space="preserve"> program that also supports </w:t>
      </w:r>
      <w:r w:rsidR="00F42C76">
        <w:t xml:space="preserve">the </w:t>
      </w:r>
      <w:r w:rsidR="00884BFD" w:rsidRPr="00B31A89">
        <w:t>acquisition of the SSCE.</w:t>
      </w:r>
    </w:p>
    <w:p w14:paraId="67D5E0E1" w14:textId="71A1670D" w:rsidR="00493E83" w:rsidRPr="00C56062" w:rsidRDefault="00493E83" w:rsidP="00E37E0D">
      <w:pPr>
        <w:pStyle w:val="Heading4"/>
        <w:rPr>
          <w:i/>
          <w:iCs/>
        </w:rPr>
      </w:pPr>
      <w:bookmarkStart w:id="40" w:name="_Toc167277568"/>
      <w:r w:rsidRPr="00C56062">
        <w:lastRenderedPageBreak/>
        <w:t>Teacher Credential Programs</w:t>
      </w:r>
      <w:bookmarkEnd w:id="40"/>
    </w:p>
    <w:p w14:paraId="5B6ED24B" w14:textId="694A08C6" w:rsidR="00802D5D" w:rsidRPr="00B31A89" w:rsidRDefault="00A61544" w:rsidP="00D7535D">
      <w:pPr>
        <w:rPr>
          <w:lang w:val="en"/>
        </w:rPr>
      </w:pPr>
      <w:r w:rsidRPr="00B31A89">
        <w:rPr>
          <w:lang w:val="en"/>
        </w:rPr>
        <w:t>The time that educators spend in their teacher credential programs, including those seeking Multiple</w:t>
      </w:r>
      <w:r w:rsidR="00FE7641">
        <w:rPr>
          <w:lang w:val="en"/>
        </w:rPr>
        <w:t>-</w:t>
      </w:r>
      <w:r w:rsidRPr="00B31A89">
        <w:rPr>
          <w:lang w:val="en"/>
        </w:rPr>
        <w:t>Subject Teaching Credentials, Single</w:t>
      </w:r>
      <w:r w:rsidR="00FE7641">
        <w:rPr>
          <w:lang w:val="en"/>
        </w:rPr>
        <w:t>-</w:t>
      </w:r>
      <w:r w:rsidRPr="00B31A89">
        <w:rPr>
          <w:lang w:val="en"/>
        </w:rPr>
        <w:t xml:space="preserve">Subject Teaching Credentials, and Education Specialist Instruction Credentials, can be deeply meaningful and formative in a teacher’s career. </w:t>
      </w:r>
      <w:r w:rsidR="00FA54BE" w:rsidRPr="00B31A89">
        <w:rPr>
          <w:lang w:val="en"/>
        </w:rPr>
        <w:t>Instructional strategies and resources used in credential programs may have a lasting effect on the choices an educator makes for years</w:t>
      </w:r>
      <w:r w:rsidR="00812BFA" w:rsidRPr="00B31A89">
        <w:rPr>
          <w:lang w:val="en"/>
        </w:rPr>
        <w:t xml:space="preserve">, if not decades, following </w:t>
      </w:r>
      <w:r w:rsidR="00F42C76">
        <w:rPr>
          <w:lang w:val="en"/>
        </w:rPr>
        <w:t xml:space="preserve">the </w:t>
      </w:r>
      <w:r w:rsidR="00812BFA" w:rsidRPr="00B31A89">
        <w:rPr>
          <w:lang w:val="en"/>
        </w:rPr>
        <w:t xml:space="preserve">attainment of a credential. Teacher credential programs can support high-quality </w:t>
      </w:r>
      <w:r w:rsidR="00A346A4" w:rsidRPr="00B31A89">
        <w:rPr>
          <w:lang w:val="en"/>
        </w:rPr>
        <w:t>service-learning</w:t>
      </w:r>
      <w:r w:rsidR="00812BFA" w:rsidRPr="00B31A89">
        <w:rPr>
          <w:lang w:val="en"/>
        </w:rPr>
        <w:t xml:space="preserve"> programs by formally integrating </w:t>
      </w:r>
      <w:r w:rsidR="001D74BE" w:rsidRPr="00B31A89">
        <w:rPr>
          <w:lang w:val="en"/>
        </w:rPr>
        <w:t xml:space="preserve">into their training </w:t>
      </w:r>
      <w:r w:rsidR="00A346A4" w:rsidRPr="00B31A89">
        <w:rPr>
          <w:lang w:val="en"/>
        </w:rPr>
        <w:t>service-learning</w:t>
      </w:r>
      <w:r w:rsidR="00812BFA" w:rsidRPr="00B31A89">
        <w:rPr>
          <w:lang w:val="en"/>
        </w:rPr>
        <w:t xml:space="preserve"> and other related civic engagement and learning resources and </w:t>
      </w:r>
      <w:r w:rsidR="001D74BE" w:rsidRPr="00B31A89">
        <w:rPr>
          <w:lang w:val="en"/>
        </w:rPr>
        <w:t>instructional</w:t>
      </w:r>
      <w:r w:rsidR="00812BFA" w:rsidRPr="00B31A89">
        <w:rPr>
          <w:lang w:val="en"/>
        </w:rPr>
        <w:t xml:space="preserve"> strategie</w:t>
      </w:r>
      <w:r w:rsidR="001D74BE" w:rsidRPr="00B31A89">
        <w:rPr>
          <w:lang w:val="en"/>
        </w:rPr>
        <w:t>s.</w:t>
      </w:r>
    </w:p>
    <w:p w14:paraId="0EAA880F" w14:textId="54E0651E" w:rsidR="0027593B" w:rsidRPr="00B31A89" w:rsidRDefault="00D45D48" w:rsidP="00E37E0D">
      <w:pPr>
        <w:pStyle w:val="Heading3"/>
      </w:pPr>
      <w:bookmarkStart w:id="41" w:name="_Toc167277569"/>
      <w:r w:rsidRPr="00B31A89">
        <w:t xml:space="preserve">Recommendation </w:t>
      </w:r>
      <w:r w:rsidR="00032DC6" w:rsidRPr="00B31A89">
        <w:t>4</w:t>
      </w:r>
      <w:r w:rsidRPr="00B31A89">
        <w:t xml:space="preserve">: </w:t>
      </w:r>
      <w:r w:rsidR="008C3E3F" w:rsidRPr="00B31A89">
        <w:t xml:space="preserve">Prioritize Efforts to Track </w:t>
      </w:r>
      <w:r w:rsidR="00423611">
        <w:t>Who</w:t>
      </w:r>
      <w:r w:rsidR="008C3E3F" w:rsidRPr="00B31A89">
        <w:t xml:space="preserve"> </w:t>
      </w:r>
      <w:r w:rsidR="00257D54" w:rsidRPr="00B31A89">
        <w:t>Earns</w:t>
      </w:r>
      <w:r w:rsidR="008C3E3F" w:rsidRPr="00B31A89">
        <w:t xml:space="preserve"> the </w:t>
      </w:r>
      <w:r w:rsidR="00493E83" w:rsidRPr="00B31A89">
        <w:t>State Seal of Civic Engagement</w:t>
      </w:r>
      <w:bookmarkEnd w:id="41"/>
    </w:p>
    <w:p w14:paraId="0534BE47" w14:textId="102FDBDC" w:rsidR="00471AC9" w:rsidRPr="00B31A89" w:rsidRDefault="0031196C" w:rsidP="3BFC5438">
      <w:r w:rsidRPr="00B31A89">
        <w:t xml:space="preserve">Identifying </w:t>
      </w:r>
      <w:r w:rsidR="003C57B6" w:rsidRPr="00B31A89">
        <w:t>characteristics</w:t>
      </w:r>
      <w:r w:rsidRPr="00B31A89">
        <w:t xml:space="preserve"> of high-quality </w:t>
      </w:r>
      <w:r w:rsidR="00A346A4" w:rsidRPr="00B31A89">
        <w:t>service-learning</w:t>
      </w:r>
      <w:r w:rsidRPr="00B31A89">
        <w:t xml:space="preserve"> programs and </w:t>
      </w:r>
      <w:r w:rsidR="003C57B6" w:rsidRPr="00B31A89">
        <w:t>providing</w:t>
      </w:r>
      <w:r w:rsidRPr="00B31A89">
        <w:t xml:space="preserve"> resources and professional development to support these programs </w:t>
      </w:r>
      <w:r w:rsidR="00331839" w:rsidRPr="00B31A89">
        <w:t>will not ensure that all students have access to these programs</w:t>
      </w:r>
      <w:r w:rsidRPr="00B31A89">
        <w:t xml:space="preserve">. </w:t>
      </w:r>
      <w:r w:rsidR="00676674" w:rsidRPr="00B31A89">
        <w:t>To</w:t>
      </w:r>
      <w:r w:rsidR="00F115C8" w:rsidRPr="00B31A89">
        <w:t xml:space="preserve"> ensure access to high-quality </w:t>
      </w:r>
      <w:r w:rsidR="00A346A4" w:rsidRPr="00B31A89">
        <w:t>service-learning</w:t>
      </w:r>
      <w:r w:rsidR="00F115C8" w:rsidRPr="00B31A89">
        <w:t xml:space="preserve"> </w:t>
      </w:r>
      <w:r w:rsidRPr="00B31A89">
        <w:t xml:space="preserve">LEAs should also </w:t>
      </w:r>
      <w:r w:rsidR="00526E72" w:rsidRPr="00B31A89">
        <w:t>prioritize</w:t>
      </w:r>
      <w:r w:rsidRPr="00B31A89">
        <w:t xml:space="preserve"> efforts to </w:t>
      </w:r>
      <w:r w:rsidR="00526E72" w:rsidRPr="00B31A89">
        <w:t>track</w:t>
      </w:r>
      <w:r w:rsidR="00FC5E1A" w:rsidRPr="00B31A89">
        <w:t xml:space="preserve"> </w:t>
      </w:r>
      <w:r w:rsidR="00D201B3" w:rsidRPr="00B31A89">
        <w:t xml:space="preserve">and analyze </w:t>
      </w:r>
      <w:r w:rsidR="00331839" w:rsidRPr="00B31A89">
        <w:t>who earns an SSCE insignia</w:t>
      </w:r>
      <w:r w:rsidR="00EC49EF" w:rsidRPr="00B31A89">
        <w:t xml:space="preserve">. This can help identify </w:t>
      </w:r>
      <w:r w:rsidR="001E1B18" w:rsidRPr="00B31A89">
        <w:t>potential barriers students are facing to accessing the SSCE locally.</w:t>
      </w:r>
    </w:p>
    <w:p w14:paraId="44021A67" w14:textId="64E26DB7" w:rsidR="00152DE2" w:rsidRPr="00B31A89" w:rsidRDefault="00152DE2" w:rsidP="6EE915AB">
      <w:r w:rsidRPr="6EE915AB">
        <w:t>The</w:t>
      </w:r>
      <w:r w:rsidR="0014050D" w:rsidRPr="6EE915AB">
        <w:t xml:space="preserve"> 2023</w:t>
      </w:r>
      <w:r w:rsidRPr="6EE915AB">
        <w:t xml:space="preserve"> Leveraging Equity &amp; Access in Democratic Education (LEADE) </w:t>
      </w:r>
      <w:r w:rsidR="005842B1">
        <w:t>r</w:t>
      </w:r>
      <w:r w:rsidRPr="6EE915AB">
        <w:t xml:space="preserve">eport, </w:t>
      </w:r>
      <w:r w:rsidRPr="6EE915AB">
        <w:rPr>
          <w:i/>
          <w:iCs/>
        </w:rPr>
        <w:t>California’s Commitment to K–12 Civic Learning: A 2022 Assessment</w:t>
      </w:r>
      <w:r w:rsidRPr="6EE915AB">
        <w:t>, includes three suggestions for LEAs seeking to ensure equity and access to the SSCE:</w:t>
      </w:r>
      <w:r w:rsidR="00775574" w:rsidRPr="6EE915AB">
        <w:rPr>
          <w:rStyle w:val="FootnoteReference"/>
        </w:rPr>
        <w:footnoteReference w:id="35"/>
      </w:r>
    </w:p>
    <w:p w14:paraId="1FBBBDF5" w14:textId="77777777" w:rsidR="00152DE2" w:rsidRPr="00B31A89" w:rsidRDefault="00152DE2" w:rsidP="003A765A">
      <w:pPr>
        <w:pStyle w:val="ListParagraph"/>
        <w:numPr>
          <w:ilvl w:val="0"/>
          <w:numId w:val="21"/>
        </w:numPr>
        <w:contextualSpacing w:val="0"/>
        <w:rPr>
          <w:lang w:val="en"/>
        </w:rPr>
      </w:pPr>
      <w:r w:rsidRPr="00B31A89">
        <w:rPr>
          <w:lang w:val="en"/>
        </w:rPr>
        <w:t>Define civic excellence as a goal for all students (rather than just the highest-achieving students).</w:t>
      </w:r>
    </w:p>
    <w:p w14:paraId="00731FFF" w14:textId="77777777" w:rsidR="00152DE2" w:rsidRPr="00B31A89" w:rsidRDefault="00152DE2" w:rsidP="003A765A">
      <w:pPr>
        <w:pStyle w:val="ListParagraph"/>
        <w:numPr>
          <w:ilvl w:val="0"/>
          <w:numId w:val="21"/>
        </w:numPr>
        <w:contextualSpacing w:val="0"/>
        <w:rPr>
          <w:lang w:val="en"/>
        </w:rPr>
      </w:pPr>
      <w:r w:rsidRPr="00B31A89">
        <w:rPr>
          <w:lang w:val="en"/>
        </w:rPr>
        <w:t>Integrate equity into all civic learning opportunities (as opposed to seeing equity as an afterthought).</w:t>
      </w:r>
    </w:p>
    <w:p w14:paraId="262FD324" w14:textId="334359C6" w:rsidR="00152DE2" w:rsidRPr="00B31A89" w:rsidRDefault="00152DE2" w:rsidP="003A765A">
      <w:pPr>
        <w:pStyle w:val="ListParagraph"/>
        <w:numPr>
          <w:ilvl w:val="0"/>
          <w:numId w:val="21"/>
        </w:numPr>
        <w:contextualSpacing w:val="0"/>
      </w:pPr>
      <w:r w:rsidRPr="00B31A89">
        <w:t xml:space="preserve">Examine traditional eligibility measures, such as </w:t>
      </w:r>
      <w:r w:rsidR="00775574">
        <w:t>grade point average</w:t>
      </w:r>
      <w:r w:rsidRPr="00B31A89">
        <w:t>, to determine if these are serving as unnecessary barriers to participation in civic and</w:t>
      </w:r>
      <w:r w:rsidR="004933FE">
        <w:t xml:space="preserve"> </w:t>
      </w:r>
      <w:r w:rsidRPr="00B31A89">
        <w:t>service-learning.</w:t>
      </w:r>
    </w:p>
    <w:p w14:paraId="597D50BD" w14:textId="281CAA6B" w:rsidR="00EC49EF" w:rsidRPr="00B31A89" w:rsidRDefault="003A765A" w:rsidP="4758CA2D">
      <w:r>
        <w:t>Since the 2020–21 school year,</w:t>
      </w:r>
      <w:r w:rsidR="0061008F" w:rsidRPr="00B31A89">
        <w:t xml:space="preserve"> </w:t>
      </w:r>
      <w:r w:rsidR="009150BF">
        <w:t xml:space="preserve">the </w:t>
      </w:r>
      <w:r w:rsidR="0061008F" w:rsidRPr="00B31A89">
        <w:t xml:space="preserve">CDE </w:t>
      </w:r>
      <w:r>
        <w:t>has collected</w:t>
      </w:r>
      <w:r w:rsidR="0061008F" w:rsidRPr="00B31A89">
        <w:t xml:space="preserve"> county, district, and school site-level data on students </w:t>
      </w:r>
      <w:r w:rsidR="00A14CB4">
        <w:t>who</w:t>
      </w:r>
      <w:r w:rsidR="0061008F" w:rsidRPr="00B31A89">
        <w:t xml:space="preserve"> earn </w:t>
      </w:r>
      <w:r w:rsidR="007372F7">
        <w:t>the</w:t>
      </w:r>
      <w:r w:rsidR="0061008F" w:rsidRPr="00B31A89">
        <w:t xml:space="preserve"> </w:t>
      </w:r>
      <w:proofErr w:type="gramStart"/>
      <w:r w:rsidR="0061008F" w:rsidRPr="00B31A89">
        <w:t>SSCE, and</w:t>
      </w:r>
      <w:proofErr w:type="gramEnd"/>
      <w:r w:rsidR="0061008F" w:rsidRPr="00B31A89">
        <w:t xml:space="preserve"> publishes this data annually in a spreadsheet.</w:t>
      </w:r>
    </w:p>
    <w:p w14:paraId="5838DCEF" w14:textId="6EC28B4F" w:rsidR="008E5003" w:rsidRPr="00B31A89" w:rsidRDefault="008E5003" w:rsidP="4758CA2D">
      <w:r w:rsidRPr="00B31A89">
        <w:t>Beginning in the 2023</w:t>
      </w:r>
      <w:r w:rsidR="00404663">
        <w:t>–</w:t>
      </w:r>
      <w:r w:rsidRPr="00B31A89">
        <w:t xml:space="preserve">24 school year, the CDE will collect data on the individual students who earn the SSCE for determining its use in the College/Career Indicator on </w:t>
      </w:r>
      <w:r w:rsidRPr="00B31A89">
        <w:lastRenderedPageBreak/>
        <w:t>the California School Dashboard.</w:t>
      </w:r>
      <w:r w:rsidR="004410B2" w:rsidRPr="00B31A89">
        <w:rPr>
          <w:rStyle w:val="FootnoteReference"/>
        </w:rPr>
        <w:footnoteReference w:id="36"/>
      </w:r>
      <w:r w:rsidR="003C7F0B" w:rsidRPr="00B31A89">
        <w:t xml:space="preserve"> </w:t>
      </w:r>
      <w:r w:rsidR="00A811DD" w:rsidRPr="00B31A89">
        <w:t xml:space="preserve">LEAs participating in the program </w:t>
      </w:r>
      <w:r w:rsidR="00CD7D80" w:rsidRPr="00B31A89">
        <w:t>will be requested to</w:t>
      </w:r>
      <w:r w:rsidR="00A811DD" w:rsidRPr="00B31A89">
        <w:t xml:space="preserve"> submit, to this new data collection tool, the individual students who earned the SSCE in</w:t>
      </w:r>
      <w:r w:rsidR="00C07943">
        <w:t xml:space="preserve"> the</w:t>
      </w:r>
      <w:r w:rsidR="00A811DD" w:rsidRPr="00B31A89">
        <w:t xml:space="preserve"> 2023−24</w:t>
      </w:r>
      <w:r w:rsidR="00C07943">
        <w:t xml:space="preserve"> school year</w:t>
      </w:r>
      <w:r w:rsidR="00A811DD" w:rsidRPr="00B31A89">
        <w:t>.</w:t>
      </w:r>
      <w:r w:rsidR="00577086" w:rsidRPr="00B31A89">
        <w:t xml:space="preserve"> This new data collection is based on the SBE request to the CDE to consider the inclusion of civic engagement in the </w:t>
      </w:r>
      <w:r w:rsidR="00620A15">
        <w:t>College/Career Indicator</w:t>
      </w:r>
      <w:r w:rsidR="00577086" w:rsidRPr="00B31A89">
        <w:t xml:space="preserve">. </w:t>
      </w:r>
      <w:r w:rsidR="00C01409" w:rsidRPr="00B31A89">
        <w:t xml:space="preserve">Additional information on this </w:t>
      </w:r>
      <w:r w:rsidR="00290C19" w:rsidRPr="00B31A89">
        <w:t xml:space="preserve">work is available </w:t>
      </w:r>
      <w:r w:rsidR="00260A35">
        <w:t>on</w:t>
      </w:r>
      <w:r w:rsidR="00290C19" w:rsidRPr="00B31A89">
        <w:t xml:space="preserve"> the CDE SBE Items Related to the SSCE web page.</w:t>
      </w:r>
      <w:r w:rsidR="004F78B4" w:rsidRPr="00B31A89">
        <w:rPr>
          <w:rStyle w:val="FootnoteReference"/>
        </w:rPr>
        <w:footnoteReference w:id="37"/>
      </w:r>
      <w:r w:rsidR="00290C19" w:rsidRPr="00B31A89">
        <w:t xml:space="preserve"> </w:t>
      </w:r>
    </w:p>
    <w:p w14:paraId="52E687A6" w14:textId="386737A2" w:rsidR="00F2085A" w:rsidRPr="00B31A89" w:rsidRDefault="008C3E3F" w:rsidP="00E37E0D">
      <w:pPr>
        <w:pStyle w:val="Heading3"/>
      </w:pPr>
      <w:bookmarkStart w:id="42" w:name="_Toc167277570"/>
      <w:r w:rsidRPr="00B31A89">
        <w:t xml:space="preserve">Recommendation </w:t>
      </w:r>
      <w:r w:rsidR="00EE229D" w:rsidRPr="00B31A89">
        <w:t>5</w:t>
      </w:r>
      <w:r w:rsidRPr="00B31A89">
        <w:t xml:space="preserve">: </w:t>
      </w:r>
      <w:r w:rsidR="00EE229D" w:rsidRPr="00B31A89">
        <w:t xml:space="preserve">Design Meaningful Infrastructure </w:t>
      </w:r>
      <w:r w:rsidR="00D7289F">
        <w:t>T</w:t>
      </w:r>
      <w:r w:rsidR="00EE229D" w:rsidRPr="00B31A89">
        <w:t xml:space="preserve">hat Promotes </w:t>
      </w:r>
      <w:r w:rsidR="00A346A4" w:rsidRPr="00B31A89">
        <w:t>Service-</w:t>
      </w:r>
      <w:r w:rsidR="006B7C4F">
        <w:t>L</w:t>
      </w:r>
      <w:r w:rsidR="00A346A4" w:rsidRPr="00B31A89">
        <w:t>earning</w:t>
      </w:r>
      <w:r w:rsidR="00EE229D" w:rsidRPr="00B31A89">
        <w:t xml:space="preserve"> at All Levels</w:t>
      </w:r>
      <w:bookmarkEnd w:id="42"/>
    </w:p>
    <w:p w14:paraId="6C32BC68" w14:textId="7C965AB8" w:rsidR="0016094E" w:rsidRPr="00B31A89" w:rsidRDefault="00AF6E28" w:rsidP="3BFC5438">
      <w:r w:rsidRPr="00B31A89">
        <w:t>Implementing high</w:t>
      </w:r>
      <w:r w:rsidR="006B7C4F">
        <w:t>-</w:t>
      </w:r>
      <w:r w:rsidRPr="00B31A89">
        <w:t xml:space="preserve">quality </w:t>
      </w:r>
      <w:r w:rsidR="00A346A4" w:rsidRPr="00B31A89">
        <w:t>service-learning</w:t>
      </w:r>
      <w:r w:rsidRPr="00B31A89">
        <w:t xml:space="preserve"> programs is not an easy lift</w:t>
      </w:r>
      <w:r w:rsidR="002C412E">
        <w:t>,</w:t>
      </w:r>
      <w:r w:rsidRPr="00B31A89">
        <w:t xml:space="preserve"> nor is implementing the SSCE locally while ensuring it is accessible to all students. </w:t>
      </w:r>
      <w:r w:rsidR="00D85C93" w:rsidRPr="00B31A89">
        <w:t xml:space="preserve">Doing so requires LEAs to either develop new ongoing structures to </w:t>
      </w:r>
      <w:r w:rsidR="002C52DA" w:rsidRPr="00B31A89">
        <w:t>support</w:t>
      </w:r>
      <w:r w:rsidR="00D85C93" w:rsidRPr="00B31A89">
        <w:t xml:space="preserve"> these </w:t>
      </w:r>
      <w:proofErr w:type="gramStart"/>
      <w:r w:rsidR="00D85C93" w:rsidRPr="00B31A89">
        <w:t>goals, or</w:t>
      </w:r>
      <w:proofErr w:type="gramEnd"/>
      <w:r w:rsidR="00D85C93" w:rsidRPr="00B31A89">
        <w:t xml:space="preserve"> deepen</w:t>
      </w:r>
      <w:r w:rsidR="007053D1">
        <w:t xml:space="preserve"> </w:t>
      </w:r>
      <w:r w:rsidR="00D85C93" w:rsidRPr="00B31A89">
        <w:t xml:space="preserve">existing structures to include the SSCE and </w:t>
      </w:r>
      <w:r w:rsidR="00A346A4" w:rsidRPr="00B31A89">
        <w:t>service-learning</w:t>
      </w:r>
      <w:r w:rsidR="00D85C93" w:rsidRPr="00B31A89">
        <w:t>.</w:t>
      </w:r>
    </w:p>
    <w:p w14:paraId="23477BA6" w14:textId="48A766F9" w:rsidR="0016094E" w:rsidRPr="00B31A89" w:rsidRDefault="0016094E" w:rsidP="00DD04C0">
      <w:r w:rsidRPr="00B31A89">
        <w:t xml:space="preserve">At a minimum, LEAs seeking to offer the SSCE through </w:t>
      </w:r>
      <w:r w:rsidR="00A346A4" w:rsidRPr="00B31A89">
        <w:t>service-learning</w:t>
      </w:r>
      <w:r w:rsidRPr="00B31A89">
        <w:t xml:space="preserve"> </w:t>
      </w:r>
      <w:r w:rsidR="005836BE" w:rsidRPr="00B31A89">
        <w:t>should consider the following questions:</w:t>
      </w:r>
    </w:p>
    <w:p w14:paraId="640B9499" w14:textId="284244B1" w:rsidR="005836BE" w:rsidRPr="00B31A89" w:rsidRDefault="005836BE" w:rsidP="00C05809">
      <w:pPr>
        <w:pStyle w:val="ListParagraph"/>
        <w:numPr>
          <w:ilvl w:val="0"/>
          <w:numId w:val="23"/>
        </w:numPr>
        <w:contextualSpacing w:val="0"/>
      </w:pPr>
      <w:r w:rsidRPr="00B31A89">
        <w:t xml:space="preserve">Who, at the county, district, and school-site level, will be responsible for developing, implementing, and monitoring </w:t>
      </w:r>
      <w:r w:rsidR="00661938" w:rsidRPr="00B31A89">
        <w:t xml:space="preserve">student progress </w:t>
      </w:r>
      <w:r w:rsidR="005E54D8" w:rsidRPr="00B31A89">
        <w:t xml:space="preserve">in </w:t>
      </w:r>
      <w:r w:rsidR="00A346A4" w:rsidRPr="00B31A89">
        <w:t>service-learning</w:t>
      </w:r>
      <w:r w:rsidR="005E54D8" w:rsidRPr="00B31A89">
        <w:t xml:space="preserve"> pr</w:t>
      </w:r>
      <w:r w:rsidR="00485266" w:rsidRPr="00B31A89">
        <w:t>o</w:t>
      </w:r>
      <w:r w:rsidR="005E54D8" w:rsidRPr="00B31A89">
        <w:t xml:space="preserve">jects that lead to </w:t>
      </w:r>
      <w:r w:rsidR="00661938" w:rsidRPr="00B31A89">
        <w:t>the SSCE</w:t>
      </w:r>
      <w:r w:rsidR="005E54D8" w:rsidRPr="00B31A89">
        <w:t>?</w:t>
      </w:r>
    </w:p>
    <w:p w14:paraId="64CE9864" w14:textId="29C9B71F" w:rsidR="005E54D8" w:rsidRPr="00B31A89" w:rsidRDefault="005E54D8" w:rsidP="00C05809">
      <w:pPr>
        <w:pStyle w:val="ListParagraph"/>
        <w:numPr>
          <w:ilvl w:val="0"/>
          <w:numId w:val="23"/>
        </w:numPr>
        <w:contextualSpacing w:val="0"/>
      </w:pPr>
      <w:r w:rsidRPr="00B31A89">
        <w:t>How will these monitoring and tracking practices be evaluated and modified over time?</w:t>
      </w:r>
    </w:p>
    <w:p w14:paraId="23310940" w14:textId="2F233264" w:rsidR="005E54D8" w:rsidRPr="00B31A89" w:rsidRDefault="005E54D8" w:rsidP="00C05809">
      <w:pPr>
        <w:pStyle w:val="ListParagraph"/>
        <w:numPr>
          <w:ilvl w:val="0"/>
          <w:numId w:val="23"/>
        </w:numPr>
        <w:contextualSpacing w:val="0"/>
      </w:pPr>
      <w:r w:rsidRPr="00B31A89">
        <w:t xml:space="preserve">How will the LEA ensure </w:t>
      </w:r>
      <w:r w:rsidR="00377364">
        <w:t xml:space="preserve">the </w:t>
      </w:r>
      <w:r w:rsidRPr="00B31A89">
        <w:t xml:space="preserve">continuity of these monitoring and tracking practices over </w:t>
      </w:r>
      <w:r w:rsidR="00D54BCD" w:rsidRPr="00B31A89">
        <w:t>the long</w:t>
      </w:r>
      <w:r w:rsidR="00064EB5">
        <w:t xml:space="preserve"> </w:t>
      </w:r>
      <w:r w:rsidR="00D54BCD" w:rsidRPr="00B31A89">
        <w:t xml:space="preserve">term, </w:t>
      </w:r>
      <w:proofErr w:type="gramStart"/>
      <w:r w:rsidR="00D54BCD" w:rsidRPr="00B31A89">
        <w:t>taking into account</w:t>
      </w:r>
      <w:proofErr w:type="gramEnd"/>
      <w:r w:rsidR="00D54BCD" w:rsidRPr="00B31A89">
        <w:t xml:space="preserve"> inevitable staff turnover, shifting initiatives and priorities, and changes to funding</w:t>
      </w:r>
      <w:r w:rsidRPr="00B31A89">
        <w:t>?</w:t>
      </w:r>
    </w:p>
    <w:p w14:paraId="1525FA7C" w14:textId="7118DB17" w:rsidR="006F1A5F" w:rsidRPr="00B31A89" w:rsidRDefault="00E2108E" w:rsidP="3BFC5438">
      <w:r w:rsidRPr="00B31A89">
        <w:t xml:space="preserve">Ensuring access to high-quality, equitable </w:t>
      </w:r>
      <w:r w:rsidR="00A346A4" w:rsidRPr="00B31A89">
        <w:t>service-learning</w:t>
      </w:r>
      <w:r w:rsidRPr="00B31A89">
        <w:t xml:space="preserve"> programs that lead to the SSCE requires significant and ongoing </w:t>
      </w:r>
      <w:r w:rsidR="004F4ECA" w:rsidRPr="00B31A89">
        <w:t>development and administration time, at the site, district, county, and statewide level. It is impossible to add these responsibilities</w:t>
      </w:r>
      <w:r w:rsidR="004955D3" w:rsidRPr="00B31A89">
        <w:t xml:space="preserve"> to the plates of teachers and administrators and expect </w:t>
      </w:r>
      <w:r w:rsidR="006F1A5F" w:rsidRPr="00B31A89">
        <w:t xml:space="preserve">long-term </w:t>
      </w:r>
      <w:r w:rsidR="004955D3" w:rsidRPr="00B31A89">
        <w:t>positive outcomes</w:t>
      </w:r>
      <w:r w:rsidR="006F1A5F" w:rsidRPr="00B31A89">
        <w:t xml:space="preserve"> for students</w:t>
      </w:r>
      <w:r w:rsidR="004955D3" w:rsidRPr="00B31A89">
        <w:t xml:space="preserve">. </w:t>
      </w:r>
      <w:r w:rsidR="000514B7" w:rsidRPr="00B31A89">
        <w:t xml:space="preserve">LEAs must also consider strategies for </w:t>
      </w:r>
      <w:r w:rsidR="009A3C5C" w:rsidRPr="00B31A89">
        <w:t>dedicated</w:t>
      </w:r>
      <w:r w:rsidR="006F1A5F" w:rsidRPr="00B31A89">
        <w:t xml:space="preserve"> and </w:t>
      </w:r>
      <w:r w:rsidR="009A3C5C" w:rsidRPr="00B31A89">
        <w:t>ongoing</w:t>
      </w:r>
      <w:r w:rsidR="006F1A5F" w:rsidRPr="00B31A89">
        <w:t xml:space="preserve"> </w:t>
      </w:r>
      <w:r w:rsidR="000514B7" w:rsidRPr="00B31A89">
        <w:t xml:space="preserve">funding </w:t>
      </w:r>
      <w:r w:rsidR="00EF1DBA">
        <w:t xml:space="preserve">for </w:t>
      </w:r>
      <w:r w:rsidR="00A346A4" w:rsidRPr="00B31A89">
        <w:t>service-learning</w:t>
      </w:r>
      <w:r w:rsidR="006F1A5F" w:rsidRPr="00B31A89">
        <w:t xml:space="preserve">-based </w:t>
      </w:r>
      <w:r w:rsidR="000514B7" w:rsidRPr="00B31A89">
        <w:t>SSCE programs locally.</w:t>
      </w:r>
    </w:p>
    <w:p w14:paraId="483CA5FE" w14:textId="633DBD91" w:rsidR="00661938" w:rsidRPr="00B31A89" w:rsidRDefault="006F1A5F" w:rsidP="3BFC5438">
      <w:r w:rsidRPr="00B31A89">
        <w:t>Moreover,</w:t>
      </w:r>
      <w:r w:rsidR="00EF4F07" w:rsidRPr="00B31A89">
        <w:t xml:space="preserve"> to ensure equitable access to the SSCE and </w:t>
      </w:r>
      <w:r w:rsidR="00A346A4" w:rsidRPr="00B31A89">
        <w:t>service-learning</w:t>
      </w:r>
      <w:r w:rsidR="00EF4F07" w:rsidRPr="00B31A89">
        <w:t xml:space="preserve"> programs,</w:t>
      </w:r>
      <w:r w:rsidRPr="00B31A89">
        <w:t xml:space="preserve"> </w:t>
      </w:r>
      <w:r w:rsidR="679C6F74" w:rsidRPr="00B31A89">
        <w:t xml:space="preserve">the </w:t>
      </w:r>
      <w:r w:rsidRPr="00B31A89">
        <w:t>California state</w:t>
      </w:r>
      <w:r w:rsidR="000514B7" w:rsidRPr="00B31A89">
        <w:t xml:space="preserve"> budget should include </w:t>
      </w:r>
      <w:r w:rsidRPr="00B31A89">
        <w:t xml:space="preserve">dedicated and ongoing </w:t>
      </w:r>
      <w:r w:rsidR="000514B7" w:rsidRPr="00B31A89">
        <w:t xml:space="preserve">funding for statewide administration of the </w:t>
      </w:r>
      <w:r w:rsidRPr="00B31A89">
        <w:t xml:space="preserve">California Serves and </w:t>
      </w:r>
      <w:r w:rsidR="000514B7" w:rsidRPr="00B31A89">
        <w:t>SSCE</w:t>
      </w:r>
      <w:r w:rsidRPr="00B31A89">
        <w:t xml:space="preserve"> programs</w:t>
      </w:r>
      <w:r w:rsidR="000514B7" w:rsidRPr="00B31A89">
        <w:t xml:space="preserve">, </w:t>
      </w:r>
      <w:r w:rsidR="00EF4F07" w:rsidRPr="00B31A89">
        <w:t xml:space="preserve">in addition to funding for LEAs to participate </w:t>
      </w:r>
      <w:r w:rsidR="00444958" w:rsidRPr="00B31A89">
        <w:t>in the California Serves and SSCE programs.</w:t>
      </w:r>
    </w:p>
    <w:p w14:paraId="6D55EA4C" w14:textId="3973D4FE" w:rsidR="00146565" w:rsidRPr="00B31A89" w:rsidRDefault="00146565" w:rsidP="3BFC5438">
      <w:r w:rsidRPr="00B31A89">
        <w:lastRenderedPageBreak/>
        <w:t xml:space="preserve">The </w:t>
      </w:r>
      <w:r w:rsidR="006D5F1A" w:rsidRPr="00B31A89">
        <w:t>2023 LEADE</w:t>
      </w:r>
      <w:r w:rsidRPr="00B31A89">
        <w:t xml:space="preserve"> </w:t>
      </w:r>
      <w:r w:rsidR="0081709B">
        <w:t>R</w:t>
      </w:r>
      <w:r w:rsidRPr="00B31A89">
        <w:t xml:space="preserve">eport on civic learning includes recommendations to ensure </w:t>
      </w:r>
      <w:r w:rsidR="00BB3A7A" w:rsidRPr="00B31A89">
        <w:t>that an LEA’s infrastructure truly encourages quality civic learning. These</w:t>
      </w:r>
      <w:r w:rsidR="004529CC" w:rsidRPr="00B31A89">
        <w:t xml:space="preserve"> </w:t>
      </w:r>
      <w:r w:rsidR="00BB3A7A" w:rsidRPr="00B31A89">
        <w:t xml:space="preserve">recommendations can also be applied to high-quality </w:t>
      </w:r>
      <w:r w:rsidR="00A346A4" w:rsidRPr="00B31A89">
        <w:t>service-learning</w:t>
      </w:r>
      <w:r w:rsidR="00BB3A7A" w:rsidRPr="00B31A89">
        <w:t xml:space="preserve"> programs:</w:t>
      </w:r>
    </w:p>
    <w:p w14:paraId="30520984" w14:textId="206754D7" w:rsidR="00BB3A7A" w:rsidRPr="00B31A89" w:rsidRDefault="00BB3A7A" w:rsidP="00BB3A7A">
      <w:pPr>
        <w:pStyle w:val="ListParagraph"/>
        <w:numPr>
          <w:ilvl w:val="0"/>
          <w:numId w:val="22"/>
        </w:numPr>
        <w:contextualSpacing w:val="0"/>
        <w:rPr>
          <w:lang w:val="en"/>
        </w:rPr>
      </w:pPr>
      <w:r w:rsidRPr="00B31A89">
        <w:rPr>
          <w:lang w:val="en"/>
        </w:rPr>
        <w:t>Adopt the SSCE alongside a broader, LEA-wide commitment to democratic education.</w:t>
      </w:r>
    </w:p>
    <w:p w14:paraId="10668029" w14:textId="54BD0A2D" w:rsidR="00BB3A7A" w:rsidRPr="00B31A89" w:rsidRDefault="00BB3A7A" w:rsidP="00BB3A7A">
      <w:pPr>
        <w:pStyle w:val="ListParagraph"/>
        <w:numPr>
          <w:ilvl w:val="0"/>
          <w:numId w:val="22"/>
        </w:numPr>
        <w:contextualSpacing w:val="0"/>
        <w:rPr>
          <w:lang w:val="en"/>
        </w:rPr>
      </w:pPr>
      <w:r w:rsidRPr="00B31A89">
        <w:rPr>
          <w:lang w:val="en"/>
        </w:rPr>
        <w:t>Provide staffing and support for civic learning programs, such as the SSCE.</w:t>
      </w:r>
    </w:p>
    <w:p w14:paraId="5D37187C" w14:textId="02F86751" w:rsidR="00BB3A7A" w:rsidRPr="00B31A89" w:rsidRDefault="00BB3A7A" w:rsidP="004529CC">
      <w:pPr>
        <w:pStyle w:val="ListParagraph"/>
        <w:numPr>
          <w:ilvl w:val="0"/>
          <w:numId w:val="22"/>
        </w:numPr>
        <w:contextualSpacing w:val="0"/>
        <w:rPr>
          <w:lang w:val="en"/>
        </w:rPr>
      </w:pPr>
      <w:r w:rsidRPr="00B31A89">
        <w:rPr>
          <w:lang w:val="en"/>
        </w:rPr>
        <w:t xml:space="preserve">Integrate many voices (including student voices) through </w:t>
      </w:r>
      <w:r w:rsidR="00A92CCC" w:rsidRPr="00B31A89">
        <w:rPr>
          <w:lang w:val="en"/>
        </w:rPr>
        <w:t>democratic</w:t>
      </w:r>
      <w:r w:rsidRPr="00B31A89">
        <w:rPr>
          <w:lang w:val="en"/>
        </w:rPr>
        <w:t xml:space="preserve"> processes.</w:t>
      </w:r>
    </w:p>
    <w:p w14:paraId="00973E91" w14:textId="63813D9A" w:rsidR="00333B86" w:rsidRPr="00B31A89" w:rsidRDefault="00485266" w:rsidP="4758CA2D">
      <w:r w:rsidRPr="00B31A89">
        <w:t xml:space="preserve">Finally, LEAs may wish to </w:t>
      </w:r>
      <w:r w:rsidR="001E3387" w:rsidRPr="00B31A89">
        <w:t xml:space="preserve">utilize the </w:t>
      </w:r>
      <w:r w:rsidR="00C11790" w:rsidRPr="00B31A89">
        <w:t>Civic Engagement Research Group</w:t>
      </w:r>
      <w:r w:rsidR="00392173" w:rsidRPr="00B31A89">
        <w:t xml:space="preserve"> Educating4Democracy</w:t>
      </w:r>
      <w:r w:rsidR="00015D88">
        <w:t xml:space="preserve"> resources, including a</w:t>
      </w:r>
      <w:r w:rsidR="00CF022E">
        <w:t>n</w:t>
      </w:r>
      <w:r w:rsidR="0048331E">
        <w:t xml:space="preserve"> </w:t>
      </w:r>
      <w:r w:rsidR="003859A1" w:rsidRPr="00807E8B">
        <w:rPr>
          <w:i/>
          <w:iCs/>
        </w:rPr>
        <w:t>SSCE</w:t>
      </w:r>
      <w:r w:rsidR="003859A1" w:rsidRPr="00B31A89">
        <w:t xml:space="preserve"> </w:t>
      </w:r>
      <w:r w:rsidR="00807E8B" w:rsidRPr="00807E8B">
        <w:rPr>
          <w:i/>
          <w:iCs/>
        </w:rPr>
        <w:t>P</w:t>
      </w:r>
      <w:r w:rsidR="00006387" w:rsidRPr="00807E8B">
        <w:rPr>
          <w:i/>
          <w:iCs/>
        </w:rPr>
        <w:t xml:space="preserve">lanning </w:t>
      </w:r>
      <w:r w:rsidR="00807E8B" w:rsidRPr="00807E8B">
        <w:rPr>
          <w:i/>
          <w:iCs/>
        </w:rPr>
        <w:t>P</w:t>
      </w:r>
      <w:r w:rsidR="00006387" w:rsidRPr="00807E8B">
        <w:rPr>
          <w:i/>
          <w:iCs/>
        </w:rPr>
        <w:t>acket</w:t>
      </w:r>
      <w:r w:rsidR="00015D88">
        <w:t>,</w:t>
      </w:r>
      <w:r w:rsidR="0048331E">
        <w:t xml:space="preserve"> </w:t>
      </w:r>
      <w:r w:rsidR="003859A1" w:rsidRPr="00B31A89">
        <w:t xml:space="preserve">to support </w:t>
      </w:r>
      <w:r w:rsidR="002E2693">
        <w:t xml:space="preserve">the </w:t>
      </w:r>
      <w:r w:rsidR="003859A1" w:rsidRPr="00B31A89">
        <w:t>development of thoughtful infrastructure to support the SSCE.</w:t>
      </w:r>
      <w:r w:rsidR="0048331E" w:rsidRPr="00B31A89">
        <w:rPr>
          <w:rStyle w:val="FootnoteReference"/>
        </w:rPr>
        <w:footnoteReference w:id="38"/>
      </w:r>
      <w:r w:rsidR="008B13EE">
        <w:rPr>
          <w:vertAlign w:val="superscript"/>
        </w:rPr>
        <w:t xml:space="preserve"> </w:t>
      </w:r>
      <w:r w:rsidR="0048331E" w:rsidRPr="00B31A89">
        <w:rPr>
          <w:rStyle w:val="FootnoteReference"/>
        </w:rPr>
        <w:footnoteReference w:id="39"/>
      </w:r>
      <w:r w:rsidR="0048331E" w:rsidRPr="00B31A89">
        <w:t xml:space="preserve"> </w:t>
      </w:r>
      <w:r w:rsidR="0055010F" w:rsidRPr="00B31A89">
        <w:t xml:space="preserve">The packet includes guidance and templates to support </w:t>
      </w:r>
      <w:r w:rsidR="002E2693">
        <w:t xml:space="preserve">the </w:t>
      </w:r>
      <w:r w:rsidR="0055010F" w:rsidRPr="00B31A89">
        <w:t>development of an accessible</w:t>
      </w:r>
      <w:r w:rsidR="00F36BBE" w:rsidRPr="00B31A89">
        <w:t xml:space="preserve"> </w:t>
      </w:r>
      <w:r w:rsidR="00A346A4" w:rsidRPr="00B31A89">
        <w:t>service-learning</w:t>
      </w:r>
      <w:r w:rsidR="00F36BBE" w:rsidRPr="00B31A89">
        <w:t>-based</w:t>
      </w:r>
      <w:r w:rsidR="004529CC" w:rsidRPr="00B31A89">
        <w:t xml:space="preserve"> </w:t>
      </w:r>
      <w:r w:rsidR="0055010F" w:rsidRPr="00B31A89">
        <w:t xml:space="preserve">SSCE program from the ground up, starting with taking </w:t>
      </w:r>
      <w:r w:rsidR="005945A2" w:rsidRPr="00B31A89">
        <w:t xml:space="preserve">LEA inventory, developing an action plan, and </w:t>
      </w:r>
      <w:r w:rsidR="00F36BBE" w:rsidRPr="00B31A89">
        <w:t>undergoing data analysis and reflection.</w:t>
      </w:r>
    </w:p>
    <w:p w14:paraId="47288D98" w14:textId="13FB3D65" w:rsidR="00C30B6E" w:rsidRPr="00B31A89" w:rsidRDefault="00AB44ED" w:rsidP="00E37E0D">
      <w:pPr>
        <w:pStyle w:val="Heading2"/>
      </w:pPr>
      <w:bookmarkStart w:id="43" w:name="_Toc167277571"/>
      <w:r>
        <w:t>Conclusion</w:t>
      </w:r>
      <w:bookmarkEnd w:id="43"/>
    </w:p>
    <w:p w14:paraId="10BC31E9" w14:textId="289466C3" w:rsidR="005836BE" w:rsidRPr="00B31A89" w:rsidRDefault="000A553B" w:rsidP="4758CA2D">
      <w:r>
        <w:t xml:space="preserve">Schools that provide comprehensive, accessible, high-quality service-learning programs to all students are vital to </w:t>
      </w:r>
      <w:r w:rsidR="00F16B99">
        <w:t>encouraging the development of</w:t>
      </w:r>
      <w:r>
        <w:t xml:space="preserve"> </w:t>
      </w:r>
      <w:r w:rsidR="00F16B99">
        <w:t>knowledgeable</w:t>
      </w:r>
      <w:r w:rsidR="003547A7">
        <w:t xml:space="preserve">, </w:t>
      </w:r>
      <w:r w:rsidR="002E2693">
        <w:t>civically engaged</w:t>
      </w:r>
      <w:r>
        <w:t xml:space="preserve"> citizens</w:t>
      </w:r>
      <w:r w:rsidR="00F16B99">
        <w:t xml:space="preserve"> </w:t>
      </w:r>
      <w:r w:rsidR="002E2693">
        <w:t>who</w:t>
      </w:r>
      <w:r w:rsidR="00F16B99">
        <w:t xml:space="preserve"> strive to improve their communities</w:t>
      </w:r>
      <w:r w:rsidR="00C62787">
        <w:t>.</w:t>
      </w:r>
      <w:r>
        <w:t xml:space="preserve"> </w:t>
      </w:r>
      <w:r w:rsidR="000B7E6A">
        <w:t>Statewide programs</w:t>
      </w:r>
      <w:r w:rsidR="00BF1728">
        <w:t xml:space="preserve"> that encourage </w:t>
      </w:r>
      <w:r w:rsidR="003605D2">
        <w:t>service-learning, civic learning</w:t>
      </w:r>
      <w:r w:rsidR="002E2693">
        <w:t>,</w:t>
      </w:r>
      <w:r w:rsidR="003605D2">
        <w:t xml:space="preserve"> and engagement</w:t>
      </w:r>
      <w:r w:rsidR="00BF1728">
        <w:t>,</w:t>
      </w:r>
      <w:r w:rsidR="00177118">
        <w:t xml:space="preserve"> </w:t>
      </w:r>
      <w:r w:rsidR="0020023A">
        <w:t>like</w:t>
      </w:r>
      <w:r w:rsidR="00BF1728">
        <w:t xml:space="preserve"> California Serves and the SSCE</w:t>
      </w:r>
      <w:r w:rsidR="003605D2">
        <w:t xml:space="preserve">, </w:t>
      </w:r>
      <w:r w:rsidR="00B56FEB">
        <w:t>have the potential to</w:t>
      </w:r>
      <w:r w:rsidR="00177118">
        <w:t xml:space="preserve"> provide deep, long-lasting benefits to </w:t>
      </w:r>
      <w:r w:rsidR="0020023A">
        <w:t>students</w:t>
      </w:r>
      <w:r w:rsidR="00B56FEB">
        <w:t>.</w:t>
      </w:r>
      <w:r w:rsidR="00FC45C5">
        <w:t xml:space="preserve"> </w:t>
      </w:r>
      <w:r w:rsidR="00326D12">
        <w:t xml:space="preserve">However, </w:t>
      </w:r>
      <w:r w:rsidR="00E70A98">
        <w:t>much more</w:t>
      </w:r>
      <w:r w:rsidR="00326D12">
        <w:t xml:space="preserve"> </w:t>
      </w:r>
      <w:r w:rsidR="00953EE0">
        <w:t xml:space="preserve">work </w:t>
      </w:r>
      <w:r w:rsidR="00326D12">
        <w:t xml:space="preserve">is needed </w:t>
      </w:r>
      <w:proofErr w:type="gramStart"/>
      <w:r w:rsidR="00326D12">
        <w:t>in order to</w:t>
      </w:r>
      <w:proofErr w:type="gramEnd"/>
      <w:r w:rsidR="00326D12">
        <w:t xml:space="preserve"> ensure students have equitable access to</w:t>
      </w:r>
      <w:r w:rsidR="00953EE0">
        <w:t xml:space="preserve"> the SSCE and rich, rigorous service-learning opportunities. Indeed, w</w:t>
      </w:r>
      <w:r w:rsidR="008937D9">
        <w:t xml:space="preserve">hile the </w:t>
      </w:r>
      <w:r w:rsidR="001B4661">
        <w:t xml:space="preserve">SSCE </w:t>
      </w:r>
      <w:r w:rsidR="008007A8">
        <w:t xml:space="preserve">has </w:t>
      </w:r>
      <w:r w:rsidR="009633DE">
        <w:t xml:space="preserve">grown in popularity each year since </w:t>
      </w:r>
      <w:r w:rsidR="00331411">
        <w:t>2021</w:t>
      </w:r>
      <w:r w:rsidR="009633DE">
        <w:t xml:space="preserve">, only </w:t>
      </w:r>
      <w:r w:rsidR="00B47F45">
        <w:t>2.5 percent of California graduates earned a seal</w:t>
      </w:r>
      <w:r w:rsidR="00331411">
        <w:t xml:space="preserve"> in 2023</w:t>
      </w:r>
      <w:r w:rsidR="00B47F45">
        <w:t xml:space="preserve">. </w:t>
      </w:r>
      <w:r w:rsidR="00173D32">
        <w:t xml:space="preserve">The </w:t>
      </w:r>
      <w:r w:rsidR="003B5629">
        <w:t>California Serves program</w:t>
      </w:r>
      <w:r w:rsidR="00173D32">
        <w:t xml:space="preserve"> has the potential to</w:t>
      </w:r>
      <w:r w:rsidR="003B5629">
        <w:t xml:space="preserve"> expand access to the SSCE</w:t>
      </w:r>
      <w:r w:rsidR="00E70A98">
        <w:t xml:space="preserve"> and service-learning throughout the state.</w:t>
      </w:r>
    </w:p>
    <w:p w14:paraId="33E7D05A" w14:textId="77777777" w:rsidR="001063BF" w:rsidRPr="00B31A89" w:rsidRDefault="001063BF" w:rsidP="00E37E0D">
      <w:pPr>
        <w:pStyle w:val="Heading2"/>
        <w:sectPr w:rsidR="001063BF" w:rsidRPr="00B31A89" w:rsidSect="00760A30">
          <w:type w:val="continuous"/>
          <w:pgSz w:w="12240" w:h="15840"/>
          <w:pgMar w:top="1440" w:right="1440" w:bottom="1440" w:left="1440" w:header="720" w:footer="720" w:gutter="0"/>
          <w:cols w:space="720"/>
          <w:docGrid w:linePitch="360"/>
        </w:sectPr>
      </w:pPr>
      <w:bookmarkStart w:id="44" w:name="_Toc93405156"/>
    </w:p>
    <w:p w14:paraId="1A5449AD" w14:textId="3F36B82C" w:rsidR="00D900B4" w:rsidRPr="00B31A89" w:rsidRDefault="00D900B4" w:rsidP="00E37E0D">
      <w:pPr>
        <w:pStyle w:val="Heading2"/>
      </w:pPr>
      <w:bookmarkStart w:id="45" w:name="_Toc167277572"/>
      <w:r w:rsidRPr="00B31A89">
        <w:lastRenderedPageBreak/>
        <w:t xml:space="preserve">Appendix </w:t>
      </w:r>
      <w:r w:rsidR="00F606C1">
        <w:t>A</w:t>
      </w:r>
      <w:r w:rsidR="000D2026">
        <w:t>:</w:t>
      </w:r>
      <w:r w:rsidRPr="00B31A89">
        <w:t xml:space="preserve"> </w:t>
      </w:r>
      <w:bookmarkEnd w:id="44"/>
      <w:r w:rsidR="00CB21BA">
        <w:t xml:space="preserve">California </w:t>
      </w:r>
      <w:r w:rsidR="00AA6E15" w:rsidRPr="00B31A89">
        <w:rPr>
          <w:i/>
          <w:iCs/>
        </w:rPr>
        <w:t xml:space="preserve">Education Code </w:t>
      </w:r>
      <w:r w:rsidR="00AA6E15" w:rsidRPr="00B31A89">
        <w:t>Section 51475</w:t>
      </w:r>
      <w:bookmarkEnd w:id="45"/>
    </w:p>
    <w:p w14:paraId="03BC52BB" w14:textId="373631FB" w:rsidR="00AA6E15" w:rsidRPr="00B31A89" w:rsidRDefault="00AA6E15" w:rsidP="00AA6E15">
      <w:pPr>
        <w:rPr>
          <w:rFonts w:cs="Arial"/>
          <w:szCs w:val="24"/>
        </w:rPr>
      </w:pPr>
      <w:r w:rsidRPr="00B31A89">
        <w:rPr>
          <w:rFonts w:cs="Arial"/>
          <w:szCs w:val="24"/>
        </w:rPr>
        <w:t xml:space="preserve">(a) The California Serves Program is hereby established under the administration of the department, in collaboration with CaliforniaVolunteers, for purposes of promoting access to effective </w:t>
      </w:r>
      <w:r w:rsidR="00A346A4" w:rsidRPr="00B31A89">
        <w:rPr>
          <w:rFonts w:cs="Arial"/>
          <w:szCs w:val="24"/>
        </w:rPr>
        <w:t>service-learning</w:t>
      </w:r>
      <w:r w:rsidRPr="00B31A89">
        <w:rPr>
          <w:rFonts w:cs="Arial"/>
          <w:szCs w:val="24"/>
        </w:rPr>
        <w:t xml:space="preserve"> for pupils in grade 12 who are enrolled at participating local educational agencies, with the goal of expanding access for high school graduates in obtaining a State Seal of Civic Engagement through </w:t>
      </w:r>
      <w:r w:rsidR="00A346A4" w:rsidRPr="00B31A89">
        <w:rPr>
          <w:rFonts w:cs="Arial"/>
          <w:szCs w:val="24"/>
        </w:rPr>
        <w:t>service-learning</w:t>
      </w:r>
      <w:r w:rsidRPr="00B31A89">
        <w:rPr>
          <w:rFonts w:cs="Arial"/>
          <w:szCs w:val="24"/>
        </w:rPr>
        <w:t>.</w:t>
      </w:r>
    </w:p>
    <w:p w14:paraId="28B5F0FA" w14:textId="77777777" w:rsidR="00AA6E15" w:rsidRPr="00B31A89" w:rsidRDefault="00AA6E15" w:rsidP="00AA6E15">
      <w:pPr>
        <w:rPr>
          <w:rFonts w:cs="Arial"/>
          <w:szCs w:val="24"/>
        </w:rPr>
      </w:pPr>
      <w:r w:rsidRPr="00B31A89">
        <w:rPr>
          <w:rFonts w:cs="Arial"/>
          <w:szCs w:val="24"/>
        </w:rPr>
        <w:t xml:space="preserve">(b) The department, in partnership with CaliforniaVolunteers, shall do </w:t>
      </w:r>
      <w:proofErr w:type="gramStart"/>
      <w:r w:rsidRPr="00B31A89">
        <w:rPr>
          <w:rFonts w:cs="Arial"/>
          <w:szCs w:val="24"/>
        </w:rPr>
        <w:t>all of</w:t>
      </w:r>
      <w:proofErr w:type="gramEnd"/>
      <w:r w:rsidRPr="00B31A89">
        <w:rPr>
          <w:rFonts w:cs="Arial"/>
          <w:szCs w:val="24"/>
        </w:rPr>
        <w:t xml:space="preserve"> the following:</w:t>
      </w:r>
    </w:p>
    <w:p w14:paraId="48156197" w14:textId="51DFB2B4" w:rsidR="00AA6E15" w:rsidRPr="00B31A89" w:rsidRDefault="00AA6E15" w:rsidP="004758D5">
      <w:pPr>
        <w:ind w:left="360"/>
        <w:rPr>
          <w:rFonts w:cs="Arial"/>
          <w:szCs w:val="24"/>
        </w:rPr>
      </w:pPr>
      <w:r w:rsidRPr="00B31A89">
        <w:rPr>
          <w:rFonts w:cs="Arial"/>
          <w:szCs w:val="24"/>
        </w:rPr>
        <w:t xml:space="preserve">(1) Review the available evidence on ways to incorporate effective </w:t>
      </w:r>
      <w:r w:rsidR="00A346A4" w:rsidRPr="00B31A89">
        <w:rPr>
          <w:rFonts w:cs="Arial"/>
          <w:szCs w:val="24"/>
        </w:rPr>
        <w:t>service-learning</w:t>
      </w:r>
      <w:r w:rsidRPr="00B31A89">
        <w:rPr>
          <w:rFonts w:cs="Arial"/>
          <w:szCs w:val="24"/>
        </w:rPr>
        <w:t xml:space="preserve"> for pupils in grades 9 to 12, inclusive, and, on or before January 1, 2024, provide recommendations to the Legislature, consistent with Section 9795 of the Government Code and consistent with the recommended criteria and implementation guidance for the State Seal of Civic Engagement pursuant to this article, on evidence-based strategies to expand access to high-quality </w:t>
      </w:r>
      <w:r w:rsidR="00A346A4" w:rsidRPr="00B31A89">
        <w:rPr>
          <w:rFonts w:cs="Arial"/>
          <w:szCs w:val="24"/>
        </w:rPr>
        <w:t>service-learning</w:t>
      </w:r>
      <w:r w:rsidRPr="00B31A89">
        <w:rPr>
          <w:rFonts w:cs="Arial"/>
          <w:szCs w:val="24"/>
        </w:rPr>
        <w:t xml:space="preserve"> programs in California high schools and promote equitable access to these programs.</w:t>
      </w:r>
    </w:p>
    <w:p w14:paraId="7D0E2801" w14:textId="79AE8437" w:rsidR="00AA6E15" w:rsidRPr="00B31A89" w:rsidRDefault="00AA6E15" w:rsidP="004758D5">
      <w:pPr>
        <w:ind w:left="360"/>
        <w:rPr>
          <w:rFonts w:cs="Arial"/>
          <w:szCs w:val="24"/>
        </w:rPr>
      </w:pPr>
      <w:r w:rsidRPr="00B31A89">
        <w:rPr>
          <w:rFonts w:cs="Arial"/>
          <w:szCs w:val="24"/>
        </w:rPr>
        <w:t xml:space="preserve">(2) On or before January 1, 2024, develop and post on the </w:t>
      </w:r>
      <w:proofErr w:type="gramStart"/>
      <w:r w:rsidRPr="00B31A89">
        <w:rPr>
          <w:rFonts w:cs="Arial"/>
          <w:szCs w:val="24"/>
        </w:rPr>
        <w:t>department’s</w:t>
      </w:r>
      <w:proofErr w:type="gramEnd"/>
      <w:r w:rsidRPr="00B31A89">
        <w:rPr>
          <w:rFonts w:cs="Arial"/>
          <w:szCs w:val="24"/>
        </w:rPr>
        <w:t xml:space="preserve"> and CaliforniaVolunteers’ internet websites evidence-based strategies for expanding access to high-quality </w:t>
      </w:r>
      <w:r w:rsidR="00A346A4" w:rsidRPr="00B31A89">
        <w:rPr>
          <w:rFonts w:cs="Arial"/>
          <w:szCs w:val="24"/>
        </w:rPr>
        <w:t>service-learning</w:t>
      </w:r>
      <w:r w:rsidRPr="00B31A89">
        <w:rPr>
          <w:rFonts w:cs="Arial"/>
          <w:szCs w:val="24"/>
        </w:rPr>
        <w:t xml:space="preserve"> programs that may be used by teachers and local educational agencies.</w:t>
      </w:r>
    </w:p>
    <w:p w14:paraId="5BDCDD52" w14:textId="77777777" w:rsidR="00AA6E15" w:rsidRPr="00B31A89" w:rsidRDefault="00AA6E15" w:rsidP="004758D5">
      <w:pPr>
        <w:ind w:left="360"/>
        <w:rPr>
          <w:rFonts w:cs="Arial"/>
          <w:szCs w:val="24"/>
        </w:rPr>
      </w:pPr>
      <w:r w:rsidRPr="00B31A89">
        <w:rPr>
          <w:rFonts w:cs="Arial"/>
          <w:szCs w:val="24"/>
        </w:rPr>
        <w:t>(3) Develop model uniform metrics, based on the recommended criteria for the State Seal of Civic Engagement, for the measurement of pupil progress toward academic, civic engagement, and other learning objectives. Civic learning objectives shall include the final goal of awarding of the State Seal of Civic Engagement pursuant to this article.</w:t>
      </w:r>
    </w:p>
    <w:p w14:paraId="43FF2C26" w14:textId="77777777" w:rsidR="00AA6E15" w:rsidRPr="00B31A89" w:rsidRDefault="00AA6E15" w:rsidP="004758D5">
      <w:pPr>
        <w:ind w:left="360"/>
        <w:rPr>
          <w:rFonts w:cs="Arial"/>
          <w:szCs w:val="24"/>
        </w:rPr>
      </w:pPr>
      <w:r w:rsidRPr="00B31A89">
        <w:rPr>
          <w:rFonts w:cs="Arial"/>
          <w:szCs w:val="24"/>
        </w:rPr>
        <w:t>(4) Use the evidence, recommendations, and metrics identified pursuant to paragraphs (1) to (3), inclusive, in the administration of the California Serves Program.</w:t>
      </w:r>
    </w:p>
    <w:p w14:paraId="4AD58812" w14:textId="77777777" w:rsidR="00AA6E15" w:rsidRPr="00B31A89" w:rsidRDefault="00AA6E15" w:rsidP="000A5A44">
      <w:pPr>
        <w:rPr>
          <w:rFonts w:cs="Arial"/>
          <w:szCs w:val="24"/>
        </w:rPr>
      </w:pPr>
      <w:r w:rsidRPr="00B31A89">
        <w:rPr>
          <w:rFonts w:cs="Arial"/>
          <w:szCs w:val="24"/>
        </w:rPr>
        <w:t>(c) (1) Commencing with the 2022–23 fiscal year, the sum of five million dollars ($5,000,000) is hereby appropriated, each fiscal year, from the General Fund to the department for annual awards to local educational agencies for California Serves Program grants pursuant to this section.</w:t>
      </w:r>
    </w:p>
    <w:p w14:paraId="206A7E74" w14:textId="77777777" w:rsidR="00AA6E15" w:rsidRPr="00B31A89" w:rsidRDefault="00AA6E15" w:rsidP="004758D5">
      <w:pPr>
        <w:ind w:left="360"/>
        <w:rPr>
          <w:rFonts w:cs="Arial"/>
          <w:szCs w:val="24"/>
        </w:rPr>
      </w:pPr>
      <w:r w:rsidRPr="00B31A89">
        <w:rPr>
          <w:rFonts w:cs="Arial"/>
          <w:szCs w:val="24"/>
        </w:rPr>
        <w:t>(2) The department, in collaboration with CaliforniaVolunteers, shall establish the California Serves Program grant program, develop criteria for the awarding of grants and an application process, request necessary data from participating local educational agencies, and award grants consistent with this section.</w:t>
      </w:r>
    </w:p>
    <w:p w14:paraId="3081DCAB" w14:textId="77777777" w:rsidR="00AA6E15" w:rsidRPr="00B31A89" w:rsidRDefault="00AA6E15" w:rsidP="00AA6E15">
      <w:pPr>
        <w:rPr>
          <w:rFonts w:cs="Arial"/>
          <w:szCs w:val="24"/>
        </w:rPr>
      </w:pPr>
    </w:p>
    <w:p w14:paraId="00FB4C44" w14:textId="77777777" w:rsidR="00AA6E15" w:rsidRPr="00B31A89" w:rsidRDefault="00AA6E15" w:rsidP="00AA6E15">
      <w:pPr>
        <w:rPr>
          <w:rFonts w:cs="Arial"/>
          <w:szCs w:val="24"/>
        </w:rPr>
      </w:pPr>
      <w:r w:rsidRPr="00B31A89">
        <w:rPr>
          <w:rFonts w:cs="Arial"/>
          <w:szCs w:val="24"/>
        </w:rPr>
        <w:lastRenderedPageBreak/>
        <w:t>(d) In order for a local educational agency to be eligible for a grant under this section, at least 55 percent of the pupils enrolled in the applicant local educational agency shall be unduplicated pupils as defined in Section 2574 or 42238.02, as applicable.</w:t>
      </w:r>
    </w:p>
    <w:p w14:paraId="55B05886" w14:textId="77777777" w:rsidR="00AA6E15" w:rsidRPr="00B31A89" w:rsidRDefault="00AA6E15" w:rsidP="00AA6E15">
      <w:pPr>
        <w:rPr>
          <w:rFonts w:cs="Arial"/>
          <w:szCs w:val="24"/>
        </w:rPr>
      </w:pPr>
      <w:r w:rsidRPr="00B31A89">
        <w:rPr>
          <w:rFonts w:cs="Arial"/>
          <w:szCs w:val="24"/>
        </w:rPr>
        <w:t>(e) Eligible local educational agencies who receive grants pursuant to this grant program shall receive an amount of up to five hundred thousand dollars ($500,000) annually.</w:t>
      </w:r>
    </w:p>
    <w:p w14:paraId="7D8FC32E" w14:textId="77777777" w:rsidR="00AA6E15" w:rsidRPr="00B31A89" w:rsidRDefault="00AA6E15" w:rsidP="00AA6E15">
      <w:pPr>
        <w:rPr>
          <w:rFonts w:cs="Arial"/>
          <w:szCs w:val="24"/>
        </w:rPr>
      </w:pPr>
      <w:r w:rsidRPr="00B31A89">
        <w:rPr>
          <w:rFonts w:cs="Arial"/>
          <w:szCs w:val="24"/>
        </w:rPr>
        <w:t xml:space="preserve">(f) Allowable uses for funding allocated pursuant to this grant program include </w:t>
      </w:r>
      <w:proofErr w:type="gramStart"/>
      <w:r w:rsidRPr="00B31A89">
        <w:rPr>
          <w:rFonts w:cs="Arial"/>
          <w:szCs w:val="24"/>
        </w:rPr>
        <w:t>all of</w:t>
      </w:r>
      <w:proofErr w:type="gramEnd"/>
      <w:r w:rsidRPr="00B31A89">
        <w:rPr>
          <w:rFonts w:cs="Arial"/>
          <w:szCs w:val="24"/>
        </w:rPr>
        <w:t xml:space="preserve"> the following:</w:t>
      </w:r>
    </w:p>
    <w:p w14:paraId="17D45751" w14:textId="771CDF5F" w:rsidR="00AA6E15" w:rsidRPr="00B31A89" w:rsidRDefault="00AA6E15" w:rsidP="004758D5">
      <w:pPr>
        <w:ind w:left="360"/>
        <w:rPr>
          <w:rFonts w:cs="Arial"/>
          <w:szCs w:val="24"/>
        </w:rPr>
      </w:pPr>
      <w:r w:rsidRPr="00B31A89">
        <w:rPr>
          <w:rFonts w:cs="Arial"/>
          <w:szCs w:val="24"/>
        </w:rPr>
        <w:t xml:space="preserve">(1) Paid planning time for teachers to increase the use of </w:t>
      </w:r>
      <w:r w:rsidR="00A346A4" w:rsidRPr="00B31A89">
        <w:rPr>
          <w:rFonts w:cs="Arial"/>
          <w:szCs w:val="24"/>
        </w:rPr>
        <w:t>service-learning</w:t>
      </w:r>
      <w:r w:rsidRPr="00B31A89">
        <w:rPr>
          <w:rFonts w:cs="Arial"/>
          <w:szCs w:val="24"/>
        </w:rPr>
        <w:t xml:space="preserve"> in their instruction.</w:t>
      </w:r>
    </w:p>
    <w:p w14:paraId="07598C2B" w14:textId="357CCA3A" w:rsidR="00AA6E15" w:rsidRPr="00B31A89" w:rsidRDefault="00AA6E15" w:rsidP="004758D5">
      <w:pPr>
        <w:ind w:left="360"/>
        <w:rPr>
          <w:rFonts w:cs="Arial"/>
          <w:szCs w:val="24"/>
        </w:rPr>
      </w:pPr>
      <w:r w:rsidRPr="00B31A89">
        <w:rPr>
          <w:rFonts w:cs="Arial"/>
          <w:szCs w:val="24"/>
        </w:rPr>
        <w:t xml:space="preserve">(2) Professional development for school and local educational agency administrators and classroom teachers on </w:t>
      </w:r>
      <w:r w:rsidR="00A346A4" w:rsidRPr="00B31A89">
        <w:rPr>
          <w:rFonts w:cs="Arial"/>
          <w:szCs w:val="24"/>
        </w:rPr>
        <w:t>service-learning</w:t>
      </w:r>
      <w:r w:rsidRPr="00B31A89">
        <w:rPr>
          <w:rFonts w:cs="Arial"/>
          <w:szCs w:val="24"/>
        </w:rPr>
        <w:t>.</w:t>
      </w:r>
    </w:p>
    <w:p w14:paraId="202AB6DE" w14:textId="793FA7F6" w:rsidR="00AA6E15" w:rsidRPr="00B31A89" w:rsidRDefault="00AA6E15" w:rsidP="004758D5">
      <w:pPr>
        <w:ind w:left="360"/>
        <w:rPr>
          <w:rFonts w:cs="Arial"/>
          <w:szCs w:val="24"/>
        </w:rPr>
      </w:pPr>
      <w:r w:rsidRPr="00B31A89">
        <w:rPr>
          <w:rFonts w:cs="Arial"/>
          <w:szCs w:val="24"/>
        </w:rPr>
        <w:t xml:space="preserve">(3) Purchase of instructional materials to aid in the use of </w:t>
      </w:r>
      <w:r w:rsidR="00A346A4" w:rsidRPr="00B31A89">
        <w:rPr>
          <w:rFonts w:cs="Arial"/>
          <w:szCs w:val="24"/>
        </w:rPr>
        <w:t>service-learning</w:t>
      </w:r>
      <w:r w:rsidRPr="00B31A89">
        <w:rPr>
          <w:rFonts w:cs="Arial"/>
          <w:szCs w:val="24"/>
        </w:rPr>
        <w:t xml:space="preserve"> in instruction.</w:t>
      </w:r>
    </w:p>
    <w:p w14:paraId="61563CFA" w14:textId="2D3EFB9E" w:rsidR="00AA6E15" w:rsidRPr="00B31A89" w:rsidRDefault="00AA6E15" w:rsidP="004758D5">
      <w:pPr>
        <w:ind w:left="360"/>
        <w:rPr>
          <w:rFonts w:cs="Arial"/>
          <w:szCs w:val="24"/>
        </w:rPr>
      </w:pPr>
      <w:r w:rsidRPr="00B31A89">
        <w:rPr>
          <w:rFonts w:cs="Arial"/>
          <w:szCs w:val="24"/>
        </w:rPr>
        <w:t xml:space="preserve">(4) Participation costs of pupils and school personnel, including any materials or travel expenses related to </w:t>
      </w:r>
      <w:r w:rsidR="00A346A4" w:rsidRPr="00B31A89">
        <w:rPr>
          <w:rFonts w:cs="Arial"/>
          <w:szCs w:val="24"/>
        </w:rPr>
        <w:t>service-learning</w:t>
      </w:r>
      <w:r w:rsidRPr="00B31A89">
        <w:rPr>
          <w:rFonts w:cs="Arial"/>
          <w:szCs w:val="24"/>
        </w:rPr>
        <w:t xml:space="preserve"> activities.</w:t>
      </w:r>
    </w:p>
    <w:p w14:paraId="51849797" w14:textId="57313195" w:rsidR="00AA6E15" w:rsidRPr="00B31A89" w:rsidRDefault="00AA6E15" w:rsidP="004758D5">
      <w:pPr>
        <w:ind w:left="360"/>
        <w:rPr>
          <w:rFonts w:cs="Arial"/>
          <w:szCs w:val="24"/>
        </w:rPr>
      </w:pPr>
      <w:r w:rsidRPr="00B31A89">
        <w:rPr>
          <w:rFonts w:cs="Arial"/>
          <w:szCs w:val="24"/>
        </w:rPr>
        <w:t xml:space="preserve">(5) Personnel costs for coordination of </w:t>
      </w:r>
      <w:r w:rsidR="00A346A4" w:rsidRPr="00B31A89">
        <w:rPr>
          <w:rFonts w:cs="Arial"/>
          <w:szCs w:val="24"/>
        </w:rPr>
        <w:t>service-learning</w:t>
      </w:r>
      <w:r w:rsidRPr="00B31A89">
        <w:rPr>
          <w:rFonts w:cs="Arial"/>
          <w:szCs w:val="24"/>
        </w:rPr>
        <w:t xml:space="preserve"> at a local educational agency or a school</w:t>
      </w:r>
      <w:r w:rsidR="00D73FD4">
        <w:rPr>
          <w:rFonts w:cs="Arial"/>
          <w:szCs w:val="24"/>
        </w:rPr>
        <w:t xml:space="preserve"> </w:t>
      </w:r>
      <w:r w:rsidRPr="00B31A89">
        <w:rPr>
          <w:rFonts w:cs="Arial"/>
          <w:szCs w:val="24"/>
        </w:rPr>
        <w:t>site of a local educational agency.</w:t>
      </w:r>
    </w:p>
    <w:p w14:paraId="47BC8AD9" w14:textId="77777777" w:rsidR="00AA6E15" w:rsidRPr="00B31A89" w:rsidRDefault="00AA6E15" w:rsidP="004758D5">
      <w:pPr>
        <w:ind w:left="360"/>
        <w:rPr>
          <w:rFonts w:cs="Arial"/>
          <w:szCs w:val="24"/>
        </w:rPr>
      </w:pPr>
      <w:r w:rsidRPr="00B31A89">
        <w:rPr>
          <w:rFonts w:cs="Arial"/>
          <w:szCs w:val="24"/>
        </w:rPr>
        <w:t>(6) Participation costs associated with grant program evaluation.</w:t>
      </w:r>
    </w:p>
    <w:p w14:paraId="2EE81608" w14:textId="77777777" w:rsidR="00AA6E15" w:rsidRPr="00B31A89" w:rsidRDefault="00AA6E15" w:rsidP="00AA6E15">
      <w:pPr>
        <w:rPr>
          <w:rFonts w:cs="Arial"/>
          <w:szCs w:val="24"/>
        </w:rPr>
      </w:pPr>
      <w:r w:rsidRPr="00B31A89">
        <w:rPr>
          <w:rFonts w:cs="Arial"/>
          <w:szCs w:val="24"/>
        </w:rPr>
        <w:t xml:space="preserve">(g) Notwithstanding Section 10231.5 of the Government Code, on or before November 5, 2024, and annually thereafter, the department, in partnership with CaliforniaVolunteers, shall submit a report on the program to the appropriate fiscal and policy committees of the Legislature, consistent with Section 9795 of the Government Code. The report shall include an evaluation of the program using the model uniform metrics established by the department in partnership with CaliforniaVolunteers pursuant to paragraph (3) of subdivision (b), and shall include, but not be limited to, </w:t>
      </w:r>
      <w:proofErr w:type="gramStart"/>
      <w:r w:rsidRPr="00B31A89">
        <w:rPr>
          <w:rFonts w:cs="Arial"/>
          <w:szCs w:val="24"/>
        </w:rPr>
        <w:t>all of</w:t>
      </w:r>
      <w:proofErr w:type="gramEnd"/>
      <w:r w:rsidRPr="00B31A89">
        <w:rPr>
          <w:rFonts w:cs="Arial"/>
          <w:szCs w:val="24"/>
        </w:rPr>
        <w:t xml:space="preserve"> the following information:</w:t>
      </w:r>
    </w:p>
    <w:p w14:paraId="1A60C020" w14:textId="77777777" w:rsidR="00AA6E15" w:rsidRPr="00B31A89" w:rsidRDefault="00AA6E15" w:rsidP="004758D5">
      <w:pPr>
        <w:ind w:left="360"/>
        <w:rPr>
          <w:rFonts w:cs="Arial"/>
          <w:szCs w:val="24"/>
        </w:rPr>
      </w:pPr>
      <w:r w:rsidRPr="00B31A89">
        <w:rPr>
          <w:rFonts w:cs="Arial"/>
          <w:szCs w:val="24"/>
        </w:rPr>
        <w:t>(1) The number of participating pupils, schools, and local educational agencies, and the grant awards for each grantee.</w:t>
      </w:r>
    </w:p>
    <w:p w14:paraId="6C0E04D9" w14:textId="2B94C7D3" w:rsidR="00AA6E15" w:rsidRPr="00B31A89" w:rsidRDefault="00AA6E15" w:rsidP="004758D5">
      <w:pPr>
        <w:ind w:left="360"/>
        <w:rPr>
          <w:rFonts w:cs="Arial"/>
          <w:szCs w:val="24"/>
        </w:rPr>
      </w:pPr>
      <w:r w:rsidRPr="00B31A89">
        <w:rPr>
          <w:rFonts w:cs="Arial"/>
          <w:szCs w:val="24"/>
        </w:rPr>
        <w:t xml:space="preserve">(2) The demographics of pupils engaged in </w:t>
      </w:r>
      <w:r w:rsidR="00A346A4" w:rsidRPr="00B31A89">
        <w:rPr>
          <w:rFonts w:cs="Arial"/>
          <w:szCs w:val="24"/>
        </w:rPr>
        <w:t>service-learning</w:t>
      </w:r>
      <w:r w:rsidRPr="00B31A89">
        <w:rPr>
          <w:rFonts w:cs="Arial"/>
          <w:szCs w:val="24"/>
        </w:rPr>
        <w:t xml:space="preserve"> </w:t>
      </w:r>
      <w:proofErr w:type="gramStart"/>
      <w:r w:rsidRPr="00B31A89">
        <w:rPr>
          <w:rFonts w:cs="Arial"/>
          <w:szCs w:val="24"/>
        </w:rPr>
        <w:t>as a result of</w:t>
      </w:r>
      <w:proofErr w:type="gramEnd"/>
      <w:r w:rsidRPr="00B31A89">
        <w:rPr>
          <w:rFonts w:cs="Arial"/>
          <w:szCs w:val="24"/>
        </w:rPr>
        <w:t xml:space="preserve"> the grant.</w:t>
      </w:r>
    </w:p>
    <w:p w14:paraId="67BDC66D" w14:textId="77777777" w:rsidR="00AA6E15" w:rsidRPr="00B31A89" w:rsidRDefault="00AA6E15" w:rsidP="004758D5">
      <w:pPr>
        <w:ind w:left="360"/>
        <w:rPr>
          <w:rFonts w:cs="Arial"/>
          <w:szCs w:val="24"/>
        </w:rPr>
      </w:pPr>
      <w:r w:rsidRPr="00B31A89">
        <w:rPr>
          <w:rFonts w:cs="Arial"/>
          <w:szCs w:val="24"/>
        </w:rPr>
        <w:t xml:space="preserve">(3) The impact of the service performed by pupils and school staff </w:t>
      </w:r>
      <w:proofErr w:type="gramStart"/>
      <w:r w:rsidRPr="00B31A89">
        <w:rPr>
          <w:rFonts w:cs="Arial"/>
          <w:szCs w:val="24"/>
        </w:rPr>
        <w:t>as a result of</w:t>
      </w:r>
      <w:proofErr w:type="gramEnd"/>
      <w:r w:rsidRPr="00B31A89">
        <w:rPr>
          <w:rFonts w:cs="Arial"/>
          <w:szCs w:val="24"/>
        </w:rPr>
        <w:t xml:space="preserve"> the grant.</w:t>
      </w:r>
    </w:p>
    <w:p w14:paraId="166C7A7F" w14:textId="77777777" w:rsidR="00AA6E15" w:rsidRPr="00B31A89" w:rsidRDefault="00AA6E15" w:rsidP="004758D5">
      <w:pPr>
        <w:ind w:left="360"/>
        <w:rPr>
          <w:rFonts w:cs="Arial"/>
          <w:szCs w:val="24"/>
        </w:rPr>
      </w:pPr>
      <w:r w:rsidRPr="00B31A89">
        <w:rPr>
          <w:rFonts w:cs="Arial"/>
          <w:szCs w:val="24"/>
        </w:rPr>
        <w:t xml:space="preserve">(4) Pupil outcomes in the academic, civic engagement, and other learning objectives measured by the model uniform metrics identified by the department in partnership </w:t>
      </w:r>
      <w:r w:rsidRPr="00B31A89">
        <w:rPr>
          <w:rFonts w:cs="Arial"/>
          <w:szCs w:val="24"/>
        </w:rPr>
        <w:lastRenderedPageBreak/>
        <w:t>with CaliforniaVolunteers pursuant to paragraph (3) of subdivision (b), including, but not limited to, obtaining the State Seal of Civic Engagement.</w:t>
      </w:r>
    </w:p>
    <w:p w14:paraId="62F00E9A" w14:textId="77777777" w:rsidR="00AA6E15" w:rsidRPr="00B31A89" w:rsidRDefault="00AA6E15" w:rsidP="000A5A44">
      <w:pPr>
        <w:rPr>
          <w:rFonts w:cs="Arial"/>
          <w:szCs w:val="24"/>
        </w:rPr>
      </w:pPr>
      <w:r w:rsidRPr="00B31A89">
        <w:rPr>
          <w:rFonts w:cs="Arial"/>
          <w:szCs w:val="24"/>
        </w:rPr>
        <w:t>(h) For purposes of this section, the following definitions apply:</w:t>
      </w:r>
    </w:p>
    <w:p w14:paraId="2992AC89" w14:textId="77777777" w:rsidR="00AA6E15" w:rsidRPr="00B31A89" w:rsidRDefault="00AA6E15" w:rsidP="004758D5">
      <w:pPr>
        <w:ind w:left="360"/>
        <w:rPr>
          <w:rFonts w:cs="Arial"/>
          <w:szCs w:val="24"/>
        </w:rPr>
      </w:pPr>
      <w:r w:rsidRPr="00B31A89">
        <w:rPr>
          <w:rFonts w:cs="Arial"/>
          <w:szCs w:val="24"/>
        </w:rPr>
        <w:t>(1) “CaliforniaVolunteers” means CaliforniaVolunteers as established by Executive Order No. S-24-06.</w:t>
      </w:r>
    </w:p>
    <w:p w14:paraId="2888211C" w14:textId="77777777" w:rsidR="00AA6E15" w:rsidRPr="00B31A89" w:rsidRDefault="00AA6E15" w:rsidP="004758D5">
      <w:pPr>
        <w:ind w:left="360"/>
        <w:rPr>
          <w:rFonts w:cs="Arial"/>
          <w:szCs w:val="24"/>
        </w:rPr>
      </w:pPr>
      <w:r w:rsidRPr="00B31A89">
        <w:rPr>
          <w:rFonts w:cs="Arial"/>
          <w:szCs w:val="24"/>
        </w:rPr>
        <w:t>(2) “Local educational agency” means a school district, county office of education, or charter school.</w:t>
      </w:r>
    </w:p>
    <w:p w14:paraId="6696B42E" w14:textId="1547F367" w:rsidR="00AA6E15" w:rsidRPr="00B31A89" w:rsidRDefault="00AA6E15" w:rsidP="004758D5">
      <w:pPr>
        <w:ind w:left="360"/>
        <w:rPr>
          <w:rFonts w:cs="Arial"/>
          <w:szCs w:val="24"/>
        </w:rPr>
      </w:pPr>
      <w:r w:rsidRPr="00B31A89">
        <w:rPr>
          <w:rFonts w:cs="Arial"/>
          <w:szCs w:val="24"/>
        </w:rPr>
        <w:t>(3) “Program” means the California Serves Program established pursuant to subdivision (a).</w:t>
      </w:r>
    </w:p>
    <w:p w14:paraId="7C00FE26" w14:textId="1AE9B4EC" w:rsidR="00AA6E15" w:rsidRPr="00B31A89" w:rsidRDefault="00AA6E15" w:rsidP="004758D5">
      <w:pPr>
        <w:ind w:left="360"/>
        <w:rPr>
          <w:rFonts w:cs="Arial"/>
          <w:szCs w:val="24"/>
        </w:rPr>
      </w:pPr>
      <w:r w:rsidRPr="00B31A89">
        <w:rPr>
          <w:rFonts w:cs="Arial"/>
          <w:szCs w:val="24"/>
        </w:rPr>
        <w:t>(4) “</w:t>
      </w:r>
      <w:r w:rsidR="00A346A4" w:rsidRPr="00B31A89">
        <w:rPr>
          <w:rFonts w:cs="Arial"/>
          <w:szCs w:val="24"/>
        </w:rPr>
        <w:t>Service-learning</w:t>
      </w:r>
      <w:r w:rsidRPr="00B31A89">
        <w:rPr>
          <w:rFonts w:cs="Arial"/>
          <w:szCs w:val="24"/>
        </w:rPr>
        <w:t>” means an educational approach that intentionally combines meaningful community service activities with instruction and reflection to support pupil progress toward academic and civic engagement learning objectives while meeting societal needs.</w:t>
      </w:r>
    </w:p>
    <w:p w14:paraId="5015C78B" w14:textId="77777777" w:rsidR="00AA6E15" w:rsidRPr="00B31A89" w:rsidRDefault="00AA6E15" w:rsidP="00AA6E15">
      <w:pPr>
        <w:rPr>
          <w:rFonts w:cs="Arial"/>
          <w:szCs w:val="24"/>
        </w:rPr>
      </w:pPr>
      <w:r w:rsidRPr="00B31A89">
        <w:rPr>
          <w:rFonts w:cs="Arial"/>
          <w:szCs w:val="24"/>
        </w:rPr>
        <w:t>(i) For purposes of making the computations required by Section 8 of Article XVI of the California Constitution, the appropriations made by subdivision (c) shall be deemed to be “General Fund revenues appropriated for school districts,” as defined in subdivision (c) of Section 41202, for the fiscal year in which the appropriation is made, and included within the “total allocations to school districts and community college districts from General Fund proceeds of taxes appropriated pursuant to Article XIII B,” as defined in subdivision (e) of Section 41202, for the fiscal year in which the appropriation is made.</w:t>
      </w:r>
    </w:p>
    <w:p w14:paraId="14DE8BB9" w14:textId="6630B2C3" w:rsidR="00AA6E15" w:rsidRPr="00B31A89" w:rsidRDefault="00AA6E15" w:rsidP="00AA6E15">
      <w:pPr>
        <w:rPr>
          <w:rFonts w:cs="Arial"/>
          <w:i/>
          <w:iCs/>
          <w:szCs w:val="24"/>
        </w:rPr>
      </w:pPr>
      <w:r w:rsidRPr="00B31A89">
        <w:rPr>
          <w:rFonts w:cs="Arial"/>
          <w:i/>
          <w:iCs/>
          <w:szCs w:val="24"/>
        </w:rPr>
        <w:t>(Added by Stats. 2022, Ch. 52, Sec. 71. (AB 181) Effective June 30, 2022.)</w:t>
      </w:r>
    </w:p>
    <w:p w14:paraId="181110E9" w14:textId="77777777" w:rsidR="00BA4F67" w:rsidRPr="00B31A89" w:rsidRDefault="00BA4F67" w:rsidP="00AA6E15">
      <w:pPr>
        <w:rPr>
          <w:rFonts w:cs="Arial"/>
          <w:szCs w:val="24"/>
        </w:rPr>
        <w:sectPr w:rsidR="00BA4F67" w:rsidRPr="00B31A89" w:rsidSect="00760A30">
          <w:headerReference w:type="even" r:id="rId28"/>
          <w:headerReference w:type="default" r:id="rId29"/>
          <w:headerReference w:type="first" r:id="rId30"/>
          <w:pgSz w:w="12240" w:h="15840"/>
          <w:pgMar w:top="1440" w:right="1440" w:bottom="1440" w:left="1440" w:header="720" w:footer="720" w:gutter="0"/>
          <w:cols w:space="720"/>
          <w:docGrid w:linePitch="360"/>
        </w:sectPr>
      </w:pPr>
    </w:p>
    <w:p w14:paraId="61C279CF" w14:textId="5BBFEF16" w:rsidR="00BA4F67" w:rsidRPr="00B31A89" w:rsidRDefault="00BA4F67" w:rsidP="00E37E0D">
      <w:pPr>
        <w:pStyle w:val="Heading2"/>
      </w:pPr>
      <w:bookmarkStart w:id="46" w:name="_Toc167277573"/>
      <w:r w:rsidRPr="00B31A89">
        <w:lastRenderedPageBreak/>
        <w:t xml:space="preserve">Appendix </w:t>
      </w:r>
      <w:r w:rsidR="00BA04E2">
        <w:t>B</w:t>
      </w:r>
      <w:r w:rsidR="00BF42FB">
        <w:t>:</w:t>
      </w:r>
      <w:r w:rsidRPr="00B31A89">
        <w:t xml:space="preserve"> </w:t>
      </w:r>
      <w:r w:rsidR="00DE656A" w:rsidRPr="00B31A89">
        <w:t xml:space="preserve">Basic </w:t>
      </w:r>
      <w:r w:rsidRPr="00B31A89">
        <w:t>Definitions</w:t>
      </w:r>
      <w:bookmarkEnd w:id="46"/>
    </w:p>
    <w:p w14:paraId="035C6E00" w14:textId="051C6D3E" w:rsidR="009D6D4F" w:rsidRPr="00B31A89" w:rsidRDefault="00BB74CC" w:rsidP="009D6D4F">
      <w:pPr>
        <w:rPr>
          <w:rFonts w:cs="Arial"/>
          <w:szCs w:val="24"/>
        </w:rPr>
      </w:pPr>
      <w:r>
        <w:rPr>
          <w:rFonts w:cs="Arial"/>
          <w:b/>
          <w:bCs/>
          <w:szCs w:val="24"/>
        </w:rPr>
        <w:t>c</w:t>
      </w:r>
      <w:r w:rsidR="009D6D4F" w:rsidRPr="00B31A89">
        <w:rPr>
          <w:rFonts w:cs="Arial"/>
          <w:b/>
          <w:bCs/>
          <w:szCs w:val="24"/>
        </w:rPr>
        <w:t>ivic engagement:</w:t>
      </w:r>
      <w:r w:rsidR="009D6D4F" w:rsidRPr="00B31A89">
        <w:rPr>
          <w:rFonts w:cs="Arial"/>
          <w:szCs w:val="24"/>
        </w:rPr>
        <w:t xml:space="preserve"> Civic engagement involves “working to make a difference in the civic life of one’s community and developing the combination of knowledge, skills, values and motivation to make that difference. It means promoting the quality of life in a community, through both political and non-political processes.”</w:t>
      </w:r>
      <w:r w:rsidR="007D5A4D" w:rsidRPr="00B31A89">
        <w:rPr>
          <w:rFonts w:cs="Arial"/>
          <w:szCs w:val="24"/>
        </w:rPr>
        <w:t xml:space="preserve"> </w:t>
      </w:r>
      <w:r w:rsidR="007D5A4D">
        <w:rPr>
          <w:rFonts w:cs="Arial"/>
          <w:szCs w:val="24"/>
        </w:rPr>
        <w:t>C</w:t>
      </w:r>
      <w:r w:rsidR="009D6D4F" w:rsidRPr="00B31A89">
        <w:rPr>
          <w:rFonts w:cs="Arial"/>
          <w:szCs w:val="24"/>
        </w:rPr>
        <w:t xml:space="preserve">ivic engagement includes both paid and unpaid forms of political activism, environmentalism, and community and national service. Volunteering, national service, and </w:t>
      </w:r>
      <w:r w:rsidR="00A346A4" w:rsidRPr="00B31A89">
        <w:rPr>
          <w:rFonts w:cs="Arial"/>
          <w:szCs w:val="24"/>
        </w:rPr>
        <w:t>service-learning</w:t>
      </w:r>
      <w:r w:rsidR="009D6D4F" w:rsidRPr="00B31A89">
        <w:rPr>
          <w:rFonts w:cs="Arial"/>
          <w:szCs w:val="24"/>
        </w:rPr>
        <w:t xml:space="preserve"> are all forms of civic engagement.</w:t>
      </w:r>
      <w:r w:rsidR="009D6D4F" w:rsidRPr="00B31A89">
        <w:rPr>
          <w:rStyle w:val="FootnoteReference"/>
          <w:rFonts w:cs="Arial"/>
          <w:szCs w:val="24"/>
        </w:rPr>
        <w:footnoteReference w:id="40"/>
      </w:r>
      <w:r w:rsidR="009D6D4F" w:rsidRPr="00B31A89">
        <w:rPr>
          <w:rFonts w:cs="Arial"/>
          <w:szCs w:val="24"/>
        </w:rPr>
        <w:t xml:space="preserve"> Research has identified four interrelated constructs that are necessary for civic engagement:</w:t>
      </w:r>
    </w:p>
    <w:p w14:paraId="0BF49FE3" w14:textId="7D4A539C" w:rsidR="009D6D4F" w:rsidRPr="00B31A89" w:rsidRDefault="009D6D4F" w:rsidP="005C3484">
      <w:pPr>
        <w:pStyle w:val="ListParagraph"/>
        <w:numPr>
          <w:ilvl w:val="0"/>
          <w:numId w:val="9"/>
        </w:numPr>
        <w:ind w:left="720"/>
        <w:contextualSpacing w:val="0"/>
        <w:rPr>
          <w:rFonts w:cs="Arial"/>
          <w:szCs w:val="24"/>
        </w:rPr>
      </w:pPr>
      <w:r w:rsidRPr="00B31A89">
        <w:rPr>
          <w:rFonts w:cs="Arial"/>
          <w:szCs w:val="24"/>
        </w:rPr>
        <w:t xml:space="preserve">Civic action, or participation in activities such as volunteering or </w:t>
      </w:r>
      <w:r w:rsidR="00A346A4" w:rsidRPr="00B31A89">
        <w:rPr>
          <w:rFonts w:cs="Arial"/>
          <w:szCs w:val="24"/>
        </w:rPr>
        <w:t>service-learning</w:t>
      </w:r>
      <w:r w:rsidRPr="00B31A89">
        <w:rPr>
          <w:rFonts w:cs="Arial"/>
          <w:szCs w:val="24"/>
        </w:rPr>
        <w:t xml:space="preserve"> to help better the community</w:t>
      </w:r>
      <w:r w:rsidR="00852956">
        <w:rPr>
          <w:rFonts w:cs="Arial"/>
          <w:szCs w:val="24"/>
        </w:rPr>
        <w:t>.</w:t>
      </w:r>
    </w:p>
    <w:p w14:paraId="42A68F8C" w14:textId="487B1657" w:rsidR="009D6D4F" w:rsidRPr="00B31A89" w:rsidRDefault="009D6D4F" w:rsidP="005C3484">
      <w:pPr>
        <w:pStyle w:val="ListParagraph"/>
        <w:numPr>
          <w:ilvl w:val="0"/>
          <w:numId w:val="9"/>
        </w:numPr>
        <w:ind w:left="720"/>
        <w:contextualSpacing w:val="0"/>
        <w:rPr>
          <w:rFonts w:cs="Arial"/>
          <w:szCs w:val="24"/>
        </w:rPr>
      </w:pPr>
      <w:r w:rsidRPr="00B31A89">
        <w:rPr>
          <w:rFonts w:cs="Arial"/>
          <w:szCs w:val="24"/>
        </w:rPr>
        <w:t xml:space="preserve">Civic </w:t>
      </w:r>
      <w:r w:rsidR="00852956">
        <w:rPr>
          <w:rFonts w:cs="Arial"/>
          <w:szCs w:val="24"/>
        </w:rPr>
        <w:t>c</w:t>
      </w:r>
      <w:r w:rsidRPr="00B31A89">
        <w:rPr>
          <w:rFonts w:cs="Arial"/>
          <w:szCs w:val="24"/>
        </w:rPr>
        <w:t xml:space="preserve">ommitment or </w:t>
      </w:r>
      <w:r w:rsidR="00852956">
        <w:rPr>
          <w:rFonts w:cs="Arial"/>
          <w:szCs w:val="24"/>
        </w:rPr>
        <w:t>d</w:t>
      </w:r>
      <w:r w:rsidRPr="00B31A89">
        <w:rPr>
          <w:rFonts w:cs="Arial"/>
          <w:szCs w:val="24"/>
        </w:rPr>
        <w:t>uty, or the willingness to make positive contributions to society</w:t>
      </w:r>
      <w:r w:rsidR="00852956">
        <w:rPr>
          <w:rFonts w:cs="Arial"/>
          <w:szCs w:val="24"/>
        </w:rPr>
        <w:t>.</w:t>
      </w:r>
    </w:p>
    <w:p w14:paraId="0ADDBDA9" w14:textId="5830D014" w:rsidR="009D6D4F" w:rsidRPr="00B31A89" w:rsidRDefault="009D6D4F" w:rsidP="005C3484">
      <w:pPr>
        <w:pStyle w:val="ListParagraph"/>
        <w:numPr>
          <w:ilvl w:val="0"/>
          <w:numId w:val="9"/>
        </w:numPr>
        <w:ind w:left="720"/>
        <w:contextualSpacing w:val="0"/>
        <w:rPr>
          <w:rFonts w:cs="Arial"/>
          <w:szCs w:val="24"/>
        </w:rPr>
      </w:pPr>
      <w:r w:rsidRPr="00B31A89">
        <w:rPr>
          <w:rFonts w:cs="Arial"/>
          <w:szCs w:val="24"/>
        </w:rPr>
        <w:t>Civic skills, or the ability to be involved in civil society, politics, and democracy</w:t>
      </w:r>
      <w:r w:rsidR="00852956">
        <w:rPr>
          <w:rFonts w:cs="Arial"/>
          <w:szCs w:val="24"/>
        </w:rPr>
        <w:t>.</w:t>
      </w:r>
    </w:p>
    <w:p w14:paraId="77C1C107" w14:textId="61795DC8" w:rsidR="009D6D4F" w:rsidRPr="00B31A89" w:rsidRDefault="009D6D4F" w:rsidP="005C3484">
      <w:pPr>
        <w:pStyle w:val="ListParagraph"/>
        <w:numPr>
          <w:ilvl w:val="0"/>
          <w:numId w:val="9"/>
        </w:numPr>
        <w:ind w:left="720"/>
        <w:rPr>
          <w:rFonts w:cs="Arial"/>
          <w:szCs w:val="24"/>
        </w:rPr>
      </w:pPr>
      <w:r w:rsidRPr="00B31A89">
        <w:rPr>
          <w:rFonts w:cs="Arial"/>
          <w:szCs w:val="24"/>
        </w:rPr>
        <w:t>Social cohesion, or a sense o</w:t>
      </w:r>
      <w:r w:rsidR="00570BEE">
        <w:rPr>
          <w:rFonts w:cs="Arial"/>
          <w:szCs w:val="24"/>
        </w:rPr>
        <w:t>f</w:t>
      </w:r>
      <w:r w:rsidRPr="00B31A89">
        <w:rPr>
          <w:rFonts w:cs="Arial"/>
          <w:szCs w:val="24"/>
        </w:rPr>
        <w:t xml:space="preserve"> </w:t>
      </w:r>
      <w:r w:rsidR="004A36C0" w:rsidRPr="00B31A89">
        <w:rPr>
          <w:rFonts w:cs="Arial"/>
          <w:szCs w:val="24"/>
        </w:rPr>
        <w:t>reciprocity</w:t>
      </w:r>
      <w:r w:rsidRPr="00B31A89">
        <w:rPr>
          <w:rFonts w:cs="Arial"/>
          <w:szCs w:val="24"/>
        </w:rPr>
        <w:t>, trust, and bonding to others</w:t>
      </w:r>
      <w:r w:rsidR="00852956">
        <w:rPr>
          <w:rFonts w:cs="Arial"/>
          <w:szCs w:val="24"/>
        </w:rPr>
        <w:t>.</w:t>
      </w:r>
    </w:p>
    <w:p w14:paraId="48B38BA8" w14:textId="69DC5C5D" w:rsidR="00BA4F67" w:rsidRPr="00B31A89" w:rsidRDefault="001063BF" w:rsidP="00AA6E15">
      <w:pPr>
        <w:rPr>
          <w:rFonts w:cs="Arial"/>
          <w:szCs w:val="24"/>
        </w:rPr>
      </w:pPr>
      <w:proofErr w:type="gramStart"/>
      <w:r w:rsidRPr="00B31A89">
        <w:rPr>
          <w:rFonts w:cs="Arial"/>
          <w:b/>
          <w:bCs/>
          <w:szCs w:val="24"/>
        </w:rPr>
        <w:t>c</w:t>
      </w:r>
      <w:r w:rsidR="00BA4F67" w:rsidRPr="00B31A89">
        <w:rPr>
          <w:rFonts w:cs="Arial"/>
          <w:b/>
          <w:bCs/>
          <w:szCs w:val="24"/>
        </w:rPr>
        <w:t>ivic</w:t>
      </w:r>
      <w:proofErr w:type="gramEnd"/>
      <w:r w:rsidR="00BA4F67" w:rsidRPr="00B31A89">
        <w:rPr>
          <w:rFonts w:cs="Arial"/>
          <w:b/>
          <w:bCs/>
          <w:szCs w:val="24"/>
        </w:rPr>
        <w:t xml:space="preserve"> learning:</w:t>
      </w:r>
      <w:r w:rsidR="00AA17EB" w:rsidRPr="00B31A89">
        <w:rPr>
          <w:rFonts w:cs="Arial"/>
          <w:szCs w:val="24"/>
        </w:rPr>
        <w:t xml:space="preserve"> </w:t>
      </w:r>
      <w:r w:rsidR="00674558" w:rsidRPr="00B31A89">
        <w:rPr>
          <w:rFonts w:cs="Arial"/>
          <w:szCs w:val="24"/>
        </w:rPr>
        <w:t>Civic learning is a process through which young people develop the knowledge, skills, and commitments to interact effectively with fellow community members to address shared problems. It includes preparation for both civic engagement (or practices seeking to promote the public good through nongovernmental organizations and informal community work) and political engagement (or activities aiming to influence state action through formal avenues such as voting, lobbying, or petitioning).</w:t>
      </w:r>
      <w:r w:rsidR="00FF6DC8" w:rsidRPr="00B31A89">
        <w:rPr>
          <w:rStyle w:val="FootnoteReference"/>
          <w:rFonts w:cs="Arial"/>
          <w:szCs w:val="24"/>
        </w:rPr>
        <w:footnoteReference w:id="41"/>
      </w:r>
      <w:r w:rsidR="00674558" w:rsidRPr="00B31A89">
        <w:rPr>
          <w:rFonts w:cs="Arial"/>
          <w:szCs w:val="24"/>
        </w:rPr>
        <w:t xml:space="preserve"> There are many practices that directly improve the quality and effectiveness of civic learning in schools, including civic action projects; digital literacy education and engagement; classroom instruction in government, history, law</w:t>
      </w:r>
      <w:r w:rsidR="00377364">
        <w:rPr>
          <w:rFonts w:cs="Arial"/>
          <w:szCs w:val="24"/>
        </w:rPr>
        <w:t>,</w:t>
      </w:r>
      <w:r w:rsidR="00674558" w:rsidRPr="00B31A89">
        <w:rPr>
          <w:rFonts w:cs="Arial"/>
          <w:szCs w:val="24"/>
        </w:rPr>
        <w:t xml:space="preserve"> and democracy; discussion of current events; </w:t>
      </w:r>
      <w:r w:rsidR="00A346A4" w:rsidRPr="00B31A89">
        <w:rPr>
          <w:rFonts w:cs="Arial"/>
          <w:szCs w:val="24"/>
        </w:rPr>
        <w:t>service-learning</w:t>
      </w:r>
      <w:r w:rsidR="00674558" w:rsidRPr="00B31A89">
        <w:rPr>
          <w:rFonts w:cs="Arial"/>
          <w:szCs w:val="24"/>
        </w:rPr>
        <w:t>; extracurricular or co-</w:t>
      </w:r>
      <w:r w:rsidR="00674558" w:rsidRPr="00B31A89">
        <w:rPr>
          <w:rFonts w:cs="Arial"/>
          <w:szCs w:val="24"/>
        </w:rPr>
        <w:lastRenderedPageBreak/>
        <w:t>curricular activities; student voice in school governance; and simulations of democratic processes.</w:t>
      </w:r>
      <w:r w:rsidR="007B3BB1" w:rsidRPr="00B31A89">
        <w:rPr>
          <w:rStyle w:val="FootnoteReference"/>
          <w:rFonts w:cs="Arial"/>
          <w:szCs w:val="24"/>
        </w:rPr>
        <w:footnoteReference w:id="42"/>
      </w:r>
      <w:r w:rsidR="002739DD">
        <w:rPr>
          <w:rStyle w:val="HeaderChar"/>
          <w:rFonts w:cs="Arial"/>
          <w:szCs w:val="24"/>
          <w:vertAlign w:val="superscript"/>
        </w:rPr>
        <w:t xml:space="preserve"> </w:t>
      </w:r>
      <w:r w:rsidR="00FF6DC8" w:rsidRPr="00B31A89">
        <w:rPr>
          <w:rStyle w:val="FootnoteReference"/>
          <w:rFonts w:cs="Arial"/>
          <w:szCs w:val="24"/>
        </w:rPr>
        <w:footnoteReference w:id="43"/>
      </w:r>
    </w:p>
    <w:p w14:paraId="1AEEBBD4" w14:textId="45D04D60" w:rsidR="00EB64A8" w:rsidRPr="00B31A89" w:rsidRDefault="00BB74CC" w:rsidP="006C272F">
      <w:pPr>
        <w:rPr>
          <w:rFonts w:cs="Arial"/>
          <w:szCs w:val="24"/>
        </w:rPr>
      </w:pPr>
      <w:r>
        <w:rPr>
          <w:rFonts w:cs="Arial"/>
          <w:b/>
          <w:bCs/>
          <w:szCs w:val="24"/>
        </w:rPr>
        <w:t>c</w:t>
      </w:r>
      <w:r w:rsidR="00EB64A8" w:rsidRPr="00B31A89">
        <w:rPr>
          <w:rFonts w:cs="Arial"/>
          <w:b/>
          <w:bCs/>
          <w:szCs w:val="24"/>
        </w:rPr>
        <w:t>ivics:</w:t>
      </w:r>
      <w:r w:rsidR="006C272F" w:rsidRPr="00B31A89">
        <w:rPr>
          <w:rFonts w:cs="Arial"/>
          <w:szCs w:val="24"/>
        </w:rPr>
        <w:t xml:space="preserve"> Civics is not limited to the study of politics and society; it also encompasses participation in classrooms and schools, neighborhoods, groups, and organizations. What defines civic virtue, which democratic principles apply in given situations, and when discussions are deliberative are not easy questions, but they are topics for inquiry and reflection. In civics, students learn to contribute appropriately to public processes and discussions of real issues. Their contributions to public discussions may take many forms, ranging from personal testimony to abstract arguments. They will also learn civic practices such as voting, volunteering, jury service, and joining with others to improve society. Civics enables students not only to study how others participate but also to practice participating and taking informed action themselves.</w:t>
      </w:r>
      <w:r w:rsidR="003E7739" w:rsidRPr="00B31A89">
        <w:rPr>
          <w:rStyle w:val="FootnoteReference"/>
          <w:rFonts w:cs="Arial"/>
          <w:szCs w:val="24"/>
        </w:rPr>
        <w:footnoteReference w:id="44"/>
      </w:r>
    </w:p>
    <w:p w14:paraId="1106564D" w14:textId="3D50A1A8" w:rsidR="00EB64A8" w:rsidRPr="00B31A89" w:rsidRDefault="001063BF" w:rsidP="00233362">
      <w:pPr>
        <w:rPr>
          <w:rFonts w:cs="Arial"/>
        </w:rPr>
      </w:pPr>
      <w:r w:rsidRPr="00B31A89">
        <w:rPr>
          <w:rFonts w:cs="Arial"/>
          <w:b/>
        </w:rPr>
        <w:t>c</w:t>
      </w:r>
      <w:r w:rsidR="00EB64A8" w:rsidRPr="00B31A89">
        <w:rPr>
          <w:rFonts w:cs="Arial"/>
          <w:b/>
        </w:rPr>
        <w:t>ommunity service:</w:t>
      </w:r>
      <w:r w:rsidR="00217252" w:rsidRPr="00B31A89">
        <w:rPr>
          <w:rFonts w:cs="Arial"/>
        </w:rPr>
        <w:t xml:space="preserve"> </w:t>
      </w:r>
      <w:r w:rsidR="00686FBA">
        <w:rPr>
          <w:rFonts w:cs="Arial"/>
        </w:rPr>
        <w:t>N</w:t>
      </w:r>
      <w:r w:rsidR="006B1CA5" w:rsidRPr="00B31A89">
        <w:rPr>
          <w:rFonts w:cs="Arial"/>
        </w:rPr>
        <w:t xml:space="preserve">on-paying work or services performed for the benefit of the community and its </w:t>
      </w:r>
      <w:r w:rsidR="004A36C0" w:rsidRPr="00B31A89">
        <w:rPr>
          <w:rFonts w:cs="Arial"/>
        </w:rPr>
        <w:t>institutions</w:t>
      </w:r>
      <w:r w:rsidR="006B1CA5" w:rsidRPr="00B31A89">
        <w:rPr>
          <w:rFonts w:cs="Arial"/>
        </w:rPr>
        <w:t>;</w:t>
      </w:r>
      <w:r w:rsidR="002F77B9" w:rsidRPr="00B31A89">
        <w:rPr>
          <w:rFonts w:cs="Arial"/>
        </w:rPr>
        <w:t xml:space="preserve"> </w:t>
      </w:r>
      <w:r w:rsidR="006B1CA5" w:rsidRPr="00B31A89">
        <w:rPr>
          <w:rFonts w:cs="Arial"/>
        </w:rPr>
        <w:t>may not always be performed on a voluntary basis</w:t>
      </w:r>
      <w:r w:rsidR="00384191">
        <w:rPr>
          <w:rFonts w:cs="Arial"/>
        </w:rPr>
        <w:t>.</w:t>
      </w:r>
      <w:r w:rsidR="00C51EFF" w:rsidRPr="00B31A89">
        <w:rPr>
          <w:rStyle w:val="FootnoteReference"/>
          <w:rFonts w:cs="Arial"/>
        </w:rPr>
        <w:footnoteReference w:id="45"/>
      </w:r>
    </w:p>
    <w:p w14:paraId="3B561674" w14:textId="633543CC" w:rsidR="00EB64A8" w:rsidRPr="00B31A89" w:rsidRDefault="001063BF" w:rsidP="00AA6E15">
      <w:pPr>
        <w:rPr>
          <w:rFonts w:cs="Arial"/>
          <w:szCs w:val="24"/>
        </w:rPr>
      </w:pPr>
      <w:r w:rsidRPr="00B31A89">
        <w:rPr>
          <w:rFonts w:cs="Arial"/>
          <w:b/>
          <w:bCs/>
          <w:szCs w:val="24"/>
        </w:rPr>
        <w:t>v</w:t>
      </w:r>
      <w:r w:rsidR="00EB64A8" w:rsidRPr="00B31A89">
        <w:rPr>
          <w:rFonts w:cs="Arial"/>
          <w:b/>
          <w:bCs/>
          <w:szCs w:val="24"/>
        </w:rPr>
        <w:t>olunteer work:</w:t>
      </w:r>
      <w:r w:rsidR="006B1CA5" w:rsidRPr="00B31A89">
        <w:rPr>
          <w:rFonts w:cs="Arial"/>
          <w:szCs w:val="24"/>
        </w:rPr>
        <w:t xml:space="preserve"> </w:t>
      </w:r>
      <w:r w:rsidR="00686FBA">
        <w:rPr>
          <w:rFonts w:cs="Arial"/>
          <w:szCs w:val="24"/>
        </w:rPr>
        <w:t>N</w:t>
      </w:r>
      <w:r w:rsidR="00F34BD8" w:rsidRPr="00B31A89">
        <w:rPr>
          <w:rFonts w:cs="Arial"/>
          <w:szCs w:val="24"/>
        </w:rPr>
        <w:t>on-paying work or services</w:t>
      </w:r>
      <w:r w:rsidR="00384191">
        <w:rPr>
          <w:rFonts w:cs="Arial"/>
          <w:szCs w:val="24"/>
        </w:rPr>
        <w:t>.</w:t>
      </w:r>
    </w:p>
    <w:p w14:paraId="0D2996E5" w14:textId="5869F6D2" w:rsidR="00EB64A8" w:rsidRPr="00B31A89" w:rsidRDefault="00A346A4" w:rsidP="00AA6E15">
      <w:pPr>
        <w:rPr>
          <w:rFonts w:cs="Arial"/>
          <w:szCs w:val="24"/>
        </w:rPr>
      </w:pPr>
      <w:r w:rsidRPr="00B31A89">
        <w:rPr>
          <w:rFonts w:cs="Arial"/>
          <w:b/>
          <w:bCs/>
          <w:szCs w:val="24"/>
        </w:rPr>
        <w:t>service-learning</w:t>
      </w:r>
      <w:r w:rsidR="00EB64A8" w:rsidRPr="00B31A89">
        <w:rPr>
          <w:rFonts w:cs="Arial"/>
          <w:b/>
          <w:bCs/>
          <w:szCs w:val="24"/>
        </w:rPr>
        <w:t>:</w:t>
      </w:r>
      <w:r w:rsidR="005631B6" w:rsidRPr="00B31A89">
        <w:rPr>
          <w:rFonts w:cs="Arial"/>
          <w:szCs w:val="24"/>
        </w:rPr>
        <w:t xml:space="preserve"> </w:t>
      </w:r>
      <w:r w:rsidR="000D047A" w:rsidRPr="00B31A89">
        <w:rPr>
          <w:rFonts w:cs="Arial"/>
          <w:szCs w:val="24"/>
        </w:rPr>
        <w:t>Educational approach that intentionally combines meaningful community service activities with instruction and reflection to support pupil progress toward academic and civic engagement learning objectives while meeting societal needs</w:t>
      </w:r>
      <w:r w:rsidR="00384191">
        <w:rPr>
          <w:rFonts w:cs="Arial"/>
          <w:szCs w:val="24"/>
        </w:rPr>
        <w:t>.</w:t>
      </w:r>
      <w:r w:rsidR="000D047A" w:rsidRPr="00B31A89">
        <w:rPr>
          <w:rStyle w:val="FootnoteReference"/>
          <w:rFonts w:cs="Arial"/>
          <w:szCs w:val="24"/>
        </w:rPr>
        <w:footnoteReference w:id="46"/>
      </w:r>
    </w:p>
    <w:p w14:paraId="6B961A51" w14:textId="77777777" w:rsidR="001063BF" w:rsidRPr="00B31A89" w:rsidRDefault="001063BF" w:rsidP="00AA6E15">
      <w:pPr>
        <w:rPr>
          <w:rFonts w:cs="Arial"/>
          <w:szCs w:val="24"/>
        </w:rPr>
        <w:sectPr w:rsidR="001063BF" w:rsidRPr="00B31A89" w:rsidSect="00760A30">
          <w:headerReference w:type="even" r:id="rId31"/>
          <w:headerReference w:type="default" r:id="rId32"/>
          <w:headerReference w:type="first" r:id="rId33"/>
          <w:pgSz w:w="12240" w:h="15840"/>
          <w:pgMar w:top="1440" w:right="1440" w:bottom="1440" w:left="1440" w:header="720" w:footer="720" w:gutter="0"/>
          <w:cols w:space="720"/>
          <w:docGrid w:linePitch="360"/>
        </w:sectPr>
      </w:pPr>
    </w:p>
    <w:bookmarkStart w:id="47" w:name="_Toc167277574" w:displacedByCustomXml="next"/>
    <w:sdt>
      <w:sdtPr>
        <w:rPr>
          <w:rFonts w:eastAsiaTheme="minorEastAsia" w:cstheme="minorBidi"/>
          <w:b w:val="0"/>
          <w:bCs w:val="0"/>
          <w:sz w:val="24"/>
          <w:szCs w:val="24"/>
        </w:rPr>
        <w:id w:val="-1613054233"/>
        <w:docPartObj>
          <w:docPartGallery w:val="Bibliographies"/>
          <w:docPartUnique/>
        </w:docPartObj>
      </w:sdtPr>
      <w:sdtContent>
        <w:p w14:paraId="71BD3CBD" w14:textId="51ACF907" w:rsidR="00E36738" w:rsidRPr="00B31A89" w:rsidRDefault="00E36738" w:rsidP="00E37E0D">
          <w:pPr>
            <w:pStyle w:val="Heading2"/>
          </w:pPr>
          <w:r w:rsidRPr="00B31A89">
            <w:t xml:space="preserve">Appendix </w:t>
          </w:r>
          <w:r w:rsidR="00B744EC" w:rsidRPr="00B31A89">
            <w:t>C</w:t>
          </w:r>
          <w:r w:rsidRPr="00B31A89">
            <w:t>: References</w:t>
          </w:r>
          <w:bookmarkEnd w:id="47"/>
        </w:p>
        <w:sdt>
          <w:sdtPr>
            <w:id w:val="-573587230"/>
            <w:bibliography/>
          </w:sdtPr>
          <w:sdtContent>
            <w:p w14:paraId="31E2FBC0" w14:textId="343A7055" w:rsidR="00C902D6" w:rsidRDefault="00E36738" w:rsidP="00C902D6">
              <w:pPr>
                <w:pStyle w:val="Bibliography"/>
                <w:ind w:left="720" w:hanging="720"/>
                <w:rPr>
                  <w:noProof/>
                  <w:szCs w:val="24"/>
                </w:rPr>
              </w:pPr>
              <w:r w:rsidRPr="00B31A89">
                <w:fldChar w:fldCharType="begin"/>
              </w:r>
              <w:r w:rsidRPr="00B31A89">
                <w:instrText xml:space="preserve"> BIBLIOGRAPHY </w:instrText>
              </w:r>
              <w:r w:rsidRPr="00B31A89">
                <w:fldChar w:fldCharType="separate"/>
              </w:r>
              <w:r w:rsidR="00C902D6">
                <w:rPr>
                  <w:noProof/>
                </w:rPr>
                <w:t xml:space="preserve">California Council for the Social Studies. (2023). </w:t>
              </w:r>
              <w:r w:rsidR="00C902D6">
                <w:rPr>
                  <w:i/>
                  <w:iCs/>
                  <w:noProof/>
                </w:rPr>
                <w:t>California Council for the Social Studies</w:t>
              </w:r>
              <w:r w:rsidR="00C902D6">
                <w:rPr>
                  <w:noProof/>
                </w:rPr>
                <w:t xml:space="preserve">. Retrieved from California Council for the Social Studies: </w:t>
              </w:r>
              <w:hyperlink r:id="rId34" w:tooltip="California Council for the Social Stuidies " w:history="1">
                <w:r w:rsidR="00C902D6" w:rsidRPr="00134805">
                  <w:rPr>
                    <w:rStyle w:val="Hyperlink"/>
                    <w:noProof/>
                  </w:rPr>
                  <w:t>https://www.ccss.org</w:t>
                </w:r>
              </w:hyperlink>
              <w:r w:rsidR="00134805">
                <w:rPr>
                  <w:noProof/>
                </w:rPr>
                <w:t>.</w:t>
              </w:r>
            </w:p>
            <w:p w14:paraId="6BE0D52E" w14:textId="1C6D9224" w:rsidR="00C902D6" w:rsidRDefault="00C902D6" w:rsidP="00C902D6">
              <w:pPr>
                <w:pStyle w:val="Bibliography"/>
                <w:ind w:left="720" w:hanging="720"/>
                <w:rPr>
                  <w:noProof/>
                </w:rPr>
              </w:pPr>
              <w:r>
                <w:rPr>
                  <w:noProof/>
                </w:rPr>
                <w:t xml:space="preserve">California Department of Education. (2017). </w:t>
              </w:r>
              <w:r>
                <w:rPr>
                  <w:i/>
                  <w:iCs/>
                  <w:noProof/>
                </w:rPr>
                <w:t>California History–Social Science Framework, Appendix H: Practicing Civic Engagement: Service-Learning in the History–Social Science Framework.</w:t>
              </w:r>
              <w:r>
                <w:rPr>
                  <w:noProof/>
                </w:rPr>
                <w:t xml:space="preserve"> Retrieved from California Department of Education: </w:t>
              </w:r>
              <w:hyperlink r:id="rId35" w:tooltip="California History–Social Science Framework, Appendix H: Practicing Civic Engagement: Service-Learning in the History–Social Science Framework. Retrieved from California Department of Education" w:history="1">
                <w:r w:rsidRPr="00134805">
                  <w:rPr>
                    <w:rStyle w:val="Hyperlink"/>
                    <w:noProof/>
                  </w:rPr>
                  <w:t>https://www.cde.ca.gov/ci/hs/cf/documents/hssfwchapter16.pdf</w:t>
                </w:r>
              </w:hyperlink>
              <w:r w:rsidR="00134805">
                <w:rPr>
                  <w:noProof/>
                </w:rPr>
                <w:t>.</w:t>
              </w:r>
            </w:p>
            <w:p w14:paraId="2B5F3D26" w14:textId="495AB9C3" w:rsidR="00C902D6" w:rsidRDefault="00C902D6" w:rsidP="00C902D6">
              <w:pPr>
                <w:pStyle w:val="Bibliography"/>
                <w:ind w:left="720" w:hanging="720"/>
                <w:rPr>
                  <w:noProof/>
                </w:rPr>
              </w:pPr>
              <w:r>
                <w:rPr>
                  <w:noProof/>
                </w:rPr>
                <w:t xml:space="preserve">California Department of Education. (2023, June 1). </w:t>
              </w:r>
              <w:r>
                <w:rPr>
                  <w:i/>
                  <w:iCs/>
                  <w:noProof/>
                </w:rPr>
                <w:t>California Serves</w:t>
              </w:r>
              <w:r>
                <w:rPr>
                  <w:noProof/>
                </w:rPr>
                <w:t xml:space="preserve">. Retrieved from California Department of Education: </w:t>
              </w:r>
              <w:hyperlink r:id="rId36" w:tooltip="California Department of Education, California Serves" w:history="1">
                <w:r w:rsidRPr="00134805">
                  <w:rPr>
                    <w:rStyle w:val="Hyperlink"/>
                    <w:noProof/>
                  </w:rPr>
                  <w:t>https://www.cde.ca.gov/pd/ca/hs/californiaserves.asp</w:t>
                </w:r>
              </w:hyperlink>
              <w:r w:rsidR="00134805">
                <w:rPr>
                  <w:noProof/>
                </w:rPr>
                <w:t>.</w:t>
              </w:r>
            </w:p>
            <w:p w14:paraId="7FB9A2F5" w14:textId="14EBEA50" w:rsidR="00C902D6" w:rsidRDefault="00C902D6" w:rsidP="00C902D6">
              <w:pPr>
                <w:pStyle w:val="Bibliography"/>
                <w:ind w:left="720" w:hanging="720"/>
                <w:rPr>
                  <w:noProof/>
                </w:rPr>
              </w:pPr>
              <w:r>
                <w:rPr>
                  <w:noProof/>
                </w:rPr>
                <w:t xml:space="preserve">California Department of Education. (2023, December 15). </w:t>
              </w:r>
              <w:r>
                <w:rPr>
                  <w:i/>
                  <w:iCs/>
                  <w:noProof/>
                </w:rPr>
                <w:t>SBE Items Related to the SSCE</w:t>
              </w:r>
              <w:r>
                <w:rPr>
                  <w:noProof/>
                </w:rPr>
                <w:t xml:space="preserve">. Retrieved from California Department of Education: </w:t>
              </w:r>
              <w:hyperlink r:id="rId37" w:tooltip="SBE Items Related to the SSCE. Retrieved from California Department of Education" w:history="1">
                <w:r w:rsidRPr="00134805">
                  <w:rPr>
                    <w:rStyle w:val="Hyperlink"/>
                    <w:noProof/>
                  </w:rPr>
                  <w:t>https://www.cde.ca.gov/pd/ca/hs/sbe2ssce.asp</w:t>
                </w:r>
              </w:hyperlink>
              <w:r w:rsidR="00134805">
                <w:rPr>
                  <w:noProof/>
                </w:rPr>
                <w:t>.</w:t>
              </w:r>
            </w:p>
            <w:p w14:paraId="0FAD8E23" w14:textId="70FFD5A9" w:rsidR="00C902D6" w:rsidRDefault="00C902D6" w:rsidP="00C902D6">
              <w:pPr>
                <w:pStyle w:val="Bibliography"/>
                <w:ind w:left="720" w:hanging="720"/>
                <w:rPr>
                  <w:noProof/>
                </w:rPr>
              </w:pPr>
              <w:r>
                <w:rPr>
                  <w:noProof/>
                </w:rPr>
                <w:t xml:space="preserve">California Department of Education. (2023, November 7). </w:t>
              </w:r>
              <w:r>
                <w:rPr>
                  <w:i/>
                  <w:iCs/>
                  <w:noProof/>
                </w:rPr>
                <w:t>Service Learning</w:t>
              </w:r>
              <w:r>
                <w:rPr>
                  <w:noProof/>
                </w:rPr>
                <w:t xml:space="preserve">. Retrieved from California Department of Education: </w:t>
              </w:r>
              <w:hyperlink r:id="rId38" w:tooltip="Service Learning. Retrieved from California Department of Education" w:history="1">
                <w:r w:rsidRPr="00134805">
                  <w:rPr>
                    <w:rStyle w:val="Hyperlink"/>
                    <w:noProof/>
                  </w:rPr>
                  <w:t>https://www.cde.ca.gov/re/pr/servicelearning.asp</w:t>
                </w:r>
              </w:hyperlink>
              <w:r w:rsidR="00134805">
                <w:rPr>
                  <w:noProof/>
                </w:rPr>
                <w:t>.</w:t>
              </w:r>
            </w:p>
            <w:p w14:paraId="10329562" w14:textId="06376C44" w:rsidR="00C902D6" w:rsidRDefault="00C902D6" w:rsidP="00C902D6">
              <w:pPr>
                <w:pStyle w:val="Bibliography"/>
                <w:ind w:left="720" w:hanging="720"/>
                <w:rPr>
                  <w:noProof/>
                </w:rPr>
              </w:pPr>
              <w:r>
                <w:rPr>
                  <w:noProof/>
                </w:rPr>
                <w:t xml:space="preserve">California Department of Education. (2023, November 30). </w:t>
              </w:r>
              <w:r>
                <w:rPr>
                  <w:i/>
                  <w:iCs/>
                  <w:noProof/>
                </w:rPr>
                <w:t>State Seal of Civic Engagement</w:t>
              </w:r>
              <w:r>
                <w:rPr>
                  <w:noProof/>
                </w:rPr>
                <w:t xml:space="preserve">. Retrieved from California Department of Education: </w:t>
              </w:r>
              <w:hyperlink r:id="rId39" w:tooltip="State Seal of Civic Engagement. Retrieved from California Department of Education" w:history="1">
                <w:r w:rsidRPr="00134805">
                  <w:rPr>
                    <w:rStyle w:val="Hyperlink"/>
                    <w:noProof/>
                  </w:rPr>
                  <w:t>https://www.cde.ca.gov/pd/ca/hs/hssstateseal.asp</w:t>
                </w:r>
              </w:hyperlink>
              <w:r w:rsidR="00134805">
                <w:rPr>
                  <w:noProof/>
                </w:rPr>
                <w:t>.</w:t>
              </w:r>
            </w:p>
            <w:p w14:paraId="7F997AB5" w14:textId="35373E2E" w:rsidR="00C902D6" w:rsidRDefault="00C902D6" w:rsidP="00C902D6">
              <w:pPr>
                <w:pStyle w:val="Bibliography"/>
                <w:ind w:left="720" w:hanging="720"/>
                <w:rPr>
                  <w:noProof/>
                </w:rPr>
              </w:pPr>
              <w:r>
                <w:rPr>
                  <w:noProof/>
                </w:rPr>
                <w:t xml:space="preserve">California Department of Education. (2024, March 15). </w:t>
              </w:r>
              <w:r>
                <w:rPr>
                  <w:i/>
                  <w:iCs/>
                  <w:noProof/>
                </w:rPr>
                <w:t>CALPADS Update Flash #268</w:t>
              </w:r>
              <w:r>
                <w:rPr>
                  <w:noProof/>
                </w:rPr>
                <w:t xml:space="preserve">. Retrieved from California Department of Education: </w:t>
              </w:r>
              <w:hyperlink r:id="rId40" w:tooltip="CALPADS Update Flash #268, California Department of Education" w:history="1">
                <w:r w:rsidRPr="00134805">
                  <w:rPr>
                    <w:rStyle w:val="Hyperlink"/>
                    <w:noProof/>
                  </w:rPr>
                  <w:t>https://www.cde.ca.gov/ds/sp/cl/calpadsupdflash268.asp</w:t>
                </w:r>
              </w:hyperlink>
              <w:r w:rsidR="00134805">
                <w:rPr>
                  <w:noProof/>
                </w:rPr>
                <w:t>.</w:t>
              </w:r>
            </w:p>
            <w:p w14:paraId="3E05751B" w14:textId="0E9FAC79" w:rsidR="00C902D6" w:rsidRDefault="00C902D6" w:rsidP="00C902D6">
              <w:pPr>
                <w:pStyle w:val="Bibliography"/>
                <w:ind w:left="720" w:hanging="720"/>
                <w:rPr>
                  <w:noProof/>
                </w:rPr>
              </w:pPr>
              <w:r>
                <w:rPr>
                  <w:noProof/>
                </w:rPr>
                <w:t xml:space="preserve">California Department of Education. (n.d.). </w:t>
              </w:r>
              <w:r>
                <w:rPr>
                  <w:i/>
                  <w:iCs/>
                  <w:noProof/>
                </w:rPr>
                <w:t>A Teacher's Guide to Service Learning.</w:t>
              </w:r>
              <w:r>
                <w:rPr>
                  <w:noProof/>
                </w:rPr>
                <w:t xml:space="preserve"> Retrieved from California Department of Education: </w:t>
              </w:r>
              <w:hyperlink r:id="rId41" w:tooltip="A Teacher's Guide to Service Learning, California Department of Education" w:history="1">
                <w:r w:rsidRPr="00134805">
                  <w:rPr>
                    <w:rStyle w:val="Hyperlink"/>
                    <w:noProof/>
                  </w:rPr>
                  <w:t>https://chavez.cde.ca.gov/ModelCurriculum/Teachers/Lessons/Resources/Documents/ServiceLearningGuide.pdf</w:t>
                </w:r>
              </w:hyperlink>
              <w:r w:rsidR="00134805">
                <w:rPr>
                  <w:noProof/>
                </w:rPr>
                <w:t>.</w:t>
              </w:r>
            </w:p>
            <w:p w14:paraId="726A5051" w14:textId="7B3138B8" w:rsidR="00C902D6" w:rsidRDefault="00C902D6" w:rsidP="00C902D6">
              <w:pPr>
                <w:pStyle w:val="Bibliography"/>
                <w:ind w:left="720" w:hanging="720"/>
                <w:rPr>
                  <w:noProof/>
                </w:rPr>
              </w:pPr>
              <w:r>
                <w:rPr>
                  <w:noProof/>
                </w:rPr>
                <w:t xml:space="preserve">California Department of Education. (n.d.). </w:t>
              </w:r>
              <w:r>
                <w:rPr>
                  <w:i/>
                  <w:iCs/>
                  <w:noProof/>
                </w:rPr>
                <w:t>César E. Chávez</w:t>
              </w:r>
              <w:r>
                <w:rPr>
                  <w:noProof/>
                </w:rPr>
                <w:t xml:space="preserve">. Retrieved from California Department of Education: </w:t>
              </w:r>
              <w:hyperlink r:id="rId42" w:tooltip="César E. Chávez. Retrieved from California Department of Education." w:history="1">
                <w:r w:rsidRPr="00134805">
                  <w:rPr>
                    <w:rStyle w:val="Hyperlink"/>
                    <w:noProof/>
                  </w:rPr>
                  <w:t>https://chavez.cde.ca.gov/ModelCurriculum/Intro.aspx</w:t>
                </w:r>
              </w:hyperlink>
              <w:r w:rsidR="00134805">
                <w:rPr>
                  <w:noProof/>
                </w:rPr>
                <w:t>.</w:t>
              </w:r>
            </w:p>
            <w:p w14:paraId="73982683" w14:textId="2FCC8B16" w:rsidR="00C902D6" w:rsidRDefault="00C902D6" w:rsidP="00C902D6">
              <w:pPr>
                <w:pStyle w:val="Bibliography"/>
                <w:ind w:left="720" w:hanging="720"/>
                <w:rPr>
                  <w:noProof/>
                </w:rPr>
              </w:pPr>
              <w:r>
                <w:rPr>
                  <w:noProof/>
                </w:rPr>
                <w:t xml:space="preserve">California History–Social Science Project. (2023). </w:t>
              </w:r>
              <w:r>
                <w:rPr>
                  <w:i/>
                  <w:iCs/>
                  <w:noProof/>
                </w:rPr>
                <w:t>California History–Social Science Project</w:t>
              </w:r>
              <w:r>
                <w:rPr>
                  <w:noProof/>
                </w:rPr>
                <w:t xml:space="preserve">. Retrieved from California History–Social Science Project: </w:t>
              </w:r>
              <w:hyperlink r:id="rId43" w:tooltip="California History–Social Science Project" w:history="1">
                <w:r w:rsidRPr="00134805">
                  <w:rPr>
                    <w:rStyle w:val="Hyperlink"/>
                    <w:noProof/>
                  </w:rPr>
                  <w:t>https://chssp.ucdavis.edu</w:t>
                </w:r>
              </w:hyperlink>
              <w:r w:rsidR="00134805">
                <w:rPr>
                  <w:noProof/>
                </w:rPr>
                <w:t>.</w:t>
              </w:r>
            </w:p>
            <w:p w14:paraId="2F0A6FCB" w14:textId="7644A394" w:rsidR="00C902D6" w:rsidRDefault="00C902D6" w:rsidP="00C902D6">
              <w:pPr>
                <w:pStyle w:val="Bibliography"/>
                <w:ind w:left="720" w:hanging="720"/>
                <w:rPr>
                  <w:noProof/>
                </w:rPr>
              </w:pPr>
              <w:r>
                <w:rPr>
                  <w:noProof/>
                </w:rPr>
                <w:t xml:space="preserve">California Legislature. (2022, June 30). </w:t>
              </w:r>
              <w:r>
                <w:rPr>
                  <w:i/>
                  <w:iCs/>
                  <w:noProof/>
                </w:rPr>
                <w:t>AB 181 Education finance: education omnibus budget trailer bill.</w:t>
              </w:r>
              <w:r>
                <w:rPr>
                  <w:noProof/>
                </w:rPr>
                <w:t xml:space="preserve"> Retrieved from California Legislative Information: </w:t>
              </w:r>
              <w:hyperlink r:id="rId44" w:tooltip="California Legislature B 181 Education finance: education omnibus budget trailer bill" w:history="1">
                <w:r w:rsidRPr="00134805">
                  <w:rPr>
                    <w:rStyle w:val="Hyperlink"/>
                    <w:noProof/>
                  </w:rPr>
                  <w:t>https://leginfo.legislature.ca.gov/faces/billNavClient.xhtml?bill_id=202120220AB181#:~:text=SEC.%2071.,appropriation%20is%20made</w:t>
                </w:r>
              </w:hyperlink>
              <w:r>
                <w:rPr>
                  <w:noProof/>
                </w:rPr>
                <w:t>.</w:t>
              </w:r>
            </w:p>
            <w:p w14:paraId="3E6F907E" w14:textId="47BDD44E" w:rsidR="00C902D6" w:rsidRDefault="00C902D6" w:rsidP="00C902D6">
              <w:pPr>
                <w:pStyle w:val="Bibliography"/>
                <w:ind w:left="720" w:hanging="720"/>
                <w:rPr>
                  <w:noProof/>
                </w:rPr>
              </w:pPr>
              <w:r>
                <w:rPr>
                  <w:noProof/>
                </w:rPr>
                <w:lastRenderedPageBreak/>
                <w:t xml:space="preserve">California Task Force on K–12 Learning. (2014). </w:t>
              </w:r>
              <w:r>
                <w:rPr>
                  <w:i/>
                  <w:iCs/>
                  <w:noProof/>
                </w:rPr>
                <w:t>Revitalizing K–12 Civic Learning in California: A Blueprint for Action.</w:t>
              </w:r>
              <w:r>
                <w:rPr>
                  <w:noProof/>
                </w:rPr>
                <w:t xml:space="preserve"> Retrieved from </w:t>
              </w:r>
              <w:hyperlink r:id="rId45" w:tooltip="Revitalizing K–12 Civic Learning in California: A Blueprint for Action" w:history="1">
                <w:r w:rsidRPr="00134805">
                  <w:rPr>
                    <w:rStyle w:val="Hyperlink"/>
                    <w:noProof/>
                  </w:rPr>
                  <w:t>https://www.caeducatorstogether.org/resources/116944/revitalizing-k-12-civic-learning-in-california-blueprint</w:t>
                </w:r>
              </w:hyperlink>
              <w:r w:rsidR="00B151CB">
                <w:rPr>
                  <w:noProof/>
                </w:rPr>
                <w:t xml:space="preserve"> [</w:t>
              </w:r>
              <w:r w:rsidR="00B151CB">
                <w:rPr>
                  <w:i/>
                  <w:iCs/>
                  <w:noProof/>
                </w:rPr>
                <w:t>f</w:t>
              </w:r>
              <w:r w:rsidR="00B151CB" w:rsidRPr="00B151CB">
                <w:rPr>
                  <w:i/>
                  <w:iCs/>
                  <w:noProof/>
                </w:rPr>
                <w:t>ree logon required</w:t>
              </w:r>
              <w:r w:rsidR="00B151CB">
                <w:rPr>
                  <w:noProof/>
                </w:rPr>
                <w:t>].</w:t>
              </w:r>
            </w:p>
            <w:p w14:paraId="59071221" w14:textId="215597F1" w:rsidR="00C902D6" w:rsidRDefault="00C902D6" w:rsidP="00C902D6">
              <w:pPr>
                <w:pStyle w:val="Bibliography"/>
                <w:ind w:left="720" w:hanging="720"/>
                <w:rPr>
                  <w:noProof/>
                </w:rPr>
              </w:pPr>
              <w:r>
                <w:rPr>
                  <w:noProof/>
                </w:rPr>
                <w:t xml:space="preserve">Civic Engagement Research Group. (n.d.). </w:t>
              </w:r>
              <w:r>
                <w:rPr>
                  <w:i/>
                  <w:iCs/>
                  <w:noProof/>
                </w:rPr>
                <w:t>CA State Seal of Civic Engagement</w:t>
              </w:r>
              <w:r>
                <w:rPr>
                  <w:noProof/>
                </w:rPr>
                <w:t xml:space="preserve">. Retrieved from Educating 4 Democracy: </w:t>
              </w:r>
              <w:hyperlink r:id="rId46" w:tooltip="A State Seal of Civic Engagement. Retrieved from Educating 4 Democracy." w:history="1">
                <w:r w:rsidRPr="00134805">
                  <w:rPr>
                    <w:rStyle w:val="Hyperlink"/>
                    <w:noProof/>
                  </w:rPr>
                  <w:t>https://www.ed4democracy.org/topics/ca-state-seal-of-civic-engagement</w:t>
                </w:r>
              </w:hyperlink>
              <w:r w:rsidR="00134805">
                <w:rPr>
                  <w:noProof/>
                </w:rPr>
                <w:t>.</w:t>
              </w:r>
            </w:p>
            <w:p w14:paraId="7F4F6C74" w14:textId="6F15ED7E" w:rsidR="00C902D6" w:rsidRDefault="00C902D6" w:rsidP="00C902D6">
              <w:pPr>
                <w:pStyle w:val="Bibliography"/>
                <w:ind w:left="720" w:hanging="720"/>
                <w:rPr>
                  <w:noProof/>
                </w:rPr>
              </w:pPr>
              <w:r>
                <w:rPr>
                  <w:noProof/>
                </w:rPr>
                <w:t xml:space="preserve">Civic Engagement Research Group. (n.d.). </w:t>
              </w:r>
              <w:r>
                <w:rPr>
                  <w:i/>
                  <w:iCs/>
                  <w:noProof/>
                </w:rPr>
                <w:t>California State Seal of Civic Engagement Planning Packet.</w:t>
              </w:r>
              <w:r>
                <w:rPr>
                  <w:noProof/>
                </w:rPr>
                <w:t xml:space="preserve"> Retrieved from Educating 4 Democracy: </w:t>
              </w:r>
              <w:hyperlink r:id="rId47" w:tooltip="California State Seal of Civic Engagement Planning Packet. Retrieved from Educating 4 Democracy." w:history="1">
                <w:r w:rsidRPr="00134805">
                  <w:rPr>
                    <w:rStyle w:val="Hyperlink"/>
                    <w:noProof/>
                  </w:rPr>
                  <w:t>https://docs.google.com/document/d/18wQZBW9AmnzUdPAklSRsPENklxO0v9afNOUQzioG8xQ/edit</w:t>
                </w:r>
              </w:hyperlink>
              <w:r w:rsidR="00134805">
                <w:rPr>
                  <w:noProof/>
                </w:rPr>
                <w:t>.</w:t>
              </w:r>
            </w:p>
            <w:p w14:paraId="250090A2" w14:textId="409E6CE5" w:rsidR="00C902D6" w:rsidRDefault="00C902D6" w:rsidP="00C902D6">
              <w:pPr>
                <w:pStyle w:val="Bibliography"/>
                <w:ind w:left="720" w:hanging="720"/>
                <w:rPr>
                  <w:noProof/>
                </w:rPr>
              </w:pPr>
              <w:r>
                <w:rPr>
                  <w:noProof/>
                </w:rPr>
                <w:t xml:space="preserve">Gould, J., Jamieson, K. H., Levine, P., McConnell, T., &amp; Smith, D. B. (2011). </w:t>
              </w:r>
              <w:r>
                <w:rPr>
                  <w:i/>
                  <w:iCs/>
                  <w:noProof/>
                </w:rPr>
                <w:t>Guardian of Democracy: The Civic Mission of Schools.</w:t>
              </w:r>
              <w:r>
                <w:rPr>
                  <w:noProof/>
                </w:rPr>
                <w:t xml:space="preserve"> Annenberg Public Policy Center, Lenore Annenberg Institute for Civics, Philadelphia. Retrieved from </w:t>
              </w:r>
              <w:hyperlink r:id="rId48" w:tooltip="Guardian of Democracy: The Civic Mission of Schools. Annenberg Public Policy Center, Lenore Annenberg Institute for Civics, Philadelphia" w:history="1">
                <w:r w:rsidRPr="00134805">
                  <w:rPr>
                    <w:rStyle w:val="Hyperlink"/>
                    <w:noProof/>
                  </w:rPr>
                  <w:t>https://www.carnegie.org/publications/guardian-of-democracy-the-civic-mission-of-schools</w:t>
                </w:r>
              </w:hyperlink>
              <w:r w:rsidR="00134805">
                <w:rPr>
                  <w:noProof/>
                </w:rPr>
                <w:t>.</w:t>
              </w:r>
            </w:p>
            <w:p w14:paraId="21B95F4F" w14:textId="64A04D01" w:rsidR="00C902D6" w:rsidRDefault="00C902D6" w:rsidP="00C902D6">
              <w:pPr>
                <w:pStyle w:val="Bibliography"/>
                <w:ind w:left="720" w:hanging="720"/>
                <w:rPr>
                  <w:noProof/>
                </w:rPr>
              </w:pPr>
              <w:r>
                <w:rPr>
                  <w:noProof/>
                </w:rPr>
                <w:t xml:space="preserve">Guilfoile, L., &amp; Delander, B. (2014). </w:t>
              </w:r>
              <w:r>
                <w:rPr>
                  <w:i/>
                  <w:iCs/>
                  <w:noProof/>
                </w:rPr>
                <w:t>Guidebook: Six Proven Practices for Effective Civic Learning.</w:t>
              </w:r>
              <w:r>
                <w:rPr>
                  <w:noProof/>
                </w:rPr>
                <w:t xml:space="preserve"> Education Commission of the States, National Center for Learning and Civic Engagement. Retrieved from </w:t>
              </w:r>
              <w:hyperlink r:id="rId49" w:tooltip="Guidebook: Six Proven Practices for Effective Civic Learning. Education Commission of the States, National Center for Learning and Civic Engagement" w:history="1">
                <w:r w:rsidRPr="00134805">
                  <w:rPr>
                    <w:rStyle w:val="Hyperlink"/>
                    <w:noProof/>
                  </w:rPr>
                  <w:t>http://www.ecs.org/clearinghouse/01/10/48/11048.pdf</w:t>
                </w:r>
              </w:hyperlink>
              <w:r w:rsidR="00134805">
                <w:rPr>
                  <w:noProof/>
                </w:rPr>
                <w:t>.</w:t>
              </w:r>
            </w:p>
            <w:p w14:paraId="5F8A25FA" w14:textId="4D9CF420" w:rsidR="00C902D6" w:rsidRDefault="00C902D6" w:rsidP="00C902D6">
              <w:pPr>
                <w:pStyle w:val="Bibliography"/>
                <w:ind w:left="720" w:hanging="720"/>
                <w:rPr>
                  <w:noProof/>
                </w:rPr>
              </w:pPr>
              <w:r>
                <w:rPr>
                  <w:noProof/>
                </w:rPr>
                <w:t xml:space="preserve">Hodgin, E., Alkam, S., Conde, Y., &amp; Kahne, J. (2023). </w:t>
              </w:r>
              <w:r>
                <w:rPr>
                  <w:i/>
                  <w:iCs/>
                  <w:noProof/>
                </w:rPr>
                <w:t>California's Commitment to K–12 Civic Education: A 2022 Assessment.</w:t>
              </w:r>
              <w:r>
                <w:rPr>
                  <w:noProof/>
                </w:rPr>
                <w:t xml:space="preserve"> Leveraging Equity &amp; Access in Democratic Education at UCLA and UC Riverside. Retrieved from </w:t>
              </w:r>
              <w:hyperlink r:id="rId50" w:tooltip="California's Commitment to K–12 Civic Education: A 2022 Assessment. " w:history="1">
                <w:r w:rsidRPr="00134805">
                  <w:rPr>
                    <w:rStyle w:val="Hyperlink"/>
                    <w:noProof/>
                  </w:rPr>
                  <w:t>https://centerx.gseis.ucla.edu/wp-content/uploads/2023/06/Californias-Commitment-to-K-12-Civic-Learning-2022-Assessment-LEADE-Report.pdf</w:t>
                </w:r>
              </w:hyperlink>
              <w:r w:rsidR="00134805">
                <w:rPr>
                  <w:noProof/>
                </w:rPr>
                <w:t>.</w:t>
              </w:r>
            </w:p>
            <w:p w14:paraId="51DFBE36" w14:textId="2552D88A" w:rsidR="00C902D6" w:rsidRDefault="00C902D6" w:rsidP="00C902D6">
              <w:pPr>
                <w:pStyle w:val="Bibliography"/>
                <w:ind w:left="720" w:hanging="720"/>
                <w:rPr>
                  <w:noProof/>
                </w:rPr>
              </w:pPr>
              <w:r>
                <w:rPr>
                  <w:noProof/>
                </w:rPr>
                <w:t xml:space="preserve">Leveraging Equity &amp; Access in Democratic Education. (2023). </w:t>
              </w:r>
              <w:r>
                <w:rPr>
                  <w:i/>
                  <w:iCs/>
                  <w:noProof/>
                </w:rPr>
                <w:t>What is Civic Learning?</w:t>
              </w:r>
              <w:r>
                <w:rPr>
                  <w:noProof/>
                </w:rPr>
                <w:t xml:space="preserve"> Retrieved from Leveraging Equity &amp; Access in Democratic Education: </w:t>
              </w:r>
              <w:hyperlink r:id="rId51" w:tooltip="Leveraging Equity &amp; Access in Democratic Education. (2023). What is Civic Learning?" w:history="1">
                <w:r w:rsidRPr="00134805">
                  <w:rPr>
                    <w:rStyle w:val="Hyperlink"/>
                    <w:noProof/>
                  </w:rPr>
                  <w:t>https://centerx.gseis.ucla.edu/leade/civic-learning</w:t>
                </w:r>
              </w:hyperlink>
              <w:r w:rsidR="00134805">
                <w:rPr>
                  <w:noProof/>
                </w:rPr>
                <w:t>.</w:t>
              </w:r>
            </w:p>
            <w:p w14:paraId="0F910805" w14:textId="60751EF1" w:rsidR="00C902D6" w:rsidRDefault="00C902D6" w:rsidP="00C902D6">
              <w:pPr>
                <w:pStyle w:val="Bibliography"/>
                <w:ind w:left="720" w:hanging="720"/>
                <w:rPr>
                  <w:noProof/>
                </w:rPr>
              </w:pPr>
              <w:r>
                <w:rPr>
                  <w:noProof/>
                </w:rPr>
                <w:t xml:space="preserve">Merriam-Webster. (2023, December 29). </w:t>
              </w:r>
              <w:r>
                <w:rPr>
                  <w:i/>
                  <w:iCs/>
                  <w:noProof/>
                </w:rPr>
                <w:t>community service</w:t>
              </w:r>
              <w:r>
                <w:rPr>
                  <w:noProof/>
                </w:rPr>
                <w:t xml:space="preserve">. Retrieved from Merriam-Webster: </w:t>
              </w:r>
              <w:hyperlink r:id="rId52" w:tooltip="Merriam-Webster, community service" w:history="1">
                <w:r w:rsidRPr="00134805">
                  <w:rPr>
                    <w:rStyle w:val="Hyperlink"/>
                    <w:noProof/>
                  </w:rPr>
                  <w:t>https://www.merriam-webster.com/dictionary/community%20service</w:t>
                </w:r>
              </w:hyperlink>
              <w:r w:rsidR="00134805">
                <w:rPr>
                  <w:noProof/>
                </w:rPr>
                <w:t>.</w:t>
              </w:r>
            </w:p>
            <w:p w14:paraId="49ED5898" w14:textId="227BB59D" w:rsidR="00C902D6" w:rsidRDefault="00C902D6" w:rsidP="00C902D6">
              <w:pPr>
                <w:pStyle w:val="Bibliography"/>
                <w:ind w:left="720" w:hanging="720"/>
                <w:rPr>
                  <w:noProof/>
                </w:rPr>
              </w:pPr>
              <w:r>
                <w:rPr>
                  <w:noProof/>
                </w:rPr>
                <w:t xml:space="preserve">National Council for the Social Studies. (2013). </w:t>
              </w:r>
              <w:r>
                <w:rPr>
                  <w:i/>
                  <w:iCs/>
                  <w:noProof/>
                </w:rPr>
                <w:t>The College, Career, and Civic Life Framework.</w:t>
              </w:r>
              <w:r>
                <w:rPr>
                  <w:noProof/>
                </w:rPr>
                <w:t xml:space="preserve"> Silver Springs: NCSS. Retrieved from </w:t>
              </w:r>
              <w:hyperlink r:id="rId53" w:tooltip="National Council for the Social Studies. The College, Career, and Civic Life Framework." w:history="1">
                <w:r w:rsidRPr="00134805">
                  <w:rPr>
                    <w:rStyle w:val="Hyperlink"/>
                    <w:noProof/>
                  </w:rPr>
                  <w:t>https://www.socialstudies.org/system/files/2022/c3-framework-for-social-studies-rev0617.2.pdf</w:t>
                </w:r>
              </w:hyperlink>
              <w:r w:rsidR="00134805">
                <w:rPr>
                  <w:noProof/>
                </w:rPr>
                <w:t>.</w:t>
              </w:r>
            </w:p>
            <w:p w14:paraId="316CA293" w14:textId="69F3C6A2" w:rsidR="00C902D6" w:rsidRDefault="00C902D6" w:rsidP="00C902D6">
              <w:pPr>
                <w:pStyle w:val="Bibliography"/>
                <w:ind w:left="720" w:hanging="720"/>
                <w:rPr>
                  <w:noProof/>
                </w:rPr>
              </w:pPr>
              <w:r>
                <w:rPr>
                  <w:noProof/>
                </w:rPr>
                <w:t xml:space="preserve">National Council for the Social Studies. (2023). </w:t>
              </w:r>
              <w:r>
                <w:rPr>
                  <w:i/>
                  <w:iCs/>
                  <w:noProof/>
                </w:rPr>
                <w:t>Civic Life Project</w:t>
              </w:r>
              <w:r>
                <w:rPr>
                  <w:noProof/>
                </w:rPr>
                <w:t xml:space="preserve">. Retrieved from National Council for the Social Studies: </w:t>
              </w:r>
              <w:hyperlink r:id="rId54" w:tooltip="National Council for the Social Studies. Civic Life Project" w:history="1">
                <w:r w:rsidRPr="00134805">
                  <w:rPr>
                    <w:rStyle w:val="Hyperlink"/>
                    <w:noProof/>
                  </w:rPr>
                  <w:t>https://www.socialstudies.org/rhokappa/civic-life-project</w:t>
                </w:r>
              </w:hyperlink>
              <w:r w:rsidR="00134805">
                <w:rPr>
                  <w:noProof/>
                </w:rPr>
                <w:t>.</w:t>
              </w:r>
            </w:p>
            <w:p w14:paraId="2FA5B5B3" w14:textId="09C0D3BD" w:rsidR="00C902D6" w:rsidRDefault="00C902D6" w:rsidP="00C902D6">
              <w:pPr>
                <w:pStyle w:val="Bibliography"/>
                <w:ind w:left="720" w:hanging="720"/>
                <w:rPr>
                  <w:noProof/>
                </w:rPr>
              </w:pPr>
              <w:r>
                <w:rPr>
                  <w:noProof/>
                </w:rPr>
                <w:lastRenderedPageBreak/>
                <w:t xml:space="preserve">National Council for the Social Studies. (2023). </w:t>
              </w:r>
              <w:r>
                <w:rPr>
                  <w:i/>
                  <w:iCs/>
                  <w:noProof/>
                </w:rPr>
                <w:t>National Council for the Social Studies</w:t>
              </w:r>
              <w:r>
                <w:rPr>
                  <w:noProof/>
                </w:rPr>
                <w:t xml:space="preserve">. Retrieved from National Council for the Social Studies: </w:t>
              </w:r>
              <w:hyperlink r:id="rId55" w:tooltip="National Council for the Social Studies" w:history="1">
                <w:r w:rsidRPr="00134805">
                  <w:rPr>
                    <w:rStyle w:val="Hyperlink"/>
                    <w:noProof/>
                  </w:rPr>
                  <w:t>https://www.socialstudies.org</w:t>
                </w:r>
              </w:hyperlink>
              <w:r w:rsidR="00134805">
                <w:rPr>
                  <w:noProof/>
                </w:rPr>
                <w:t>.</w:t>
              </w:r>
            </w:p>
            <w:p w14:paraId="033854C5" w14:textId="591BD48D" w:rsidR="00C902D6" w:rsidRDefault="00C902D6" w:rsidP="00C902D6">
              <w:pPr>
                <w:pStyle w:val="Bibliography"/>
                <w:ind w:left="720" w:hanging="720"/>
                <w:rPr>
                  <w:noProof/>
                </w:rPr>
              </w:pPr>
              <w:r>
                <w:rPr>
                  <w:noProof/>
                </w:rPr>
                <w:t xml:space="preserve">National Youth Leadership Council. (n.d.). </w:t>
              </w:r>
              <w:r>
                <w:rPr>
                  <w:i/>
                  <w:iCs/>
                  <w:noProof/>
                </w:rPr>
                <w:t>Service Learning K–12 Standards</w:t>
              </w:r>
              <w:r>
                <w:rPr>
                  <w:noProof/>
                </w:rPr>
                <w:t xml:space="preserve">. Retrieved from National Youth Leadership Council: </w:t>
              </w:r>
              <w:hyperlink r:id="rId56" w:tooltip="Service Learning K–12 Standards. Retrieved from National Youth Leadership Council" w:history="1">
                <w:r w:rsidR="00B151CB">
                  <w:rPr>
                    <w:rStyle w:val="Hyperlink"/>
                    <w:noProof/>
                  </w:rPr>
                  <w:t>https://nylc.org/k-12-standards/</w:t>
                </w:r>
              </w:hyperlink>
              <w:r w:rsidR="00134805">
                <w:rPr>
                  <w:noProof/>
                </w:rPr>
                <w:t>.</w:t>
              </w:r>
            </w:p>
            <w:p w14:paraId="2318BAA6" w14:textId="25DE0D50" w:rsidR="00C902D6" w:rsidRDefault="00C902D6" w:rsidP="00C902D6">
              <w:pPr>
                <w:pStyle w:val="Bibliography"/>
                <w:ind w:left="720" w:hanging="720"/>
                <w:rPr>
                  <w:noProof/>
                </w:rPr>
              </w:pPr>
              <w:r>
                <w:rPr>
                  <w:noProof/>
                </w:rPr>
                <w:t xml:space="preserve">National Youth Leadership Council. (n.d.). </w:t>
              </w:r>
              <w:r>
                <w:rPr>
                  <w:i/>
                  <w:iCs/>
                  <w:noProof/>
                </w:rPr>
                <w:t>Why Service-Learning?</w:t>
              </w:r>
              <w:r>
                <w:rPr>
                  <w:noProof/>
                </w:rPr>
                <w:t xml:space="preserve"> Retrieved from National Youth Leadership Council: </w:t>
              </w:r>
              <w:hyperlink r:id="rId57" w:tooltip="Why Service-Learning? Retrieved from National Youth Leadership Council" w:history="1">
                <w:r w:rsidR="00B151CB">
                  <w:rPr>
                    <w:rStyle w:val="Hyperlink"/>
                    <w:noProof/>
                  </w:rPr>
                  <w:t>https://nylc.org/why/</w:t>
                </w:r>
              </w:hyperlink>
              <w:r w:rsidR="00115D90">
                <w:rPr>
                  <w:noProof/>
                </w:rPr>
                <w:t>.</w:t>
              </w:r>
            </w:p>
            <w:p w14:paraId="06BD24D0" w14:textId="2C687207" w:rsidR="00C902D6" w:rsidRDefault="00C902D6" w:rsidP="00C902D6">
              <w:pPr>
                <w:pStyle w:val="Bibliography"/>
                <w:ind w:left="720" w:hanging="720"/>
                <w:rPr>
                  <w:noProof/>
                </w:rPr>
              </w:pPr>
              <w:r>
                <w:rPr>
                  <w:noProof/>
                </w:rPr>
                <w:t xml:space="preserve">Roehlkepartain, E. C. (2007). </w:t>
              </w:r>
              <w:r>
                <w:rPr>
                  <w:i/>
                  <w:iCs/>
                  <w:noProof/>
                </w:rPr>
                <w:t>Benefits of Community-Based Service-Learning.</w:t>
              </w:r>
              <w:r>
                <w:rPr>
                  <w:noProof/>
                </w:rPr>
                <w:t xml:space="preserve"> Scotts Valley: National Service-Learning Clearinghouse. Retrieved from </w:t>
              </w:r>
              <w:hyperlink r:id="rId58" w:tooltip="Benefits of Community-Based Service-Learning. Scotts Valley: National Service-Learning Clearinghouse" w:history="1">
                <w:r w:rsidRPr="00115D90">
                  <w:rPr>
                    <w:rStyle w:val="Hyperlink"/>
                    <w:noProof/>
                  </w:rPr>
                  <w:t>https://www.search-institute.org/downloadable/2007-Roehlkepartain-CBO-Benefits-SL-NSLC.pdf</w:t>
                </w:r>
              </w:hyperlink>
              <w:r w:rsidR="00115D90">
                <w:rPr>
                  <w:noProof/>
                </w:rPr>
                <w:t>.</w:t>
              </w:r>
            </w:p>
            <w:p w14:paraId="2139F404" w14:textId="554CD10B" w:rsidR="00C902D6" w:rsidRDefault="00C902D6" w:rsidP="00C902D6">
              <w:pPr>
                <w:pStyle w:val="Bibliography"/>
                <w:ind w:left="720" w:hanging="720"/>
                <w:rPr>
                  <w:noProof/>
                </w:rPr>
              </w:pPr>
              <w:r>
                <w:rPr>
                  <w:noProof/>
                </w:rPr>
                <w:t xml:space="preserve">Task Force on Educator Excellence. (2012). </w:t>
              </w:r>
              <w:r>
                <w:rPr>
                  <w:i/>
                  <w:iCs/>
                  <w:noProof/>
                </w:rPr>
                <w:t>Greatness by Design: Supporting Outstanding Teaching to Sustain a Golden State.</w:t>
              </w:r>
              <w:r>
                <w:rPr>
                  <w:noProof/>
                </w:rPr>
                <w:t xml:space="preserve"> Sacramento: California Department of Education. Retrieved from </w:t>
              </w:r>
              <w:hyperlink r:id="rId59" w:tooltip="Greatness by Design: Supporting Outstanding Teaching to Sustain a Golden State. California Department of Education" w:history="1">
                <w:r w:rsidRPr="00115D90">
                  <w:rPr>
                    <w:rStyle w:val="Hyperlink"/>
                    <w:noProof/>
                  </w:rPr>
                  <w:t>https://www.cde.ca.gov/pd/ps/documents/greatnessbydesign.pdf</w:t>
                </w:r>
              </w:hyperlink>
              <w:r w:rsidR="00115D90">
                <w:rPr>
                  <w:noProof/>
                </w:rPr>
                <w:t>.</w:t>
              </w:r>
            </w:p>
            <w:p w14:paraId="4752F6A0" w14:textId="42C7910D" w:rsidR="00C902D6" w:rsidRDefault="00C902D6" w:rsidP="00C902D6">
              <w:pPr>
                <w:pStyle w:val="Bibliography"/>
                <w:ind w:left="720" w:hanging="720"/>
                <w:rPr>
                  <w:noProof/>
                </w:rPr>
              </w:pPr>
              <w:r>
                <w:rPr>
                  <w:noProof/>
                </w:rPr>
                <w:t xml:space="preserve">Teach Democracy. (n.d.). </w:t>
              </w:r>
              <w:r>
                <w:rPr>
                  <w:i/>
                  <w:iCs/>
                  <w:noProof/>
                </w:rPr>
                <w:t>Civic Action Project</w:t>
              </w:r>
              <w:r>
                <w:rPr>
                  <w:noProof/>
                </w:rPr>
                <w:t xml:space="preserve">. Retrieved from Teach Democracy: </w:t>
              </w:r>
              <w:hyperlink r:id="rId60" w:tooltip="Civic Action Project. Retrieved from Teach Democracy" w:history="1">
                <w:r w:rsidRPr="00115D90">
                  <w:rPr>
                    <w:rStyle w:val="Hyperlink"/>
                    <w:noProof/>
                  </w:rPr>
                  <w:t>https://crfcap.org</w:t>
                </w:r>
              </w:hyperlink>
              <w:r w:rsidR="00115D90">
                <w:rPr>
                  <w:noProof/>
                </w:rPr>
                <w:t>.</w:t>
              </w:r>
            </w:p>
            <w:p w14:paraId="54CC224E" w14:textId="551228CD" w:rsidR="00C902D6" w:rsidRDefault="00C902D6" w:rsidP="00C902D6">
              <w:pPr>
                <w:pStyle w:val="Bibliography"/>
                <w:ind w:left="720" w:hanging="720"/>
                <w:rPr>
                  <w:noProof/>
                </w:rPr>
              </w:pPr>
              <w:r>
                <w:rPr>
                  <w:noProof/>
                </w:rPr>
                <w:t xml:space="preserve">Terry, A. W., &amp; Bohnenberger, J. E. (2004). Service-Learning...By Degrees: How Adolescents Can Make a Difference in the Real World. </w:t>
              </w:r>
              <w:r>
                <w:rPr>
                  <w:i/>
                  <w:iCs/>
                  <w:noProof/>
                </w:rPr>
                <w:t>Journal of Experiential Education, 27</w:t>
              </w:r>
              <w:r>
                <w:rPr>
                  <w:noProof/>
                </w:rPr>
                <w:t xml:space="preserve">(1), 15-31. Retrieved from </w:t>
              </w:r>
              <w:hyperlink r:id="rId61" w:tooltip="How Adolescents Can Make a Difference in the Real World. Journal of Experiential Education" w:history="1">
                <w:r w:rsidRPr="00115D90">
                  <w:rPr>
                    <w:rStyle w:val="Hyperlink"/>
                    <w:noProof/>
                  </w:rPr>
                  <w:t>https://www.researchgate.net/publication/311574186_Service-Learningby_Degrees_How_Adolescents_Can_Make_a_Difference_in_the_Real_World</w:t>
                </w:r>
              </w:hyperlink>
              <w:r w:rsidR="00115D90">
                <w:rPr>
                  <w:noProof/>
                </w:rPr>
                <w:t>.</w:t>
              </w:r>
            </w:p>
            <w:p w14:paraId="364CDD6F" w14:textId="6BC57DE9" w:rsidR="00C902D6" w:rsidRDefault="00C902D6" w:rsidP="00C902D6">
              <w:pPr>
                <w:pStyle w:val="Bibliography"/>
                <w:ind w:left="720" w:hanging="720"/>
                <w:rPr>
                  <w:noProof/>
                </w:rPr>
              </w:pPr>
              <w:r>
                <w:rPr>
                  <w:noProof/>
                </w:rPr>
                <w:t xml:space="preserve">UC Berkeley. (2023). </w:t>
              </w:r>
              <w:r>
                <w:rPr>
                  <w:i/>
                  <w:iCs/>
                  <w:noProof/>
                </w:rPr>
                <w:t>Integrated Action Civics Project</w:t>
              </w:r>
              <w:r>
                <w:rPr>
                  <w:noProof/>
                </w:rPr>
                <w:t xml:space="preserve">. Retrieved from UC Berkeley: Integrated Action Civics Project: </w:t>
              </w:r>
              <w:hyperlink r:id="rId62" w:tooltip="Integrated Action Civics Project. Retrieved from UC Berkeley" w:history="1">
                <w:r w:rsidRPr="00115D90">
                  <w:rPr>
                    <w:rStyle w:val="Hyperlink"/>
                    <w:noProof/>
                  </w:rPr>
                  <w:t>https://iacp.berkeley.edu/home</w:t>
                </w:r>
              </w:hyperlink>
              <w:r w:rsidR="00115D90">
                <w:rPr>
                  <w:noProof/>
                </w:rPr>
                <w:t>.</w:t>
              </w:r>
            </w:p>
            <w:p w14:paraId="3DD7AFA9" w14:textId="2EF7CDC0" w:rsidR="00C902D6" w:rsidRDefault="00C902D6" w:rsidP="00C902D6">
              <w:pPr>
                <w:pStyle w:val="Bibliography"/>
                <w:ind w:left="720" w:hanging="720"/>
                <w:rPr>
                  <w:noProof/>
                </w:rPr>
              </w:pPr>
              <w:r>
                <w:rPr>
                  <w:noProof/>
                </w:rPr>
                <w:t xml:space="preserve">UC Berkeley Center for Cities + Schools. (2023). </w:t>
              </w:r>
              <w:r>
                <w:rPr>
                  <w:i/>
                  <w:iCs/>
                  <w:noProof/>
                </w:rPr>
                <w:t>Youth–Plan, Learn, Act Now</w:t>
              </w:r>
              <w:r>
                <w:rPr>
                  <w:noProof/>
                </w:rPr>
                <w:t xml:space="preserve">. Retrieved from Y-PLAN: </w:t>
              </w:r>
              <w:hyperlink r:id="rId63" w:tooltip="UC Berkeley Center for Cities + Schools, Youth–Plan, Learn, Act Now" w:history="1">
                <w:r w:rsidRPr="00115D90">
                  <w:rPr>
                    <w:rStyle w:val="Hyperlink"/>
                    <w:noProof/>
                  </w:rPr>
                  <w:t>https://citiesandschools.berkeley.edu/major-initiatives/y-plan</w:t>
                </w:r>
              </w:hyperlink>
              <w:r w:rsidR="00115D90">
                <w:rPr>
                  <w:noProof/>
                </w:rPr>
                <w:t>.</w:t>
              </w:r>
            </w:p>
            <w:p w14:paraId="167AB30D" w14:textId="7BF0B777" w:rsidR="00C902D6" w:rsidRDefault="00C902D6" w:rsidP="00C902D6">
              <w:pPr>
                <w:pStyle w:val="Bibliography"/>
                <w:ind w:left="720" w:hanging="720"/>
                <w:rPr>
                  <w:noProof/>
                </w:rPr>
              </w:pPr>
              <w:r>
                <w:rPr>
                  <w:noProof/>
                </w:rPr>
                <w:t xml:space="preserve">UC Berkeley. (n.d.). </w:t>
              </w:r>
              <w:r>
                <w:rPr>
                  <w:i/>
                  <w:iCs/>
                  <w:noProof/>
                </w:rPr>
                <w:t>Youth Participatory Action Research Hub</w:t>
              </w:r>
              <w:r>
                <w:rPr>
                  <w:noProof/>
                </w:rPr>
                <w:t xml:space="preserve">. Retrieved from UC Berkeley: YPAR Hub: </w:t>
              </w:r>
              <w:hyperlink r:id="rId64" w:tooltip="UC Berkeley. Youth Participatory Action Research Hub" w:history="1">
                <w:r w:rsidRPr="00115D90">
                  <w:rPr>
                    <w:rStyle w:val="Hyperlink"/>
                    <w:noProof/>
                  </w:rPr>
                  <w:t>https://yparhub.berkeley.edu/home</w:t>
                </w:r>
              </w:hyperlink>
              <w:r w:rsidR="00115D90">
                <w:rPr>
                  <w:noProof/>
                </w:rPr>
                <w:t>.</w:t>
              </w:r>
            </w:p>
            <w:p w14:paraId="7C33A63A" w14:textId="77777777" w:rsidR="00C902D6" w:rsidRDefault="00C902D6" w:rsidP="00C902D6">
              <w:pPr>
                <w:pStyle w:val="Bibliography"/>
                <w:ind w:left="720" w:hanging="720"/>
                <w:rPr>
                  <w:noProof/>
                </w:rPr>
              </w:pPr>
              <w:r>
                <w:rPr>
                  <w:noProof/>
                </w:rPr>
                <w:t xml:space="preserve">Verba, S., Schlozman, K. L., &amp; Brady, H. (1995). </w:t>
              </w:r>
              <w:r>
                <w:rPr>
                  <w:i/>
                  <w:iCs/>
                  <w:noProof/>
                </w:rPr>
                <w:t>Voice and Equality: Civic Voluntarism in American Politics.</w:t>
              </w:r>
              <w:r>
                <w:rPr>
                  <w:noProof/>
                </w:rPr>
                <w:t xml:space="preserve"> Cambridge: Harvard University Press.</w:t>
              </w:r>
            </w:p>
            <w:p w14:paraId="647CFB39" w14:textId="0ADB075F" w:rsidR="00C902D6" w:rsidRDefault="00C902D6" w:rsidP="00C902D6">
              <w:pPr>
                <w:pStyle w:val="Bibliography"/>
                <w:ind w:left="720" w:hanging="720"/>
                <w:rPr>
                  <w:noProof/>
                </w:rPr>
              </w:pPr>
              <w:r>
                <w:rPr>
                  <w:noProof/>
                </w:rPr>
                <w:t xml:space="preserve">Youth.gov. (n.d.). </w:t>
              </w:r>
              <w:r>
                <w:rPr>
                  <w:i/>
                  <w:iCs/>
                  <w:noProof/>
                </w:rPr>
                <w:t>Civic Engagement</w:t>
              </w:r>
              <w:r>
                <w:rPr>
                  <w:noProof/>
                </w:rPr>
                <w:t xml:space="preserve">. Retrieved from Youth.gov: </w:t>
              </w:r>
              <w:hyperlink r:id="rId65" w:tooltip="Civic Engagement, Youth.gov" w:history="1">
                <w:r w:rsidRPr="00115D90">
                  <w:rPr>
                    <w:rStyle w:val="Hyperlink"/>
                    <w:noProof/>
                  </w:rPr>
                  <w:t>https://youth.gov/youth-topics/civic-engagement-and-volunteering</w:t>
                </w:r>
              </w:hyperlink>
              <w:r w:rsidR="00115D90">
                <w:rPr>
                  <w:noProof/>
                </w:rPr>
                <w:t>.</w:t>
              </w:r>
            </w:p>
            <w:p w14:paraId="03D00039" w14:textId="5D2A60E5" w:rsidR="00E36738" w:rsidRPr="00B151CB" w:rsidRDefault="00C902D6" w:rsidP="00B151CB">
              <w:pPr>
                <w:pStyle w:val="Bibliography"/>
                <w:ind w:left="720" w:hanging="720"/>
                <w:rPr>
                  <w:rFonts w:eastAsiaTheme="minorEastAsia"/>
                  <w:szCs w:val="24"/>
                </w:rPr>
              </w:pPr>
              <w:r>
                <w:rPr>
                  <w:noProof/>
                </w:rPr>
                <w:t xml:space="preserve">Youth.gov. (n.d.). </w:t>
              </w:r>
              <w:r>
                <w:rPr>
                  <w:i/>
                  <w:iCs/>
                  <w:noProof/>
                </w:rPr>
                <w:t>Service-Learning</w:t>
              </w:r>
              <w:r>
                <w:rPr>
                  <w:noProof/>
                </w:rPr>
                <w:t xml:space="preserve">. Retrieved from Youth.gov: </w:t>
              </w:r>
              <w:hyperlink r:id="rId66" w:tooltip="Service-Learning,Youth.gov" w:history="1">
                <w:r w:rsidR="00B151CB">
                  <w:rPr>
                    <w:rStyle w:val="Hyperlink"/>
                    <w:noProof/>
                  </w:rPr>
                  <w:t>https://youth.gov/youth-topics/civic-engagement-and-volunteering/service-learning</w:t>
                </w:r>
              </w:hyperlink>
              <w:r w:rsidR="00115D90">
                <w:rPr>
                  <w:noProof/>
                </w:rPr>
                <w:t>.</w:t>
              </w:r>
              <w:r>
                <w:rPr>
                  <w:noProof/>
                </w:rPr>
                <w:t xml:space="preserve"> </w:t>
              </w:r>
              <w:r w:rsidR="00E36738" w:rsidRPr="00B31A89">
                <w:rPr>
                  <w:b/>
                  <w:bCs/>
                  <w:noProof/>
                </w:rPr>
                <w:fldChar w:fldCharType="end"/>
              </w:r>
            </w:p>
          </w:sdtContent>
        </w:sdt>
      </w:sdtContent>
    </w:sdt>
    <w:sectPr w:rsidR="00E36738" w:rsidRPr="00B151CB" w:rsidSect="00760A30">
      <w:headerReference w:type="even" r:id="rId67"/>
      <w:headerReference w:type="default" r:id="rId68"/>
      <w:headerReference w:type="first" r:id="rI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42EAD" w14:textId="77777777" w:rsidR="002D0B4F" w:rsidRDefault="002D0B4F" w:rsidP="00D900B4">
      <w:pPr>
        <w:spacing w:after="0"/>
      </w:pPr>
      <w:r>
        <w:separator/>
      </w:r>
    </w:p>
    <w:p w14:paraId="5C3F6190" w14:textId="77777777" w:rsidR="002D0B4F" w:rsidRDefault="002D0B4F"/>
    <w:p w14:paraId="068EAC6E" w14:textId="77777777" w:rsidR="002D0B4F" w:rsidRDefault="002D0B4F"/>
  </w:endnote>
  <w:endnote w:type="continuationSeparator" w:id="0">
    <w:p w14:paraId="17FAC1A4" w14:textId="77777777" w:rsidR="002D0B4F" w:rsidRDefault="002D0B4F" w:rsidP="00D900B4">
      <w:pPr>
        <w:spacing w:after="0"/>
      </w:pPr>
      <w:r>
        <w:continuationSeparator/>
      </w:r>
    </w:p>
    <w:p w14:paraId="09E35ED0" w14:textId="77777777" w:rsidR="002D0B4F" w:rsidRDefault="002D0B4F"/>
    <w:p w14:paraId="72B907CF" w14:textId="77777777" w:rsidR="002D0B4F" w:rsidRDefault="002D0B4F"/>
  </w:endnote>
  <w:endnote w:type="continuationNotice" w:id="1">
    <w:p w14:paraId="667531C1" w14:textId="77777777" w:rsidR="002D0B4F" w:rsidRDefault="002D0B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409840"/>
      <w:docPartObj>
        <w:docPartGallery w:val="Page Numbers (Bottom of Page)"/>
        <w:docPartUnique/>
      </w:docPartObj>
    </w:sdtPr>
    <w:sdtEndPr>
      <w:rPr>
        <w:rFonts w:ascii="Arial" w:hAnsi="Arial" w:cs="Arial"/>
        <w:noProof/>
      </w:rPr>
    </w:sdtEndPr>
    <w:sdtContent>
      <w:p w14:paraId="7C6E79D3" w14:textId="0CEB3A83" w:rsidR="006B6043" w:rsidRPr="00D84FF9" w:rsidRDefault="002B7D1A" w:rsidP="00D84FF9">
        <w:pPr>
          <w:pStyle w:val="Footer"/>
          <w:jc w:val="center"/>
          <w:rPr>
            <w:rFonts w:ascii="Arial" w:hAnsi="Arial" w:cs="Arial"/>
          </w:rPr>
        </w:pPr>
        <w:r w:rsidRPr="002B7D1A">
          <w:rPr>
            <w:rFonts w:ascii="Arial" w:hAnsi="Arial" w:cs="Arial"/>
          </w:rPr>
          <w:fldChar w:fldCharType="begin"/>
        </w:r>
        <w:r w:rsidRPr="002B7D1A">
          <w:rPr>
            <w:rFonts w:ascii="Arial" w:hAnsi="Arial" w:cs="Arial"/>
          </w:rPr>
          <w:instrText xml:space="preserve"> PAGE   \* MERGEFORMAT </w:instrText>
        </w:r>
        <w:r w:rsidRPr="002B7D1A">
          <w:rPr>
            <w:rFonts w:ascii="Arial" w:hAnsi="Arial" w:cs="Arial"/>
          </w:rPr>
          <w:fldChar w:fldCharType="separate"/>
        </w:r>
        <w:r w:rsidRPr="002B7D1A">
          <w:rPr>
            <w:rFonts w:ascii="Arial" w:hAnsi="Arial" w:cs="Arial"/>
            <w:noProof/>
          </w:rPr>
          <w:t>1</w:t>
        </w:r>
        <w:r w:rsidRPr="002B7D1A">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4F619" w14:textId="55FEBDCC" w:rsidR="006B6043" w:rsidRPr="002B7D1A" w:rsidRDefault="002B7D1A" w:rsidP="002B7D1A">
    <w:pPr>
      <w:pStyle w:val="Footer"/>
      <w:jc w:val="center"/>
      <w:rPr>
        <w:rFonts w:ascii="Arial" w:hAnsi="Arial" w:cs="Arial"/>
      </w:rPr>
    </w:pPr>
    <w:r w:rsidRPr="002B7D1A">
      <w:rPr>
        <w:rFonts w:ascii="Arial" w:hAnsi="Arial" w:cs="Arial"/>
      </w:rPr>
      <w:fldChar w:fldCharType="begin"/>
    </w:r>
    <w:r w:rsidRPr="002B7D1A">
      <w:rPr>
        <w:rFonts w:ascii="Arial" w:hAnsi="Arial" w:cs="Arial"/>
      </w:rPr>
      <w:instrText xml:space="preserve"> PAGE   \* MERGEFORMAT </w:instrText>
    </w:r>
    <w:r w:rsidRPr="002B7D1A">
      <w:rPr>
        <w:rFonts w:ascii="Arial" w:hAnsi="Arial" w:cs="Arial"/>
      </w:rPr>
      <w:fldChar w:fldCharType="separate"/>
    </w:r>
    <w:r w:rsidRPr="002B7D1A">
      <w:rPr>
        <w:rFonts w:ascii="Arial" w:hAnsi="Arial" w:cs="Arial"/>
        <w:noProof/>
      </w:rPr>
      <w:t>1</w:t>
    </w:r>
    <w:r w:rsidRPr="002B7D1A">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BAB3D" w14:textId="77777777" w:rsidR="00373D11" w:rsidRPr="002B7D1A" w:rsidRDefault="00373D11" w:rsidP="002B7D1A">
    <w:pPr>
      <w:pStyle w:val="Footer"/>
      <w:jc w:val="center"/>
      <w:rPr>
        <w:rFonts w:ascii="Arial" w:hAnsi="Arial" w:cs="Arial"/>
      </w:rPr>
    </w:pPr>
    <w:r w:rsidRPr="002B7D1A">
      <w:rPr>
        <w:rFonts w:ascii="Arial" w:hAnsi="Arial" w:cs="Arial"/>
      </w:rPr>
      <w:fldChar w:fldCharType="begin"/>
    </w:r>
    <w:r w:rsidRPr="002B7D1A">
      <w:rPr>
        <w:rFonts w:ascii="Arial" w:hAnsi="Arial" w:cs="Arial"/>
      </w:rPr>
      <w:instrText xml:space="preserve"> PAGE   \* MERGEFORMAT </w:instrText>
    </w:r>
    <w:r w:rsidRPr="002B7D1A">
      <w:rPr>
        <w:rFonts w:ascii="Arial" w:hAnsi="Arial" w:cs="Arial"/>
      </w:rPr>
      <w:fldChar w:fldCharType="separate"/>
    </w:r>
    <w:r w:rsidRPr="002B7D1A">
      <w:rPr>
        <w:rFonts w:ascii="Arial" w:hAnsi="Arial" w:cs="Arial"/>
        <w:noProof/>
      </w:rPr>
      <w:t>1</w:t>
    </w:r>
    <w:r w:rsidRPr="002B7D1A">
      <w:rPr>
        <w:rFonts w:ascii="Arial" w:hAnsi="Arial" w:cs="Arial"/>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CF16" w14:textId="28C42D01" w:rsidR="002B7D1A" w:rsidRPr="002B7D1A" w:rsidRDefault="002B7D1A" w:rsidP="002B7D1A">
    <w:pPr>
      <w:pStyle w:val="Footer"/>
      <w:jc w:val="center"/>
      <w:rPr>
        <w:rFonts w:ascii="Arial" w:hAnsi="Arial" w:cs="Arial"/>
      </w:rPr>
    </w:pPr>
    <w:r w:rsidRPr="002B7D1A">
      <w:rPr>
        <w:rFonts w:ascii="Arial" w:hAnsi="Arial" w:cs="Arial"/>
      </w:rPr>
      <w:fldChar w:fldCharType="begin"/>
    </w:r>
    <w:r w:rsidRPr="002B7D1A">
      <w:rPr>
        <w:rFonts w:ascii="Arial" w:hAnsi="Arial" w:cs="Arial"/>
      </w:rPr>
      <w:instrText xml:space="preserve"> PAGE   \* MERGEFORMAT </w:instrText>
    </w:r>
    <w:r w:rsidRPr="002B7D1A">
      <w:rPr>
        <w:rFonts w:ascii="Arial" w:hAnsi="Arial" w:cs="Arial"/>
      </w:rPr>
      <w:fldChar w:fldCharType="separate"/>
    </w:r>
    <w:r w:rsidRPr="002B7D1A">
      <w:rPr>
        <w:rFonts w:ascii="Arial" w:hAnsi="Arial" w:cs="Arial"/>
        <w:noProof/>
      </w:rPr>
      <w:t>1</w:t>
    </w:r>
    <w:r w:rsidRPr="002B7D1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F521E" w14:textId="77777777" w:rsidR="002D0B4F" w:rsidRDefault="002D0B4F" w:rsidP="00411818">
      <w:pPr>
        <w:spacing w:after="0"/>
      </w:pPr>
      <w:r>
        <w:separator/>
      </w:r>
    </w:p>
  </w:footnote>
  <w:footnote w:type="continuationSeparator" w:id="0">
    <w:p w14:paraId="1C23A9F5" w14:textId="77777777" w:rsidR="002D0B4F" w:rsidRDefault="002D0B4F" w:rsidP="00D900B4">
      <w:pPr>
        <w:spacing w:after="0"/>
      </w:pPr>
      <w:r>
        <w:continuationSeparator/>
      </w:r>
    </w:p>
    <w:p w14:paraId="1F3BE210" w14:textId="77777777" w:rsidR="002D0B4F" w:rsidRDefault="002D0B4F"/>
    <w:p w14:paraId="575C5348" w14:textId="77777777" w:rsidR="002D0B4F" w:rsidRDefault="002D0B4F"/>
  </w:footnote>
  <w:footnote w:type="continuationNotice" w:id="1">
    <w:p w14:paraId="24BF134A" w14:textId="77777777" w:rsidR="002D0B4F" w:rsidRDefault="002D0B4F">
      <w:pPr>
        <w:spacing w:after="0"/>
      </w:pPr>
    </w:p>
  </w:footnote>
  <w:footnote w:id="2">
    <w:p w14:paraId="09F670FA" w14:textId="72652AAF" w:rsidR="00F36084" w:rsidRPr="00066A45" w:rsidRDefault="00F36084" w:rsidP="00F36084">
      <w:pPr>
        <w:pStyle w:val="FootnoteText"/>
        <w:rPr>
          <w:sz w:val="24"/>
          <w:szCs w:val="24"/>
        </w:rPr>
      </w:pPr>
      <w:r>
        <w:rPr>
          <w:sz w:val="24"/>
          <w:szCs w:val="24"/>
        </w:rPr>
        <w:t>1.</w:t>
      </w:r>
      <w:r w:rsidRPr="00EB1FC5">
        <w:rPr>
          <w:sz w:val="24"/>
          <w:szCs w:val="24"/>
        </w:rPr>
        <w:t xml:space="preserve"> California Educators Together</w:t>
      </w:r>
      <w:r w:rsidR="00085388">
        <w:rPr>
          <w:sz w:val="24"/>
          <w:szCs w:val="24"/>
        </w:rPr>
        <w:t>.</w:t>
      </w:r>
      <w:r w:rsidR="00273A54" w:rsidRPr="005B0134">
        <w:rPr>
          <w:sz w:val="24"/>
          <w:szCs w:val="24"/>
        </w:rPr>
        <w:t xml:space="preserve"> </w:t>
      </w:r>
      <w:r w:rsidRPr="00F36084">
        <w:rPr>
          <w:i/>
          <w:iCs/>
          <w:sz w:val="24"/>
          <w:szCs w:val="24"/>
        </w:rPr>
        <w:t>Revitalizing K–12 Civic Learning in California: A Blueprint for Action</w:t>
      </w:r>
      <w:r w:rsidR="00085388">
        <w:rPr>
          <w:sz w:val="24"/>
          <w:szCs w:val="24"/>
        </w:rPr>
        <w:t>.</w:t>
      </w:r>
      <w:r w:rsidR="00273A54" w:rsidRPr="004E719D">
        <w:rPr>
          <w:sz w:val="24"/>
          <w:szCs w:val="24"/>
        </w:rPr>
        <w:t xml:space="preserve"> </w:t>
      </w:r>
      <w:hyperlink r:id="rId1" w:tooltip="California Educators Together web page" w:history="1">
        <w:r w:rsidRPr="00EB1FC5">
          <w:rPr>
            <w:rFonts w:eastAsia="Cambria" w:cs="Arial"/>
            <w:noProof/>
            <w:color w:val="0000FF"/>
            <w:sz w:val="24"/>
            <w:szCs w:val="24"/>
            <w:u w:val="single"/>
          </w:rPr>
          <w:t>https://www.caeducatorstogether.org/resources/116944/revitalizing-k-12-civic-learning-in-california-blueprint</w:t>
        </w:r>
      </w:hyperlink>
      <w:r>
        <w:rPr>
          <w:rFonts w:eastAsia="Cambria" w:cs="Arial"/>
          <w:noProof/>
          <w:color w:val="0000FF"/>
          <w:sz w:val="24"/>
          <w:szCs w:val="24"/>
        </w:rPr>
        <w:t>.</w:t>
      </w:r>
    </w:p>
  </w:footnote>
  <w:footnote w:id="3">
    <w:p w14:paraId="1553D28D" w14:textId="2022AC22" w:rsidR="003E6966" w:rsidRPr="00066A45" w:rsidRDefault="003E6966" w:rsidP="003E6966">
      <w:pPr>
        <w:pStyle w:val="FootnoteText"/>
        <w:rPr>
          <w:sz w:val="24"/>
          <w:szCs w:val="24"/>
        </w:rPr>
      </w:pPr>
      <w:r w:rsidRPr="001D2066">
        <w:rPr>
          <w:rStyle w:val="FootnoteReference"/>
          <w:sz w:val="24"/>
          <w:szCs w:val="24"/>
          <w:vertAlign w:val="baseline"/>
        </w:rPr>
        <w:footnoteRef/>
      </w:r>
      <w:r>
        <w:rPr>
          <w:sz w:val="24"/>
          <w:szCs w:val="24"/>
        </w:rPr>
        <w:t>.</w:t>
      </w:r>
      <w:r w:rsidRPr="0030086C">
        <w:rPr>
          <w:sz w:val="24"/>
          <w:szCs w:val="24"/>
        </w:rPr>
        <w:t xml:space="preserve"> California Department of Education.</w:t>
      </w:r>
      <w:r w:rsidR="004E719D" w:rsidRPr="0030086C">
        <w:rPr>
          <w:sz w:val="24"/>
          <w:szCs w:val="24"/>
        </w:rPr>
        <w:t xml:space="preserve"> </w:t>
      </w:r>
      <w:r w:rsidRPr="0030086C">
        <w:rPr>
          <w:sz w:val="24"/>
          <w:szCs w:val="24"/>
        </w:rPr>
        <w:t xml:space="preserve">2024. State Seal of Civic Engagement. </w:t>
      </w:r>
      <w:hyperlink r:id="rId2" w:tooltip="CDE State Seal of Civic Engagement web page " w:history="1">
        <w:r w:rsidRPr="0030086C">
          <w:rPr>
            <w:rStyle w:val="Hyperlink"/>
            <w:sz w:val="24"/>
            <w:szCs w:val="24"/>
          </w:rPr>
          <w:t>https://www.cde.ca.gov/pd/ca/hs/hssstateseal.asp</w:t>
        </w:r>
      </w:hyperlink>
      <w:r>
        <w:rPr>
          <w:rStyle w:val="Hyperlink"/>
          <w:sz w:val="24"/>
          <w:szCs w:val="24"/>
          <w:u w:val="none"/>
        </w:rPr>
        <w:t>.</w:t>
      </w:r>
    </w:p>
  </w:footnote>
  <w:footnote w:id="4">
    <w:p w14:paraId="4A9AEA68" w14:textId="11AFDCE7" w:rsidR="00A42336" w:rsidRDefault="00A42336" w:rsidP="00A42336">
      <w:pPr>
        <w:pStyle w:val="FootnoteText"/>
      </w:pPr>
      <w:r w:rsidRPr="004E40C8">
        <w:rPr>
          <w:rStyle w:val="FootnoteReference"/>
          <w:sz w:val="24"/>
          <w:szCs w:val="24"/>
          <w:vertAlign w:val="baseline"/>
        </w:rPr>
        <w:footnoteRef/>
      </w:r>
      <w:r>
        <w:rPr>
          <w:sz w:val="24"/>
          <w:szCs w:val="24"/>
        </w:rPr>
        <w:t>.</w:t>
      </w:r>
      <w:r w:rsidRPr="005446AE">
        <w:rPr>
          <w:sz w:val="24"/>
          <w:szCs w:val="24"/>
        </w:rPr>
        <w:t xml:space="preserve"> </w:t>
      </w:r>
      <w:r w:rsidRPr="00E54F07">
        <w:rPr>
          <w:sz w:val="24"/>
          <w:szCs w:val="24"/>
        </w:rPr>
        <w:t xml:space="preserve">California Department of Education. 2024. California Serves. </w:t>
      </w:r>
      <w:hyperlink r:id="rId3" w:tooltip="CDE California Serves Program web page">
        <w:r w:rsidRPr="00E54F07">
          <w:rPr>
            <w:rStyle w:val="Hyperlink"/>
            <w:sz w:val="24"/>
            <w:szCs w:val="24"/>
          </w:rPr>
          <w:t>https://www.cde.ca.gov/pd/ca/hs/californiaserves.asp</w:t>
        </w:r>
      </w:hyperlink>
      <w:r w:rsidRPr="004E40C8">
        <w:rPr>
          <w:rStyle w:val="Hyperlink"/>
          <w:sz w:val="24"/>
          <w:szCs w:val="24"/>
          <w:u w:val="none"/>
        </w:rPr>
        <w:t>.</w:t>
      </w:r>
    </w:p>
  </w:footnote>
  <w:footnote w:id="5">
    <w:p w14:paraId="67B5F64B" w14:textId="6D324833" w:rsidR="00B76CB8" w:rsidRPr="005E6736" w:rsidRDefault="00B76CB8" w:rsidP="00B76CB8">
      <w:pPr>
        <w:pStyle w:val="FootnoteText"/>
        <w:rPr>
          <w:sz w:val="24"/>
          <w:szCs w:val="24"/>
        </w:rPr>
      </w:pPr>
      <w:r w:rsidRPr="004E40C8">
        <w:rPr>
          <w:rStyle w:val="FootnoteReference"/>
          <w:sz w:val="24"/>
          <w:szCs w:val="24"/>
          <w:vertAlign w:val="baseline"/>
        </w:rPr>
        <w:footnoteRef/>
      </w:r>
      <w:r w:rsidR="005446AE">
        <w:rPr>
          <w:sz w:val="24"/>
          <w:szCs w:val="24"/>
        </w:rPr>
        <w:t>.</w:t>
      </w:r>
      <w:r w:rsidRPr="005E6736">
        <w:rPr>
          <w:sz w:val="24"/>
          <w:szCs w:val="24"/>
        </w:rPr>
        <w:t xml:space="preserve"> California Department of Education</w:t>
      </w:r>
      <w:r w:rsidR="00EF1A8C">
        <w:rPr>
          <w:sz w:val="24"/>
          <w:szCs w:val="24"/>
        </w:rPr>
        <w:t>. 202</w:t>
      </w:r>
      <w:r w:rsidR="009947D4">
        <w:rPr>
          <w:sz w:val="24"/>
          <w:szCs w:val="24"/>
        </w:rPr>
        <w:t>4</w:t>
      </w:r>
      <w:r w:rsidR="00EF1A8C">
        <w:rPr>
          <w:sz w:val="24"/>
          <w:szCs w:val="24"/>
        </w:rPr>
        <w:t xml:space="preserve">. </w:t>
      </w:r>
      <w:r w:rsidRPr="001B3BEB">
        <w:rPr>
          <w:sz w:val="24"/>
          <w:szCs w:val="24"/>
        </w:rPr>
        <w:t>State Seal of Civic Engagement</w:t>
      </w:r>
      <w:r w:rsidR="001B3BEB" w:rsidRPr="001B3BEB">
        <w:rPr>
          <w:sz w:val="24"/>
          <w:szCs w:val="24"/>
        </w:rPr>
        <w:t xml:space="preserve">. </w:t>
      </w:r>
      <w:hyperlink r:id="rId4" w:tooltip="CDE State Seal of Civic Engagement web page" w:history="1">
        <w:r w:rsidR="007A41E3" w:rsidRPr="005E6736">
          <w:rPr>
            <w:rStyle w:val="Hyperlink"/>
            <w:sz w:val="24"/>
            <w:szCs w:val="24"/>
          </w:rPr>
          <w:t>https://www.cde.ca.gov/pd/ca/hs/hssstateseal.asp</w:t>
        </w:r>
      </w:hyperlink>
      <w:r w:rsidR="001D6BD5" w:rsidRPr="005E6736">
        <w:rPr>
          <w:sz w:val="24"/>
          <w:szCs w:val="24"/>
        </w:rPr>
        <w:t>.</w:t>
      </w:r>
    </w:p>
  </w:footnote>
  <w:footnote w:id="6">
    <w:p w14:paraId="6E2ACA52" w14:textId="0868C9DD" w:rsidR="00424D1F" w:rsidRPr="005E6736" w:rsidRDefault="00424D1F" w:rsidP="00B33F21">
      <w:pPr>
        <w:pStyle w:val="FootnoteText"/>
        <w:rPr>
          <w:sz w:val="24"/>
          <w:szCs w:val="24"/>
        </w:rPr>
      </w:pPr>
      <w:r w:rsidRPr="00F90719">
        <w:rPr>
          <w:rStyle w:val="FootnoteReference"/>
          <w:sz w:val="24"/>
          <w:szCs w:val="24"/>
          <w:vertAlign w:val="baseline"/>
        </w:rPr>
        <w:footnoteRef/>
      </w:r>
      <w:r w:rsidR="005446AE">
        <w:rPr>
          <w:sz w:val="24"/>
          <w:szCs w:val="24"/>
        </w:rPr>
        <w:t>.</w:t>
      </w:r>
      <w:r w:rsidRPr="005446AE">
        <w:rPr>
          <w:sz w:val="24"/>
          <w:szCs w:val="24"/>
        </w:rPr>
        <w:t xml:space="preserve"> </w:t>
      </w:r>
      <w:r w:rsidR="00CF280E" w:rsidRPr="005E6736">
        <w:rPr>
          <w:sz w:val="24"/>
          <w:szCs w:val="24"/>
        </w:rPr>
        <w:t>Alice W. Terry</w:t>
      </w:r>
      <w:r w:rsidR="003E186B" w:rsidRPr="005E6736">
        <w:rPr>
          <w:sz w:val="24"/>
          <w:szCs w:val="24"/>
        </w:rPr>
        <w:t xml:space="preserve"> and </w:t>
      </w:r>
      <w:r w:rsidRPr="005E6736">
        <w:rPr>
          <w:sz w:val="24"/>
          <w:szCs w:val="24"/>
        </w:rPr>
        <w:t>J</w:t>
      </w:r>
      <w:r w:rsidR="000D32C1">
        <w:rPr>
          <w:sz w:val="24"/>
          <w:szCs w:val="24"/>
        </w:rPr>
        <w:t>an</w:t>
      </w:r>
      <w:r w:rsidRPr="005E6736">
        <w:rPr>
          <w:sz w:val="24"/>
          <w:szCs w:val="24"/>
        </w:rPr>
        <w:t>n E. Bohnenberger</w:t>
      </w:r>
      <w:r w:rsidR="00A20E1E">
        <w:rPr>
          <w:sz w:val="24"/>
          <w:szCs w:val="24"/>
        </w:rPr>
        <w:t>.</w:t>
      </w:r>
      <w:r w:rsidRPr="005E6736">
        <w:rPr>
          <w:i/>
          <w:iCs/>
          <w:sz w:val="24"/>
          <w:szCs w:val="24"/>
        </w:rPr>
        <w:t xml:space="preserve"> </w:t>
      </w:r>
      <w:r w:rsidR="00A20E1E" w:rsidRPr="005E6736">
        <w:rPr>
          <w:sz w:val="24"/>
          <w:szCs w:val="24"/>
        </w:rPr>
        <w:t>2004</w:t>
      </w:r>
      <w:r w:rsidR="00A20E1E">
        <w:rPr>
          <w:sz w:val="24"/>
          <w:szCs w:val="24"/>
        </w:rPr>
        <w:t xml:space="preserve">. </w:t>
      </w:r>
      <w:r w:rsidRPr="005E6736">
        <w:rPr>
          <w:i/>
          <w:iCs/>
          <w:sz w:val="24"/>
          <w:szCs w:val="24"/>
        </w:rPr>
        <w:t>Service-Learning</w:t>
      </w:r>
      <w:r w:rsidR="003E4603" w:rsidRPr="005E6736">
        <w:rPr>
          <w:i/>
          <w:iCs/>
          <w:sz w:val="24"/>
          <w:szCs w:val="24"/>
        </w:rPr>
        <w:t>…</w:t>
      </w:r>
      <w:r w:rsidRPr="005E6736">
        <w:rPr>
          <w:i/>
          <w:iCs/>
          <w:sz w:val="24"/>
          <w:szCs w:val="24"/>
        </w:rPr>
        <w:t>By Degrees: How Adolescents Can Make a Difference in the Real World</w:t>
      </w:r>
      <w:r w:rsidR="00A20E1E" w:rsidRPr="005B0134">
        <w:rPr>
          <w:sz w:val="24"/>
          <w:szCs w:val="24"/>
        </w:rPr>
        <w:t>.</w:t>
      </w:r>
      <w:r w:rsidR="00BB1056" w:rsidRPr="00A20E1E">
        <w:rPr>
          <w:sz w:val="24"/>
          <w:szCs w:val="24"/>
        </w:rPr>
        <w:t xml:space="preserve"> </w:t>
      </w:r>
      <w:r w:rsidR="00DE44DC" w:rsidRPr="005E6736">
        <w:rPr>
          <w:sz w:val="24"/>
          <w:szCs w:val="24"/>
        </w:rPr>
        <w:t>Journal of Experiential Education 27</w:t>
      </w:r>
      <w:r w:rsidR="00A20E1E">
        <w:rPr>
          <w:sz w:val="24"/>
          <w:szCs w:val="24"/>
        </w:rPr>
        <w:t xml:space="preserve"> (</w:t>
      </w:r>
      <w:r w:rsidR="00DE44DC" w:rsidRPr="005E6736">
        <w:rPr>
          <w:sz w:val="24"/>
          <w:szCs w:val="24"/>
        </w:rPr>
        <w:t>1</w:t>
      </w:r>
      <w:r w:rsidR="007449A9" w:rsidRPr="005E6736">
        <w:rPr>
          <w:sz w:val="24"/>
          <w:szCs w:val="24"/>
        </w:rPr>
        <w:t>)</w:t>
      </w:r>
      <w:r w:rsidR="00227BFE">
        <w:rPr>
          <w:sz w:val="24"/>
          <w:szCs w:val="24"/>
        </w:rPr>
        <w:t>,</w:t>
      </w:r>
      <w:r w:rsidR="009406A0" w:rsidRPr="005E6736">
        <w:rPr>
          <w:sz w:val="24"/>
          <w:szCs w:val="24"/>
        </w:rPr>
        <w:t xml:space="preserve"> 15–31</w:t>
      </w:r>
      <w:r w:rsidR="00A20E1E">
        <w:rPr>
          <w:sz w:val="24"/>
          <w:szCs w:val="24"/>
        </w:rPr>
        <w:t>.</w:t>
      </w:r>
      <w:r w:rsidR="009406A0" w:rsidRPr="005E6736">
        <w:rPr>
          <w:sz w:val="24"/>
          <w:szCs w:val="24"/>
        </w:rPr>
        <w:t xml:space="preserve"> </w:t>
      </w:r>
      <w:hyperlink r:id="rId5" w:tooltip="Service-Learning...By Degrees: How Adolescents Can Make a Difference in the Real World report" w:history="1">
        <w:r w:rsidR="0012588F" w:rsidRPr="005E6736">
          <w:rPr>
            <w:rStyle w:val="Hyperlink"/>
            <w:sz w:val="24"/>
            <w:szCs w:val="24"/>
          </w:rPr>
          <w:t>https://www.researchgate.net/publication/311574186_Service-Learningby_Degrees_How_Adolescents_Can_Make_a_Difference_in_the_Real_World</w:t>
        </w:r>
      </w:hyperlink>
      <w:r w:rsidR="001D6BD5" w:rsidRPr="005E6736">
        <w:rPr>
          <w:sz w:val="24"/>
          <w:szCs w:val="24"/>
        </w:rPr>
        <w:t>.</w:t>
      </w:r>
    </w:p>
  </w:footnote>
  <w:footnote w:id="7">
    <w:p w14:paraId="1D18B642" w14:textId="3714E287" w:rsidR="008C7707" w:rsidRPr="005E6736" w:rsidRDefault="008C7707" w:rsidP="008C7707">
      <w:pPr>
        <w:pStyle w:val="FootnoteText"/>
        <w:rPr>
          <w:sz w:val="24"/>
          <w:szCs w:val="24"/>
        </w:rPr>
      </w:pPr>
      <w:r w:rsidRPr="00F90719">
        <w:rPr>
          <w:rStyle w:val="FootnoteReference"/>
          <w:sz w:val="24"/>
          <w:szCs w:val="24"/>
          <w:vertAlign w:val="baseline"/>
        </w:rPr>
        <w:footnoteRef/>
      </w:r>
      <w:r>
        <w:rPr>
          <w:sz w:val="24"/>
          <w:szCs w:val="24"/>
        </w:rPr>
        <w:t>.</w:t>
      </w:r>
      <w:r w:rsidRPr="005E6736">
        <w:rPr>
          <w:sz w:val="24"/>
          <w:szCs w:val="24"/>
        </w:rPr>
        <w:t xml:space="preserve"> California Department of Education</w:t>
      </w:r>
      <w:r>
        <w:rPr>
          <w:sz w:val="24"/>
          <w:szCs w:val="24"/>
        </w:rPr>
        <w:t>. 2023.</w:t>
      </w:r>
      <w:r w:rsidRPr="005E6736">
        <w:rPr>
          <w:sz w:val="24"/>
          <w:szCs w:val="24"/>
        </w:rPr>
        <w:t xml:space="preserve"> </w:t>
      </w:r>
      <w:r>
        <w:rPr>
          <w:sz w:val="24"/>
          <w:szCs w:val="24"/>
        </w:rPr>
        <w:t xml:space="preserve">Service Learning. </w:t>
      </w:r>
      <w:hyperlink r:id="rId6" w:tooltip="CDE Service Learning web page" w:history="1">
        <w:r w:rsidRPr="005E6736">
          <w:rPr>
            <w:rStyle w:val="Hyperlink"/>
            <w:sz w:val="24"/>
            <w:szCs w:val="24"/>
          </w:rPr>
          <w:t>https://www.cde.ca.gov/re/pr/servicelearning.asp</w:t>
        </w:r>
      </w:hyperlink>
      <w:r w:rsidRPr="005E6736">
        <w:rPr>
          <w:sz w:val="24"/>
          <w:szCs w:val="24"/>
        </w:rPr>
        <w:t>.</w:t>
      </w:r>
    </w:p>
  </w:footnote>
  <w:footnote w:id="8">
    <w:p w14:paraId="27CA212D" w14:textId="37431435" w:rsidR="00D44DE3" w:rsidRPr="00273A54" w:rsidRDefault="00D44DE3">
      <w:pPr>
        <w:pStyle w:val="FootnoteText"/>
        <w:rPr>
          <w:sz w:val="24"/>
          <w:szCs w:val="24"/>
        </w:rPr>
      </w:pPr>
      <w:r w:rsidRPr="00F90719">
        <w:rPr>
          <w:rStyle w:val="FootnoteReference"/>
          <w:sz w:val="24"/>
          <w:szCs w:val="24"/>
          <w:vertAlign w:val="baseline"/>
        </w:rPr>
        <w:footnoteRef/>
      </w:r>
      <w:r w:rsidR="005446AE">
        <w:rPr>
          <w:sz w:val="24"/>
          <w:szCs w:val="24"/>
        </w:rPr>
        <w:t>.</w:t>
      </w:r>
      <w:r w:rsidRPr="005E6736">
        <w:rPr>
          <w:sz w:val="24"/>
          <w:szCs w:val="24"/>
        </w:rPr>
        <w:t xml:space="preserve"> </w:t>
      </w:r>
      <w:r w:rsidR="000A5060" w:rsidRPr="005E6736">
        <w:rPr>
          <w:sz w:val="24"/>
          <w:szCs w:val="24"/>
        </w:rPr>
        <w:t>California Department of Education</w:t>
      </w:r>
      <w:r w:rsidR="001B3BEB">
        <w:rPr>
          <w:sz w:val="24"/>
          <w:szCs w:val="24"/>
        </w:rPr>
        <w:t xml:space="preserve">. </w:t>
      </w:r>
      <w:r w:rsidR="00964CF4" w:rsidRPr="005B0134">
        <w:rPr>
          <w:sz w:val="24"/>
          <w:szCs w:val="24"/>
        </w:rPr>
        <w:t>César E. Cháve</w:t>
      </w:r>
      <w:r w:rsidR="000A5060" w:rsidRPr="005B0134">
        <w:rPr>
          <w:sz w:val="24"/>
          <w:szCs w:val="24"/>
        </w:rPr>
        <w:t>z</w:t>
      </w:r>
      <w:r w:rsidR="001B3BEB" w:rsidRPr="005B0134">
        <w:rPr>
          <w:sz w:val="24"/>
          <w:szCs w:val="24"/>
        </w:rPr>
        <w:t>.</w:t>
      </w:r>
      <w:r w:rsidR="009C72F2" w:rsidRPr="00273A54">
        <w:rPr>
          <w:sz w:val="24"/>
          <w:szCs w:val="24"/>
        </w:rPr>
        <w:t xml:space="preserve"> </w:t>
      </w:r>
      <w:hyperlink r:id="rId7" w:tooltip="CDE Cesar E. Chavez Model Curriculum web page" w:history="1">
        <w:r w:rsidR="009C72F2" w:rsidRPr="00273A54">
          <w:rPr>
            <w:rStyle w:val="Hyperlink"/>
            <w:sz w:val="24"/>
            <w:szCs w:val="24"/>
          </w:rPr>
          <w:t>https://chavez.cde.ca.gov/ModelCurriculum/Intro.aspx</w:t>
        </w:r>
      </w:hyperlink>
      <w:r w:rsidR="001D6BD5" w:rsidRPr="00273A54">
        <w:rPr>
          <w:sz w:val="24"/>
          <w:szCs w:val="24"/>
        </w:rPr>
        <w:t>.</w:t>
      </w:r>
    </w:p>
  </w:footnote>
  <w:footnote w:id="9">
    <w:p w14:paraId="48903A29" w14:textId="6E634989" w:rsidR="00054340" w:rsidRPr="005E6736" w:rsidRDefault="00054340">
      <w:pPr>
        <w:pStyle w:val="FootnoteText"/>
        <w:rPr>
          <w:sz w:val="24"/>
          <w:szCs w:val="24"/>
        </w:rPr>
      </w:pPr>
      <w:r w:rsidRPr="00F90719">
        <w:rPr>
          <w:rStyle w:val="FootnoteReference"/>
          <w:sz w:val="24"/>
          <w:szCs w:val="24"/>
          <w:vertAlign w:val="baseline"/>
        </w:rPr>
        <w:footnoteRef/>
      </w:r>
      <w:r w:rsidR="008F53D7">
        <w:rPr>
          <w:sz w:val="24"/>
          <w:szCs w:val="24"/>
        </w:rPr>
        <w:t>.</w:t>
      </w:r>
      <w:r w:rsidRPr="005E6736">
        <w:rPr>
          <w:sz w:val="24"/>
          <w:szCs w:val="24"/>
        </w:rPr>
        <w:t xml:space="preserve"> </w:t>
      </w:r>
      <w:r w:rsidR="00FF53C7" w:rsidRPr="005E6736">
        <w:rPr>
          <w:sz w:val="24"/>
          <w:szCs w:val="24"/>
        </w:rPr>
        <w:t>California Legislative Information</w:t>
      </w:r>
      <w:r w:rsidR="00197B8E">
        <w:rPr>
          <w:sz w:val="24"/>
          <w:szCs w:val="24"/>
        </w:rPr>
        <w:t>. 2022.</w:t>
      </w:r>
      <w:r w:rsidR="00FF53C7" w:rsidRPr="005E6736">
        <w:rPr>
          <w:sz w:val="24"/>
          <w:szCs w:val="24"/>
        </w:rPr>
        <w:t xml:space="preserve"> </w:t>
      </w:r>
      <w:r w:rsidRPr="00C730A4">
        <w:rPr>
          <w:sz w:val="24"/>
          <w:szCs w:val="24"/>
        </w:rPr>
        <w:t>Assembly Bill 181, Section 71</w:t>
      </w:r>
      <w:r w:rsidR="00176FA4" w:rsidRPr="00C730A4">
        <w:rPr>
          <w:sz w:val="24"/>
          <w:szCs w:val="24"/>
        </w:rPr>
        <w:t>:</w:t>
      </w:r>
      <w:r w:rsidR="00CD5553" w:rsidRPr="00C730A4">
        <w:rPr>
          <w:sz w:val="24"/>
          <w:szCs w:val="24"/>
        </w:rPr>
        <w:t xml:space="preserve"> Education Omnibus Budget Trailer Bill</w:t>
      </w:r>
      <w:r w:rsidR="00C730A4" w:rsidRPr="00C730A4">
        <w:rPr>
          <w:sz w:val="24"/>
          <w:szCs w:val="24"/>
        </w:rPr>
        <w:t xml:space="preserve">. </w:t>
      </w:r>
      <w:hyperlink r:id="rId8" w:anchor=":~:text=SEC.%2071.,appropriation%20is%20made" w:tooltip="California Legislative Information web page" w:history="1">
        <w:r w:rsidR="001D6BD5" w:rsidRPr="005E6736">
          <w:rPr>
            <w:rStyle w:val="Hyperlink"/>
            <w:sz w:val="24"/>
            <w:szCs w:val="24"/>
          </w:rPr>
          <w:t>https://leginfo.legislature.ca.gov/faces/billNavClient.xhtml?bill_id=202120220AB181#:~:text=SEC.%2071.,appropriation%20is%20made</w:t>
        </w:r>
      </w:hyperlink>
      <w:r w:rsidRPr="005E6736">
        <w:rPr>
          <w:sz w:val="24"/>
          <w:szCs w:val="24"/>
        </w:rPr>
        <w:t>.</w:t>
      </w:r>
    </w:p>
  </w:footnote>
  <w:footnote w:id="10">
    <w:p w14:paraId="266154E2" w14:textId="1D99598C" w:rsidR="00D7480F" w:rsidRDefault="00D7480F">
      <w:pPr>
        <w:pStyle w:val="FootnoteText"/>
      </w:pPr>
      <w:r w:rsidRPr="00F90719">
        <w:rPr>
          <w:rStyle w:val="FootnoteReference"/>
          <w:sz w:val="24"/>
          <w:szCs w:val="24"/>
          <w:vertAlign w:val="baseline"/>
        </w:rPr>
        <w:footnoteRef/>
      </w:r>
      <w:r w:rsidR="008F53D7" w:rsidRPr="00F90719">
        <w:rPr>
          <w:sz w:val="24"/>
          <w:szCs w:val="24"/>
        </w:rPr>
        <w:t>.</w:t>
      </w:r>
      <w:r w:rsidRPr="00F90719">
        <w:rPr>
          <w:sz w:val="24"/>
          <w:szCs w:val="24"/>
        </w:rPr>
        <w:t xml:space="preserve"> </w:t>
      </w:r>
      <w:r w:rsidRPr="005E6736">
        <w:rPr>
          <w:sz w:val="24"/>
          <w:szCs w:val="24"/>
        </w:rPr>
        <w:t>Youth.</w:t>
      </w:r>
      <w:r w:rsidR="002A6514">
        <w:rPr>
          <w:sz w:val="24"/>
          <w:szCs w:val="24"/>
        </w:rPr>
        <w:t>g</w:t>
      </w:r>
      <w:r w:rsidRPr="005E6736">
        <w:rPr>
          <w:sz w:val="24"/>
          <w:szCs w:val="24"/>
        </w:rPr>
        <w:t>ov</w:t>
      </w:r>
      <w:r>
        <w:rPr>
          <w:sz w:val="24"/>
          <w:szCs w:val="24"/>
        </w:rPr>
        <w:t>.</w:t>
      </w:r>
      <w:r w:rsidRPr="005E6736">
        <w:rPr>
          <w:sz w:val="24"/>
          <w:szCs w:val="24"/>
        </w:rPr>
        <w:t xml:space="preserve"> </w:t>
      </w:r>
      <w:r w:rsidRPr="00C730A4">
        <w:rPr>
          <w:sz w:val="24"/>
          <w:szCs w:val="24"/>
        </w:rPr>
        <w:t>Civic Engagement.</w:t>
      </w:r>
      <w:r w:rsidRPr="005E6736">
        <w:rPr>
          <w:i/>
          <w:iCs/>
          <w:sz w:val="24"/>
          <w:szCs w:val="24"/>
        </w:rPr>
        <w:t xml:space="preserve"> </w:t>
      </w:r>
      <w:hyperlink r:id="rId9" w:tooltip="Youth.gov Civic Engagement web page" w:history="1">
        <w:r w:rsidRPr="005E6736">
          <w:rPr>
            <w:rStyle w:val="Hyperlink"/>
            <w:sz w:val="24"/>
            <w:szCs w:val="24"/>
          </w:rPr>
          <w:t>https://youth.gov/youth-topics/civic-engagement-and-volunteering</w:t>
        </w:r>
      </w:hyperlink>
      <w:r w:rsidRPr="005E6736">
        <w:rPr>
          <w:sz w:val="24"/>
          <w:szCs w:val="24"/>
        </w:rPr>
        <w:t>.</w:t>
      </w:r>
    </w:p>
  </w:footnote>
  <w:footnote w:id="11">
    <w:p w14:paraId="1293F54F" w14:textId="175F2716" w:rsidR="004623BE" w:rsidRPr="005E6736" w:rsidRDefault="004623BE">
      <w:pPr>
        <w:pStyle w:val="FootnoteText"/>
        <w:rPr>
          <w:sz w:val="24"/>
          <w:szCs w:val="24"/>
        </w:rPr>
      </w:pPr>
      <w:r w:rsidRPr="00F90719">
        <w:rPr>
          <w:rStyle w:val="FootnoteReference"/>
          <w:sz w:val="24"/>
          <w:szCs w:val="24"/>
          <w:vertAlign w:val="baseline"/>
        </w:rPr>
        <w:footnoteRef/>
      </w:r>
      <w:r w:rsidR="008F53D7">
        <w:rPr>
          <w:sz w:val="24"/>
          <w:szCs w:val="24"/>
        </w:rPr>
        <w:t>.</w:t>
      </w:r>
      <w:r w:rsidR="00C9577F" w:rsidRPr="008F53D7">
        <w:rPr>
          <w:sz w:val="24"/>
          <w:szCs w:val="24"/>
        </w:rPr>
        <w:t xml:space="preserve"> </w:t>
      </w:r>
      <w:r w:rsidR="008B0C4A" w:rsidRPr="005E6736">
        <w:rPr>
          <w:sz w:val="24"/>
          <w:szCs w:val="24"/>
        </w:rPr>
        <w:t>Youth.</w:t>
      </w:r>
      <w:r w:rsidR="002A6514">
        <w:rPr>
          <w:sz w:val="24"/>
          <w:szCs w:val="24"/>
        </w:rPr>
        <w:t>g</w:t>
      </w:r>
      <w:r w:rsidR="00C9577F" w:rsidRPr="005E6736">
        <w:rPr>
          <w:sz w:val="24"/>
          <w:szCs w:val="24"/>
        </w:rPr>
        <w:t>ov</w:t>
      </w:r>
      <w:r w:rsidR="00C730A4">
        <w:rPr>
          <w:sz w:val="24"/>
          <w:szCs w:val="24"/>
        </w:rPr>
        <w:t>.</w:t>
      </w:r>
      <w:r w:rsidR="00C9577F" w:rsidRPr="005E6736">
        <w:rPr>
          <w:sz w:val="24"/>
          <w:szCs w:val="24"/>
        </w:rPr>
        <w:t xml:space="preserve"> </w:t>
      </w:r>
      <w:r w:rsidR="00C9577F" w:rsidRPr="00C730A4">
        <w:rPr>
          <w:sz w:val="24"/>
          <w:szCs w:val="24"/>
        </w:rPr>
        <w:t>Civic Engagement</w:t>
      </w:r>
      <w:r w:rsidR="00C730A4" w:rsidRPr="00C730A4">
        <w:rPr>
          <w:sz w:val="24"/>
          <w:szCs w:val="24"/>
        </w:rPr>
        <w:t>.</w:t>
      </w:r>
      <w:r w:rsidRPr="005E6736">
        <w:rPr>
          <w:i/>
          <w:iCs/>
          <w:sz w:val="24"/>
          <w:szCs w:val="24"/>
        </w:rPr>
        <w:t xml:space="preserve"> </w:t>
      </w:r>
      <w:hyperlink r:id="rId10" w:tooltip="Youth.gov Civic Engagement web page" w:history="1">
        <w:r w:rsidR="000B3AD2" w:rsidRPr="005E6736">
          <w:rPr>
            <w:rStyle w:val="Hyperlink"/>
            <w:sz w:val="24"/>
            <w:szCs w:val="24"/>
          </w:rPr>
          <w:t>https://youth.gov/youth-topics/civic-engagement-and-volunteering</w:t>
        </w:r>
      </w:hyperlink>
      <w:r w:rsidR="000B3AD2" w:rsidRPr="005E6736">
        <w:rPr>
          <w:sz w:val="24"/>
          <w:szCs w:val="24"/>
        </w:rPr>
        <w:t>.</w:t>
      </w:r>
    </w:p>
  </w:footnote>
  <w:footnote w:id="12">
    <w:p w14:paraId="336398A2" w14:textId="1BD9DD76" w:rsidR="00F01607" w:rsidRPr="00A20E1E" w:rsidRDefault="00F01607">
      <w:pPr>
        <w:pStyle w:val="FootnoteText"/>
        <w:rPr>
          <w:sz w:val="24"/>
          <w:szCs w:val="24"/>
        </w:rPr>
      </w:pPr>
      <w:r w:rsidRPr="00E430E1">
        <w:rPr>
          <w:rStyle w:val="FootnoteReference"/>
          <w:sz w:val="24"/>
          <w:szCs w:val="24"/>
          <w:vertAlign w:val="baseline"/>
        </w:rPr>
        <w:footnoteRef/>
      </w:r>
      <w:r w:rsidR="00E430E1">
        <w:rPr>
          <w:sz w:val="24"/>
          <w:szCs w:val="24"/>
        </w:rPr>
        <w:t>.</w:t>
      </w:r>
      <w:r w:rsidRPr="00E430E1">
        <w:rPr>
          <w:sz w:val="24"/>
          <w:szCs w:val="24"/>
        </w:rPr>
        <w:t xml:space="preserve"> </w:t>
      </w:r>
      <w:r w:rsidR="00593BEC" w:rsidRPr="005E6736">
        <w:rPr>
          <w:sz w:val="24"/>
          <w:szCs w:val="24"/>
        </w:rPr>
        <w:t>California Department of Education</w:t>
      </w:r>
      <w:r w:rsidR="00A20E1E">
        <w:rPr>
          <w:sz w:val="24"/>
          <w:szCs w:val="24"/>
        </w:rPr>
        <w:t xml:space="preserve">. </w:t>
      </w:r>
      <w:r w:rsidR="00A20E1E" w:rsidRPr="001543E5">
        <w:rPr>
          <w:sz w:val="24"/>
          <w:szCs w:val="24"/>
        </w:rPr>
        <w:t>2017</w:t>
      </w:r>
      <w:r w:rsidR="00A20E1E">
        <w:rPr>
          <w:sz w:val="24"/>
          <w:szCs w:val="24"/>
        </w:rPr>
        <w:t>.</w:t>
      </w:r>
      <w:r w:rsidR="00B77A1D">
        <w:rPr>
          <w:sz w:val="24"/>
          <w:szCs w:val="24"/>
        </w:rPr>
        <w:t xml:space="preserve"> </w:t>
      </w:r>
      <w:r w:rsidR="00EB7EAA" w:rsidRPr="00B77A1D">
        <w:rPr>
          <w:i/>
          <w:iCs/>
          <w:sz w:val="24"/>
          <w:szCs w:val="24"/>
        </w:rPr>
        <w:t>California History–Social Science Framework</w:t>
      </w:r>
      <w:r w:rsidR="000B1893" w:rsidRPr="00B77A1D">
        <w:rPr>
          <w:i/>
          <w:iCs/>
          <w:sz w:val="24"/>
          <w:szCs w:val="24"/>
        </w:rPr>
        <w:t xml:space="preserve">, </w:t>
      </w:r>
      <w:r w:rsidR="00EB7EAA" w:rsidRPr="00B77A1D">
        <w:rPr>
          <w:i/>
          <w:iCs/>
          <w:sz w:val="24"/>
          <w:szCs w:val="24"/>
        </w:rPr>
        <w:t xml:space="preserve">Appendix H: </w:t>
      </w:r>
      <w:r w:rsidR="005F007F" w:rsidRPr="00B77A1D">
        <w:rPr>
          <w:i/>
          <w:iCs/>
          <w:sz w:val="24"/>
          <w:szCs w:val="24"/>
        </w:rPr>
        <w:t>Practicing Civic Engagement: Service-Learning in the History–Social Science Framework</w:t>
      </w:r>
      <w:r w:rsidR="00A20E1E">
        <w:rPr>
          <w:sz w:val="24"/>
          <w:szCs w:val="24"/>
        </w:rPr>
        <w:t xml:space="preserve">. </w:t>
      </w:r>
      <w:r w:rsidR="00A20E1E" w:rsidRPr="00A20E1E">
        <w:rPr>
          <w:sz w:val="24"/>
          <w:szCs w:val="24"/>
        </w:rPr>
        <w:t xml:space="preserve">Sacramento, CA: </w:t>
      </w:r>
      <w:r w:rsidR="00A20E1E" w:rsidRPr="005B0134">
        <w:rPr>
          <w:sz w:val="24"/>
          <w:szCs w:val="24"/>
        </w:rPr>
        <w:t>California Department of Education</w:t>
      </w:r>
      <w:r w:rsidR="00B77A1D" w:rsidRPr="00A20E1E">
        <w:rPr>
          <w:sz w:val="24"/>
          <w:szCs w:val="24"/>
        </w:rPr>
        <w:t xml:space="preserve">, </w:t>
      </w:r>
      <w:r w:rsidR="005F007F" w:rsidRPr="00A20E1E">
        <w:rPr>
          <w:sz w:val="24"/>
          <w:szCs w:val="24"/>
        </w:rPr>
        <w:t>813–814</w:t>
      </w:r>
      <w:r w:rsidR="00A20E1E">
        <w:rPr>
          <w:sz w:val="24"/>
          <w:szCs w:val="24"/>
        </w:rPr>
        <w:t>.</w:t>
      </w:r>
      <w:r w:rsidR="00A20E1E" w:rsidRPr="00A20E1E">
        <w:rPr>
          <w:sz w:val="24"/>
          <w:szCs w:val="24"/>
        </w:rPr>
        <w:t xml:space="preserve"> </w:t>
      </w:r>
      <w:hyperlink r:id="rId11" w:tooltip="CDE History Social Science Framework publication" w:history="1">
        <w:r w:rsidR="005C5E7A" w:rsidRPr="00A20E1E">
          <w:rPr>
            <w:rStyle w:val="Hyperlink"/>
            <w:sz w:val="24"/>
            <w:szCs w:val="24"/>
          </w:rPr>
          <w:t>https://www.cde.ca.gov/ci/hs/cf/documents/hssfwchapter16.pdf</w:t>
        </w:r>
      </w:hyperlink>
      <w:r w:rsidR="00975E92" w:rsidRPr="00A20E1E">
        <w:rPr>
          <w:sz w:val="24"/>
          <w:szCs w:val="24"/>
        </w:rPr>
        <w:t>.</w:t>
      </w:r>
    </w:p>
  </w:footnote>
  <w:footnote w:id="13">
    <w:p w14:paraId="57B6018B" w14:textId="5719CB62" w:rsidR="00190EA5" w:rsidRPr="005E6736" w:rsidRDefault="00190EA5" w:rsidP="00190EA5">
      <w:pPr>
        <w:pStyle w:val="FootnoteText"/>
        <w:rPr>
          <w:sz w:val="24"/>
          <w:szCs w:val="24"/>
        </w:rPr>
      </w:pPr>
      <w:r w:rsidRPr="00E430E1">
        <w:rPr>
          <w:rStyle w:val="FootnoteReference"/>
          <w:sz w:val="24"/>
          <w:szCs w:val="24"/>
          <w:vertAlign w:val="baseline"/>
        </w:rPr>
        <w:footnoteRef/>
      </w:r>
      <w:r>
        <w:rPr>
          <w:sz w:val="24"/>
          <w:szCs w:val="24"/>
        </w:rPr>
        <w:t>.</w:t>
      </w:r>
      <w:r w:rsidRPr="00E430E1">
        <w:rPr>
          <w:sz w:val="24"/>
          <w:szCs w:val="24"/>
        </w:rPr>
        <w:t xml:space="preserve"> </w:t>
      </w:r>
      <w:r w:rsidRPr="005E6736">
        <w:rPr>
          <w:sz w:val="24"/>
          <w:szCs w:val="24"/>
        </w:rPr>
        <w:t>National Youth Leadership Council</w:t>
      </w:r>
      <w:r>
        <w:rPr>
          <w:sz w:val="24"/>
          <w:szCs w:val="24"/>
        </w:rPr>
        <w:t>.</w:t>
      </w:r>
      <w:r w:rsidRPr="005E6736">
        <w:rPr>
          <w:sz w:val="24"/>
          <w:szCs w:val="24"/>
        </w:rPr>
        <w:t xml:space="preserve"> </w:t>
      </w:r>
      <w:r w:rsidRPr="00B77A1D">
        <w:rPr>
          <w:sz w:val="24"/>
          <w:szCs w:val="24"/>
        </w:rPr>
        <w:t>Why Service-Learning?</w:t>
      </w:r>
      <w:r w:rsidRPr="005E6736">
        <w:rPr>
          <w:i/>
          <w:iCs/>
          <w:sz w:val="24"/>
          <w:szCs w:val="24"/>
        </w:rPr>
        <w:t xml:space="preserve"> </w:t>
      </w:r>
      <w:hyperlink r:id="rId12" w:tooltip="National Youth Leadership Council Service-Learning web page" w:history="1">
        <w:r w:rsidRPr="005E6736">
          <w:rPr>
            <w:rStyle w:val="Hyperlink"/>
            <w:sz w:val="24"/>
            <w:szCs w:val="24"/>
          </w:rPr>
          <w:t>https://nylc.org/why</w:t>
        </w:r>
      </w:hyperlink>
      <w:r w:rsidRPr="005E6736">
        <w:rPr>
          <w:sz w:val="24"/>
          <w:szCs w:val="24"/>
        </w:rPr>
        <w:t>.</w:t>
      </w:r>
    </w:p>
  </w:footnote>
  <w:footnote w:id="14">
    <w:p w14:paraId="538C77C3" w14:textId="243BB1DC" w:rsidR="00F44AE9" w:rsidRPr="00B77A1D" w:rsidRDefault="00F44AE9">
      <w:pPr>
        <w:pStyle w:val="FootnoteText"/>
        <w:rPr>
          <w:sz w:val="24"/>
          <w:szCs w:val="24"/>
        </w:rPr>
      </w:pPr>
      <w:r w:rsidRPr="00E430E1">
        <w:rPr>
          <w:rStyle w:val="FootnoteReference"/>
          <w:sz w:val="24"/>
          <w:szCs w:val="24"/>
          <w:vertAlign w:val="baseline"/>
        </w:rPr>
        <w:footnoteRef/>
      </w:r>
      <w:r w:rsidR="00E430E1">
        <w:rPr>
          <w:sz w:val="24"/>
          <w:szCs w:val="24"/>
        </w:rPr>
        <w:t>.</w:t>
      </w:r>
      <w:r w:rsidRPr="00E430E1">
        <w:rPr>
          <w:sz w:val="24"/>
          <w:szCs w:val="24"/>
        </w:rPr>
        <w:t xml:space="preserve"> </w:t>
      </w:r>
      <w:r w:rsidR="00214DC1" w:rsidRPr="00B77A1D">
        <w:rPr>
          <w:sz w:val="24"/>
          <w:szCs w:val="24"/>
        </w:rPr>
        <w:t>National Youth Leadership Council</w:t>
      </w:r>
      <w:r w:rsidR="00B77A1D">
        <w:rPr>
          <w:sz w:val="24"/>
          <w:szCs w:val="24"/>
        </w:rPr>
        <w:t>.</w:t>
      </w:r>
      <w:r w:rsidR="00214DC1" w:rsidRPr="00B77A1D">
        <w:rPr>
          <w:sz w:val="24"/>
          <w:szCs w:val="24"/>
        </w:rPr>
        <w:t xml:space="preserve"> Why Service-Learning? </w:t>
      </w:r>
      <w:hyperlink r:id="rId13" w:tooltip="National Youth Leadership Council Service Learning web page" w:history="1">
        <w:r w:rsidR="002F54DB" w:rsidRPr="00B77A1D">
          <w:rPr>
            <w:rStyle w:val="Hyperlink"/>
            <w:sz w:val="24"/>
            <w:szCs w:val="24"/>
          </w:rPr>
          <w:t>https://nylc.org/why</w:t>
        </w:r>
      </w:hyperlink>
      <w:r w:rsidR="00062CC1" w:rsidRPr="00B77A1D">
        <w:rPr>
          <w:sz w:val="24"/>
          <w:szCs w:val="24"/>
        </w:rPr>
        <w:t>.</w:t>
      </w:r>
    </w:p>
  </w:footnote>
  <w:footnote w:id="15">
    <w:p w14:paraId="75722F4C" w14:textId="56FF84DB" w:rsidR="00614B08" w:rsidRPr="005E6736" w:rsidRDefault="00614B08" w:rsidP="00614B08">
      <w:pPr>
        <w:pStyle w:val="FootnoteText"/>
        <w:rPr>
          <w:sz w:val="24"/>
          <w:szCs w:val="24"/>
        </w:rPr>
      </w:pPr>
      <w:r w:rsidRPr="00F90719">
        <w:rPr>
          <w:rStyle w:val="FootnoteReference"/>
          <w:sz w:val="24"/>
          <w:szCs w:val="24"/>
          <w:vertAlign w:val="baseline"/>
        </w:rPr>
        <w:footnoteRef/>
      </w:r>
      <w:r>
        <w:rPr>
          <w:sz w:val="24"/>
          <w:szCs w:val="24"/>
        </w:rPr>
        <w:t>.</w:t>
      </w:r>
      <w:r w:rsidRPr="005E6736">
        <w:rPr>
          <w:sz w:val="24"/>
          <w:szCs w:val="24"/>
        </w:rPr>
        <w:t xml:space="preserve"> Lisa Guilfoile and Brady Delander</w:t>
      </w:r>
      <w:r w:rsidR="00A20E1E">
        <w:rPr>
          <w:sz w:val="24"/>
          <w:szCs w:val="24"/>
        </w:rPr>
        <w:t xml:space="preserve">. </w:t>
      </w:r>
      <w:r w:rsidR="00A20E1E" w:rsidRPr="005E6736">
        <w:rPr>
          <w:sz w:val="24"/>
          <w:szCs w:val="24"/>
        </w:rPr>
        <w:t>2014</w:t>
      </w:r>
      <w:r w:rsidR="00A20E1E">
        <w:rPr>
          <w:sz w:val="24"/>
          <w:szCs w:val="24"/>
        </w:rPr>
        <w:t>.</w:t>
      </w:r>
      <w:r w:rsidR="00A20E1E" w:rsidRPr="005E6736">
        <w:rPr>
          <w:sz w:val="24"/>
          <w:szCs w:val="24"/>
        </w:rPr>
        <w:t xml:space="preserve"> </w:t>
      </w:r>
      <w:r w:rsidRPr="005E6736">
        <w:rPr>
          <w:i/>
          <w:iCs/>
          <w:sz w:val="24"/>
          <w:szCs w:val="24"/>
        </w:rPr>
        <w:t>Guidebook: Six Proven Practices for Effective Civic Learning</w:t>
      </w:r>
      <w:r w:rsidR="00A20E1E">
        <w:rPr>
          <w:sz w:val="24"/>
          <w:szCs w:val="24"/>
        </w:rPr>
        <w:t>.</w:t>
      </w:r>
      <w:r w:rsidRPr="005E6736">
        <w:rPr>
          <w:i/>
          <w:iCs/>
          <w:sz w:val="24"/>
          <w:szCs w:val="24"/>
        </w:rPr>
        <w:t xml:space="preserve"> </w:t>
      </w:r>
      <w:r w:rsidRPr="005E6736">
        <w:rPr>
          <w:sz w:val="24"/>
          <w:szCs w:val="24"/>
        </w:rPr>
        <w:t>Education Commission of the States, National Center for Learning and Civic Engagement</w:t>
      </w:r>
      <w:r w:rsidR="00A20E1E">
        <w:rPr>
          <w:sz w:val="24"/>
          <w:szCs w:val="24"/>
        </w:rPr>
        <w:t>.</w:t>
      </w:r>
      <w:r w:rsidRPr="005E6736">
        <w:rPr>
          <w:sz w:val="24"/>
          <w:szCs w:val="24"/>
        </w:rPr>
        <w:t xml:space="preserve"> </w:t>
      </w:r>
      <w:hyperlink r:id="rId14" w:tooltip="Education Commission of the States Guidebook: Six Proven Practices for Effective Civic Learning report" w:history="1">
        <w:r w:rsidRPr="005E6736">
          <w:rPr>
            <w:rStyle w:val="Hyperlink"/>
            <w:sz w:val="24"/>
            <w:szCs w:val="24"/>
          </w:rPr>
          <w:t>http://www.ecs.org/clearinghouse/01/10/48/11048.pdf</w:t>
        </w:r>
      </w:hyperlink>
      <w:r w:rsidRPr="005E6736">
        <w:rPr>
          <w:sz w:val="24"/>
          <w:szCs w:val="24"/>
        </w:rPr>
        <w:t>.</w:t>
      </w:r>
    </w:p>
  </w:footnote>
  <w:footnote w:id="16">
    <w:p w14:paraId="4282069F" w14:textId="23989F1A" w:rsidR="00B11BBC" w:rsidRPr="00854331" w:rsidRDefault="00B11BBC" w:rsidP="00DF465B">
      <w:pPr>
        <w:pStyle w:val="FootnoteText"/>
        <w:rPr>
          <w:sz w:val="24"/>
          <w:szCs w:val="24"/>
        </w:rPr>
      </w:pPr>
      <w:r w:rsidRPr="00F90719">
        <w:rPr>
          <w:rStyle w:val="FootnoteReference"/>
          <w:sz w:val="24"/>
          <w:szCs w:val="24"/>
          <w:vertAlign w:val="baseline"/>
        </w:rPr>
        <w:footnoteRef/>
      </w:r>
      <w:r w:rsidR="0001441A">
        <w:rPr>
          <w:sz w:val="24"/>
          <w:szCs w:val="24"/>
        </w:rPr>
        <w:t>.</w:t>
      </w:r>
      <w:r w:rsidRPr="0001441A">
        <w:rPr>
          <w:sz w:val="24"/>
          <w:szCs w:val="24"/>
        </w:rPr>
        <w:t xml:space="preserve"> </w:t>
      </w:r>
      <w:r w:rsidR="002F54DB" w:rsidRPr="00854331">
        <w:rPr>
          <w:sz w:val="24"/>
          <w:szCs w:val="24"/>
        </w:rPr>
        <w:t>Youth.</w:t>
      </w:r>
      <w:r w:rsidR="00F2299D" w:rsidRPr="00854331">
        <w:rPr>
          <w:sz w:val="24"/>
          <w:szCs w:val="24"/>
        </w:rPr>
        <w:t>g</w:t>
      </w:r>
      <w:r w:rsidR="002F54DB" w:rsidRPr="00854331">
        <w:rPr>
          <w:sz w:val="24"/>
          <w:szCs w:val="24"/>
        </w:rPr>
        <w:t>ov</w:t>
      </w:r>
      <w:r w:rsidR="00854331">
        <w:rPr>
          <w:sz w:val="24"/>
          <w:szCs w:val="24"/>
        </w:rPr>
        <w:t xml:space="preserve">. </w:t>
      </w:r>
      <w:r w:rsidR="00C37CD6" w:rsidRPr="00854331">
        <w:rPr>
          <w:sz w:val="24"/>
          <w:szCs w:val="24"/>
        </w:rPr>
        <w:t>Service-Learning</w:t>
      </w:r>
      <w:r w:rsidR="00854331">
        <w:rPr>
          <w:sz w:val="24"/>
          <w:szCs w:val="24"/>
        </w:rPr>
        <w:t>.</w:t>
      </w:r>
      <w:r w:rsidR="002F54DB" w:rsidRPr="00854331">
        <w:rPr>
          <w:sz w:val="24"/>
          <w:szCs w:val="24"/>
        </w:rPr>
        <w:t xml:space="preserve"> </w:t>
      </w:r>
      <w:hyperlink r:id="rId15" w:anchor="_ftn" w:tooltip="Youth.gov Service-Learning web page" w:history="1">
        <w:r w:rsidR="00C37CD6" w:rsidRPr="00854331">
          <w:rPr>
            <w:rStyle w:val="Hyperlink"/>
            <w:sz w:val="24"/>
            <w:szCs w:val="24"/>
          </w:rPr>
          <w:t>https://youth.gov/youth-topics/civic-engagement-and-volunteering/service-learning#_ftn</w:t>
        </w:r>
      </w:hyperlink>
      <w:r w:rsidR="0018168E" w:rsidRPr="00854331">
        <w:rPr>
          <w:sz w:val="24"/>
          <w:szCs w:val="24"/>
        </w:rPr>
        <w:t>.</w:t>
      </w:r>
    </w:p>
  </w:footnote>
  <w:footnote w:id="17">
    <w:p w14:paraId="4575A3FF" w14:textId="7FBD2977" w:rsidR="00345126" w:rsidRPr="005E6736" w:rsidRDefault="00345126" w:rsidP="00DF465B">
      <w:pPr>
        <w:spacing w:after="0"/>
        <w:rPr>
          <w:szCs w:val="24"/>
          <w:lang w:val="en"/>
        </w:rPr>
      </w:pPr>
      <w:r w:rsidRPr="00F90719">
        <w:rPr>
          <w:rStyle w:val="FootnoteReference"/>
          <w:szCs w:val="24"/>
          <w:vertAlign w:val="baseline"/>
        </w:rPr>
        <w:footnoteRef/>
      </w:r>
      <w:r w:rsidR="0001441A">
        <w:rPr>
          <w:szCs w:val="24"/>
        </w:rPr>
        <w:t>.</w:t>
      </w:r>
      <w:r w:rsidRPr="0001441A">
        <w:rPr>
          <w:szCs w:val="24"/>
        </w:rPr>
        <w:t xml:space="preserve"> </w:t>
      </w:r>
      <w:r w:rsidR="001B677F" w:rsidRPr="005E6736">
        <w:rPr>
          <w:szCs w:val="24"/>
        </w:rPr>
        <w:t>E</w:t>
      </w:r>
      <w:r w:rsidR="00934993">
        <w:rPr>
          <w:szCs w:val="24"/>
        </w:rPr>
        <w:t xml:space="preserve">ugene </w:t>
      </w:r>
      <w:r w:rsidR="001B677F" w:rsidRPr="005E6736">
        <w:rPr>
          <w:szCs w:val="24"/>
        </w:rPr>
        <w:t xml:space="preserve">C. </w:t>
      </w:r>
      <w:r w:rsidRPr="005E6736">
        <w:rPr>
          <w:szCs w:val="24"/>
          <w:lang w:val="en"/>
        </w:rPr>
        <w:t>Roehlkepartai</w:t>
      </w:r>
      <w:r w:rsidR="001B677F" w:rsidRPr="005E6736">
        <w:rPr>
          <w:szCs w:val="24"/>
          <w:lang w:val="en"/>
        </w:rPr>
        <w:t>n</w:t>
      </w:r>
      <w:r w:rsidR="00A20E1E">
        <w:rPr>
          <w:szCs w:val="24"/>
          <w:lang w:val="en"/>
        </w:rPr>
        <w:t xml:space="preserve">. </w:t>
      </w:r>
      <w:r w:rsidR="00A20E1E" w:rsidRPr="005E6736">
        <w:rPr>
          <w:szCs w:val="24"/>
          <w:lang w:val="en"/>
        </w:rPr>
        <w:t>2007</w:t>
      </w:r>
      <w:r w:rsidR="00A20E1E">
        <w:rPr>
          <w:szCs w:val="24"/>
          <w:lang w:val="en"/>
        </w:rPr>
        <w:t>.</w:t>
      </w:r>
      <w:r w:rsidR="00A20E1E" w:rsidRPr="005E6736">
        <w:rPr>
          <w:szCs w:val="24"/>
          <w:lang w:val="en"/>
        </w:rPr>
        <w:t xml:space="preserve"> </w:t>
      </w:r>
      <w:r w:rsidRPr="005E6736">
        <w:rPr>
          <w:i/>
          <w:iCs/>
          <w:szCs w:val="24"/>
          <w:lang w:val="en"/>
        </w:rPr>
        <w:t xml:space="preserve">Benefits of </w:t>
      </w:r>
      <w:r w:rsidR="00667BF3">
        <w:rPr>
          <w:i/>
          <w:iCs/>
          <w:szCs w:val="24"/>
          <w:lang w:val="en"/>
        </w:rPr>
        <w:t>C</w:t>
      </w:r>
      <w:r w:rsidRPr="005E6736">
        <w:rPr>
          <w:i/>
          <w:iCs/>
          <w:szCs w:val="24"/>
          <w:lang w:val="en"/>
        </w:rPr>
        <w:t>ommunity-</w:t>
      </w:r>
      <w:r w:rsidR="00667BF3">
        <w:rPr>
          <w:i/>
          <w:iCs/>
          <w:szCs w:val="24"/>
          <w:lang w:val="en"/>
        </w:rPr>
        <w:t>B</w:t>
      </w:r>
      <w:r w:rsidRPr="005E6736">
        <w:rPr>
          <w:i/>
          <w:iCs/>
          <w:szCs w:val="24"/>
          <w:lang w:val="en"/>
        </w:rPr>
        <w:t xml:space="preserve">ased </w:t>
      </w:r>
      <w:r w:rsidR="00667BF3">
        <w:rPr>
          <w:i/>
          <w:iCs/>
          <w:szCs w:val="24"/>
          <w:lang w:val="en"/>
        </w:rPr>
        <w:t>S</w:t>
      </w:r>
      <w:r w:rsidRPr="005E6736">
        <w:rPr>
          <w:i/>
          <w:iCs/>
          <w:szCs w:val="24"/>
          <w:lang w:val="en"/>
        </w:rPr>
        <w:t>ervice-</w:t>
      </w:r>
      <w:r w:rsidR="00A20E1E">
        <w:rPr>
          <w:i/>
          <w:iCs/>
          <w:szCs w:val="24"/>
          <w:lang w:val="en"/>
        </w:rPr>
        <w:t>L</w:t>
      </w:r>
      <w:r w:rsidR="00A20E1E" w:rsidRPr="005E6736">
        <w:rPr>
          <w:i/>
          <w:iCs/>
          <w:szCs w:val="24"/>
          <w:lang w:val="en"/>
        </w:rPr>
        <w:t>earning</w:t>
      </w:r>
      <w:r w:rsidR="00A20E1E" w:rsidRPr="005B0134">
        <w:rPr>
          <w:szCs w:val="24"/>
          <w:lang w:val="en"/>
        </w:rPr>
        <w:t>.</w:t>
      </w:r>
      <w:r w:rsidR="00A20E1E">
        <w:rPr>
          <w:i/>
          <w:iCs/>
          <w:szCs w:val="24"/>
          <w:lang w:val="en"/>
        </w:rPr>
        <w:t xml:space="preserve"> </w:t>
      </w:r>
      <w:r w:rsidRPr="005E6736">
        <w:rPr>
          <w:szCs w:val="24"/>
          <w:lang w:val="en"/>
        </w:rPr>
        <w:t>Scotts Valley, CA: National Service-Learning Clearinghouse</w:t>
      </w:r>
      <w:r w:rsidR="00A20E1E">
        <w:rPr>
          <w:szCs w:val="24"/>
          <w:lang w:val="en"/>
        </w:rPr>
        <w:t>.</w:t>
      </w:r>
      <w:r w:rsidRPr="005E6736">
        <w:rPr>
          <w:szCs w:val="24"/>
          <w:lang w:val="en"/>
        </w:rPr>
        <w:t xml:space="preserve"> </w:t>
      </w:r>
      <w:hyperlink r:id="rId16" w:tooltip="Learn and Serve Clearninghouse Benefits of Community-Based Service-Learning fact sheet" w:history="1">
        <w:r w:rsidR="00A31A7B" w:rsidRPr="005E6736">
          <w:rPr>
            <w:rStyle w:val="Hyperlink"/>
            <w:szCs w:val="24"/>
            <w:lang w:val="en"/>
          </w:rPr>
          <w:t>https://www.search-institute.org/downloadable/2007-Roehlkepartain-CBO-Benefits-SL-NSLC.pdf</w:t>
        </w:r>
      </w:hyperlink>
      <w:r w:rsidR="0018168E" w:rsidRPr="005E6736">
        <w:rPr>
          <w:rStyle w:val="Hyperlink"/>
          <w:color w:val="auto"/>
          <w:szCs w:val="24"/>
          <w:u w:val="none"/>
          <w:lang w:val="en"/>
        </w:rPr>
        <w:t>.</w:t>
      </w:r>
    </w:p>
  </w:footnote>
  <w:footnote w:id="18">
    <w:p w14:paraId="33F02B5C" w14:textId="7E808B2B" w:rsidR="006D7D06" w:rsidRPr="005E6736" w:rsidRDefault="006D7D06">
      <w:pPr>
        <w:pStyle w:val="FootnoteText"/>
        <w:rPr>
          <w:sz w:val="24"/>
          <w:szCs w:val="24"/>
        </w:rPr>
      </w:pPr>
      <w:r w:rsidRPr="00030E41">
        <w:rPr>
          <w:rStyle w:val="FootnoteReference"/>
          <w:sz w:val="24"/>
          <w:szCs w:val="24"/>
          <w:vertAlign w:val="baseline"/>
        </w:rPr>
        <w:footnoteRef/>
      </w:r>
      <w:r w:rsidR="00030E41">
        <w:rPr>
          <w:sz w:val="24"/>
          <w:szCs w:val="24"/>
        </w:rPr>
        <w:t>.</w:t>
      </w:r>
      <w:r w:rsidRPr="005E6736">
        <w:rPr>
          <w:sz w:val="24"/>
          <w:szCs w:val="24"/>
        </w:rPr>
        <w:t xml:space="preserve"> Youth.</w:t>
      </w:r>
      <w:r w:rsidR="00F2299D" w:rsidRPr="005E6736">
        <w:rPr>
          <w:sz w:val="24"/>
          <w:szCs w:val="24"/>
        </w:rPr>
        <w:t>g</w:t>
      </w:r>
      <w:r w:rsidRPr="005E6736">
        <w:rPr>
          <w:sz w:val="24"/>
          <w:szCs w:val="24"/>
        </w:rPr>
        <w:t>ov</w:t>
      </w:r>
      <w:r w:rsidR="00A20E1E">
        <w:rPr>
          <w:sz w:val="24"/>
          <w:szCs w:val="24"/>
        </w:rPr>
        <w:t>.</w:t>
      </w:r>
      <w:r w:rsidR="004E719D" w:rsidRPr="005E6736">
        <w:rPr>
          <w:sz w:val="24"/>
          <w:szCs w:val="24"/>
        </w:rPr>
        <w:t xml:space="preserve"> </w:t>
      </w:r>
      <w:r w:rsidRPr="003011AF">
        <w:rPr>
          <w:sz w:val="24"/>
          <w:szCs w:val="24"/>
        </w:rPr>
        <w:t>Service-Learning</w:t>
      </w:r>
      <w:r w:rsidR="00A20E1E">
        <w:rPr>
          <w:sz w:val="24"/>
          <w:szCs w:val="24"/>
        </w:rPr>
        <w:t>.</w:t>
      </w:r>
      <w:r w:rsidR="004E719D" w:rsidRPr="005E6736">
        <w:rPr>
          <w:sz w:val="24"/>
          <w:szCs w:val="24"/>
        </w:rPr>
        <w:t xml:space="preserve"> </w:t>
      </w:r>
      <w:hyperlink r:id="rId17" w:anchor="_ftn" w:tooltip="Youth.gov Service-Learning web page" w:history="1">
        <w:r w:rsidRPr="005E6736">
          <w:rPr>
            <w:rStyle w:val="Hyperlink"/>
            <w:sz w:val="24"/>
            <w:szCs w:val="24"/>
          </w:rPr>
          <w:t>https://youth.gov/youth-topics/civic-engagement-and-volunteering/service-learning#_ftn</w:t>
        </w:r>
      </w:hyperlink>
      <w:r w:rsidR="0018168E" w:rsidRPr="005E6736">
        <w:rPr>
          <w:rStyle w:val="Hyperlink"/>
          <w:color w:val="auto"/>
          <w:sz w:val="24"/>
          <w:szCs w:val="24"/>
          <w:u w:val="none"/>
        </w:rPr>
        <w:t>.</w:t>
      </w:r>
    </w:p>
  </w:footnote>
  <w:footnote w:id="19">
    <w:p w14:paraId="0F14920C" w14:textId="554942EC" w:rsidR="003021C9" w:rsidRPr="005E6736" w:rsidRDefault="003021C9">
      <w:pPr>
        <w:pStyle w:val="FootnoteText"/>
        <w:rPr>
          <w:sz w:val="24"/>
          <w:szCs w:val="24"/>
        </w:rPr>
      </w:pPr>
      <w:r w:rsidRPr="00030E41">
        <w:rPr>
          <w:rStyle w:val="FootnoteReference"/>
          <w:sz w:val="24"/>
          <w:szCs w:val="24"/>
          <w:vertAlign w:val="baseline"/>
        </w:rPr>
        <w:footnoteRef/>
      </w:r>
      <w:r w:rsidR="00030E41">
        <w:rPr>
          <w:sz w:val="24"/>
          <w:szCs w:val="24"/>
        </w:rPr>
        <w:t>.</w:t>
      </w:r>
      <w:r w:rsidRPr="005E6736">
        <w:rPr>
          <w:sz w:val="24"/>
          <w:szCs w:val="24"/>
        </w:rPr>
        <w:t xml:space="preserve"> </w:t>
      </w:r>
      <w:r w:rsidR="008F2A29" w:rsidRPr="005E6736">
        <w:rPr>
          <w:sz w:val="24"/>
          <w:szCs w:val="24"/>
        </w:rPr>
        <w:t>Lisa Guilfoile and Brady Delander</w:t>
      </w:r>
      <w:r w:rsidR="00A20E1E">
        <w:rPr>
          <w:sz w:val="24"/>
          <w:szCs w:val="24"/>
        </w:rPr>
        <w:t>.</w:t>
      </w:r>
      <w:r w:rsidR="00A20E1E" w:rsidRPr="005E6736">
        <w:rPr>
          <w:sz w:val="24"/>
          <w:szCs w:val="24"/>
        </w:rPr>
        <w:t xml:space="preserve"> 2014</w:t>
      </w:r>
      <w:r w:rsidR="00A20E1E">
        <w:rPr>
          <w:sz w:val="24"/>
          <w:szCs w:val="24"/>
        </w:rPr>
        <w:t xml:space="preserve">. </w:t>
      </w:r>
      <w:r w:rsidR="008F2A29" w:rsidRPr="005E6736">
        <w:rPr>
          <w:i/>
          <w:iCs/>
          <w:sz w:val="24"/>
          <w:szCs w:val="24"/>
        </w:rPr>
        <w:t>Guidebook: Six Proven Practices for Effective Civic Learning</w:t>
      </w:r>
      <w:r w:rsidR="00A20E1E" w:rsidRPr="005B0134">
        <w:rPr>
          <w:sz w:val="24"/>
          <w:szCs w:val="24"/>
        </w:rPr>
        <w:t>.</w:t>
      </w:r>
      <w:r w:rsidR="008F2A29" w:rsidRPr="005E6736">
        <w:rPr>
          <w:i/>
          <w:iCs/>
          <w:sz w:val="24"/>
          <w:szCs w:val="24"/>
        </w:rPr>
        <w:t xml:space="preserve"> </w:t>
      </w:r>
      <w:r w:rsidR="008F2A29" w:rsidRPr="005E6736">
        <w:rPr>
          <w:sz w:val="24"/>
          <w:szCs w:val="24"/>
        </w:rPr>
        <w:t>Education Commission of the States, National Center for Learning and Civic Engagement</w:t>
      </w:r>
      <w:r w:rsidR="003011AF">
        <w:rPr>
          <w:sz w:val="24"/>
          <w:szCs w:val="24"/>
        </w:rPr>
        <w:t>,</w:t>
      </w:r>
      <w:r w:rsidR="008F2A29" w:rsidRPr="005E6736">
        <w:rPr>
          <w:sz w:val="24"/>
          <w:szCs w:val="24"/>
        </w:rPr>
        <w:t xml:space="preserve"> 12</w:t>
      </w:r>
      <w:r w:rsidR="00A20E1E">
        <w:rPr>
          <w:sz w:val="24"/>
          <w:szCs w:val="24"/>
        </w:rPr>
        <w:t>.</w:t>
      </w:r>
      <w:r w:rsidR="008F2A29" w:rsidRPr="005E6736">
        <w:rPr>
          <w:sz w:val="24"/>
          <w:szCs w:val="24"/>
        </w:rPr>
        <w:t xml:space="preserve"> </w:t>
      </w:r>
      <w:hyperlink r:id="rId18" w:tooltip="Education Commission of the States Guidebook: Six Proven Practices for Effective Civic Learning report" w:history="1">
        <w:r w:rsidR="008F2A29" w:rsidRPr="005E6736">
          <w:rPr>
            <w:rStyle w:val="Hyperlink"/>
            <w:sz w:val="24"/>
            <w:szCs w:val="24"/>
          </w:rPr>
          <w:t>http://www.ecs.org/clearinghouse/01/10/48/11048.pdf</w:t>
        </w:r>
      </w:hyperlink>
      <w:r w:rsidR="008F2A29" w:rsidRPr="005E6736">
        <w:rPr>
          <w:sz w:val="24"/>
          <w:szCs w:val="24"/>
        </w:rPr>
        <w:t>.</w:t>
      </w:r>
    </w:p>
  </w:footnote>
  <w:footnote w:id="20">
    <w:p w14:paraId="65E93050" w14:textId="6D8E4BE4" w:rsidR="00750851" w:rsidRPr="005E6736" w:rsidRDefault="00750851" w:rsidP="00750851">
      <w:pPr>
        <w:pStyle w:val="FootnoteText"/>
        <w:rPr>
          <w:sz w:val="24"/>
          <w:szCs w:val="24"/>
        </w:rPr>
      </w:pPr>
      <w:r w:rsidRPr="00950E5B">
        <w:rPr>
          <w:rStyle w:val="FootnoteReference"/>
          <w:sz w:val="24"/>
          <w:szCs w:val="24"/>
          <w:vertAlign w:val="baseline"/>
        </w:rPr>
        <w:footnoteRef/>
      </w:r>
      <w:r>
        <w:rPr>
          <w:sz w:val="24"/>
          <w:szCs w:val="24"/>
        </w:rPr>
        <w:t>.</w:t>
      </w:r>
      <w:r w:rsidRPr="005E6736">
        <w:rPr>
          <w:sz w:val="24"/>
          <w:szCs w:val="24"/>
        </w:rPr>
        <w:t xml:space="preserve"> National Youth Leadership Council</w:t>
      </w:r>
      <w:r>
        <w:rPr>
          <w:sz w:val="24"/>
          <w:szCs w:val="24"/>
        </w:rPr>
        <w:t>. 2023.</w:t>
      </w:r>
      <w:r w:rsidRPr="005E6736">
        <w:rPr>
          <w:sz w:val="24"/>
          <w:szCs w:val="24"/>
        </w:rPr>
        <w:t xml:space="preserve"> </w:t>
      </w:r>
      <w:r w:rsidRPr="005E6736">
        <w:rPr>
          <w:i/>
          <w:iCs/>
          <w:sz w:val="24"/>
          <w:szCs w:val="24"/>
        </w:rPr>
        <w:t>K–12 Service-Learning Standards</w:t>
      </w:r>
      <w:r w:rsidRPr="005B0134">
        <w:rPr>
          <w:sz w:val="24"/>
          <w:szCs w:val="24"/>
        </w:rPr>
        <w:t>.</w:t>
      </w:r>
      <w:r>
        <w:rPr>
          <w:i/>
          <w:iCs/>
          <w:sz w:val="24"/>
          <w:szCs w:val="24"/>
        </w:rPr>
        <w:t xml:space="preserve"> </w:t>
      </w:r>
      <w:hyperlink r:id="rId19" w:tooltip="The National Youth Leadership Council K–12 Service-Learning Standards for Quality Practice web page" w:history="1">
        <w:r w:rsidRPr="005E6736">
          <w:rPr>
            <w:rStyle w:val="Hyperlink"/>
            <w:sz w:val="24"/>
            <w:szCs w:val="24"/>
          </w:rPr>
          <w:t>https://nylc.org/k-12-standards</w:t>
        </w:r>
      </w:hyperlink>
      <w:r w:rsidRPr="005E6736">
        <w:rPr>
          <w:sz w:val="24"/>
          <w:szCs w:val="24"/>
        </w:rPr>
        <w:t>.</w:t>
      </w:r>
    </w:p>
  </w:footnote>
  <w:footnote w:id="21">
    <w:p w14:paraId="1ECEF635" w14:textId="3FD4A069" w:rsidR="00190FA8" w:rsidRPr="005E6736" w:rsidRDefault="00190FA8" w:rsidP="00190FA8">
      <w:pPr>
        <w:pStyle w:val="FootnoteText"/>
        <w:rPr>
          <w:sz w:val="24"/>
          <w:szCs w:val="24"/>
        </w:rPr>
      </w:pPr>
      <w:r w:rsidRPr="004637E2">
        <w:rPr>
          <w:rStyle w:val="FootnoteReference"/>
          <w:sz w:val="24"/>
          <w:szCs w:val="24"/>
          <w:vertAlign w:val="baseline"/>
        </w:rPr>
        <w:footnoteRef/>
      </w:r>
      <w:r>
        <w:rPr>
          <w:sz w:val="24"/>
          <w:szCs w:val="24"/>
        </w:rPr>
        <w:t>.</w:t>
      </w:r>
      <w:r w:rsidRPr="004637E2">
        <w:rPr>
          <w:sz w:val="24"/>
          <w:szCs w:val="24"/>
        </w:rPr>
        <w:t xml:space="preserve"> </w:t>
      </w:r>
      <w:r w:rsidRPr="005E6736">
        <w:rPr>
          <w:sz w:val="24"/>
          <w:szCs w:val="24"/>
        </w:rPr>
        <w:t>National Council for the Social Studies</w:t>
      </w:r>
      <w:r w:rsidR="009C05C7">
        <w:rPr>
          <w:sz w:val="24"/>
          <w:szCs w:val="24"/>
        </w:rPr>
        <w:t xml:space="preserve">. </w:t>
      </w:r>
      <w:r w:rsidR="009C05C7" w:rsidRPr="005E6736">
        <w:rPr>
          <w:sz w:val="24"/>
          <w:szCs w:val="24"/>
        </w:rPr>
        <w:t>2013</w:t>
      </w:r>
      <w:r w:rsidR="009C05C7">
        <w:rPr>
          <w:sz w:val="24"/>
          <w:szCs w:val="24"/>
        </w:rPr>
        <w:t>.</w:t>
      </w:r>
      <w:r w:rsidRPr="005E6736">
        <w:rPr>
          <w:sz w:val="24"/>
          <w:szCs w:val="24"/>
        </w:rPr>
        <w:t xml:space="preserve"> </w:t>
      </w:r>
      <w:r w:rsidRPr="00117401">
        <w:rPr>
          <w:i/>
          <w:iCs/>
          <w:sz w:val="24"/>
          <w:szCs w:val="24"/>
        </w:rPr>
        <w:t>The College, Career, and Civic Life</w:t>
      </w:r>
      <w:r>
        <w:rPr>
          <w:i/>
          <w:iCs/>
          <w:sz w:val="24"/>
          <w:szCs w:val="24"/>
        </w:rPr>
        <w:t xml:space="preserve"> </w:t>
      </w:r>
      <w:r w:rsidRPr="00117401">
        <w:rPr>
          <w:i/>
          <w:iCs/>
          <w:sz w:val="24"/>
          <w:szCs w:val="24"/>
        </w:rPr>
        <w:t>Framework for Social Studies State Standards: Guidance for Enhancing the Rigor of K-12 Civics, Economics, Geography, and History</w:t>
      </w:r>
      <w:r w:rsidR="009C05C7" w:rsidRPr="005B0134">
        <w:rPr>
          <w:sz w:val="24"/>
          <w:szCs w:val="24"/>
        </w:rPr>
        <w:t>.</w:t>
      </w:r>
      <w:r w:rsidRPr="005E6736">
        <w:rPr>
          <w:sz w:val="24"/>
          <w:szCs w:val="24"/>
        </w:rPr>
        <w:t xml:space="preserve"> Silver Spring, MD: NCSS</w:t>
      </w:r>
      <w:r w:rsidR="009C05C7">
        <w:rPr>
          <w:sz w:val="24"/>
          <w:szCs w:val="24"/>
        </w:rPr>
        <w:t>.</w:t>
      </w:r>
      <w:r w:rsidRPr="005E6736">
        <w:rPr>
          <w:sz w:val="24"/>
          <w:szCs w:val="24"/>
        </w:rPr>
        <w:t xml:space="preserve"> </w:t>
      </w:r>
      <w:hyperlink r:id="rId20" w:tooltip="National Council for the Social Studies web page" w:history="1">
        <w:r w:rsidRPr="005E6736">
          <w:rPr>
            <w:rStyle w:val="Hyperlink"/>
            <w:sz w:val="24"/>
            <w:szCs w:val="24"/>
          </w:rPr>
          <w:t>https://www.socialstudies.org/standards/c3</w:t>
        </w:r>
      </w:hyperlink>
      <w:r>
        <w:rPr>
          <w:sz w:val="24"/>
          <w:szCs w:val="24"/>
        </w:rPr>
        <w:t>.</w:t>
      </w:r>
    </w:p>
  </w:footnote>
  <w:footnote w:id="22">
    <w:p w14:paraId="5DBDF509" w14:textId="128C2F52" w:rsidR="003B4523" w:rsidRPr="005E6736" w:rsidRDefault="003B4523" w:rsidP="003B4523">
      <w:pPr>
        <w:pStyle w:val="FootnoteText"/>
        <w:rPr>
          <w:sz w:val="24"/>
          <w:szCs w:val="24"/>
        </w:rPr>
      </w:pPr>
      <w:r w:rsidRPr="004637E2">
        <w:rPr>
          <w:rStyle w:val="FootnoteReference"/>
          <w:sz w:val="24"/>
          <w:szCs w:val="24"/>
          <w:vertAlign w:val="baseline"/>
        </w:rPr>
        <w:footnoteRef/>
      </w:r>
      <w:r>
        <w:rPr>
          <w:sz w:val="24"/>
          <w:szCs w:val="24"/>
        </w:rPr>
        <w:t>.</w:t>
      </w:r>
      <w:r w:rsidRPr="004637E2">
        <w:rPr>
          <w:sz w:val="24"/>
          <w:szCs w:val="24"/>
        </w:rPr>
        <w:t xml:space="preserve"> </w:t>
      </w:r>
      <w:r>
        <w:rPr>
          <w:sz w:val="24"/>
          <w:szCs w:val="24"/>
        </w:rPr>
        <w:t>California Department of Education.</w:t>
      </w:r>
      <w:r w:rsidRPr="00B358E4">
        <w:rPr>
          <w:i/>
          <w:iCs/>
          <w:sz w:val="24"/>
          <w:szCs w:val="24"/>
        </w:rPr>
        <w:t xml:space="preserve"> </w:t>
      </w:r>
      <w:r w:rsidRPr="004A1CE6">
        <w:rPr>
          <w:sz w:val="24"/>
          <w:szCs w:val="24"/>
        </w:rPr>
        <w:t xml:space="preserve">César E. Chávez Model Curriculum Resources. </w:t>
      </w:r>
      <w:hyperlink r:id="rId21" w:tooltip="CDE Cesar E. Chavez Model Curriculum web page" w:history="1">
        <w:r w:rsidRPr="00923A23">
          <w:rPr>
            <w:rStyle w:val="Hyperlink"/>
            <w:sz w:val="24"/>
            <w:szCs w:val="24"/>
          </w:rPr>
          <w:t>https://chavez.cde.ca.gov/ModelCurriculum/Intro.aspx</w:t>
        </w:r>
      </w:hyperlink>
      <w:r>
        <w:rPr>
          <w:sz w:val="24"/>
          <w:szCs w:val="24"/>
        </w:rPr>
        <w:t>.</w:t>
      </w:r>
    </w:p>
  </w:footnote>
  <w:footnote w:id="23">
    <w:p w14:paraId="08900F98" w14:textId="2700119E" w:rsidR="00F668E8" w:rsidRPr="005E6736" w:rsidRDefault="00F668E8">
      <w:pPr>
        <w:pStyle w:val="FootnoteText"/>
        <w:rPr>
          <w:sz w:val="24"/>
          <w:szCs w:val="24"/>
        </w:rPr>
      </w:pPr>
      <w:r w:rsidRPr="004637E2">
        <w:rPr>
          <w:rStyle w:val="FootnoteReference"/>
          <w:sz w:val="24"/>
          <w:szCs w:val="24"/>
          <w:vertAlign w:val="baseline"/>
        </w:rPr>
        <w:footnoteRef/>
      </w:r>
      <w:r w:rsidR="004637E2">
        <w:rPr>
          <w:sz w:val="24"/>
          <w:szCs w:val="24"/>
        </w:rPr>
        <w:t>.</w:t>
      </w:r>
      <w:r w:rsidRPr="005E6736">
        <w:rPr>
          <w:sz w:val="24"/>
          <w:szCs w:val="24"/>
        </w:rPr>
        <w:t xml:space="preserve"> </w:t>
      </w:r>
      <w:r w:rsidR="004A1CE6">
        <w:rPr>
          <w:sz w:val="24"/>
          <w:szCs w:val="24"/>
        </w:rPr>
        <w:t>California Department of Education.</w:t>
      </w:r>
      <w:r w:rsidR="00B358E4">
        <w:rPr>
          <w:sz w:val="24"/>
          <w:szCs w:val="24"/>
        </w:rPr>
        <w:t xml:space="preserve"> </w:t>
      </w:r>
      <w:r w:rsidRPr="004A1CE6">
        <w:rPr>
          <w:sz w:val="24"/>
          <w:szCs w:val="24"/>
        </w:rPr>
        <w:t xml:space="preserve">A Teacher’s Guide to </w:t>
      </w:r>
      <w:r w:rsidR="00A346A4" w:rsidRPr="004A1CE6">
        <w:rPr>
          <w:sz w:val="24"/>
          <w:szCs w:val="24"/>
        </w:rPr>
        <w:t>Service-</w:t>
      </w:r>
      <w:r w:rsidR="00597180">
        <w:rPr>
          <w:sz w:val="24"/>
          <w:szCs w:val="24"/>
        </w:rPr>
        <w:t>L</w:t>
      </w:r>
      <w:r w:rsidR="00A346A4" w:rsidRPr="004A1CE6">
        <w:rPr>
          <w:sz w:val="24"/>
          <w:szCs w:val="24"/>
        </w:rPr>
        <w:t>earning</w:t>
      </w:r>
      <w:r w:rsidR="004A1CE6">
        <w:rPr>
          <w:sz w:val="24"/>
          <w:szCs w:val="24"/>
        </w:rPr>
        <w:t xml:space="preserve">. </w:t>
      </w:r>
      <w:hyperlink r:id="rId22" w:tooltip="CDE A Teacher's Guide to Service Learning" w:history="1">
        <w:r w:rsidR="004A1CE6" w:rsidRPr="007F2786">
          <w:rPr>
            <w:rStyle w:val="Hyperlink"/>
            <w:sz w:val="24"/>
            <w:szCs w:val="24"/>
          </w:rPr>
          <w:t>https://chavez.cde.ca.gov/ModelCurriculum/Teachers/Lessons/Resources/Documents/ServiceLearningGuide.pdf</w:t>
        </w:r>
      </w:hyperlink>
      <w:r w:rsidR="00B358E4">
        <w:rPr>
          <w:sz w:val="24"/>
          <w:szCs w:val="24"/>
        </w:rPr>
        <w:t>.</w:t>
      </w:r>
    </w:p>
  </w:footnote>
  <w:footnote w:id="24">
    <w:p w14:paraId="26805CDD" w14:textId="52D8419C" w:rsidR="003753DD" w:rsidRPr="0079134B" w:rsidRDefault="003753DD" w:rsidP="003753DD">
      <w:pPr>
        <w:pStyle w:val="FootnoteText"/>
        <w:rPr>
          <w:sz w:val="24"/>
          <w:szCs w:val="24"/>
        </w:rPr>
      </w:pPr>
      <w:r w:rsidRPr="00C046D5">
        <w:rPr>
          <w:rStyle w:val="FootnoteReference"/>
          <w:sz w:val="24"/>
          <w:szCs w:val="24"/>
          <w:vertAlign w:val="baseline"/>
        </w:rPr>
        <w:footnoteRef/>
      </w:r>
      <w:r>
        <w:rPr>
          <w:sz w:val="24"/>
          <w:szCs w:val="24"/>
        </w:rPr>
        <w:t>.</w:t>
      </w:r>
      <w:r w:rsidRPr="00C046D5">
        <w:rPr>
          <w:sz w:val="24"/>
          <w:szCs w:val="24"/>
        </w:rPr>
        <w:t xml:space="preserve"> </w:t>
      </w:r>
      <w:r w:rsidRPr="0079134B">
        <w:rPr>
          <w:sz w:val="24"/>
          <w:szCs w:val="24"/>
        </w:rPr>
        <w:t xml:space="preserve">Teach Democracy. </w:t>
      </w:r>
      <w:hyperlink r:id="rId23" w:tooltip="Teach Democracy web page" w:history="1">
        <w:r w:rsidRPr="00E65C4D">
          <w:rPr>
            <w:rStyle w:val="Hyperlink"/>
            <w:sz w:val="24"/>
            <w:szCs w:val="24"/>
          </w:rPr>
          <w:t>https://teachdemocracy.org</w:t>
        </w:r>
      </w:hyperlink>
      <w:r>
        <w:rPr>
          <w:rStyle w:val="Hyperlink"/>
          <w:sz w:val="24"/>
          <w:szCs w:val="24"/>
          <w:u w:val="none"/>
        </w:rPr>
        <w:t>.</w:t>
      </w:r>
    </w:p>
  </w:footnote>
  <w:footnote w:id="25">
    <w:p w14:paraId="33BA1AC2" w14:textId="4D59F170" w:rsidR="003753DD" w:rsidRPr="005E6736" w:rsidRDefault="003753DD" w:rsidP="003753DD">
      <w:pPr>
        <w:pStyle w:val="FootnoteText"/>
        <w:rPr>
          <w:sz w:val="24"/>
          <w:szCs w:val="24"/>
        </w:rPr>
      </w:pPr>
      <w:r w:rsidRPr="00C046D5">
        <w:rPr>
          <w:rStyle w:val="FootnoteReference"/>
          <w:sz w:val="24"/>
          <w:szCs w:val="24"/>
          <w:vertAlign w:val="baseline"/>
        </w:rPr>
        <w:footnoteRef/>
      </w:r>
      <w:r>
        <w:rPr>
          <w:sz w:val="24"/>
          <w:szCs w:val="24"/>
        </w:rPr>
        <w:t>. University of California</w:t>
      </w:r>
      <w:r w:rsidR="0095249E">
        <w:rPr>
          <w:sz w:val="24"/>
          <w:szCs w:val="24"/>
        </w:rPr>
        <w:t>,</w:t>
      </w:r>
      <w:r>
        <w:rPr>
          <w:sz w:val="24"/>
          <w:szCs w:val="24"/>
        </w:rPr>
        <w:t xml:space="preserve"> Berkeley. </w:t>
      </w:r>
      <w:r w:rsidRPr="005E6736">
        <w:rPr>
          <w:sz w:val="24"/>
          <w:szCs w:val="24"/>
        </w:rPr>
        <w:t>Integrated Action Civics Project</w:t>
      </w:r>
      <w:r>
        <w:rPr>
          <w:sz w:val="24"/>
          <w:szCs w:val="24"/>
        </w:rPr>
        <w:t xml:space="preserve">. </w:t>
      </w:r>
      <w:hyperlink r:id="rId24" w:tooltip="UC Berkeley Integrated Action Civics Project web page" w:history="1">
        <w:r w:rsidRPr="007F2786">
          <w:rPr>
            <w:rStyle w:val="Hyperlink"/>
            <w:sz w:val="24"/>
            <w:szCs w:val="24"/>
          </w:rPr>
          <w:t>https://iacp.berkeley.edu/home</w:t>
        </w:r>
      </w:hyperlink>
      <w:r>
        <w:rPr>
          <w:sz w:val="24"/>
          <w:szCs w:val="24"/>
        </w:rPr>
        <w:t>.</w:t>
      </w:r>
    </w:p>
  </w:footnote>
  <w:footnote w:id="26">
    <w:p w14:paraId="77FC3C31" w14:textId="0E902185" w:rsidR="006C10AB" w:rsidRPr="005E6736" w:rsidRDefault="006C10AB" w:rsidP="006C10AB">
      <w:pPr>
        <w:pStyle w:val="FootnoteText"/>
        <w:rPr>
          <w:sz w:val="24"/>
          <w:szCs w:val="24"/>
        </w:rPr>
      </w:pPr>
      <w:r w:rsidRPr="00B73104">
        <w:rPr>
          <w:rStyle w:val="FootnoteReference"/>
          <w:sz w:val="24"/>
          <w:szCs w:val="24"/>
          <w:vertAlign w:val="baseline"/>
        </w:rPr>
        <w:footnoteRef/>
      </w:r>
      <w:r>
        <w:rPr>
          <w:sz w:val="24"/>
          <w:szCs w:val="24"/>
        </w:rPr>
        <w:t>.</w:t>
      </w:r>
      <w:r w:rsidRPr="00B73104">
        <w:rPr>
          <w:sz w:val="24"/>
          <w:szCs w:val="24"/>
        </w:rPr>
        <w:t xml:space="preserve"> </w:t>
      </w:r>
      <w:r>
        <w:rPr>
          <w:sz w:val="24"/>
          <w:szCs w:val="24"/>
        </w:rPr>
        <w:t>University of California</w:t>
      </w:r>
      <w:r w:rsidR="003A4C84">
        <w:rPr>
          <w:sz w:val="24"/>
          <w:szCs w:val="24"/>
        </w:rPr>
        <w:t>,</w:t>
      </w:r>
      <w:r>
        <w:rPr>
          <w:sz w:val="24"/>
          <w:szCs w:val="24"/>
        </w:rPr>
        <w:t xml:space="preserve"> Berkeley. </w:t>
      </w:r>
      <w:r w:rsidRPr="005E6736">
        <w:rPr>
          <w:sz w:val="24"/>
          <w:szCs w:val="24"/>
        </w:rPr>
        <w:t>Youth Participatory Action Research Hub</w:t>
      </w:r>
      <w:r>
        <w:rPr>
          <w:sz w:val="24"/>
          <w:szCs w:val="24"/>
        </w:rPr>
        <w:t>.</w:t>
      </w:r>
      <w:r w:rsidRPr="005E6736">
        <w:rPr>
          <w:sz w:val="24"/>
          <w:szCs w:val="24"/>
        </w:rPr>
        <w:t xml:space="preserve"> </w:t>
      </w:r>
      <w:hyperlink r:id="rId25" w:tooltip="UC Berkeley Youth Participatory Action Research Hub web page" w:history="1">
        <w:r w:rsidRPr="005E6736">
          <w:rPr>
            <w:rStyle w:val="Hyperlink"/>
            <w:sz w:val="24"/>
            <w:szCs w:val="24"/>
          </w:rPr>
          <w:t>https://yparhub.berkeley.edu/home</w:t>
        </w:r>
      </w:hyperlink>
      <w:r>
        <w:rPr>
          <w:sz w:val="24"/>
          <w:szCs w:val="24"/>
        </w:rPr>
        <w:t>.</w:t>
      </w:r>
    </w:p>
  </w:footnote>
  <w:footnote w:id="27">
    <w:p w14:paraId="4024679A" w14:textId="436A2F51" w:rsidR="008976BC" w:rsidRPr="005E6736" w:rsidRDefault="008976BC" w:rsidP="008976BC">
      <w:pPr>
        <w:pStyle w:val="FootnoteText"/>
        <w:rPr>
          <w:sz w:val="24"/>
          <w:szCs w:val="24"/>
        </w:rPr>
      </w:pPr>
      <w:r w:rsidRPr="00B73104">
        <w:rPr>
          <w:rStyle w:val="FootnoteReference"/>
          <w:sz w:val="24"/>
          <w:szCs w:val="24"/>
          <w:vertAlign w:val="baseline"/>
        </w:rPr>
        <w:footnoteRef/>
      </w:r>
      <w:r>
        <w:rPr>
          <w:sz w:val="24"/>
          <w:szCs w:val="24"/>
        </w:rPr>
        <w:t>.</w:t>
      </w:r>
      <w:r w:rsidRPr="00B73104">
        <w:rPr>
          <w:sz w:val="24"/>
          <w:szCs w:val="24"/>
        </w:rPr>
        <w:t xml:space="preserve"> </w:t>
      </w:r>
      <w:r>
        <w:rPr>
          <w:sz w:val="24"/>
          <w:szCs w:val="24"/>
        </w:rPr>
        <w:t>University of California</w:t>
      </w:r>
      <w:r w:rsidR="003A4C84">
        <w:rPr>
          <w:sz w:val="24"/>
          <w:szCs w:val="24"/>
        </w:rPr>
        <w:t>,</w:t>
      </w:r>
      <w:r>
        <w:rPr>
          <w:sz w:val="24"/>
          <w:szCs w:val="24"/>
        </w:rPr>
        <w:t xml:space="preserve"> Berkeley. </w:t>
      </w:r>
      <w:r w:rsidRPr="005E6736">
        <w:rPr>
          <w:sz w:val="24"/>
          <w:szCs w:val="24"/>
        </w:rPr>
        <w:t>Youth</w:t>
      </w:r>
      <w:r>
        <w:rPr>
          <w:sz w:val="24"/>
          <w:szCs w:val="24"/>
        </w:rPr>
        <w:t>-</w:t>
      </w:r>
      <w:r w:rsidRPr="005E6736">
        <w:rPr>
          <w:sz w:val="24"/>
          <w:szCs w:val="24"/>
        </w:rPr>
        <w:t>Plan, Learn, Act No</w:t>
      </w:r>
      <w:r>
        <w:rPr>
          <w:sz w:val="24"/>
          <w:szCs w:val="24"/>
        </w:rPr>
        <w:t>w.</w:t>
      </w:r>
      <w:r w:rsidRPr="005E6736">
        <w:rPr>
          <w:sz w:val="24"/>
          <w:szCs w:val="24"/>
        </w:rPr>
        <w:t xml:space="preserve"> </w:t>
      </w:r>
      <w:hyperlink r:id="rId26" w:tooltip="UC Berkeley Youth–Plan, Learn, Act Now web page" w:history="1">
        <w:r w:rsidR="003A4C84">
          <w:rPr>
            <w:rStyle w:val="Hyperlink"/>
            <w:sz w:val="24"/>
            <w:szCs w:val="24"/>
          </w:rPr>
          <w:t>https://citiesandschools.berkeley.edu/major-initiatives/y-plan</w:t>
        </w:r>
      </w:hyperlink>
      <w:r>
        <w:rPr>
          <w:sz w:val="24"/>
          <w:szCs w:val="24"/>
        </w:rPr>
        <w:t>.</w:t>
      </w:r>
    </w:p>
  </w:footnote>
  <w:footnote w:id="28">
    <w:p w14:paraId="44BE3916" w14:textId="2D78E460" w:rsidR="00C40052" w:rsidRPr="005E6736" w:rsidRDefault="00C40052" w:rsidP="00C40052">
      <w:pPr>
        <w:pStyle w:val="FootnoteText"/>
        <w:rPr>
          <w:sz w:val="24"/>
          <w:szCs w:val="24"/>
        </w:rPr>
      </w:pPr>
      <w:r w:rsidRPr="002F6DE4">
        <w:rPr>
          <w:rStyle w:val="FootnoteReference"/>
          <w:sz w:val="24"/>
          <w:szCs w:val="24"/>
          <w:vertAlign w:val="baseline"/>
        </w:rPr>
        <w:footnoteRef/>
      </w:r>
      <w:r>
        <w:rPr>
          <w:sz w:val="24"/>
          <w:szCs w:val="24"/>
        </w:rPr>
        <w:t>.</w:t>
      </w:r>
      <w:r w:rsidRPr="002F6DE4">
        <w:rPr>
          <w:sz w:val="24"/>
          <w:szCs w:val="24"/>
        </w:rPr>
        <w:t xml:space="preserve"> </w:t>
      </w:r>
      <w:r>
        <w:rPr>
          <w:sz w:val="24"/>
          <w:szCs w:val="24"/>
        </w:rPr>
        <w:t>California Department of Education</w:t>
      </w:r>
      <w:r w:rsidR="003A4C84">
        <w:rPr>
          <w:sz w:val="24"/>
          <w:szCs w:val="24"/>
        </w:rPr>
        <w:t xml:space="preserve">. </w:t>
      </w:r>
      <w:r w:rsidR="003A4C84" w:rsidRPr="003A4C84">
        <w:rPr>
          <w:sz w:val="24"/>
          <w:szCs w:val="24"/>
        </w:rPr>
        <w:t>2012</w:t>
      </w:r>
      <w:r w:rsidR="003A4C84">
        <w:rPr>
          <w:sz w:val="24"/>
          <w:szCs w:val="24"/>
        </w:rPr>
        <w:t>.</w:t>
      </w:r>
      <w:r w:rsidRPr="00CA3204">
        <w:rPr>
          <w:i/>
          <w:iCs/>
          <w:sz w:val="24"/>
          <w:szCs w:val="24"/>
        </w:rPr>
        <w:t xml:space="preserve"> Greatness by Design: Supporting Outstanding Teaching to Sustain a Golden State</w:t>
      </w:r>
      <w:r w:rsidR="003A4C84" w:rsidRPr="005B0134">
        <w:rPr>
          <w:sz w:val="24"/>
          <w:szCs w:val="24"/>
        </w:rPr>
        <w:t>.</w:t>
      </w:r>
      <w:r w:rsidRPr="003A4C84">
        <w:rPr>
          <w:sz w:val="24"/>
          <w:szCs w:val="24"/>
        </w:rPr>
        <w:t xml:space="preserve"> </w:t>
      </w:r>
      <w:r w:rsidR="00766264">
        <w:rPr>
          <w:sz w:val="24"/>
          <w:szCs w:val="24"/>
        </w:rPr>
        <w:t xml:space="preserve">Report by </w:t>
      </w:r>
      <w:r w:rsidR="00766264" w:rsidRPr="00766264">
        <w:rPr>
          <w:sz w:val="24"/>
          <w:szCs w:val="24"/>
        </w:rPr>
        <w:t>State Superintendent of Public Instruction Tom Torlakson’s Task Force on Educator Effectiveness</w:t>
      </w:r>
      <w:r w:rsidR="00766264">
        <w:rPr>
          <w:sz w:val="24"/>
          <w:szCs w:val="24"/>
        </w:rPr>
        <w:t>.</w:t>
      </w:r>
      <w:r w:rsidR="00766264" w:rsidRPr="00766264">
        <w:rPr>
          <w:sz w:val="24"/>
          <w:szCs w:val="24"/>
        </w:rPr>
        <w:t xml:space="preserve"> </w:t>
      </w:r>
      <w:hyperlink r:id="rId27" w:tooltip="California Department of Education's Supporting Outstanding Teaching" w:history="1">
        <w:r w:rsidR="00766264" w:rsidRPr="00766264">
          <w:rPr>
            <w:rStyle w:val="Hyperlink"/>
            <w:sz w:val="24"/>
            <w:szCs w:val="24"/>
          </w:rPr>
          <w:t>https://www.cde.ca.gov/pd/ps/documents/greatnessbydesign.pdf</w:t>
        </w:r>
      </w:hyperlink>
      <w:r w:rsidRPr="005E6736">
        <w:rPr>
          <w:sz w:val="24"/>
          <w:szCs w:val="24"/>
        </w:rPr>
        <w:t>.</w:t>
      </w:r>
    </w:p>
  </w:footnote>
  <w:footnote w:id="29">
    <w:p w14:paraId="61D47ACF" w14:textId="5826CF45" w:rsidR="00C40052" w:rsidRPr="005E6736" w:rsidRDefault="00C40052" w:rsidP="00C40052">
      <w:pPr>
        <w:pStyle w:val="FootnoteText"/>
        <w:rPr>
          <w:sz w:val="24"/>
          <w:szCs w:val="24"/>
        </w:rPr>
      </w:pPr>
      <w:r w:rsidRPr="002F6DE4">
        <w:rPr>
          <w:rStyle w:val="FootnoteReference"/>
          <w:sz w:val="24"/>
          <w:szCs w:val="24"/>
          <w:vertAlign w:val="baseline"/>
        </w:rPr>
        <w:footnoteRef/>
      </w:r>
      <w:r>
        <w:rPr>
          <w:sz w:val="24"/>
          <w:szCs w:val="24"/>
        </w:rPr>
        <w:t xml:space="preserve">. California Department of Education. 2015. </w:t>
      </w:r>
      <w:r w:rsidRPr="004A1CE6">
        <w:rPr>
          <w:iCs/>
          <w:sz w:val="24"/>
          <w:szCs w:val="24"/>
        </w:rPr>
        <w:t>Quality Professional Learning Standards</w:t>
      </w:r>
      <w:r>
        <w:rPr>
          <w:iCs/>
          <w:sz w:val="24"/>
          <w:szCs w:val="24"/>
        </w:rPr>
        <w:t>.</w:t>
      </w:r>
      <w:r>
        <w:rPr>
          <w:sz w:val="24"/>
          <w:szCs w:val="24"/>
        </w:rPr>
        <w:t xml:space="preserve"> </w:t>
      </w:r>
      <w:hyperlink r:id="rId28" w:tooltip="CDE Quality Professional Learning Standards web page" w:history="1">
        <w:r w:rsidRPr="00923A23">
          <w:rPr>
            <w:rStyle w:val="Hyperlink"/>
            <w:sz w:val="24"/>
            <w:szCs w:val="24"/>
          </w:rPr>
          <w:t>https://www.cde.ca.gov/pd/ps/qpls.asp</w:t>
        </w:r>
      </w:hyperlink>
      <w:r>
        <w:rPr>
          <w:sz w:val="24"/>
          <w:szCs w:val="24"/>
        </w:rPr>
        <w:t>.</w:t>
      </w:r>
    </w:p>
  </w:footnote>
  <w:footnote w:id="30">
    <w:p w14:paraId="09295075" w14:textId="3721A04C" w:rsidR="008C4220" w:rsidRPr="005E6736" w:rsidRDefault="008C4220" w:rsidP="008C4220">
      <w:pPr>
        <w:pStyle w:val="FootnoteText"/>
        <w:rPr>
          <w:sz w:val="24"/>
          <w:szCs w:val="24"/>
        </w:rPr>
      </w:pPr>
      <w:r w:rsidRPr="002F6DE4">
        <w:rPr>
          <w:rStyle w:val="FootnoteReference"/>
          <w:sz w:val="24"/>
          <w:szCs w:val="24"/>
          <w:vertAlign w:val="baseline"/>
        </w:rPr>
        <w:footnoteRef/>
      </w:r>
      <w:r w:rsidR="002F6DE4">
        <w:rPr>
          <w:sz w:val="24"/>
          <w:szCs w:val="24"/>
        </w:rPr>
        <w:t>.</w:t>
      </w:r>
      <w:r w:rsidR="00CA3204">
        <w:rPr>
          <w:sz w:val="24"/>
          <w:szCs w:val="24"/>
        </w:rPr>
        <w:t xml:space="preserve"> </w:t>
      </w:r>
      <w:r w:rsidR="004A1CE6">
        <w:rPr>
          <w:sz w:val="24"/>
          <w:szCs w:val="24"/>
        </w:rPr>
        <w:t xml:space="preserve">California Department of Education. 2015. </w:t>
      </w:r>
      <w:r w:rsidR="004A1CE6" w:rsidRPr="004A1CE6">
        <w:rPr>
          <w:iCs/>
          <w:sz w:val="24"/>
          <w:szCs w:val="24"/>
        </w:rPr>
        <w:t>Quality Professional Learning Standards</w:t>
      </w:r>
      <w:r w:rsidR="004A1CE6">
        <w:rPr>
          <w:iCs/>
          <w:sz w:val="24"/>
          <w:szCs w:val="24"/>
        </w:rPr>
        <w:t>.</w:t>
      </w:r>
      <w:r w:rsidR="004A1CE6">
        <w:rPr>
          <w:sz w:val="24"/>
          <w:szCs w:val="24"/>
        </w:rPr>
        <w:t xml:space="preserve"> </w:t>
      </w:r>
      <w:hyperlink r:id="rId29" w:tooltip="CDE Quality Professional Learning Standards web page" w:history="1">
        <w:r w:rsidR="004A1CE6" w:rsidRPr="00923A23">
          <w:rPr>
            <w:rStyle w:val="Hyperlink"/>
            <w:sz w:val="24"/>
            <w:szCs w:val="24"/>
          </w:rPr>
          <w:t>https://www.cde.ca.gov/pd/ps/qpls.asp</w:t>
        </w:r>
      </w:hyperlink>
      <w:r w:rsidR="004A1CE6">
        <w:rPr>
          <w:sz w:val="24"/>
          <w:szCs w:val="24"/>
        </w:rPr>
        <w:t>.</w:t>
      </w:r>
    </w:p>
  </w:footnote>
  <w:footnote w:id="31">
    <w:p w14:paraId="391E777E" w14:textId="5D7A74EA" w:rsidR="00B71429" w:rsidRPr="005E6736" w:rsidRDefault="00B71429" w:rsidP="00B71429">
      <w:pPr>
        <w:pStyle w:val="FootnoteText"/>
        <w:rPr>
          <w:sz w:val="24"/>
          <w:szCs w:val="24"/>
        </w:rPr>
      </w:pPr>
      <w:r w:rsidRPr="00D71CA3">
        <w:rPr>
          <w:rStyle w:val="FootnoteReference"/>
          <w:sz w:val="24"/>
          <w:szCs w:val="24"/>
          <w:vertAlign w:val="baseline"/>
        </w:rPr>
        <w:footnoteRef/>
      </w:r>
      <w:r w:rsidR="00D71CA3">
        <w:rPr>
          <w:sz w:val="24"/>
          <w:szCs w:val="24"/>
        </w:rPr>
        <w:t>.</w:t>
      </w:r>
      <w:r w:rsidRPr="00D71CA3">
        <w:rPr>
          <w:sz w:val="24"/>
          <w:szCs w:val="24"/>
        </w:rPr>
        <w:t xml:space="preserve"> </w:t>
      </w:r>
      <w:r>
        <w:rPr>
          <w:sz w:val="24"/>
          <w:szCs w:val="24"/>
        </w:rPr>
        <w:t>National Council for the Social Studies.</w:t>
      </w:r>
      <w:r w:rsidRPr="005E6736">
        <w:rPr>
          <w:sz w:val="24"/>
          <w:szCs w:val="24"/>
        </w:rPr>
        <w:t xml:space="preserve"> </w:t>
      </w:r>
      <w:hyperlink r:id="rId30" w:tooltip="National Council for the Social Studies web page" w:history="1">
        <w:r w:rsidRPr="005E6736">
          <w:rPr>
            <w:rStyle w:val="Hyperlink"/>
            <w:sz w:val="24"/>
            <w:szCs w:val="24"/>
          </w:rPr>
          <w:t>https://www.socialstudies.org</w:t>
        </w:r>
      </w:hyperlink>
      <w:r>
        <w:rPr>
          <w:sz w:val="24"/>
          <w:szCs w:val="24"/>
        </w:rPr>
        <w:t>.</w:t>
      </w:r>
    </w:p>
  </w:footnote>
  <w:footnote w:id="32">
    <w:p w14:paraId="1CC959A0" w14:textId="3DE40F72" w:rsidR="00B71429" w:rsidRPr="005E6736" w:rsidRDefault="00B71429" w:rsidP="00B71429">
      <w:pPr>
        <w:pStyle w:val="FootnoteText"/>
        <w:rPr>
          <w:sz w:val="24"/>
          <w:szCs w:val="24"/>
        </w:rPr>
      </w:pPr>
      <w:r w:rsidRPr="00D71CA3">
        <w:rPr>
          <w:rStyle w:val="FootnoteReference"/>
          <w:sz w:val="24"/>
          <w:szCs w:val="24"/>
          <w:vertAlign w:val="baseline"/>
        </w:rPr>
        <w:footnoteRef/>
      </w:r>
      <w:r w:rsidR="00D71CA3">
        <w:rPr>
          <w:sz w:val="24"/>
          <w:szCs w:val="24"/>
        </w:rPr>
        <w:t>.</w:t>
      </w:r>
      <w:r w:rsidRPr="005E6736">
        <w:rPr>
          <w:sz w:val="24"/>
          <w:szCs w:val="24"/>
        </w:rPr>
        <w:t xml:space="preserve"> </w:t>
      </w:r>
      <w:r>
        <w:rPr>
          <w:sz w:val="24"/>
          <w:szCs w:val="24"/>
        </w:rPr>
        <w:t>National Council for the Social Studies.</w:t>
      </w:r>
      <w:r w:rsidRPr="005E6736">
        <w:rPr>
          <w:sz w:val="24"/>
          <w:szCs w:val="24"/>
        </w:rPr>
        <w:t xml:space="preserve"> Civic Life Project</w:t>
      </w:r>
      <w:r>
        <w:rPr>
          <w:sz w:val="24"/>
          <w:szCs w:val="24"/>
        </w:rPr>
        <w:t xml:space="preserve">. </w:t>
      </w:r>
      <w:hyperlink r:id="rId31" w:tooltip="National Council for the Social Studies Civic Life Project web page" w:history="1">
        <w:r w:rsidRPr="007F2786">
          <w:rPr>
            <w:rStyle w:val="Hyperlink"/>
            <w:sz w:val="24"/>
            <w:szCs w:val="24"/>
          </w:rPr>
          <w:t>https://www.socialstudies.org/rhokappa/civic-life-project</w:t>
        </w:r>
      </w:hyperlink>
      <w:r>
        <w:rPr>
          <w:sz w:val="24"/>
          <w:szCs w:val="24"/>
        </w:rPr>
        <w:t>.</w:t>
      </w:r>
    </w:p>
  </w:footnote>
  <w:footnote w:id="33">
    <w:p w14:paraId="3C4A938D" w14:textId="065B910C" w:rsidR="00B71429" w:rsidRPr="005E6736" w:rsidRDefault="00B71429" w:rsidP="00B71429">
      <w:pPr>
        <w:pStyle w:val="FootnoteText"/>
        <w:rPr>
          <w:sz w:val="24"/>
          <w:szCs w:val="24"/>
        </w:rPr>
      </w:pPr>
      <w:r w:rsidRPr="00D71CA3">
        <w:rPr>
          <w:rStyle w:val="FootnoteReference"/>
          <w:sz w:val="24"/>
          <w:szCs w:val="24"/>
          <w:vertAlign w:val="baseline"/>
        </w:rPr>
        <w:footnoteRef/>
      </w:r>
      <w:r w:rsidR="00D71CA3">
        <w:rPr>
          <w:sz w:val="24"/>
          <w:szCs w:val="24"/>
        </w:rPr>
        <w:t>.</w:t>
      </w:r>
      <w:r w:rsidRPr="005E6736">
        <w:rPr>
          <w:sz w:val="24"/>
          <w:szCs w:val="24"/>
        </w:rPr>
        <w:t xml:space="preserve"> </w:t>
      </w:r>
      <w:r>
        <w:rPr>
          <w:sz w:val="24"/>
          <w:szCs w:val="24"/>
        </w:rPr>
        <w:t>California Council for the Social Studies.</w:t>
      </w:r>
      <w:r w:rsidRPr="005E6736">
        <w:rPr>
          <w:sz w:val="24"/>
          <w:szCs w:val="24"/>
        </w:rPr>
        <w:t xml:space="preserve"> </w:t>
      </w:r>
      <w:hyperlink r:id="rId32" w:tooltip="California Council for the Social Studies web page" w:history="1">
        <w:r w:rsidRPr="005E6736">
          <w:rPr>
            <w:rStyle w:val="Hyperlink"/>
            <w:sz w:val="24"/>
            <w:szCs w:val="24"/>
          </w:rPr>
          <w:t>https://www.ccss.org</w:t>
        </w:r>
      </w:hyperlink>
      <w:r>
        <w:rPr>
          <w:sz w:val="24"/>
          <w:szCs w:val="24"/>
        </w:rPr>
        <w:t>.</w:t>
      </w:r>
    </w:p>
  </w:footnote>
  <w:footnote w:id="34">
    <w:p w14:paraId="247C420C" w14:textId="313A4A1C" w:rsidR="00B71429" w:rsidRPr="005E6736" w:rsidRDefault="00B71429" w:rsidP="00B71429">
      <w:pPr>
        <w:pStyle w:val="FootnoteText"/>
        <w:rPr>
          <w:sz w:val="24"/>
          <w:szCs w:val="24"/>
        </w:rPr>
      </w:pPr>
      <w:r w:rsidRPr="00D71CA3">
        <w:rPr>
          <w:rStyle w:val="FootnoteReference"/>
          <w:sz w:val="24"/>
          <w:szCs w:val="24"/>
          <w:vertAlign w:val="baseline"/>
        </w:rPr>
        <w:footnoteRef/>
      </w:r>
      <w:r w:rsidR="00D71CA3">
        <w:rPr>
          <w:sz w:val="24"/>
          <w:szCs w:val="24"/>
        </w:rPr>
        <w:t>.</w:t>
      </w:r>
      <w:r w:rsidRPr="00D71CA3">
        <w:rPr>
          <w:sz w:val="24"/>
          <w:szCs w:val="24"/>
        </w:rPr>
        <w:t xml:space="preserve"> </w:t>
      </w:r>
      <w:r w:rsidRPr="005E6736">
        <w:rPr>
          <w:sz w:val="24"/>
          <w:szCs w:val="24"/>
        </w:rPr>
        <w:t>California History–Social Science Projec</w:t>
      </w:r>
      <w:r>
        <w:rPr>
          <w:sz w:val="24"/>
          <w:szCs w:val="24"/>
        </w:rPr>
        <w:t>t.</w:t>
      </w:r>
      <w:r w:rsidRPr="005E6736">
        <w:rPr>
          <w:sz w:val="24"/>
          <w:szCs w:val="24"/>
        </w:rPr>
        <w:t xml:space="preserve"> </w:t>
      </w:r>
      <w:hyperlink r:id="rId33" w:tooltip="California History–Social Science Project web page" w:history="1">
        <w:r w:rsidRPr="005E6736">
          <w:rPr>
            <w:rStyle w:val="Hyperlink"/>
            <w:sz w:val="24"/>
            <w:szCs w:val="24"/>
          </w:rPr>
          <w:t>https://chssp.ucdavis.edu</w:t>
        </w:r>
      </w:hyperlink>
      <w:r>
        <w:rPr>
          <w:sz w:val="24"/>
          <w:szCs w:val="24"/>
        </w:rPr>
        <w:t>.</w:t>
      </w:r>
    </w:p>
  </w:footnote>
  <w:footnote w:id="35">
    <w:p w14:paraId="51C84E64" w14:textId="603ABE41" w:rsidR="00775574" w:rsidRPr="005E6736" w:rsidRDefault="00775574" w:rsidP="00775574">
      <w:pPr>
        <w:pStyle w:val="FootnoteText"/>
        <w:rPr>
          <w:sz w:val="24"/>
          <w:szCs w:val="24"/>
        </w:rPr>
      </w:pPr>
      <w:r w:rsidRPr="00D71CA3">
        <w:rPr>
          <w:rStyle w:val="FootnoteReference"/>
          <w:sz w:val="24"/>
          <w:szCs w:val="24"/>
          <w:vertAlign w:val="baseline"/>
        </w:rPr>
        <w:footnoteRef/>
      </w:r>
      <w:r w:rsidR="00D71CA3">
        <w:rPr>
          <w:sz w:val="24"/>
          <w:szCs w:val="24"/>
        </w:rPr>
        <w:t>.</w:t>
      </w:r>
      <w:r w:rsidRPr="005E6736">
        <w:rPr>
          <w:sz w:val="24"/>
          <w:szCs w:val="24"/>
        </w:rPr>
        <w:t xml:space="preserve"> </w:t>
      </w:r>
      <w:r w:rsidR="005842B1">
        <w:rPr>
          <w:sz w:val="24"/>
          <w:szCs w:val="24"/>
        </w:rPr>
        <w:t xml:space="preserve">Hodgin, Erica, Samia Alkam, Yvette Conde, and Joseph Kahne. 2023. </w:t>
      </w:r>
      <w:r w:rsidRPr="00B70D26">
        <w:rPr>
          <w:i/>
          <w:iCs/>
          <w:sz w:val="24"/>
          <w:szCs w:val="24"/>
        </w:rPr>
        <w:t>California’s Commitment to K–12 Civic Learning: A 2022 Assessment</w:t>
      </w:r>
      <w:r w:rsidR="005842B1" w:rsidRPr="005B0134">
        <w:rPr>
          <w:sz w:val="24"/>
          <w:szCs w:val="24"/>
        </w:rPr>
        <w:t>.</w:t>
      </w:r>
      <w:r w:rsidR="005842B1">
        <w:rPr>
          <w:sz w:val="24"/>
          <w:szCs w:val="24"/>
        </w:rPr>
        <w:t xml:space="preserve"> </w:t>
      </w:r>
      <w:r w:rsidR="005842B1" w:rsidRPr="005E6736">
        <w:rPr>
          <w:sz w:val="24"/>
          <w:szCs w:val="24"/>
        </w:rPr>
        <w:t>Leveraging Equity &amp; Access in Democratic Education</w:t>
      </w:r>
      <w:r w:rsidR="005842B1">
        <w:rPr>
          <w:sz w:val="24"/>
          <w:szCs w:val="24"/>
        </w:rPr>
        <w:t xml:space="preserve"> at UCLA and UC Riverside</w:t>
      </w:r>
      <w:r>
        <w:rPr>
          <w:sz w:val="24"/>
          <w:szCs w:val="24"/>
        </w:rPr>
        <w:t>, 17</w:t>
      </w:r>
      <w:r w:rsidR="005842B1">
        <w:rPr>
          <w:sz w:val="24"/>
          <w:szCs w:val="24"/>
        </w:rPr>
        <w:t>.</w:t>
      </w:r>
      <w:r>
        <w:rPr>
          <w:sz w:val="24"/>
          <w:szCs w:val="24"/>
        </w:rPr>
        <w:t xml:space="preserve"> </w:t>
      </w:r>
      <w:hyperlink r:id="rId34" w:tooltip="California's Commitment to K–12 Civic Learning report" w:history="1">
        <w:r w:rsidRPr="00923A23">
          <w:rPr>
            <w:rStyle w:val="Hyperlink"/>
            <w:sz w:val="24"/>
            <w:szCs w:val="24"/>
          </w:rPr>
          <w:t>https://centerx.gseis.ucla.edu/wp-content/uploads/2023/06/Californias-Commitment-to-K-12-Civic-Learning-2022-Assessment-LEADE-Report.pdf</w:t>
        </w:r>
      </w:hyperlink>
      <w:r>
        <w:rPr>
          <w:sz w:val="24"/>
          <w:szCs w:val="24"/>
        </w:rPr>
        <w:t>.</w:t>
      </w:r>
    </w:p>
  </w:footnote>
  <w:footnote w:id="36">
    <w:p w14:paraId="51C4E663" w14:textId="101EE8E3" w:rsidR="004410B2" w:rsidRPr="00AB3306" w:rsidRDefault="004410B2">
      <w:pPr>
        <w:pStyle w:val="FootnoteText"/>
        <w:rPr>
          <w:sz w:val="24"/>
          <w:szCs w:val="24"/>
        </w:rPr>
      </w:pPr>
      <w:r w:rsidRPr="000F09A6">
        <w:rPr>
          <w:rStyle w:val="FootnoteReference"/>
          <w:sz w:val="24"/>
          <w:szCs w:val="24"/>
          <w:vertAlign w:val="baseline"/>
        </w:rPr>
        <w:footnoteRef/>
      </w:r>
      <w:r w:rsidR="000F09A6">
        <w:rPr>
          <w:sz w:val="24"/>
          <w:szCs w:val="24"/>
        </w:rPr>
        <w:t>.</w:t>
      </w:r>
      <w:r w:rsidRPr="000F09A6">
        <w:rPr>
          <w:sz w:val="24"/>
          <w:szCs w:val="24"/>
        </w:rPr>
        <w:t xml:space="preserve"> </w:t>
      </w:r>
      <w:r w:rsidRPr="00AB3306">
        <w:rPr>
          <w:sz w:val="24"/>
          <w:szCs w:val="24"/>
        </w:rPr>
        <w:t xml:space="preserve">California Department of Education. March 15, 2024. CALPADS Update Flash #268. </w:t>
      </w:r>
      <w:hyperlink r:id="rId35" w:tooltip="CDE CALPADS Update Flash #268 web page" w:history="1">
        <w:r w:rsidRPr="00AB3306">
          <w:rPr>
            <w:rStyle w:val="Hyperlink"/>
            <w:sz w:val="24"/>
            <w:szCs w:val="24"/>
          </w:rPr>
          <w:t>https://www.cde.ca.gov/ds/sp/cl/calpadsupdflash268.asp</w:t>
        </w:r>
      </w:hyperlink>
      <w:r w:rsidR="00415792">
        <w:rPr>
          <w:rStyle w:val="Hyperlink"/>
          <w:sz w:val="24"/>
          <w:szCs w:val="24"/>
          <w:u w:val="none"/>
        </w:rPr>
        <w:t>.</w:t>
      </w:r>
    </w:p>
  </w:footnote>
  <w:footnote w:id="37">
    <w:p w14:paraId="11FA6351" w14:textId="7FAAECB3" w:rsidR="004F78B4" w:rsidRPr="00FF311C" w:rsidRDefault="004F78B4" w:rsidP="004F78B4">
      <w:pPr>
        <w:pStyle w:val="FootnoteText"/>
        <w:rPr>
          <w:sz w:val="24"/>
          <w:szCs w:val="24"/>
        </w:rPr>
      </w:pPr>
      <w:r w:rsidRPr="000F09A6">
        <w:rPr>
          <w:rStyle w:val="FootnoteReference"/>
          <w:sz w:val="24"/>
          <w:szCs w:val="24"/>
          <w:vertAlign w:val="baseline"/>
        </w:rPr>
        <w:footnoteRef/>
      </w:r>
      <w:r w:rsidR="000F09A6">
        <w:rPr>
          <w:sz w:val="24"/>
          <w:szCs w:val="24"/>
        </w:rPr>
        <w:t>.</w:t>
      </w:r>
      <w:r w:rsidRPr="000F09A6">
        <w:rPr>
          <w:sz w:val="24"/>
          <w:szCs w:val="24"/>
        </w:rPr>
        <w:t xml:space="preserve"> </w:t>
      </w:r>
      <w:r w:rsidRPr="00AB3306">
        <w:rPr>
          <w:sz w:val="24"/>
          <w:szCs w:val="24"/>
        </w:rPr>
        <w:t xml:space="preserve">California Department of Education. December 15, 2023. SBE Items Related to the SSCE. </w:t>
      </w:r>
      <w:hyperlink r:id="rId36" w:tooltip="CDE SBE Items Related to the SSCE web page" w:history="1">
        <w:r w:rsidRPr="00AB3306">
          <w:rPr>
            <w:rStyle w:val="Hyperlink"/>
            <w:sz w:val="24"/>
            <w:szCs w:val="24"/>
          </w:rPr>
          <w:t>https://www.cde.ca.gov/pd/ca/hs/sbe2ssce.asp</w:t>
        </w:r>
      </w:hyperlink>
      <w:r>
        <w:rPr>
          <w:rStyle w:val="Hyperlink"/>
          <w:sz w:val="24"/>
          <w:szCs w:val="24"/>
          <w:u w:val="none"/>
        </w:rPr>
        <w:t>.</w:t>
      </w:r>
    </w:p>
  </w:footnote>
  <w:footnote w:id="38">
    <w:p w14:paraId="7F5A7A60" w14:textId="5B478723" w:rsidR="0048331E" w:rsidRPr="005E6736" w:rsidRDefault="0048331E" w:rsidP="0048331E">
      <w:pPr>
        <w:pStyle w:val="FootnoteText"/>
        <w:rPr>
          <w:sz w:val="24"/>
          <w:szCs w:val="24"/>
        </w:rPr>
      </w:pPr>
      <w:r w:rsidRPr="007147B1">
        <w:rPr>
          <w:rStyle w:val="FootnoteReference"/>
          <w:sz w:val="24"/>
          <w:szCs w:val="24"/>
          <w:vertAlign w:val="baseline"/>
        </w:rPr>
        <w:footnoteRef/>
      </w:r>
      <w:r w:rsidR="007147B1">
        <w:rPr>
          <w:sz w:val="24"/>
          <w:szCs w:val="24"/>
        </w:rPr>
        <w:t>.</w:t>
      </w:r>
      <w:r w:rsidRPr="005E6736">
        <w:rPr>
          <w:sz w:val="24"/>
          <w:szCs w:val="24"/>
        </w:rPr>
        <w:t xml:space="preserve"> </w:t>
      </w:r>
      <w:r>
        <w:rPr>
          <w:sz w:val="24"/>
          <w:szCs w:val="24"/>
        </w:rPr>
        <w:t>Civic Engagement Research Group.</w:t>
      </w:r>
      <w:r w:rsidRPr="005E6736">
        <w:rPr>
          <w:sz w:val="24"/>
          <w:szCs w:val="24"/>
        </w:rPr>
        <w:t xml:space="preserve"> Educating4Democracy</w:t>
      </w:r>
      <w:r>
        <w:rPr>
          <w:sz w:val="24"/>
          <w:szCs w:val="24"/>
        </w:rPr>
        <w:t xml:space="preserve">. </w:t>
      </w:r>
      <w:hyperlink r:id="rId37" w:tooltip="Educating 4 Democracy web page" w:history="1">
        <w:r w:rsidRPr="007F2786">
          <w:rPr>
            <w:rStyle w:val="Hyperlink"/>
            <w:sz w:val="24"/>
            <w:szCs w:val="24"/>
          </w:rPr>
          <w:t>https://www.ed4democracy.org/topics/ca-state-seal-of-civic-engagement</w:t>
        </w:r>
      </w:hyperlink>
      <w:r>
        <w:rPr>
          <w:sz w:val="24"/>
          <w:szCs w:val="24"/>
        </w:rPr>
        <w:t>.</w:t>
      </w:r>
    </w:p>
  </w:footnote>
  <w:footnote w:id="39">
    <w:p w14:paraId="34AA0FB9" w14:textId="622EB3BE" w:rsidR="0048331E" w:rsidRPr="005E6736" w:rsidRDefault="0048331E" w:rsidP="0048331E">
      <w:pPr>
        <w:pStyle w:val="FootnoteText"/>
        <w:rPr>
          <w:sz w:val="24"/>
          <w:szCs w:val="24"/>
        </w:rPr>
      </w:pPr>
      <w:r w:rsidRPr="007147B1">
        <w:rPr>
          <w:rStyle w:val="FootnoteReference"/>
          <w:sz w:val="24"/>
          <w:szCs w:val="24"/>
          <w:vertAlign w:val="baseline"/>
        </w:rPr>
        <w:footnoteRef/>
      </w:r>
      <w:r w:rsidR="007147B1">
        <w:rPr>
          <w:sz w:val="24"/>
          <w:szCs w:val="24"/>
        </w:rPr>
        <w:t>.</w:t>
      </w:r>
      <w:r w:rsidRPr="007147B1">
        <w:rPr>
          <w:sz w:val="24"/>
          <w:szCs w:val="24"/>
        </w:rPr>
        <w:t xml:space="preserve"> </w:t>
      </w:r>
      <w:r>
        <w:rPr>
          <w:sz w:val="24"/>
          <w:szCs w:val="24"/>
        </w:rPr>
        <w:t>Civic Engagement Research Group</w:t>
      </w:r>
      <w:r w:rsidR="00064EB5">
        <w:rPr>
          <w:sz w:val="24"/>
          <w:szCs w:val="24"/>
        </w:rPr>
        <w:t>.</w:t>
      </w:r>
      <w:r w:rsidRPr="005E6736">
        <w:rPr>
          <w:sz w:val="24"/>
          <w:szCs w:val="24"/>
        </w:rPr>
        <w:t xml:space="preserve"> </w:t>
      </w:r>
      <w:r w:rsidRPr="00B70D26">
        <w:rPr>
          <w:i/>
          <w:iCs/>
          <w:sz w:val="24"/>
          <w:szCs w:val="24"/>
        </w:rPr>
        <w:t>SSCE Planning Packet</w:t>
      </w:r>
      <w:r w:rsidR="00064EB5" w:rsidRPr="005B0134">
        <w:rPr>
          <w:sz w:val="24"/>
          <w:szCs w:val="24"/>
        </w:rPr>
        <w:t>.</w:t>
      </w:r>
      <w:r w:rsidRPr="005B0134">
        <w:rPr>
          <w:sz w:val="24"/>
          <w:szCs w:val="24"/>
        </w:rPr>
        <w:t xml:space="preserve"> </w:t>
      </w:r>
      <w:hyperlink r:id="rId38" w:tooltip="Educating 4 Democracy State Seal of Civic Engagement Planning Packet" w:history="1">
        <w:r w:rsidRPr="00923A23">
          <w:rPr>
            <w:rStyle w:val="Hyperlink"/>
            <w:sz w:val="24"/>
            <w:szCs w:val="24"/>
          </w:rPr>
          <w:t>https://docs.google.com/document/d/18wQZBW9AmnzUdPAklSRsPENklxO0v9afNOUQzioG8xQ/edit#</w:t>
        </w:r>
      </w:hyperlink>
      <w:r>
        <w:rPr>
          <w:rStyle w:val="Hyperlink"/>
          <w:sz w:val="24"/>
          <w:szCs w:val="24"/>
          <w:u w:val="none"/>
        </w:rPr>
        <w:t>.</w:t>
      </w:r>
      <w:r w:rsidRPr="005E6736">
        <w:rPr>
          <w:sz w:val="24"/>
          <w:szCs w:val="24"/>
        </w:rPr>
        <w:t xml:space="preserve"> </w:t>
      </w:r>
    </w:p>
  </w:footnote>
  <w:footnote w:id="40">
    <w:p w14:paraId="5F171211" w14:textId="34B26F38" w:rsidR="009D6D4F" w:rsidRPr="005E6736" w:rsidRDefault="009D6D4F" w:rsidP="009D6D4F">
      <w:pPr>
        <w:pStyle w:val="FootnoteText"/>
        <w:rPr>
          <w:sz w:val="24"/>
          <w:szCs w:val="24"/>
        </w:rPr>
      </w:pPr>
      <w:r w:rsidRPr="00DD2BF2">
        <w:rPr>
          <w:rStyle w:val="FootnoteReference"/>
          <w:sz w:val="24"/>
          <w:szCs w:val="24"/>
          <w:vertAlign w:val="baseline"/>
        </w:rPr>
        <w:footnoteRef/>
      </w:r>
      <w:r w:rsidR="00DD2BF2">
        <w:rPr>
          <w:sz w:val="24"/>
          <w:szCs w:val="24"/>
        </w:rPr>
        <w:t>.</w:t>
      </w:r>
      <w:r w:rsidRPr="005E6736">
        <w:rPr>
          <w:sz w:val="24"/>
          <w:szCs w:val="24"/>
        </w:rPr>
        <w:t xml:space="preserve"> </w:t>
      </w:r>
      <w:r w:rsidR="00A264A1" w:rsidRPr="005E6736">
        <w:rPr>
          <w:sz w:val="24"/>
          <w:szCs w:val="24"/>
        </w:rPr>
        <w:t>Youth.gov</w:t>
      </w:r>
      <w:r w:rsidR="002834EE">
        <w:rPr>
          <w:sz w:val="24"/>
          <w:szCs w:val="24"/>
        </w:rPr>
        <w:t xml:space="preserve">. </w:t>
      </w:r>
      <w:r w:rsidR="00A264A1" w:rsidRPr="002834EE">
        <w:rPr>
          <w:sz w:val="24"/>
          <w:szCs w:val="24"/>
        </w:rPr>
        <w:t>Service-Learning</w:t>
      </w:r>
      <w:r w:rsidR="002834EE">
        <w:rPr>
          <w:sz w:val="24"/>
          <w:szCs w:val="24"/>
        </w:rPr>
        <w:t>.</w:t>
      </w:r>
      <w:r w:rsidR="00A264A1" w:rsidRPr="005E6736">
        <w:rPr>
          <w:sz w:val="24"/>
          <w:szCs w:val="24"/>
        </w:rPr>
        <w:t xml:space="preserve"> </w:t>
      </w:r>
      <w:hyperlink r:id="rId39" w:anchor="_ftn" w:tooltip="Youth.gov Service-Learning web page" w:history="1">
        <w:r w:rsidR="00A264A1" w:rsidRPr="005E6736">
          <w:rPr>
            <w:rStyle w:val="Hyperlink"/>
            <w:sz w:val="24"/>
            <w:szCs w:val="24"/>
          </w:rPr>
          <w:t>https://youth.gov/youth-topics/civic-engagement-and-volunteering/service-learning#_ftn</w:t>
        </w:r>
      </w:hyperlink>
      <w:r w:rsidR="00A264A1" w:rsidRPr="005E6736">
        <w:rPr>
          <w:rStyle w:val="Hyperlink"/>
          <w:color w:val="auto"/>
          <w:sz w:val="24"/>
          <w:szCs w:val="24"/>
          <w:u w:val="none"/>
        </w:rPr>
        <w:t>.</w:t>
      </w:r>
    </w:p>
  </w:footnote>
  <w:footnote w:id="41">
    <w:p w14:paraId="0CC5AD4F" w14:textId="6B85EEF0" w:rsidR="00FF6DC8" w:rsidRPr="005E6736" w:rsidRDefault="00FF6DC8">
      <w:pPr>
        <w:pStyle w:val="FootnoteText"/>
        <w:rPr>
          <w:sz w:val="24"/>
          <w:szCs w:val="24"/>
        </w:rPr>
      </w:pPr>
      <w:r w:rsidRPr="00DD2BF2">
        <w:rPr>
          <w:rStyle w:val="FootnoteReference"/>
          <w:sz w:val="24"/>
          <w:szCs w:val="24"/>
          <w:vertAlign w:val="baseline"/>
        </w:rPr>
        <w:footnoteRef/>
      </w:r>
      <w:r w:rsidR="00DD2BF2">
        <w:rPr>
          <w:sz w:val="24"/>
          <w:szCs w:val="24"/>
        </w:rPr>
        <w:t>.</w:t>
      </w:r>
      <w:r w:rsidRPr="005E6736">
        <w:rPr>
          <w:sz w:val="24"/>
          <w:szCs w:val="24"/>
        </w:rPr>
        <w:t xml:space="preserve"> </w:t>
      </w:r>
      <w:r w:rsidR="00A264A1">
        <w:rPr>
          <w:sz w:val="24"/>
          <w:szCs w:val="24"/>
        </w:rPr>
        <w:t xml:space="preserve">Verba, </w:t>
      </w:r>
      <w:r w:rsidR="00C62DE6">
        <w:rPr>
          <w:sz w:val="24"/>
          <w:szCs w:val="24"/>
        </w:rPr>
        <w:t xml:space="preserve">Sidney, </w:t>
      </w:r>
      <w:r w:rsidRPr="005E6736">
        <w:rPr>
          <w:sz w:val="24"/>
          <w:szCs w:val="24"/>
        </w:rPr>
        <w:t xml:space="preserve">Kay Lehman Schlozman, and Henry </w:t>
      </w:r>
      <w:r w:rsidR="00C62DE6">
        <w:rPr>
          <w:sz w:val="24"/>
          <w:szCs w:val="24"/>
        </w:rPr>
        <w:t xml:space="preserve">E. </w:t>
      </w:r>
      <w:r w:rsidRPr="005E6736">
        <w:rPr>
          <w:sz w:val="24"/>
          <w:szCs w:val="24"/>
        </w:rPr>
        <w:t>Brady</w:t>
      </w:r>
      <w:r w:rsidR="00C62DE6">
        <w:rPr>
          <w:sz w:val="24"/>
          <w:szCs w:val="24"/>
        </w:rPr>
        <w:t xml:space="preserve">. </w:t>
      </w:r>
      <w:r w:rsidR="00C62DE6" w:rsidRPr="005E6736">
        <w:rPr>
          <w:sz w:val="24"/>
          <w:szCs w:val="24"/>
        </w:rPr>
        <w:t>1995</w:t>
      </w:r>
      <w:r w:rsidR="00C62DE6">
        <w:rPr>
          <w:sz w:val="24"/>
          <w:szCs w:val="24"/>
        </w:rPr>
        <w:t xml:space="preserve">. </w:t>
      </w:r>
      <w:r w:rsidRPr="00A264A1">
        <w:rPr>
          <w:i/>
          <w:iCs/>
          <w:sz w:val="24"/>
          <w:szCs w:val="24"/>
        </w:rPr>
        <w:t>Voice and Equality: Civic Voluntarism in American Politics</w:t>
      </w:r>
      <w:r w:rsidR="00C62DE6" w:rsidRPr="005B0134">
        <w:rPr>
          <w:sz w:val="24"/>
          <w:szCs w:val="24"/>
        </w:rPr>
        <w:t xml:space="preserve">. </w:t>
      </w:r>
      <w:r w:rsidRPr="005E6736">
        <w:rPr>
          <w:sz w:val="24"/>
          <w:szCs w:val="24"/>
        </w:rPr>
        <w:t>Cambridge</w:t>
      </w:r>
      <w:r w:rsidR="00C62DE6">
        <w:rPr>
          <w:sz w:val="24"/>
          <w:szCs w:val="24"/>
        </w:rPr>
        <w:t>, MA</w:t>
      </w:r>
      <w:r w:rsidRPr="005E6736">
        <w:rPr>
          <w:sz w:val="24"/>
          <w:szCs w:val="24"/>
        </w:rPr>
        <w:t>: Harvard University Press.</w:t>
      </w:r>
    </w:p>
  </w:footnote>
  <w:footnote w:id="42">
    <w:p w14:paraId="419A6D84" w14:textId="666D759E" w:rsidR="007B3BB1" w:rsidRPr="005E6736" w:rsidRDefault="007B3BB1" w:rsidP="007B3BB1">
      <w:pPr>
        <w:spacing w:after="0"/>
        <w:rPr>
          <w:rFonts w:eastAsia="Times New Roman" w:cs="Times New Roman"/>
          <w:szCs w:val="24"/>
        </w:rPr>
      </w:pPr>
      <w:r w:rsidRPr="00DD2BF2">
        <w:rPr>
          <w:rStyle w:val="FootnoteReference"/>
          <w:szCs w:val="24"/>
          <w:vertAlign w:val="baseline"/>
        </w:rPr>
        <w:footnoteRef/>
      </w:r>
      <w:r>
        <w:rPr>
          <w:szCs w:val="24"/>
        </w:rPr>
        <w:t>.</w:t>
      </w:r>
      <w:r w:rsidRPr="00DD2BF2">
        <w:rPr>
          <w:szCs w:val="24"/>
        </w:rPr>
        <w:t xml:space="preserve"> </w:t>
      </w:r>
      <w:r w:rsidRPr="005E6736">
        <w:rPr>
          <w:rFonts w:eastAsia="Times New Roman" w:cs="Times New Roman"/>
          <w:szCs w:val="24"/>
        </w:rPr>
        <w:t xml:space="preserve">Gould, Jonathan, Kathleen Hall Jamieson, Peter Levine, Ted McConnell, and David B. Smith, eds. </w:t>
      </w:r>
      <w:r w:rsidR="00C62DE6" w:rsidRPr="005E6736">
        <w:rPr>
          <w:rFonts w:eastAsia="Times New Roman" w:cs="Times New Roman"/>
          <w:szCs w:val="24"/>
        </w:rPr>
        <w:t>2011</w:t>
      </w:r>
      <w:r w:rsidR="00C62DE6">
        <w:rPr>
          <w:rFonts w:eastAsia="Times New Roman" w:cs="Times New Roman"/>
          <w:szCs w:val="24"/>
        </w:rPr>
        <w:t xml:space="preserve">. </w:t>
      </w:r>
      <w:r w:rsidRPr="00A264A1">
        <w:rPr>
          <w:rFonts w:eastAsia="Times New Roman" w:cs="Times New Roman"/>
          <w:i/>
          <w:iCs/>
          <w:szCs w:val="24"/>
        </w:rPr>
        <w:t>Guardian of Democracy: The Civic Mission of Schools</w:t>
      </w:r>
      <w:r w:rsidR="00C62DE6">
        <w:rPr>
          <w:rFonts w:eastAsia="Times New Roman" w:cs="Times New Roman"/>
          <w:szCs w:val="24"/>
        </w:rPr>
        <w:t xml:space="preserve">. </w:t>
      </w:r>
      <w:r w:rsidRPr="005E6736">
        <w:rPr>
          <w:rFonts w:eastAsia="Times New Roman" w:cs="Times New Roman"/>
          <w:szCs w:val="24"/>
        </w:rPr>
        <w:t xml:space="preserve">Philadelphia, </w:t>
      </w:r>
      <w:r w:rsidR="00C62DE6">
        <w:rPr>
          <w:rFonts w:eastAsia="Times New Roman" w:cs="Times New Roman"/>
          <w:szCs w:val="24"/>
        </w:rPr>
        <w:t xml:space="preserve">PA: </w:t>
      </w:r>
      <w:r w:rsidR="00C62DE6" w:rsidRPr="00C62DE6">
        <w:rPr>
          <w:rFonts w:eastAsia="Times New Roman" w:cs="Times New Roman"/>
          <w:szCs w:val="24"/>
        </w:rPr>
        <w:t>Leonore Annenberg Institute for Civics of the Annenberg Public Policy Center at the University of Pennsylvania</w:t>
      </w:r>
      <w:r w:rsidR="00C62DE6">
        <w:rPr>
          <w:rFonts w:eastAsia="Times New Roman" w:cs="Times New Roman"/>
          <w:szCs w:val="24"/>
        </w:rPr>
        <w:t>.</w:t>
      </w:r>
      <w:r>
        <w:rPr>
          <w:rFonts w:eastAsia="Times New Roman" w:cs="Times New Roman"/>
          <w:szCs w:val="24"/>
        </w:rPr>
        <w:t xml:space="preserve"> </w:t>
      </w:r>
      <w:hyperlink r:id="rId40" w:tooltip="Guardian of Democracy: The Civic Mission of Schools report" w:history="1">
        <w:r w:rsidRPr="00923A23">
          <w:rPr>
            <w:rStyle w:val="Hyperlink"/>
            <w:rFonts w:eastAsia="Times New Roman" w:cs="Times New Roman"/>
            <w:szCs w:val="24"/>
          </w:rPr>
          <w:t>https://www.carnegie.org/publications/guardian-of-democracy-the-civic-mission-of-schools</w:t>
        </w:r>
      </w:hyperlink>
      <w:r>
        <w:rPr>
          <w:rFonts w:eastAsia="Times New Roman" w:cs="Times New Roman"/>
          <w:szCs w:val="24"/>
        </w:rPr>
        <w:t>.</w:t>
      </w:r>
    </w:p>
  </w:footnote>
  <w:footnote w:id="43">
    <w:p w14:paraId="263D387F" w14:textId="21A07EFD" w:rsidR="00FF6DC8" w:rsidRPr="005E6736" w:rsidRDefault="00FF6DC8">
      <w:pPr>
        <w:pStyle w:val="FootnoteText"/>
        <w:rPr>
          <w:sz w:val="24"/>
          <w:szCs w:val="24"/>
        </w:rPr>
      </w:pPr>
      <w:r w:rsidRPr="00DD2BF2">
        <w:rPr>
          <w:rStyle w:val="FootnoteReference"/>
          <w:sz w:val="24"/>
          <w:szCs w:val="24"/>
          <w:vertAlign w:val="baseline"/>
        </w:rPr>
        <w:footnoteRef/>
      </w:r>
      <w:r w:rsidR="00DD2BF2">
        <w:rPr>
          <w:sz w:val="24"/>
          <w:szCs w:val="24"/>
        </w:rPr>
        <w:t>.</w:t>
      </w:r>
      <w:r w:rsidRPr="005E6736">
        <w:rPr>
          <w:sz w:val="24"/>
          <w:szCs w:val="24"/>
        </w:rPr>
        <w:t xml:space="preserve"> </w:t>
      </w:r>
      <w:r w:rsidR="003A6311" w:rsidRPr="005E6736">
        <w:rPr>
          <w:sz w:val="24"/>
          <w:szCs w:val="24"/>
        </w:rPr>
        <w:t>Leveraging Equity &amp; Access in Democratic Education</w:t>
      </w:r>
      <w:r w:rsidR="00C62DE6">
        <w:rPr>
          <w:sz w:val="24"/>
          <w:szCs w:val="24"/>
        </w:rPr>
        <w:t>.</w:t>
      </w:r>
      <w:r w:rsidR="00C62DE6" w:rsidRPr="005E6736">
        <w:rPr>
          <w:sz w:val="24"/>
          <w:szCs w:val="24"/>
        </w:rPr>
        <w:t xml:space="preserve"> </w:t>
      </w:r>
      <w:r w:rsidR="00C62DE6" w:rsidRPr="002A1272">
        <w:rPr>
          <w:sz w:val="24"/>
          <w:szCs w:val="24"/>
        </w:rPr>
        <w:t>2023</w:t>
      </w:r>
      <w:r w:rsidR="00C62DE6">
        <w:rPr>
          <w:sz w:val="24"/>
          <w:szCs w:val="24"/>
        </w:rPr>
        <w:t xml:space="preserve">. </w:t>
      </w:r>
      <w:r w:rsidR="003A6311" w:rsidRPr="005B0134">
        <w:rPr>
          <w:sz w:val="24"/>
          <w:szCs w:val="24"/>
        </w:rPr>
        <w:t xml:space="preserve">What </w:t>
      </w:r>
      <w:r w:rsidR="00C62DE6">
        <w:rPr>
          <w:sz w:val="24"/>
          <w:szCs w:val="24"/>
        </w:rPr>
        <w:t>I</w:t>
      </w:r>
      <w:r w:rsidR="003A6311" w:rsidRPr="005B0134">
        <w:rPr>
          <w:sz w:val="24"/>
          <w:szCs w:val="24"/>
        </w:rPr>
        <w:t>s Civic Learning?</w:t>
      </w:r>
      <w:r w:rsidR="003A6311" w:rsidRPr="002A1272">
        <w:rPr>
          <w:sz w:val="24"/>
          <w:szCs w:val="24"/>
        </w:rPr>
        <w:t xml:space="preserve"> </w:t>
      </w:r>
      <w:hyperlink r:id="rId41" w:tooltip="Leveraging Equity and Access in Democratic Education Civic Learning web page" w:history="1">
        <w:r w:rsidR="003A6311" w:rsidRPr="005E6736">
          <w:rPr>
            <w:rStyle w:val="Hyperlink"/>
            <w:sz w:val="24"/>
            <w:szCs w:val="24"/>
          </w:rPr>
          <w:t>https://centerx.gseis.ucla.edu/leade/civic-learning</w:t>
        </w:r>
      </w:hyperlink>
      <w:r w:rsidR="002A1272">
        <w:rPr>
          <w:sz w:val="24"/>
          <w:szCs w:val="24"/>
        </w:rPr>
        <w:t>.</w:t>
      </w:r>
    </w:p>
  </w:footnote>
  <w:footnote w:id="44">
    <w:p w14:paraId="12E661AF" w14:textId="188BB470" w:rsidR="003E7739" w:rsidRPr="00035DB7" w:rsidRDefault="003E7739" w:rsidP="003E7739">
      <w:pPr>
        <w:pStyle w:val="FootnoteText"/>
        <w:rPr>
          <w:i/>
          <w:iCs/>
          <w:sz w:val="24"/>
          <w:szCs w:val="24"/>
        </w:rPr>
      </w:pPr>
      <w:r w:rsidRPr="00E01F0E">
        <w:rPr>
          <w:rStyle w:val="FootnoteReference"/>
          <w:sz w:val="24"/>
          <w:szCs w:val="24"/>
          <w:vertAlign w:val="baseline"/>
        </w:rPr>
        <w:footnoteRef/>
      </w:r>
      <w:r w:rsidR="00E01F0E">
        <w:rPr>
          <w:sz w:val="24"/>
          <w:szCs w:val="24"/>
        </w:rPr>
        <w:t>.</w:t>
      </w:r>
      <w:r w:rsidRPr="005E6736">
        <w:rPr>
          <w:sz w:val="24"/>
          <w:szCs w:val="24"/>
        </w:rPr>
        <w:t xml:space="preserve"> </w:t>
      </w:r>
      <w:r w:rsidR="002A1272" w:rsidRPr="007147B1">
        <w:rPr>
          <w:sz w:val="24"/>
          <w:szCs w:val="24"/>
        </w:rPr>
        <w:t>National Council for the Social Studies</w:t>
      </w:r>
      <w:r w:rsidR="00C62DE6">
        <w:rPr>
          <w:sz w:val="24"/>
          <w:szCs w:val="24"/>
        </w:rPr>
        <w:t>.</w:t>
      </w:r>
      <w:r w:rsidR="00C62DE6" w:rsidRPr="00C62DE6">
        <w:rPr>
          <w:sz w:val="24"/>
          <w:szCs w:val="24"/>
        </w:rPr>
        <w:t xml:space="preserve"> </w:t>
      </w:r>
      <w:r w:rsidR="00C62DE6" w:rsidRPr="005E6736">
        <w:rPr>
          <w:sz w:val="24"/>
          <w:szCs w:val="24"/>
        </w:rPr>
        <w:t>2013</w:t>
      </w:r>
      <w:r w:rsidR="00C62DE6">
        <w:rPr>
          <w:sz w:val="24"/>
          <w:szCs w:val="24"/>
        </w:rPr>
        <w:t>.</w:t>
      </w:r>
      <w:r w:rsidR="00C62DE6" w:rsidRPr="007147B1">
        <w:rPr>
          <w:sz w:val="24"/>
          <w:szCs w:val="24"/>
        </w:rPr>
        <w:t xml:space="preserve"> </w:t>
      </w:r>
      <w:r w:rsidR="006C482F" w:rsidRPr="007147B1">
        <w:rPr>
          <w:i/>
          <w:iCs/>
          <w:sz w:val="24"/>
          <w:szCs w:val="24"/>
        </w:rPr>
        <w:t>College</w:t>
      </w:r>
      <w:r w:rsidR="006C482F">
        <w:rPr>
          <w:i/>
          <w:iCs/>
          <w:sz w:val="24"/>
          <w:szCs w:val="24"/>
        </w:rPr>
        <w:t>, Career, and Civic Life</w:t>
      </w:r>
      <w:r w:rsidR="00035DB7" w:rsidRPr="00035DB7">
        <w:rPr>
          <w:i/>
          <w:iCs/>
          <w:sz w:val="24"/>
          <w:szCs w:val="24"/>
        </w:rPr>
        <w:t xml:space="preserve"> </w:t>
      </w:r>
      <w:r w:rsidRPr="00035DB7">
        <w:rPr>
          <w:i/>
          <w:iCs/>
          <w:sz w:val="24"/>
          <w:szCs w:val="24"/>
        </w:rPr>
        <w:t>Framework for Social</w:t>
      </w:r>
      <w:r w:rsidR="006C482F">
        <w:rPr>
          <w:i/>
          <w:iCs/>
          <w:sz w:val="24"/>
          <w:szCs w:val="24"/>
        </w:rPr>
        <w:t xml:space="preserve"> </w:t>
      </w:r>
      <w:r w:rsidRPr="00035DB7">
        <w:rPr>
          <w:i/>
          <w:iCs/>
          <w:sz w:val="24"/>
          <w:szCs w:val="24"/>
        </w:rPr>
        <w:t>Studies State Standards: Guidance for Enhancing the Rigor of K-12 Civics, Economics, Geography,</w:t>
      </w:r>
      <w:r w:rsidR="00035DB7">
        <w:rPr>
          <w:i/>
          <w:iCs/>
          <w:sz w:val="24"/>
          <w:szCs w:val="24"/>
        </w:rPr>
        <w:t xml:space="preserve"> </w:t>
      </w:r>
      <w:r w:rsidRPr="00035DB7">
        <w:rPr>
          <w:i/>
          <w:iCs/>
          <w:sz w:val="24"/>
          <w:szCs w:val="24"/>
        </w:rPr>
        <w:t>and History</w:t>
      </w:r>
      <w:r w:rsidR="00C62DE6" w:rsidRPr="005B0134">
        <w:rPr>
          <w:sz w:val="24"/>
          <w:szCs w:val="24"/>
        </w:rPr>
        <w:t>.</w:t>
      </w:r>
      <w:r w:rsidR="00C62DE6" w:rsidRPr="00C62DE6">
        <w:rPr>
          <w:sz w:val="24"/>
          <w:szCs w:val="24"/>
        </w:rPr>
        <w:t xml:space="preserve"> </w:t>
      </w:r>
      <w:r w:rsidRPr="005E6736">
        <w:rPr>
          <w:sz w:val="24"/>
          <w:szCs w:val="24"/>
        </w:rPr>
        <w:t>Silver Spring, MD: NCSS</w:t>
      </w:r>
      <w:r w:rsidR="00035DB7">
        <w:rPr>
          <w:sz w:val="24"/>
          <w:szCs w:val="24"/>
        </w:rPr>
        <w:t xml:space="preserve">, </w:t>
      </w:r>
      <w:r w:rsidRPr="005E6736">
        <w:rPr>
          <w:sz w:val="24"/>
          <w:szCs w:val="24"/>
        </w:rPr>
        <w:t>31</w:t>
      </w:r>
      <w:r w:rsidR="00C62DE6">
        <w:rPr>
          <w:sz w:val="24"/>
          <w:szCs w:val="24"/>
        </w:rPr>
        <w:t>.</w:t>
      </w:r>
      <w:r w:rsidR="00035DB7">
        <w:rPr>
          <w:sz w:val="24"/>
          <w:szCs w:val="24"/>
        </w:rPr>
        <w:t xml:space="preserve"> </w:t>
      </w:r>
      <w:hyperlink r:id="rId42" w:tooltip="College, National Council for the Social Studies Career, and Civic Life Framework for Social Studies State Standards report" w:history="1">
        <w:r w:rsidR="00035DB7" w:rsidRPr="00923A23">
          <w:rPr>
            <w:rStyle w:val="Hyperlink"/>
            <w:sz w:val="24"/>
            <w:szCs w:val="24"/>
          </w:rPr>
          <w:t>https://www.socialstudies.org/system/files/2022/c3-framework-for-social-studies-rev0617.2.pdf</w:t>
        </w:r>
      </w:hyperlink>
      <w:r w:rsidR="00035DB7">
        <w:rPr>
          <w:sz w:val="24"/>
          <w:szCs w:val="24"/>
        </w:rPr>
        <w:t>.</w:t>
      </w:r>
    </w:p>
  </w:footnote>
  <w:footnote w:id="45">
    <w:p w14:paraId="6EA28256" w14:textId="6E01D389" w:rsidR="00C51EFF" w:rsidRPr="005E6736" w:rsidRDefault="00C51EFF" w:rsidP="00C51EFF">
      <w:pPr>
        <w:pStyle w:val="FootnoteText"/>
        <w:rPr>
          <w:sz w:val="24"/>
          <w:szCs w:val="24"/>
        </w:rPr>
      </w:pPr>
      <w:r w:rsidRPr="00E01F0E">
        <w:rPr>
          <w:rStyle w:val="FootnoteReference"/>
          <w:sz w:val="24"/>
          <w:szCs w:val="24"/>
          <w:vertAlign w:val="baseline"/>
        </w:rPr>
        <w:footnoteRef/>
      </w:r>
      <w:r>
        <w:rPr>
          <w:sz w:val="24"/>
          <w:szCs w:val="24"/>
        </w:rPr>
        <w:t>.</w:t>
      </w:r>
      <w:r w:rsidRPr="00E01F0E">
        <w:rPr>
          <w:sz w:val="24"/>
          <w:szCs w:val="24"/>
        </w:rPr>
        <w:t xml:space="preserve"> </w:t>
      </w:r>
      <w:r w:rsidR="00C62DE6">
        <w:rPr>
          <w:sz w:val="24"/>
          <w:szCs w:val="24"/>
        </w:rPr>
        <w:t>“</w:t>
      </w:r>
      <w:r w:rsidRPr="005E6736">
        <w:rPr>
          <w:sz w:val="24"/>
          <w:szCs w:val="24"/>
        </w:rPr>
        <w:t>Community Service</w:t>
      </w:r>
      <w:r w:rsidR="00C62DE6">
        <w:rPr>
          <w:sz w:val="24"/>
          <w:szCs w:val="24"/>
        </w:rPr>
        <w:t>.”</w:t>
      </w:r>
      <w:r w:rsidRPr="005E6736">
        <w:rPr>
          <w:sz w:val="24"/>
          <w:szCs w:val="24"/>
        </w:rPr>
        <w:t xml:space="preserve"> Merriam-Webster. Merriam-Webster, Incorporated. </w:t>
      </w:r>
      <w:hyperlink r:id="rId43" w:tooltip="Merriam-Webster web page" w:history="1">
        <w:r w:rsidRPr="005E6736">
          <w:rPr>
            <w:rStyle w:val="Hyperlink"/>
            <w:sz w:val="24"/>
            <w:szCs w:val="24"/>
          </w:rPr>
          <w:t>https://www.merriam-webster.com/dictionary/community%20service</w:t>
        </w:r>
      </w:hyperlink>
      <w:r>
        <w:rPr>
          <w:rStyle w:val="Hyperlink"/>
          <w:sz w:val="24"/>
          <w:szCs w:val="24"/>
          <w:u w:val="none"/>
        </w:rPr>
        <w:t>.</w:t>
      </w:r>
    </w:p>
  </w:footnote>
  <w:footnote w:id="46">
    <w:p w14:paraId="2FA1292F" w14:textId="489A4F14" w:rsidR="000D047A" w:rsidRPr="005E6736" w:rsidRDefault="000D047A">
      <w:pPr>
        <w:pStyle w:val="FootnoteText"/>
        <w:rPr>
          <w:sz w:val="24"/>
          <w:szCs w:val="24"/>
        </w:rPr>
      </w:pPr>
      <w:r w:rsidRPr="00E01F0E">
        <w:rPr>
          <w:rStyle w:val="FootnoteReference"/>
          <w:sz w:val="24"/>
          <w:szCs w:val="24"/>
          <w:vertAlign w:val="baseline"/>
        </w:rPr>
        <w:footnoteRef/>
      </w:r>
      <w:r w:rsidR="00E01F0E">
        <w:rPr>
          <w:sz w:val="24"/>
          <w:szCs w:val="24"/>
        </w:rPr>
        <w:t>.</w:t>
      </w:r>
      <w:r w:rsidRPr="005E6736">
        <w:rPr>
          <w:sz w:val="24"/>
          <w:szCs w:val="24"/>
        </w:rPr>
        <w:t xml:space="preserve"> </w:t>
      </w:r>
      <w:r w:rsidR="00473C00">
        <w:rPr>
          <w:sz w:val="24"/>
          <w:szCs w:val="24"/>
        </w:rPr>
        <w:t xml:space="preserve">California </w:t>
      </w:r>
      <w:r w:rsidR="00035DB7">
        <w:rPr>
          <w:sz w:val="24"/>
          <w:szCs w:val="24"/>
        </w:rPr>
        <w:t>Legislative Information</w:t>
      </w:r>
      <w:r w:rsidR="006C482F">
        <w:rPr>
          <w:sz w:val="24"/>
          <w:szCs w:val="24"/>
        </w:rPr>
        <w:t>.</w:t>
      </w:r>
      <w:r w:rsidR="00035DB7">
        <w:rPr>
          <w:sz w:val="24"/>
          <w:szCs w:val="24"/>
        </w:rPr>
        <w:t xml:space="preserve"> </w:t>
      </w:r>
      <w:r w:rsidR="00035DB7" w:rsidRPr="006C482F">
        <w:rPr>
          <w:sz w:val="24"/>
          <w:szCs w:val="24"/>
        </w:rPr>
        <w:t>Assembly Bill 181, Statutes of 2022</w:t>
      </w:r>
      <w:r w:rsidR="006C482F">
        <w:rPr>
          <w:sz w:val="24"/>
          <w:szCs w:val="24"/>
        </w:rPr>
        <w:t>.</w:t>
      </w:r>
      <w:r w:rsidR="00035DB7" w:rsidRPr="00035DB7">
        <w:rPr>
          <w:i/>
          <w:iCs/>
          <w:sz w:val="24"/>
          <w:szCs w:val="24"/>
        </w:rPr>
        <w:t xml:space="preserve"> </w:t>
      </w:r>
      <w:hyperlink r:id="rId44" w:anchor=":~:text=SEC.%2071.,appropriation%20is%20made" w:tooltip="California Legislative Information web page" w:history="1">
        <w:r w:rsidR="00035DB7" w:rsidRPr="00923A23">
          <w:rPr>
            <w:rStyle w:val="Hyperlink"/>
            <w:sz w:val="24"/>
            <w:szCs w:val="24"/>
          </w:rPr>
          <w:t>https://leginfo.legislature.ca.gov/faces/billNavClient.xhtml?bill_id=202120220AB181#:~:text=SEC.%2071.,appropriation%20is%20made</w:t>
        </w:r>
      </w:hyperlink>
      <w:r w:rsidRPr="005E6736">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24D8C" w14:textId="40E92841" w:rsidR="006B6043" w:rsidRDefault="006B6043" w:rsidP="00254392">
    <w:pPr>
      <w:pStyle w:val="Header"/>
      <w:jc w:val="right"/>
      <w:rPr>
        <w:rFonts w:cs="Arial"/>
      </w:rPr>
    </w:pPr>
    <w:r>
      <w:rPr>
        <w:rFonts w:cs="Arial"/>
      </w:rPr>
      <w:t>Appendix 2</w:t>
    </w:r>
  </w:p>
  <w:p w14:paraId="6B05C29B" w14:textId="77777777" w:rsidR="006B6043" w:rsidRPr="00534BB2" w:rsidRDefault="006B6043" w:rsidP="00254392">
    <w:pPr>
      <w:pStyle w:val="Header"/>
      <w:spacing w:after="480"/>
      <w:jc w:val="right"/>
      <w:rPr>
        <w:rFonts w:cs="Arial"/>
      </w:rPr>
    </w:pPr>
    <w:r>
      <w:rPr>
        <w:rFonts w:cs="Arial"/>
      </w:rPr>
      <w:t xml:space="preserve">Page </w:t>
    </w:r>
    <w:r w:rsidRPr="00534BB2">
      <w:rPr>
        <w:rFonts w:cs="Arial"/>
      </w:rPr>
      <w:fldChar w:fldCharType="begin"/>
    </w:r>
    <w:r w:rsidRPr="00534BB2">
      <w:rPr>
        <w:rFonts w:cs="Arial"/>
      </w:rPr>
      <w:instrText xml:space="preserve"> PAGE   \* MERGEFORMAT </w:instrText>
    </w:r>
    <w:r w:rsidRPr="00534BB2">
      <w:rPr>
        <w:rFonts w:cs="Arial"/>
      </w:rPr>
      <w:fldChar w:fldCharType="separate"/>
    </w:r>
    <w:r w:rsidRPr="00534BB2">
      <w:rPr>
        <w:rFonts w:cs="Arial"/>
        <w:noProof/>
      </w:rPr>
      <w:t>1</w:t>
    </w:r>
    <w:r w:rsidRPr="00534BB2">
      <w:rPr>
        <w:rFonts w:cs="Arial"/>
        <w:noProof/>
      </w:rPr>
      <w:fldChar w:fldCharType="end"/>
    </w:r>
    <w:r>
      <w:rPr>
        <w:rFonts w:cs="Arial"/>
        <w:noProof/>
      </w:rPr>
      <w:t xml:space="preserve"> of 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5689" w14:textId="77777777" w:rsidR="00373D11" w:rsidRDefault="00373D1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3AF27" w14:textId="550DFFC4" w:rsidR="00741F95" w:rsidRDefault="00741F9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70D2D" w14:textId="6828730D" w:rsidR="00AA17EB" w:rsidRPr="00115761" w:rsidRDefault="00AA17EB" w:rsidP="0011576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138E4" w14:textId="47B710D8" w:rsidR="00741F95" w:rsidRDefault="00741F9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2A22" w14:textId="0B126608" w:rsidR="00741F95" w:rsidRDefault="00741F9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6C26" w14:textId="274D8FF3" w:rsidR="00332B8A" w:rsidRDefault="00D5516B" w:rsidP="00E669B1">
    <w:pPr>
      <w:pStyle w:val="Header"/>
    </w:pPr>
    <w:r>
      <w:tab/>
    </w:r>
    <w:r>
      <w:tab/>
    </w:r>
    <w:r w:rsidR="00332B8A" w:rsidRPr="00D900B4">
      <w:rPr>
        <w:rFonts w:cs="Arial"/>
      </w:rPr>
      <w:t xml:space="preserve">Appendix </w:t>
    </w:r>
    <w:r w:rsidR="00CE04B5">
      <w:rPr>
        <w:rFonts w:cs="Arial"/>
      </w:rPr>
      <w:t>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52804" w14:textId="1C913E5E" w:rsidR="00741F95" w:rsidRDefault="00741F9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19F0" w14:textId="56BF765A" w:rsidR="00741F95" w:rsidRDefault="00741F9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0CE8" w14:textId="34DBCA7D" w:rsidR="00BA4F67" w:rsidRDefault="00D5516B" w:rsidP="008E2120">
    <w:pPr>
      <w:pStyle w:val="Header"/>
    </w:pPr>
    <w:r>
      <w:tab/>
    </w:r>
    <w:r>
      <w:tab/>
    </w:r>
    <w:r w:rsidR="00BA4F67" w:rsidRPr="00D900B4">
      <w:rPr>
        <w:rFonts w:cs="Arial"/>
      </w:rPr>
      <w:t xml:space="preserve">Appendix </w:t>
    </w:r>
    <w:r w:rsidR="00BA04E2">
      <w:rPr>
        <w:rFonts w:cs="Arial"/>
      </w:rPr>
      <w:t>B</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334E5" w14:textId="609BDECE" w:rsidR="00741F95" w:rsidRDefault="00741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FB5B0" w14:textId="3DA05EF6" w:rsidR="00741F95" w:rsidRDefault="00741F9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4910" w14:textId="40AB3D0E" w:rsidR="00741F95" w:rsidRDefault="00741F9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36776" w14:textId="0C36B514" w:rsidR="0033583E" w:rsidRPr="00172FC8" w:rsidRDefault="00172FC8" w:rsidP="00B20396">
    <w:pPr>
      <w:pStyle w:val="Header"/>
    </w:pPr>
    <w:r>
      <w:tab/>
    </w:r>
    <w:r>
      <w:tab/>
    </w:r>
    <w:r w:rsidR="0033583E" w:rsidRPr="00D900B4">
      <w:rPr>
        <w:rFonts w:cs="Arial"/>
      </w:rPr>
      <w:t xml:space="preserve">Appendix </w:t>
    </w:r>
    <w:r w:rsidR="004977D2">
      <w:rPr>
        <w:rFonts w:cs="Arial"/>
      </w:rPr>
      <w:t>C</w:t>
    </w:r>
  </w:p>
  <w:p w14:paraId="3E24E219" w14:textId="77777777" w:rsidR="0033583E" w:rsidRDefault="0033583E"/>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761A5" w14:textId="5DF95127" w:rsidR="00741F95" w:rsidRDefault="00741F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CA0C" w14:textId="2E5D18CD" w:rsidR="006B6043" w:rsidRPr="00115761" w:rsidRDefault="006B6043" w:rsidP="001157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30034" w14:textId="4BBA1ABB" w:rsidR="00741F95" w:rsidRDefault="00741F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F2919" w14:textId="3CDAA828" w:rsidR="00741F95" w:rsidRDefault="00741F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8219" w14:textId="412A5176" w:rsidR="006B6043" w:rsidRPr="00115761" w:rsidRDefault="006B6043" w:rsidP="001157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F3B78" w14:textId="4636BC17" w:rsidR="00741F95" w:rsidRDefault="00741F9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8BADC" w14:textId="77777777" w:rsidR="00373D11" w:rsidRDefault="00373D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6B53" w14:textId="77777777" w:rsidR="00373D11" w:rsidRPr="00115761" w:rsidRDefault="00373D11" w:rsidP="00115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2893"/>
    <w:multiLevelType w:val="hybridMultilevel"/>
    <w:tmpl w:val="92B0E9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8D385C"/>
    <w:multiLevelType w:val="hybridMultilevel"/>
    <w:tmpl w:val="C2C23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4321D"/>
    <w:multiLevelType w:val="hybridMultilevel"/>
    <w:tmpl w:val="397E1E3C"/>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581450"/>
    <w:multiLevelType w:val="hybridMultilevel"/>
    <w:tmpl w:val="9F8C4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F1139"/>
    <w:multiLevelType w:val="hybridMultilevel"/>
    <w:tmpl w:val="AD36A242"/>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9A13DA"/>
    <w:multiLevelType w:val="hybridMultilevel"/>
    <w:tmpl w:val="AF386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77121"/>
    <w:multiLevelType w:val="hybridMultilevel"/>
    <w:tmpl w:val="1AAC9C78"/>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FE66A9"/>
    <w:multiLevelType w:val="hybridMultilevel"/>
    <w:tmpl w:val="FD740B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8414F3"/>
    <w:multiLevelType w:val="hybridMultilevel"/>
    <w:tmpl w:val="FD2068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306142"/>
    <w:multiLevelType w:val="hybridMultilevel"/>
    <w:tmpl w:val="834C74FA"/>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F2344D"/>
    <w:multiLevelType w:val="hybridMultilevel"/>
    <w:tmpl w:val="4F7E0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55674"/>
    <w:multiLevelType w:val="hybridMultilevel"/>
    <w:tmpl w:val="4E8EFC12"/>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367C01"/>
    <w:multiLevelType w:val="hybridMultilevel"/>
    <w:tmpl w:val="50703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32BC3"/>
    <w:multiLevelType w:val="hybridMultilevel"/>
    <w:tmpl w:val="10CEF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432DE"/>
    <w:multiLevelType w:val="hybridMultilevel"/>
    <w:tmpl w:val="70C8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E2258"/>
    <w:multiLevelType w:val="hybridMultilevel"/>
    <w:tmpl w:val="768EC97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2704F7"/>
    <w:multiLevelType w:val="hybridMultilevel"/>
    <w:tmpl w:val="FD2068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820DB9"/>
    <w:multiLevelType w:val="hybridMultilevel"/>
    <w:tmpl w:val="40FC60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0699A"/>
    <w:multiLevelType w:val="hybridMultilevel"/>
    <w:tmpl w:val="FD206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33DAC"/>
    <w:multiLevelType w:val="hybridMultilevel"/>
    <w:tmpl w:val="8248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17625D"/>
    <w:multiLevelType w:val="hybridMultilevel"/>
    <w:tmpl w:val="7206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6595A"/>
    <w:multiLevelType w:val="hybridMultilevel"/>
    <w:tmpl w:val="31701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72B42"/>
    <w:multiLevelType w:val="hybridMultilevel"/>
    <w:tmpl w:val="34C264C4"/>
    <w:lvl w:ilvl="0" w:tplc="9E6AC594">
      <w:start w:val="1"/>
      <w:numFmt w:val="decimal"/>
      <w:lvlText w:val="%1."/>
      <w:lvlJc w:val="left"/>
      <w:pPr>
        <w:ind w:left="1080" w:hanging="360"/>
      </w:pPr>
    </w:lvl>
    <w:lvl w:ilvl="1" w:tplc="48A68DEE" w:tentative="1">
      <w:start w:val="1"/>
      <w:numFmt w:val="lowerLetter"/>
      <w:lvlText w:val="%2."/>
      <w:lvlJc w:val="left"/>
      <w:pPr>
        <w:ind w:left="1800" w:hanging="360"/>
      </w:pPr>
    </w:lvl>
    <w:lvl w:ilvl="2" w:tplc="6FE05526" w:tentative="1">
      <w:start w:val="1"/>
      <w:numFmt w:val="lowerRoman"/>
      <w:lvlText w:val="%3."/>
      <w:lvlJc w:val="right"/>
      <w:pPr>
        <w:ind w:left="2520" w:hanging="180"/>
      </w:pPr>
    </w:lvl>
    <w:lvl w:ilvl="3" w:tplc="1EF608FA" w:tentative="1">
      <w:start w:val="1"/>
      <w:numFmt w:val="decimal"/>
      <w:lvlText w:val="%4."/>
      <w:lvlJc w:val="left"/>
      <w:pPr>
        <w:ind w:left="3240" w:hanging="360"/>
      </w:pPr>
    </w:lvl>
    <w:lvl w:ilvl="4" w:tplc="D25493B8" w:tentative="1">
      <w:start w:val="1"/>
      <w:numFmt w:val="lowerLetter"/>
      <w:lvlText w:val="%5."/>
      <w:lvlJc w:val="left"/>
      <w:pPr>
        <w:ind w:left="3960" w:hanging="360"/>
      </w:pPr>
    </w:lvl>
    <w:lvl w:ilvl="5" w:tplc="5E02CC64" w:tentative="1">
      <w:start w:val="1"/>
      <w:numFmt w:val="lowerRoman"/>
      <w:lvlText w:val="%6."/>
      <w:lvlJc w:val="right"/>
      <w:pPr>
        <w:ind w:left="4680" w:hanging="180"/>
      </w:pPr>
    </w:lvl>
    <w:lvl w:ilvl="6" w:tplc="ABFA0796" w:tentative="1">
      <w:start w:val="1"/>
      <w:numFmt w:val="decimal"/>
      <w:lvlText w:val="%7."/>
      <w:lvlJc w:val="left"/>
      <w:pPr>
        <w:ind w:left="5400" w:hanging="360"/>
      </w:pPr>
    </w:lvl>
    <w:lvl w:ilvl="7" w:tplc="7B18A4CC" w:tentative="1">
      <w:start w:val="1"/>
      <w:numFmt w:val="lowerLetter"/>
      <w:lvlText w:val="%8."/>
      <w:lvlJc w:val="left"/>
      <w:pPr>
        <w:ind w:left="6120" w:hanging="360"/>
      </w:pPr>
    </w:lvl>
    <w:lvl w:ilvl="8" w:tplc="B9E29710" w:tentative="1">
      <w:start w:val="1"/>
      <w:numFmt w:val="lowerRoman"/>
      <w:lvlText w:val="%9."/>
      <w:lvlJc w:val="right"/>
      <w:pPr>
        <w:ind w:left="6840" w:hanging="180"/>
      </w:pPr>
    </w:lvl>
  </w:abstractNum>
  <w:abstractNum w:abstractNumId="23" w15:restartNumberingAfterBreak="0">
    <w:nsid w:val="56106479"/>
    <w:multiLevelType w:val="hybridMultilevel"/>
    <w:tmpl w:val="B484AEB4"/>
    <w:lvl w:ilvl="0" w:tplc="C3089E56">
      <w:numFmt w:val="bullet"/>
      <w:lvlText w:val="-"/>
      <w:lvlJc w:val="left"/>
      <w:pPr>
        <w:ind w:left="4820" w:hanging="360"/>
      </w:pPr>
      <w:rPr>
        <w:rFonts w:ascii="Arial" w:eastAsia="Times New Roman" w:hAnsi="Arial" w:cs="Arial" w:hint="default"/>
      </w:rPr>
    </w:lvl>
    <w:lvl w:ilvl="1" w:tplc="04090003" w:tentative="1">
      <w:start w:val="1"/>
      <w:numFmt w:val="bullet"/>
      <w:lvlText w:val="o"/>
      <w:lvlJc w:val="left"/>
      <w:pPr>
        <w:ind w:left="5540" w:hanging="360"/>
      </w:pPr>
      <w:rPr>
        <w:rFonts w:ascii="Courier New" w:hAnsi="Courier New" w:cs="Courier New" w:hint="default"/>
      </w:rPr>
    </w:lvl>
    <w:lvl w:ilvl="2" w:tplc="04090005" w:tentative="1">
      <w:start w:val="1"/>
      <w:numFmt w:val="bullet"/>
      <w:lvlText w:val=""/>
      <w:lvlJc w:val="left"/>
      <w:pPr>
        <w:ind w:left="6260" w:hanging="360"/>
      </w:pPr>
      <w:rPr>
        <w:rFonts w:ascii="Wingdings" w:hAnsi="Wingdings" w:hint="default"/>
      </w:rPr>
    </w:lvl>
    <w:lvl w:ilvl="3" w:tplc="04090001" w:tentative="1">
      <w:start w:val="1"/>
      <w:numFmt w:val="bullet"/>
      <w:lvlText w:val=""/>
      <w:lvlJc w:val="left"/>
      <w:pPr>
        <w:ind w:left="6980" w:hanging="360"/>
      </w:pPr>
      <w:rPr>
        <w:rFonts w:ascii="Symbol" w:hAnsi="Symbol" w:hint="default"/>
      </w:rPr>
    </w:lvl>
    <w:lvl w:ilvl="4" w:tplc="04090003" w:tentative="1">
      <w:start w:val="1"/>
      <w:numFmt w:val="bullet"/>
      <w:lvlText w:val="o"/>
      <w:lvlJc w:val="left"/>
      <w:pPr>
        <w:ind w:left="7700" w:hanging="360"/>
      </w:pPr>
      <w:rPr>
        <w:rFonts w:ascii="Courier New" w:hAnsi="Courier New" w:cs="Courier New" w:hint="default"/>
      </w:rPr>
    </w:lvl>
    <w:lvl w:ilvl="5" w:tplc="04090005" w:tentative="1">
      <w:start w:val="1"/>
      <w:numFmt w:val="bullet"/>
      <w:lvlText w:val=""/>
      <w:lvlJc w:val="left"/>
      <w:pPr>
        <w:ind w:left="8420" w:hanging="360"/>
      </w:pPr>
      <w:rPr>
        <w:rFonts w:ascii="Wingdings" w:hAnsi="Wingdings" w:hint="default"/>
      </w:rPr>
    </w:lvl>
    <w:lvl w:ilvl="6" w:tplc="04090001" w:tentative="1">
      <w:start w:val="1"/>
      <w:numFmt w:val="bullet"/>
      <w:lvlText w:val=""/>
      <w:lvlJc w:val="left"/>
      <w:pPr>
        <w:ind w:left="9140" w:hanging="360"/>
      </w:pPr>
      <w:rPr>
        <w:rFonts w:ascii="Symbol" w:hAnsi="Symbol" w:hint="default"/>
      </w:rPr>
    </w:lvl>
    <w:lvl w:ilvl="7" w:tplc="04090003" w:tentative="1">
      <w:start w:val="1"/>
      <w:numFmt w:val="bullet"/>
      <w:lvlText w:val="o"/>
      <w:lvlJc w:val="left"/>
      <w:pPr>
        <w:ind w:left="9860" w:hanging="360"/>
      </w:pPr>
      <w:rPr>
        <w:rFonts w:ascii="Courier New" w:hAnsi="Courier New" w:cs="Courier New" w:hint="default"/>
      </w:rPr>
    </w:lvl>
    <w:lvl w:ilvl="8" w:tplc="04090005" w:tentative="1">
      <w:start w:val="1"/>
      <w:numFmt w:val="bullet"/>
      <w:lvlText w:val=""/>
      <w:lvlJc w:val="left"/>
      <w:pPr>
        <w:ind w:left="10580" w:hanging="360"/>
      </w:pPr>
      <w:rPr>
        <w:rFonts w:ascii="Wingdings" w:hAnsi="Wingdings" w:hint="default"/>
      </w:rPr>
    </w:lvl>
  </w:abstractNum>
  <w:abstractNum w:abstractNumId="24" w15:restartNumberingAfterBreak="0">
    <w:nsid w:val="57122840"/>
    <w:multiLevelType w:val="hybridMultilevel"/>
    <w:tmpl w:val="49E2BCB4"/>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DE2233"/>
    <w:multiLevelType w:val="hybridMultilevel"/>
    <w:tmpl w:val="A11A0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16BFC"/>
    <w:multiLevelType w:val="hybridMultilevel"/>
    <w:tmpl w:val="F3B63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F1FED"/>
    <w:multiLevelType w:val="hybridMultilevel"/>
    <w:tmpl w:val="A6DA6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96C55"/>
    <w:multiLevelType w:val="hybridMultilevel"/>
    <w:tmpl w:val="C4683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D292A"/>
    <w:multiLevelType w:val="hybridMultilevel"/>
    <w:tmpl w:val="E6EE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B47E1"/>
    <w:multiLevelType w:val="hybridMultilevel"/>
    <w:tmpl w:val="AB686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2C4F91"/>
    <w:multiLevelType w:val="hybridMultilevel"/>
    <w:tmpl w:val="C1EE5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9A3D24"/>
    <w:multiLevelType w:val="hybridMultilevel"/>
    <w:tmpl w:val="A99A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021E3C"/>
    <w:multiLevelType w:val="multilevel"/>
    <w:tmpl w:val="96EE8CA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9844393">
    <w:abstractNumId w:val="32"/>
  </w:num>
  <w:num w:numId="2" w16cid:durableId="252931178">
    <w:abstractNumId w:val="23"/>
  </w:num>
  <w:num w:numId="3" w16cid:durableId="1617561338">
    <w:abstractNumId w:val="17"/>
  </w:num>
  <w:num w:numId="4" w16cid:durableId="28650701">
    <w:abstractNumId w:val="33"/>
  </w:num>
  <w:num w:numId="5" w16cid:durableId="1955207057">
    <w:abstractNumId w:val="21"/>
  </w:num>
  <w:num w:numId="6" w16cid:durableId="623004483">
    <w:abstractNumId w:val="22"/>
  </w:num>
  <w:num w:numId="7" w16cid:durableId="1135636530">
    <w:abstractNumId w:val="1"/>
  </w:num>
  <w:num w:numId="8" w16cid:durableId="819612476">
    <w:abstractNumId w:val="5"/>
  </w:num>
  <w:num w:numId="9" w16cid:durableId="980110190">
    <w:abstractNumId w:val="0"/>
  </w:num>
  <w:num w:numId="10" w16cid:durableId="1163476067">
    <w:abstractNumId w:val="27"/>
  </w:num>
  <w:num w:numId="11" w16cid:durableId="981421902">
    <w:abstractNumId w:val="10"/>
  </w:num>
  <w:num w:numId="12" w16cid:durableId="692266962">
    <w:abstractNumId w:val="7"/>
  </w:num>
  <w:num w:numId="13" w16cid:durableId="363988416">
    <w:abstractNumId w:val="19"/>
  </w:num>
  <w:num w:numId="14" w16cid:durableId="1225525568">
    <w:abstractNumId w:val="18"/>
  </w:num>
  <w:num w:numId="15" w16cid:durableId="1136534627">
    <w:abstractNumId w:val="12"/>
  </w:num>
  <w:num w:numId="16" w16cid:durableId="721176766">
    <w:abstractNumId w:val="31"/>
  </w:num>
  <w:num w:numId="17" w16cid:durableId="900872383">
    <w:abstractNumId w:val="20"/>
  </w:num>
  <w:num w:numId="18" w16cid:durableId="2089961087">
    <w:abstractNumId w:val="14"/>
  </w:num>
  <w:num w:numId="19" w16cid:durableId="1040589761">
    <w:abstractNumId w:val="29"/>
  </w:num>
  <w:num w:numId="20" w16cid:durableId="838500072">
    <w:abstractNumId w:val="3"/>
  </w:num>
  <w:num w:numId="21" w16cid:durableId="914558752">
    <w:abstractNumId w:val="26"/>
  </w:num>
  <w:num w:numId="22" w16cid:durableId="2022972800">
    <w:abstractNumId w:val="28"/>
  </w:num>
  <w:num w:numId="23" w16cid:durableId="1173648329">
    <w:abstractNumId w:val="15"/>
  </w:num>
  <w:num w:numId="24" w16cid:durableId="110519633">
    <w:abstractNumId w:val="13"/>
  </w:num>
  <w:num w:numId="25" w16cid:durableId="1520585966">
    <w:abstractNumId w:val="8"/>
  </w:num>
  <w:num w:numId="26" w16cid:durableId="744837308">
    <w:abstractNumId w:val="16"/>
  </w:num>
  <w:num w:numId="27" w16cid:durableId="295333493">
    <w:abstractNumId w:val="25"/>
  </w:num>
  <w:num w:numId="28" w16cid:durableId="1613169012">
    <w:abstractNumId w:val="30"/>
  </w:num>
  <w:num w:numId="29" w16cid:durableId="1953632250">
    <w:abstractNumId w:val="11"/>
  </w:num>
  <w:num w:numId="30" w16cid:durableId="1347709795">
    <w:abstractNumId w:val="6"/>
  </w:num>
  <w:num w:numId="31" w16cid:durableId="1626891318">
    <w:abstractNumId w:val="9"/>
  </w:num>
  <w:num w:numId="32" w16cid:durableId="1561600446">
    <w:abstractNumId w:val="24"/>
  </w:num>
  <w:num w:numId="33" w16cid:durableId="1775706579">
    <w:abstractNumId w:val="4"/>
  </w:num>
  <w:num w:numId="34" w16cid:durableId="1359894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B4"/>
    <w:rsid w:val="000008E6"/>
    <w:rsid w:val="0000152D"/>
    <w:rsid w:val="00001757"/>
    <w:rsid w:val="0000554B"/>
    <w:rsid w:val="00006387"/>
    <w:rsid w:val="00007BA9"/>
    <w:rsid w:val="000136E6"/>
    <w:rsid w:val="000136E7"/>
    <w:rsid w:val="0001441A"/>
    <w:rsid w:val="000145FC"/>
    <w:rsid w:val="00015D88"/>
    <w:rsid w:val="00015F64"/>
    <w:rsid w:val="00016ECD"/>
    <w:rsid w:val="00017ACE"/>
    <w:rsid w:val="00020F41"/>
    <w:rsid w:val="00023A04"/>
    <w:rsid w:val="00023B20"/>
    <w:rsid w:val="000241FA"/>
    <w:rsid w:val="0002488D"/>
    <w:rsid w:val="00024EC1"/>
    <w:rsid w:val="0002514A"/>
    <w:rsid w:val="000253E0"/>
    <w:rsid w:val="0003016C"/>
    <w:rsid w:val="00030D58"/>
    <w:rsid w:val="00030E41"/>
    <w:rsid w:val="00032419"/>
    <w:rsid w:val="00032DC6"/>
    <w:rsid w:val="00033274"/>
    <w:rsid w:val="00034490"/>
    <w:rsid w:val="00034530"/>
    <w:rsid w:val="00035DB7"/>
    <w:rsid w:val="00036C36"/>
    <w:rsid w:val="00036DB4"/>
    <w:rsid w:val="00037B13"/>
    <w:rsid w:val="00040B04"/>
    <w:rsid w:val="00042A0E"/>
    <w:rsid w:val="000443E9"/>
    <w:rsid w:val="000514B7"/>
    <w:rsid w:val="00052498"/>
    <w:rsid w:val="00052CD8"/>
    <w:rsid w:val="00054340"/>
    <w:rsid w:val="00060BDB"/>
    <w:rsid w:val="000615F9"/>
    <w:rsid w:val="00062CC1"/>
    <w:rsid w:val="000630D9"/>
    <w:rsid w:val="00064EB5"/>
    <w:rsid w:val="00066A45"/>
    <w:rsid w:val="00066BE2"/>
    <w:rsid w:val="00071448"/>
    <w:rsid w:val="000724DB"/>
    <w:rsid w:val="0007299F"/>
    <w:rsid w:val="000762FB"/>
    <w:rsid w:val="00076B20"/>
    <w:rsid w:val="00076D91"/>
    <w:rsid w:val="00081B1A"/>
    <w:rsid w:val="0008204F"/>
    <w:rsid w:val="00083EC7"/>
    <w:rsid w:val="0008448B"/>
    <w:rsid w:val="0008493C"/>
    <w:rsid w:val="00084BA9"/>
    <w:rsid w:val="00085388"/>
    <w:rsid w:val="0008706C"/>
    <w:rsid w:val="000944D9"/>
    <w:rsid w:val="0009475F"/>
    <w:rsid w:val="00094F19"/>
    <w:rsid w:val="00095D3A"/>
    <w:rsid w:val="000975E8"/>
    <w:rsid w:val="000A1241"/>
    <w:rsid w:val="000A1488"/>
    <w:rsid w:val="000A1EC0"/>
    <w:rsid w:val="000A403C"/>
    <w:rsid w:val="000A5060"/>
    <w:rsid w:val="000A553B"/>
    <w:rsid w:val="000A5A44"/>
    <w:rsid w:val="000B1893"/>
    <w:rsid w:val="000B1DF6"/>
    <w:rsid w:val="000B30A8"/>
    <w:rsid w:val="000B3AD2"/>
    <w:rsid w:val="000B6398"/>
    <w:rsid w:val="000B69C1"/>
    <w:rsid w:val="000B7E6A"/>
    <w:rsid w:val="000C09FC"/>
    <w:rsid w:val="000C1962"/>
    <w:rsid w:val="000C32AC"/>
    <w:rsid w:val="000C32E5"/>
    <w:rsid w:val="000C3C40"/>
    <w:rsid w:val="000C7177"/>
    <w:rsid w:val="000C7C71"/>
    <w:rsid w:val="000D047A"/>
    <w:rsid w:val="000D2026"/>
    <w:rsid w:val="000D2D3A"/>
    <w:rsid w:val="000D32C1"/>
    <w:rsid w:val="000D4767"/>
    <w:rsid w:val="000D4C88"/>
    <w:rsid w:val="000D70F9"/>
    <w:rsid w:val="000E0716"/>
    <w:rsid w:val="000E1CFC"/>
    <w:rsid w:val="000E305C"/>
    <w:rsid w:val="000E47A3"/>
    <w:rsid w:val="000F09A6"/>
    <w:rsid w:val="000F1CB1"/>
    <w:rsid w:val="000F23A4"/>
    <w:rsid w:val="000F241C"/>
    <w:rsid w:val="000F4FAF"/>
    <w:rsid w:val="000F5311"/>
    <w:rsid w:val="000F7CCC"/>
    <w:rsid w:val="0010263A"/>
    <w:rsid w:val="001063BF"/>
    <w:rsid w:val="00106907"/>
    <w:rsid w:val="00106BD7"/>
    <w:rsid w:val="00106E17"/>
    <w:rsid w:val="001078AB"/>
    <w:rsid w:val="001125A6"/>
    <w:rsid w:val="001135A8"/>
    <w:rsid w:val="0011507A"/>
    <w:rsid w:val="00115761"/>
    <w:rsid w:val="00115D90"/>
    <w:rsid w:val="00117401"/>
    <w:rsid w:val="00122D8C"/>
    <w:rsid w:val="0012588F"/>
    <w:rsid w:val="001265E5"/>
    <w:rsid w:val="00126D93"/>
    <w:rsid w:val="00127849"/>
    <w:rsid w:val="0013100B"/>
    <w:rsid w:val="0013340B"/>
    <w:rsid w:val="00134805"/>
    <w:rsid w:val="00134C7D"/>
    <w:rsid w:val="00135A79"/>
    <w:rsid w:val="001364F9"/>
    <w:rsid w:val="00136648"/>
    <w:rsid w:val="00136D3D"/>
    <w:rsid w:val="00137B75"/>
    <w:rsid w:val="00137B7D"/>
    <w:rsid w:val="0014050D"/>
    <w:rsid w:val="00141420"/>
    <w:rsid w:val="00141D6E"/>
    <w:rsid w:val="00142004"/>
    <w:rsid w:val="001433BC"/>
    <w:rsid w:val="00143792"/>
    <w:rsid w:val="00146565"/>
    <w:rsid w:val="00146B06"/>
    <w:rsid w:val="00152476"/>
    <w:rsid w:val="00152DE2"/>
    <w:rsid w:val="00152F97"/>
    <w:rsid w:val="001543E5"/>
    <w:rsid w:val="00154920"/>
    <w:rsid w:val="0015701B"/>
    <w:rsid w:val="0016094E"/>
    <w:rsid w:val="001633D7"/>
    <w:rsid w:val="0016358C"/>
    <w:rsid w:val="001657A6"/>
    <w:rsid w:val="001671EC"/>
    <w:rsid w:val="00172FC8"/>
    <w:rsid w:val="00173D32"/>
    <w:rsid w:val="00173D52"/>
    <w:rsid w:val="00174340"/>
    <w:rsid w:val="00176FA4"/>
    <w:rsid w:val="00177118"/>
    <w:rsid w:val="00177BB3"/>
    <w:rsid w:val="0018168E"/>
    <w:rsid w:val="001824D2"/>
    <w:rsid w:val="00185D21"/>
    <w:rsid w:val="00186E26"/>
    <w:rsid w:val="001902F8"/>
    <w:rsid w:val="00190EA5"/>
    <w:rsid w:val="00190FA8"/>
    <w:rsid w:val="00191D16"/>
    <w:rsid w:val="001934F7"/>
    <w:rsid w:val="00193E70"/>
    <w:rsid w:val="001964E3"/>
    <w:rsid w:val="00197483"/>
    <w:rsid w:val="00197B8E"/>
    <w:rsid w:val="001A31C4"/>
    <w:rsid w:val="001A420E"/>
    <w:rsid w:val="001A4442"/>
    <w:rsid w:val="001A4A92"/>
    <w:rsid w:val="001A4BF4"/>
    <w:rsid w:val="001A646A"/>
    <w:rsid w:val="001B3BEB"/>
    <w:rsid w:val="001B4661"/>
    <w:rsid w:val="001B4E82"/>
    <w:rsid w:val="001B677F"/>
    <w:rsid w:val="001B6FF4"/>
    <w:rsid w:val="001B77A0"/>
    <w:rsid w:val="001C1044"/>
    <w:rsid w:val="001C12D6"/>
    <w:rsid w:val="001C1D8F"/>
    <w:rsid w:val="001C336E"/>
    <w:rsid w:val="001C499E"/>
    <w:rsid w:val="001C54FB"/>
    <w:rsid w:val="001C56EC"/>
    <w:rsid w:val="001D2066"/>
    <w:rsid w:val="001D3DF7"/>
    <w:rsid w:val="001D487D"/>
    <w:rsid w:val="001D4D0E"/>
    <w:rsid w:val="001D6BD5"/>
    <w:rsid w:val="001D74BE"/>
    <w:rsid w:val="001D7555"/>
    <w:rsid w:val="001D79D0"/>
    <w:rsid w:val="001E13D7"/>
    <w:rsid w:val="001E1462"/>
    <w:rsid w:val="001E1B18"/>
    <w:rsid w:val="001E2E2A"/>
    <w:rsid w:val="001E3387"/>
    <w:rsid w:val="001E50C5"/>
    <w:rsid w:val="001E5635"/>
    <w:rsid w:val="001E5DA7"/>
    <w:rsid w:val="001F0B5B"/>
    <w:rsid w:val="001F0C38"/>
    <w:rsid w:val="001F25E4"/>
    <w:rsid w:val="001F2C39"/>
    <w:rsid w:val="001F3137"/>
    <w:rsid w:val="001F3226"/>
    <w:rsid w:val="0020023A"/>
    <w:rsid w:val="00200731"/>
    <w:rsid w:val="0020168F"/>
    <w:rsid w:val="00204C52"/>
    <w:rsid w:val="0020639E"/>
    <w:rsid w:val="00206787"/>
    <w:rsid w:val="00207214"/>
    <w:rsid w:val="002073A9"/>
    <w:rsid w:val="002119E7"/>
    <w:rsid w:val="0021271A"/>
    <w:rsid w:val="00214935"/>
    <w:rsid w:val="00214AC0"/>
    <w:rsid w:val="00214DC1"/>
    <w:rsid w:val="00217252"/>
    <w:rsid w:val="0021752A"/>
    <w:rsid w:val="00224343"/>
    <w:rsid w:val="002248D3"/>
    <w:rsid w:val="00225491"/>
    <w:rsid w:val="00227408"/>
    <w:rsid w:val="00227BFE"/>
    <w:rsid w:val="00227C34"/>
    <w:rsid w:val="00232B8B"/>
    <w:rsid w:val="00232C02"/>
    <w:rsid w:val="00233362"/>
    <w:rsid w:val="00233BF0"/>
    <w:rsid w:val="0023408B"/>
    <w:rsid w:val="00235AD2"/>
    <w:rsid w:val="00243D47"/>
    <w:rsid w:val="002459F3"/>
    <w:rsid w:val="00246980"/>
    <w:rsid w:val="00246B57"/>
    <w:rsid w:val="002470B0"/>
    <w:rsid w:val="0025178F"/>
    <w:rsid w:val="002535C6"/>
    <w:rsid w:val="002541FD"/>
    <w:rsid w:val="0025431A"/>
    <w:rsid w:val="00254392"/>
    <w:rsid w:val="00254399"/>
    <w:rsid w:val="00255616"/>
    <w:rsid w:val="002572B4"/>
    <w:rsid w:val="00257D54"/>
    <w:rsid w:val="00260A35"/>
    <w:rsid w:val="002616EB"/>
    <w:rsid w:val="00262F9A"/>
    <w:rsid w:val="00263E04"/>
    <w:rsid w:val="00264179"/>
    <w:rsid w:val="002666FA"/>
    <w:rsid w:val="00266F15"/>
    <w:rsid w:val="002700CB"/>
    <w:rsid w:val="002709A2"/>
    <w:rsid w:val="00270A79"/>
    <w:rsid w:val="002739DD"/>
    <w:rsid w:val="00273A54"/>
    <w:rsid w:val="00274D0D"/>
    <w:rsid w:val="002753F8"/>
    <w:rsid w:val="0027593B"/>
    <w:rsid w:val="002760E5"/>
    <w:rsid w:val="00276B14"/>
    <w:rsid w:val="00280AEC"/>
    <w:rsid w:val="00283301"/>
    <w:rsid w:val="002834EE"/>
    <w:rsid w:val="00286B4C"/>
    <w:rsid w:val="00290C19"/>
    <w:rsid w:val="0029106F"/>
    <w:rsid w:val="00292D6E"/>
    <w:rsid w:val="00293658"/>
    <w:rsid w:val="002959FC"/>
    <w:rsid w:val="002962D4"/>
    <w:rsid w:val="00296F83"/>
    <w:rsid w:val="00297084"/>
    <w:rsid w:val="002A1272"/>
    <w:rsid w:val="002A6514"/>
    <w:rsid w:val="002A735C"/>
    <w:rsid w:val="002B2BC7"/>
    <w:rsid w:val="002B476E"/>
    <w:rsid w:val="002B6DB3"/>
    <w:rsid w:val="002B79AC"/>
    <w:rsid w:val="002B7D1A"/>
    <w:rsid w:val="002C034F"/>
    <w:rsid w:val="002C07BC"/>
    <w:rsid w:val="002C0EEC"/>
    <w:rsid w:val="002C16A5"/>
    <w:rsid w:val="002C2A14"/>
    <w:rsid w:val="002C412E"/>
    <w:rsid w:val="002C4CC7"/>
    <w:rsid w:val="002C52DA"/>
    <w:rsid w:val="002C53BE"/>
    <w:rsid w:val="002C55E3"/>
    <w:rsid w:val="002C5A21"/>
    <w:rsid w:val="002C65D0"/>
    <w:rsid w:val="002C7CB5"/>
    <w:rsid w:val="002D00EE"/>
    <w:rsid w:val="002D0B4F"/>
    <w:rsid w:val="002D23D1"/>
    <w:rsid w:val="002D4949"/>
    <w:rsid w:val="002D5822"/>
    <w:rsid w:val="002D6E4D"/>
    <w:rsid w:val="002E1094"/>
    <w:rsid w:val="002E2693"/>
    <w:rsid w:val="002E4334"/>
    <w:rsid w:val="002E47EC"/>
    <w:rsid w:val="002E53D1"/>
    <w:rsid w:val="002F1F3A"/>
    <w:rsid w:val="002F3259"/>
    <w:rsid w:val="002F54DB"/>
    <w:rsid w:val="002F6DE4"/>
    <w:rsid w:val="002F7040"/>
    <w:rsid w:val="002F77B9"/>
    <w:rsid w:val="0030086C"/>
    <w:rsid w:val="003011AF"/>
    <w:rsid w:val="003021C9"/>
    <w:rsid w:val="00302380"/>
    <w:rsid w:val="003044C2"/>
    <w:rsid w:val="003064AE"/>
    <w:rsid w:val="00306C4B"/>
    <w:rsid w:val="00307AD9"/>
    <w:rsid w:val="0031026F"/>
    <w:rsid w:val="003104F0"/>
    <w:rsid w:val="0031196C"/>
    <w:rsid w:val="0031496B"/>
    <w:rsid w:val="00315034"/>
    <w:rsid w:val="00324B96"/>
    <w:rsid w:val="003257D7"/>
    <w:rsid w:val="00326D12"/>
    <w:rsid w:val="003309BC"/>
    <w:rsid w:val="00331411"/>
    <w:rsid w:val="00331839"/>
    <w:rsid w:val="00332B8A"/>
    <w:rsid w:val="00333B86"/>
    <w:rsid w:val="00334A01"/>
    <w:rsid w:val="00334D9D"/>
    <w:rsid w:val="0033583E"/>
    <w:rsid w:val="00336089"/>
    <w:rsid w:val="003363AD"/>
    <w:rsid w:val="00337A74"/>
    <w:rsid w:val="00337DC7"/>
    <w:rsid w:val="003413E3"/>
    <w:rsid w:val="00343CBD"/>
    <w:rsid w:val="003448D2"/>
    <w:rsid w:val="00345126"/>
    <w:rsid w:val="00346081"/>
    <w:rsid w:val="003501EE"/>
    <w:rsid w:val="00350CCE"/>
    <w:rsid w:val="00350E97"/>
    <w:rsid w:val="00352FF8"/>
    <w:rsid w:val="003538FD"/>
    <w:rsid w:val="0035417D"/>
    <w:rsid w:val="003542C6"/>
    <w:rsid w:val="003547A7"/>
    <w:rsid w:val="003548CB"/>
    <w:rsid w:val="0035657B"/>
    <w:rsid w:val="00357E5F"/>
    <w:rsid w:val="003605D2"/>
    <w:rsid w:val="003630C5"/>
    <w:rsid w:val="003700EC"/>
    <w:rsid w:val="003720A4"/>
    <w:rsid w:val="0037368A"/>
    <w:rsid w:val="00373D11"/>
    <w:rsid w:val="003753DD"/>
    <w:rsid w:val="003770CF"/>
    <w:rsid w:val="00377364"/>
    <w:rsid w:val="003817B1"/>
    <w:rsid w:val="00384191"/>
    <w:rsid w:val="003842B9"/>
    <w:rsid w:val="003851D5"/>
    <w:rsid w:val="00385257"/>
    <w:rsid w:val="003859A1"/>
    <w:rsid w:val="003903CB"/>
    <w:rsid w:val="00392173"/>
    <w:rsid w:val="0039286A"/>
    <w:rsid w:val="00392B8F"/>
    <w:rsid w:val="003947FD"/>
    <w:rsid w:val="00396201"/>
    <w:rsid w:val="003A2AE5"/>
    <w:rsid w:val="003A4C84"/>
    <w:rsid w:val="003A55C5"/>
    <w:rsid w:val="003A5619"/>
    <w:rsid w:val="003A6311"/>
    <w:rsid w:val="003A765A"/>
    <w:rsid w:val="003B0396"/>
    <w:rsid w:val="003B0C79"/>
    <w:rsid w:val="003B3720"/>
    <w:rsid w:val="003B4523"/>
    <w:rsid w:val="003B5629"/>
    <w:rsid w:val="003C076A"/>
    <w:rsid w:val="003C165A"/>
    <w:rsid w:val="003C2091"/>
    <w:rsid w:val="003C2CBC"/>
    <w:rsid w:val="003C3372"/>
    <w:rsid w:val="003C4FFE"/>
    <w:rsid w:val="003C50D9"/>
    <w:rsid w:val="003C57B6"/>
    <w:rsid w:val="003C5FFD"/>
    <w:rsid w:val="003C7F0B"/>
    <w:rsid w:val="003D32CF"/>
    <w:rsid w:val="003D38A8"/>
    <w:rsid w:val="003D3DA9"/>
    <w:rsid w:val="003D4072"/>
    <w:rsid w:val="003D4369"/>
    <w:rsid w:val="003D4B3B"/>
    <w:rsid w:val="003D4C0C"/>
    <w:rsid w:val="003D4C4B"/>
    <w:rsid w:val="003D4FC5"/>
    <w:rsid w:val="003D4FC7"/>
    <w:rsid w:val="003D6895"/>
    <w:rsid w:val="003E0FE8"/>
    <w:rsid w:val="003E1511"/>
    <w:rsid w:val="003E186B"/>
    <w:rsid w:val="003E189A"/>
    <w:rsid w:val="003E2CA4"/>
    <w:rsid w:val="003E4603"/>
    <w:rsid w:val="003E5199"/>
    <w:rsid w:val="003E5E9C"/>
    <w:rsid w:val="003E6966"/>
    <w:rsid w:val="003E7739"/>
    <w:rsid w:val="003E7E9F"/>
    <w:rsid w:val="003F1449"/>
    <w:rsid w:val="003F339E"/>
    <w:rsid w:val="003F3849"/>
    <w:rsid w:val="003F5386"/>
    <w:rsid w:val="003F554E"/>
    <w:rsid w:val="0040048B"/>
    <w:rsid w:val="004010E2"/>
    <w:rsid w:val="0040342B"/>
    <w:rsid w:val="00403A56"/>
    <w:rsid w:val="00404663"/>
    <w:rsid w:val="0040782D"/>
    <w:rsid w:val="00411060"/>
    <w:rsid w:val="00411818"/>
    <w:rsid w:val="0041296F"/>
    <w:rsid w:val="00413149"/>
    <w:rsid w:val="00413259"/>
    <w:rsid w:val="004133F1"/>
    <w:rsid w:val="00413CC2"/>
    <w:rsid w:val="00413F78"/>
    <w:rsid w:val="00414C20"/>
    <w:rsid w:val="00415792"/>
    <w:rsid w:val="00415BCC"/>
    <w:rsid w:val="004170BF"/>
    <w:rsid w:val="00417D5A"/>
    <w:rsid w:val="00422CF2"/>
    <w:rsid w:val="00423218"/>
    <w:rsid w:val="00423611"/>
    <w:rsid w:val="004242D6"/>
    <w:rsid w:val="00424D1F"/>
    <w:rsid w:val="00425D33"/>
    <w:rsid w:val="004270E8"/>
    <w:rsid w:val="00431322"/>
    <w:rsid w:val="0043430C"/>
    <w:rsid w:val="0043656A"/>
    <w:rsid w:val="00436D50"/>
    <w:rsid w:val="00440D79"/>
    <w:rsid w:val="004410B2"/>
    <w:rsid w:val="00443689"/>
    <w:rsid w:val="00443F02"/>
    <w:rsid w:val="00444958"/>
    <w:rsid w:val="0044512A"/>
    <w:rsid w:val="00446CE0"/>
    <w:rsid w:val="004502B0"/>
    <w:rsid w:val="004516A3"/>
    <w:rsid w:val="00452852"/>
    <w:rsid w:val="004529CC"/>
    <w:rsid w:val="00452A83"/>
    <w:rsid w:val="0045750D"/>
    <w:rsid w:val="004600D0"/>
    <w:rsid w:val="00460C42"/>
    <w:rsid w:val="00461C75"/>
    <w:rsid w:val="00462010"/>
    <w:rsid w:val="004623BE"/>
    <w:rsid w:val="004637E2"/>
    <w:rsid w:val="00463A06"/>
    <w:rsid w:val="00465360"/>
    <w:rsid w:val="00465F7A"/>
    <w:rsid w:val="0046693B"/>
    <w:rsid w:val="0046755B"/>
    <w:rsid w:val="00467C9E"/>
    <w:rsid w:val="00470C11"/>
    <w:rsid w:val="00471AC9"/>
    <w:rsid w:val="00471E37"/>
    <w:rsid w:val="00472F06"/>
    <w:rsid w:val="00473A93"/>
    <w:rsid w:val="00473C00"/>
    <w:rsid w:val="004758D5"/>
    <w:rsid w:val="0047793C"/>
    <w:rsid w:val="00477BD2"/>
    <w:rsid w:val="004801E7"/>
    <w:rsid w:val="0048186F"/>
    <w:rsid w:val="0048198C"/>
    <w:rsid w:val="0048331E"/>
    <w:rsid w:val="0048335C"/>
    <w:rsid w:val="004835C6"/>
    <w:rsid w:val="00485266"/>
    <w:rsid w:val="00490B37"/>
    <w:rsid w:val="004930C0"/>
    <w:rsid w:val="004933FE"/>
    <w:rsid w:val="00493E83"/>
    <w:rsid w:val="0049439D"/>
    <w:rsid w:val="004955CD"/>
    <w:rsid w:val="004955D3"/>
    <w:rsid w:val="004977D2"/>
    <w:rsid w:val="004A0497"/>
    <w:rsid w:val="004A106F"/>
    <w:rsid w:val="004A1719"/>
    <w:rsid w:val="004A1CE6"/>
    <w:rsid w:val="004A2A70"/>
    <w:rsid w:val="004A36C0"/>
    <w:rsid w:val="004A38F4"/>
    <w:rsid w:val="004A5941"/>
    <w:rsid w:val="004A6240"/>
    <w:rsid w:val="004A6293"/>
    <w:rsid w:val="004B2270"/>
    <w:rsid w:val="004B35C1"/>
    <w:rsid w:val="004B391C"/>
    <w:rsid w:val="004B4978"/>
    <w:rsid w:val="004C1979"/>
    <w:rsid w:val="004C289F"/>
    <w:rsid w:val="004C48BA"/>
    <w:rsid w:val="004C4E4C"/>
    <w:rsid w:val="004C53F4"/>
    <w:rsid w:val="004C7D89"/>
    <w:rsid w:val="004D0561"/>
    <w:rsid w:val="004D0D9C"/>
    <w:rsid w:val="004D3F27"/>
    <w:rsid w:val="004D42A0"/>
    <w:rsid w:val="004D5F27"/>
    <w:rsid w:val="004E2FD0"/>
    <w:rsid w:val="004E40C8"/>
    <w:rsid w:val="004E58B5"/>
    <w:rsid w:val="004E5DC2"/>
    <w:rsid w:val="004E719D"/>
    <w:rsid w:val="004E73DC"/>
    <w:rsid w:val="004E7F80"/>
    <w:rsid w:val="004F1487"/>
    <w:rsid w:val="004F4A1F"/>
    <w:rsid w:val="004F4CC3"/>
    <w:rsid w:val="004F4ECA"/>
    <w:rsid w:val="004F736E"/>
    <w:rsid w:val="004F78B4"/>
    <w:rsid w:val="005002B7"/>
    <w:rsid w:val="005019EF"/>
    <w:rsid w:val="00502DB6"/>
    <w:rsid w:val="005054EC"/>
    <w:rsid w:val="00506073"/>
    <w:rsid w:val="00506307"/>
    <w:rsid w:val="00507EC7"/>
    <w:rsid w:val="00512DA4"/>
    <w:rsid w:val="00514E5F"/>
    <w:rsid w:val="00515BDF"/>
    <w:rsid w:val="005204CC"/>
    <w:rsid w:val="0052296E"/>
    <w:rsid w:val="00523953"/>
    <w:rsid w:val="00526E72"/>
    <w:rsid w:val="00531DF0"/>
    <w:rsid w:val="005333F8"/>
    <w:rsid w:val="00533675"/>
    <w:rsid w:val="00533D56"/>
    <w:rsid w:val="00536287"/>
    <w:rsid w:val="005372F8"/>
    <w:rsid w:val="00540236"/>
    <w:rsid w:val="00542206"/>
    <w:rsid w:val="00542A2A"/>
    <w:rsid w:val="00542C35"/>
    <w:rsid w:val="005446AE"/>
    <w:rsid w:val="00544710"/>
    <w:rsid w:val="005454BB"/>
    <w:rsid w:val="0055010F"/>
    <w:rsid w:val="005521B6"/>
    <w:rsid w:val="005530AF"/>
    <w:rsid w:val="005616A0"/>
    <w:rsid w:val="00562444"/>
    <w:rsid w:val="00562CEE"/>
    <w:rsid w:val="005631B6"/>
    <w:rsid w:val="00564D22"/>
    <w:rsid w:val="00565676"/>
    <w:rsid w:val="00566472"/>
    <w:rsid w:val="00566B06"/>
    <w:rsid w:val="005708CA"/>
    <w:rsid w:val="00570BEE"/>
    <w:rsid w:val="00570CA0"/>
    <w:rsid w:val="005713EA"/>
    <w:rsid w:val="005714E0"/>
    <w:rsid w:val="005725DC"/>
    <w:rsid w:val="0057291F"/>
    <w:rsid w:val="00572B65"/>
    <w:rsid w:val="005747D3"/>
    <w:rsid w:val="005752D0"/>
    <w:rsid w:val="0057677F"/>
    <w:rsid w:val="0057702A"/>
    <w:rsid w:val="00577086"/>
    <w:rsid w:val="00582385"/>
    <w:rsid w:val="00582A84"/>
    <w:rsid w:val="00582E30"/>
    <w:rsid w:val="005836BE"/>
    <w:rsid w:val="005842B1"/>
    <w:rsid w:val="0058799F"/>
    <w:rsid w:val="00587B48"/>
    <w:rsid w:val="0059067C"/>
    <w:rsid w:val="00590EF4"/>
    <w:rsid w:val="00591285"/>
    <w:rsid w:val="00593BEC"/>
    <w:rsid w:val="0059441E"/>
    <w:rsid w:val="005945A2"/>
    <w:rsid w:val="00597029"/>
    <w:rsid w:val="00597180"/>
    <w:rsid w:val="005A0AD0"/>
    <w:rsid w:val="005A2534"/>
    <w:rsid w:val="005A31DC"/>
    <w:rsid w:val="005A66BA"/>
    <w:rsid w:val="005A7E57"/>
    <w:rsid w:val="005B0134"/>
    <w:rsid w:val="005B1DF0"/>
    <w:rsid w:val="005B22D1"/>
    <w:rsid w:val="005B2B0A"/>
    <w:rsid w:val="005B501A"/>
    <w:rsid w:val="005B5E9B"/>
    <w:rsid w:val="005B60DA"/>
    <w:rsid w:val="005B6B3C"/>
    <w:rsid w:val="005B7CFD"/>
    <w:rsid w:val="005C09DD"/>
    <w:rsid w:val="005C3484"/>
    <w:rsid w:val="005C45FC"/>
    <w:rsid w:val="005C5E7A"/>
    <w:rsid w:val="005C67E8"/>
    <w:rsid w:val="005C6DD9"/>
    <w:rsid w:val="005D042A"/>
    <w:rsid w:val="005D12CA"/>
    <w:rsid w:val="005D7207"/>
    <w:rsid w:val="005E022D"/>
    <w:rsid w:val="005E0267"/>
    <w:rsid w:val="005E4ABA"/>
    <w:rsid w:val="005E54D8"/>
    <w:rsid w:val="005E627F"/>
    <w:rsid w:val="005E6736"/>
    <w:rsid w:val="005F007F"/>
    <w:rsid w:val="005F09BB"/>
    <w:rsid w:val="005F283C"/>
    <w:rsid w:val="005F59F9"/>
    <w:rsid w:val="005F6B05"/>
    <w:rsid w:val="005F722A"/>
    <w:rsid w:val="005F7731"/>
    <w:rsid w:val="005F7E46"/>
    <w:rsid w:val="00604657"/>
    <w:rsid w:val="00604720"/>
    <w:rsid w:val="006052BD"/>
    <w:rsid w:val="00607C64"/>
    <w:rsid w:val="0061008F"/>
    <w:rsid w:val="00610F49"/>
    <w:rsid w:val="00614B08"/>
    <w:rsid w:val="006154FD"/>
    <w:rsid w:val="00620A15"/>
    <w:rsid w:val="00620C0E"/>
    <w:rsid w:val="0062384F"/>
    <w:rsid w:val="0062394C"/>
    <w:rsid w:val="00624749"/>
    <w:rsid w:val="00624FE3"/>
    <w:rsid w:val="006262EC"/>
    <w:rsid w:val="006267A3"/>
    <w:rsid w:val="00631B0F"/>
    <w:rsid w:val="006343CD"/>
    <w:rsid w:val="006368DE"/>
    <w:rsid w:val="0063739D"/>
    <w:rsid w:val="00640448"/>
    <w:rsid w:val="00640C82"/>
    <w:rsid w:val="0064176C"/>
    <w:rsid w:val="0064499A"/>
    <w:rsid w:val="00644A33"/>
    <w:rsid w:val="00647D14"/>
    <w:rsid w:val="00647F80"/>
    <w:rsid w:val="006524C0"/>
    <w:rsid w:val="006524E7"/>
    <w:rsid w:val="00654A00"/>
    <w:rsid w:val="00654A84"/>
    <w:rsid w:val="006555C5"/>
    <w:rsid w:val="00656D31"/>
    <w:rsid w:val="00657B39"/>
    <w:rsid w:val="00657C92"/>
    <w:rsid w:val="00661938"/>
    <w:rsid w:val="00662B56"/>
    <w:rsid w:val="00663497"/>
    <w:rsid w:val="006638C1"/>
    <w:rsid w:val="0066448E"/>
    <w:rsid w:val="006677C8"/>
    <w:rsid w:val="00667BF3"/>
    <w:rsid w:val="0067199E"/>
    <w:rsid w:val="00671F42"/>
    <w:rsid w:val="00673CA1"/>
    <w:rsid w:val="0067441F"/>
    <w:rsid w:val="00674558"/>
    <w:rsid w:val="0067484A"/>
    <w:rsid w:val="00676674"/>
    <w:rsid w:val="00676B98"/>
    <w:rsid w:val="00677D09"/>
    <w:rsid w:val="006818AF"/>
    <w:rsid w:val="00681AA7"/>
    <w:rsid w:val="006824A5"/>
    <w:rsid w:val="00683F72"/>
    <w:rsid w:val="0068536F"/>
    <w:rsid w:val="00685B84"/>
    <w:rsid w:val="00686FBA"/>
    <w:rsid w:val="00690AF9"/>
    <w:rsid w:val="00690FF5"/>
    <w:rsid w:val="00692236"/>
    <w:rsid w:val="00694778"/>
    <w:rsid w:val="00697052"/>
    <w:rsid w:val="006970FB"/>
    <w:rsid w:val="00697C0D"/>
    <w:rsid w:val="006A032C"/>
    <w:rsid w:val="006A05D2"/>
    <w:rsid w:val="006A2B29"/>
    <w:rsid w:val="006A462E"/>
    <w:rsid w:val="006A6171"/>
    <w:rsid w:val="006A70AA"/>
    <w:rsid w:val="006A745E"/>
    <w:rsid w:val="006B1CA5"/>
    <w:rsid w:val="006B29EC"/>
    <w:rsid w:val="006B393F"/>
    <w:rsid w:val="006B46D4"/>
    <w:rsid w:val="006B4B41"/>
    <w:rsid w:val="006B6043"/>
    <w:rsid w:val="006B7B67"/>
    <w:rsid w:val="006B7C4F"/>
    <w:rsid w:val="006C10AB"/>
    <w:rsid w:val="006C15A0"/>
    <w:rsid w:val="006C1776"/>
    <w:rsid w:val="006C22C2"/>
    <w:rsid w:val="006C272F"/>
    <w:rsid w:val="006C2C54"/>
    <w:rsid w:val="006C3098"/>
    <w:rsid w:val="006C37B2"/>
    <w:rsid w:val="006C3E5B"/>
    <w:rsid w:val="006C47FC"/>
    <w:rsid w:val="006C482F"/>
    <w:rsid w:val="006C68AA"/>
    <w:rsid w:val="006C6E9B"/>
    <w:rsid w:val="006C7087"/>
    <w:rsid w:val="006D18F1"/>
    <w:rsid w:val="006D2D8C"/>
    <w:rsid w:val="006D37A0"/>
    <w:rsid w:val="006D4AC3"/>
    <w:rsid w:val="006D56C6"/>
    <w:rsid w:val="006D5F1A"/>
    <w:rsid w:val="006D7D06"/>
    <w:rsid w:val="006E4195"/>
    <w:rsid w:val="006E67AD"/>
    <w:rsid w:val="006F0878"/>
    <w:rsid w:val="006F1A5F"/>
    <w:rsid w:val="006F2377"/>
    <w:rsid w:val="006F50E6"/>
    <w:rsid w:val="00701DE7"/>
    <w:rsid w:val="00702859"/>
    <w:rsid w:val="00703083"/>
    <w:rsid w:val="007053D1"/>
    <w:rsid w:val="007058DA"/>
    <w:rsid w:val="00707605"/>
    <w:rsid w:val="007108F1"/>
    <w:rsid w:val="0071333E"/>
    <w:rsid w:val="00713902"/>
    <w:rsid w:val="007147B1"/>
    <w:rsid w:val="007151D0"/>
    <w:rsid w:val="007160B3"/>
    <w:rsid w:val="00720544"/>
    <w:rsid w:val="00721F8C"/>
    <w:rsid w:val="00722C3D"/>
    <w:rsid w:val="007232E0"/>
    <w:rsid w:val="0072455E"/>
    <w:rsid w:val="00732316"/>
    <w:rsid w:val="00733B26"/>
    <w:rsid w:val="0073494A"/>
    <w:rsid w:val="007372F7"/>
    <w:rsid w:val="007403DB"/>
    <w:rsid w:val="00740886"/>
    <w:rsid w:val="0074120A"/>
    <w:rsid w:val="00741F95"/>
    <w:rsid w:val="00742BC4"/>
    <w:rsid w:val="007434D2"/>
    <w:rsid w:val="007449A9"/>
    <w:rsid w:val="00745401"/>
    <w:rsid w:val="00745D3B"/>
    <w:rsid w:val="00747EC7"/>
    <w:rsid w:val="007500AC"/>
    <w:rsid w:val="00750851"/>
    <w:rsid w:val="00752813"/>
    <w:rsid w:val="007538F8"/>
    <w:rsid w:val="007554C4"/>
    <w:rsid w:val="0075583D"/>
    <w:rsid w:val="00757B93"/>
    <w:rsid w:val="007609CD"/>
    <w:rsid w:val="00760A30"/>
    <w:rsid w:val="007621DA"/>
    <w:rsid w:val="00766264"/>
    <w:rsid w:val="00767276"/>
    <w:rsid w:val="00767A05"/>
    <w:rsid w:val="00767B17"/>
    <w:rsid w:val="00771B08"/>
    <w:rsid w:val="0077261B"/>
    <w:rsid w:val="00772747"/>
    <w:rsid w:val="007727FF"/>
    <w:rsid w:val="00773A25"/>
    <w:rsid w:val="00773DE4"/>
    <w:rsid w:val="007749AD"/>
    <w:rsid w:val="00775574"/>
    <w:rsid w:val="00777B96"/>
    <w:rsid w:val="00777F1C"/>
    <w:rsid w:val="00780335"/>
    <w:rsid w:val="00782500"/>
    <w:rsid w:val="00786C58"/>
    <w:rsid w:val="00790D56"/>
    <w:rsid w:val="0079134B"/>
    <w:rsid w:val="007923C5"/>
    <w:rsid w:val="007923FC"/>
    <w:rsid w:val="00797A2A"/>
    <w:rsid w:val="00797B33"/>
    <w:rsid w:val="007A2206"/>
    <w:rsid w:val="007A3360"/>
    <w:rsid w:val="007A40DB"/>
    <w:rsid w:val="007A41E3"/>
    <w:rsid w:val="007A632E"/>
    <w:rsid w:val="007A6C8A"/>
    <w:rsid w:val="007A6D65"/>
    <w:rsid w:val="007B0BC4"/>
    <w:rsid w:val="007B2716"/>
    <w:rsid w:val="007B2769"/>
    <w:rsid w:val="007B3BB1"/>
    <w:rsid w:val="007B40AE"/>
    <w:rsid w:val="007B615A"/>
    <w:rsid w:val="007B79BE"/>
    <w:rsid w:val="007C1295"/>
    <w:rsid w:val="007C2AED"/>
    <w:rsid w:val="007C2B52"/>
    <w:rsid w:val="007C36D7"/>
    <w:rsid w:val="007C3CB9"/>
    <w:rsid w:val="007C4E35"/>
    <w:rsid w:val="007D0BDE"/>
    <w:rsid w:val="007D4399"/>
    <w:rsid w:val="007D4BF0"/>
    <w:rsid w:val="007D5876"/>
    <w:rsid w:val="007D5A4D"/>
    <w:rsid w:val="007D692C"/>
    <w:rsid w:val="007E01DC"/>
    <w:rsid w:val="007E02DA"/>
    <w:rsid w:val="007E6B21"/>
    <w:rsid w:val="007F26DE"/>
    <w:rsid w:val="007F556A"/>
    <w:rsid w:val="007F5DC1"/>
    <w:rsid w:val="007F761E"/>
    <w:rsid w:val="007F7EBA"/>
    <w:rsid w:val="0080033F"/>
    <w:rsid w:val="008007A8"/>
    <w:rsid w:val="0080229B"/>
    <w:rsid w:val="00802D5D"/>
    <w:rsid w:val="00803610"/>
    <w:rsid w:val="00805EEF"/>
    <w:rsid w:val="00807E8B"/>
    <w:rsid w:val="008102CC"/>
    <w:rsid w:val="0081275C"/>
    <w:rsid w:val="0081287B"/>
    <w:rsid w:val="00812BFA"/>
    <w:rsid w:val="00813D8C"/>
    <w:rsid w:val="0081544C"/>
    <w:rsid w:val="0081699E"/>
    <w:rsid w:val="00816EE4"/>
    <w:rsid w:val="0081709B"/>
    <w:rsid w:val="00817104"/>
    <w:rsid w:val="00823993"/>
    <w:rsid w:val="00824DCE"/>
    <w:rsid w:val="0082646A"/>
    <w:rsid w:val="00830B4E"/>
    <w:rsid w:val="00831334"/>
    <w:rsid w:val="00831F0C"/>
    <w:rsid w:val="00832872"/>
    <w:rsid w:val="00833CE8"/>
    <w:rsid w:val="0083421C"/>
    <w:rsid w:val="00834C06"/>
    <w:rsid w:val="00835B1C"/>
    <w:rsid w:val="00837574"/>
    <w:rsid w:val="00837886"/>
    <w:rsid w:val="00840DEB"/>
    <w:rsid w:val="00842494"/>
    <w:rsid w:val="00844264"/>
    <w:rsid w:val="00846F9B"/>
    <w:rsid w:val="008508BF"/>
    <w:rsid w:val="008509FF"/>
    <w:rsid w:val="00850BCB"/>
    <w:rsid w:val="008512D2"/>
    <w:rsid w:val="00852956"/>
    <w:rsid w:val="00853D95"/>
    <w:rsid w:val="00854331"/>
    <w:rsid w:val="00854D23"/>
    <w:rsid w:val="00855921"/>
    <w:rsid w:val="00856F3A"/>
    <w:rsid w:val="00857614"/>
    <w:rsid w:val="00860725"/>
    <w:rsid w:val="00860909"/>
    <w:rsid w:val="00861840"/>
    <w:rsid w:val="008618F4"/>
    <w:rsid w:val="00864524"/>
    <w:rsid w:val="00864A1B"/>
    <w:rsid w:val="0086793A"/>
    <w:rsid w:val="0087125C"/>
    <w:rsid w:val="00872068"/>
    <w:rsid w:val="00872CE5"/>
    <w:rsid w:val="00873AFC"/>
    <w:rsid w:val="00875934"/>
    <w:rsid w:val="00880F59"/>
    <w:rsid w:val="00881A02"/>
    <w:rsid w:val="00881B70"/>
    <w:rsid w:val="008823FA"/>
    <w:rsid w:val="008829B6"/>
    <w:rsid w:val="00884BFD"/>
    <w:rsid w:val="008867B3"/>
    <w:rsid w:val="00892822"/>
    <w:rsid w:val="008937D9"/>
    <w:rsid w:val="0089434E"/>
    <w:rsid w:val="00894EF4"/>
    <w:rsid w:val="008953A6"/>
    <w:rsid w:val="00895F19"/>
    <w:rsid w:val="00896510"/>
    <w:rsid w:val="0089758E"/>
    <w:rsid w:val="008976BC"/>
    <w:rsid w:val="00897994"/>
    <w:rsid w:val="00897AB9"/>
    <w:rsid w:val="00897C21"/>
    <w:rsid w:val="008A12EB"/>
    <w:rsid w:val="008A346E"/>
    <w:rsid w:val="008A3E21"/>
    <w:rsid w:val="008A5ACD"/>
    <w:rsid w:val="008A5B43"/>
    <w:rsid w:val="008A7B01"/>
    <w:rsid w:val="008B0C4A"/>
    <w:rsid w:val="008B13EE"/>
    <w:rsid w:val="008B218B"/>
    <w:rsid w:val="008B322E"/>
    <w:rsid w:val="008B3968"/>
    <w:rsid w:val="008B446A"/>
    <w:rsid w:val="008B6768"/>
    <w:rsid w:val="008C1601"/>
    <w:rsid w:val="008C3E3F"/>
    <w:rsid w:val="008C4220"/>
    <w:rsid w:val="008C4B6B"/>
    <w:rsid w:val="008C5775"/>
    <w:rsid w:val="008C6D8D"/>
    <w:rsid w:val="008C7707"/>
    <w:rsid w:val="008D0267"/>
    <w:rsid w:val="008D1B30"/>
    <w:rsid w:val="008E09D2"/>
    <w:rsid w:val="008E0F8E"/>
    <w:rsid w:val="008E1D7C"/>
    <w:rsid w:val="008E1DF6"/>
    <w:rsid w:val="008E2120"/>
    <w:rsid w:val="008E3423"/>
    <w:rsid w:val="008E5003"/>
    <w:rsid w:val="008F2A29"/>
    <w:rsid w:val="008F53D7"/>
    <w:rsid w:val="008F604E"/>
    <w:rsid w:val="009008C3"/>
    <w:rsid w:val="00900FAC"/>
    <w:rsid w:val="00901AC2"/>
    <w:rsid w:val="00901EA1"/>
    <w:rsid w:val="00901FF6"/>
    <w:rsid w:val="00904031"/>
    <w:rsid w:val="00906070"/>
    <w:rsid w:val="00906145"/>
    <w:rsid w:val="00906B4C"/>
    <w:rsid w:val="00907D77"/>
    <w:rsid w:val="009106A3"/>
    <w:rsid w:val="009111C7"/>
    <w:rsid w:val="00911A4C"/>
    <w:rsid w:val="009150BF"/>
    <w:rsid w:val="009158C4"/>
    <w:rsid w:val="009209F7"/>
    <w:rsid w:val="00921BB0"/>
    <w:rsid w:val="00921E41"/>
    <w:rsid w:val="00924AC4"/>
    <w:rsid w:val="00924CF1"/>
    <w:rsid w:val="00925946"/>
    <w:rsid w:val="00925E17"/>
    <w:rsid w:val="00930011"/>
    <w:rsid w:val="00932519"/>
    <w:rsid w:val="009335EF"/>
    <w:rsid w:val="00934993"/>
    <w:rsid w:val="0093589E"/>
    <w:rsid w:val="009362C6"/>
    <w:rsid w:val="0093798B"/>
    <w:rsid w:val="009406A0"/>
    <w:rsid w:val="00941C44"/>
    <w:rsid w:val="00943A43"/>
    <w:rsid w:val="00943B99"/>
    <w:rsid w:val="00944537"/>
    <w:rsid w:val="0094633D"/>
    <w:rsid w:val="00950773"/>
    <w:rsid w:val="00950E5B"/>
    <w:rsid w:val="00951B70"/>
    <w:rsid w:val="0095249E"/>
    <w:rsid w:val="00953EE0"/>
    <w:rsid w:val="00955D11"/>
    <w:rsid w:val="009569FC"/>
    <w:rsid w:val="00956A14"/>
    <w:rsid w:val="009575E7"/>
    <w:rsid w:val="00960B0E"/>
    <w:rsid w:val="009633DE"/>
    <w:rsid w:val="0096397E"/>
    <w:rsid w:val="0096472E"/>
    <w:rsid w:val="00964CF4"/>
    <w:rsid w:val="00975B13"/>
    <w:rsid w:val="00975E92"/>
    <w:rsid w:val="00976A74"/>
    <w:rsid w:val="009834AA"/>
    <w:rsid w:val="00984BF3"/>
    <w:rsid w:val="00991718"/>
    <w:rsid w:val="00992CF4"/>
    <w:rsid w:val="0099307C"/>
    <w:rsid w:val="009942A9"/>
    <w:rsid w:val="009947D4"/>
    <w:rsid w:val="00994EE3"/>
    <w:rsid w:val="00995C39"/>
    <w:rsid w:val="00995C73"/>
    <w:rsid w:val="00996D48"/>
    <w:rsid w:val="009A06D5"/>
    <w:rsid w:val="009A2232"/>
    <w:rsid w:val="009A2AFD"/>
    <w:rsid w:val="009A2B12"/>
    <w:rsid w:val="009A3C5C"/>
    <w:rsid w:val="009A53D5"/>
    <w:rsid w:val="009A798E"/>
    <w:rsid w:val="009B15E9"/>
    <w:rsid w:val="009B1999"/>
    <w:rsid w:val="009B3119"/>
    <w:rsid w:val="009B33F4"/>
    <w:rsid w:val="009B79D4"/>
    <w:rsid w:val="009C05C7"/>
    <w:rsid w:val="009C72F2"/>
    <w:rsid w:val="009C7438"/>
    <w:rsid w:val="009C7FD9"/>
    <w:rsid w:val="009D08B4"/>
    <w:rsid w:val="009D0917"/>
    <w:rsid w:val="009D1A82"/>
    <w:rsid w:val="009D206D"/>
    <w:rsid w:val="009D4BEA"/>
    <w:rsid w:val="009D6919"/>
    <w:rsid w:val="009D6D4F"/>
    <w:rsid w:val="009D7C33"/>
    <w:rsid w:val="009E0DE8"/>
    <w:rsid w:val="009E25DA"/>
    <w:rsid w:val="009E34FA"/>
    <w:rsid w:val="009E5FAE"/>
    <w:rsid w:val="009E6158"/>
    <w:rsid w:val="009E7C1F"/>
    <w:rsid w:val="009F0AD1"/>
    <w:rsid w:val="009F0C98"/>
    <w:rsid w:val="009F43E3"/>
    <w:rsid w:val="009F7C43"/>
    <w:rsid w:val="00A06118"/>
    <w:rsid w:val="00A068A5"/>
    <w:rsid w:val="00A11505"/>
    <w:rsid w:val="00A12973"/>
    <w:rsid w:val="00A1461E"/>
    <w:rsid w:val="00A14CB4"/>
    <w:rsid w:val="00A161D7"/>
    <w:rsid w:val="00A20E1E"/>
    <w:rsid w:val="00A264A1"/>
    <w:rsid w:val="00A31A7B"/>
    <w:rsid w:val="00A31E7B"/>
    <w:rsid w:val="00A31F02"/>
    <w:rsid w:val="00A333A6"/>
    <w:rsid w:val="00A34277"/>
    <w:rsid w:val="00A346A4"/>
    <w:rsid w:val="00A34A19"/>
    <w:rsid w:val="00A34BCD"/>
    <w:rsid w:val="00A359A6"/>
    <w:rsid w:val="00A41118"/>
    <w:rsid w:val="00A42336"/>
    <w:rsid w:val="00A46291"/>
    <w:rsid w:val="00A5036C"/>
    <w:rsid w:val="00A53416"/>
    <w:rsid w:val="00A54737"/>
    <w:rsid w:val="00A55EB8"/>
    <w:rsid w:val="00A61544"/>
    <w:rsid w:val="00A62A16"/>
    <w:rsid w:val="00A63445"/>
    <w:rsid w:val="00A63455"/>
    <w:rsid w:val="00A639E9"/>
    <w:rsid w:val="00A67F6B"/>
    <w:rsid w:val="00A74B63"/>
    <w:rsid w:val="00A811DD"/>
    <w:rsid w:val="00A83EAC"/>
    <w:rsid w:val="00A83EEA"/>
    <w:rsid w:val="00A85069"/>
    <w:rsid w:val="00A90500"/>
    <w:rsid w:val="00A90A46"/>
    <w:rsid w:val="00A91F17"/>
    <w:rsid w:val="00A92CCC"/>
    <w:rsid w:val="00A93449"/>
    <w:rsid w:val="00A9549B"/>
    <w:rsid w:val="00A97623"/>
    <w:rsid w:val="00AA17EB"/>
    <w:rsid w:val="00AA2E93"/>
    <w:rsid w:val="00AA5460"/>
    <w:rsid w:val="00AA5B42"/>
    <w:rsid w:val="00AA6E15"/>
    <w:rsid w:val="00AA76DD"/>
    <w:rsid w:val="00AB052E"/>
    <w:rsid w:val="00AB25D1"/>
    <w:rsid w:val="00AB3306"/>
    <w:rsid w:val="00AB44ED"/>
    <w:rsid w:val="00AB6F2F"/>
    <w:rsid w:val="00AB7BC9"/>
    <w:rsid w:val="00AB7D4A"/>
    <w:rsid w:val="00AC0557"/>
    <w:rsid w:val="00AC1BC4"/>
    <w:rsid w:val="00AC2281"/>
    <w:rsid w:val="00AC24AD"/>
    <w:rsid w:val="00AC2B17"/>
    <w:rsid w:val="00AC3E5E"/>
    <w:rsid w:val="00AC4862"/>
    <w:rsid w:val="00AC62FC"/>
    <w:rsid w:val="00AD57EB"/>
    <w:rsid w:val="00AD5B65"/>
    <w:rsid w:val="00AD6100"/>
    <w:rsid w:val="00AD7A8D"/>
    <w:rsid w:val="00AD7BB2"/>
    <w:rsid w:val="00AE1849"/>
    <w:rsid w:val="00AE36FD"/>
    <w:rsid w:val="00AE396F"/>
    <w:rsid w:val="00AE495F"/>
    <w:rsid w:val="00AE5483"/>
    <w:rsid w:val="00AE59DB"/>
    <w:rsid w:val="00AE6078"/>
    <w:rsid w:val="00AF1431"/>
    <w:rsid w:val="00AF2ABE"/>
    <w:rsid w:val="00AF3525"/>
    <w:rsid w:val="00AF6E28"/>
    <w:rsid w:val="00AF7499"/>
    <w:rsid w:val="00B075A3"/>
    <w:rsid w:val="00B07890"/>
    <w:rsid w:val="00B11A8E"/>
    <w:rsid w:val="00B11BBC"/>
    <w:rsid w:val="00B12C2B"/>
    <w:rsid w:val="00B13E02"/>
    <w:rsid w:val="00B143BA"/>
    <w:rsid w:val="00B14C31"/>
    <w:rsid w:val="00B151CB"/>
    <w:rsid w:val="00B15891"/>
    <w:rsid w:val="00B1752C"/>
    <w:rsid w:val="00B17B6F"/>
    <w:rsid w:val="00B20396"/>
    <w:rsid w:val="00B210B2"/>
    <w:rsid w:val="00B211A5"/>
    <w:rsid w:val="00B24034"/>
    <w:rsid w:val="00B249DF"/>
    <w:rsid w:val="00B249E6"/>
    <w:rsid w:val="00B26D41"/>
    <w:rsid w:val="00B27E5E"/>
    <w:rsid w:val="00B30825"/>
    <w:rsid w:val="00B309D4"/>
    <w:rsid w:val="00B31241"/>
    <w:rsid w:val="00B31567"/>
    <w:rsid w:val="00B31A89"/>
    <w:rsid w:val="00B320DD"/>
    <w:rsid w:val="00B33F21"/>
    <w:rsid w:val="00B34030"/>
    <w:rsid w:val="00B358E4"/>
    <w:rsid w:val="00B37047"/>
    <w:rsid w:val="00B37623"/>
    <w:rsid w:val="00B42523"/>
    <w:rsid w:val="00B428ED"/>
    <w:rsid w:val="00B44E4F"/>
    <w:rsid w:val="00B45F38"/>
    <w:rsid w:val="00B4622C"/>
    <w:rsid w:val="00B469BD"/>
    <w:rsid w:val="00B47F45"/>
    <w:rsid w:val="00B5059C"/>
    <w:rsid w:val="00B5179D"/>
    <w:rsid w:val="00B5302E"/>
    <w:rsid w:val="00B53175"/>
    <w:rsid w:val="00B549A9"/>
    <w:rsid w:val="00B55584"/>
    <w:rsid w:val="00B559C3"/>
    <w:rsid w:val="00B56FEB"/>
    <w:rsid w:val="00B61517"/>
    <w:rsid w:val="00B6217B"/>
    <w:rsid w:val="00B64B9E"/>
    <w:rsid w:val="00B64FF2"/>
    <w:rsid w:val="00B664BB"/>
    <w:rsid w:val="00B67525"/>
    <w:rsid w:val="00B70A0F"/>
    <w:rsid w:val="00B70D26"/>
    <w:rsid w:val="00B71429"/>
    <w:rsid w:val="00B73104"/>
    <w:rsid w:val="00B73B76"/>
    <w:rsid w:val="00B73BFE"/>
    <w:rsid w:val="00B7440F"/>
    <w:rsid w:val="00B744EC"/>
    <w:rsid w:val="00B75595"/>
    <w:rsid w:val="00B76CB8"/>
    <w:rsid w:val="00B7760E"/>
    <w:rsid w:val="00B77A1D"/>
    <w:rsid w:val="00B808B7"/>
    <w:rsid w:val="00B8124F"/>
    <w:rsid w:val="00B83D52"/>
    <w:rsid w:val="00B86767"/>
    <w:rsid w:val="00B940EB"/>
    <w:rsid w:val="00B96DC1"/>
    <w:rsid w:val="00B97F69"/>
    <w:rsid w:val="00BA04E2"/>
    <w:rsid w:val="00BA1F98"/>
    <w:rsid w:val="00BA4F67"/>
    <w:rsid w:val="00BA555C"/>
    <w:rsid w:val="00BA5FCB"/>
    <w:rsid w:val="00BA7504"/>
    <w:rsid w:val="00BA764F"/>
    <w:rsid w:val="00BA78B2"/>
    <w:rsid w:val="00BB0889"/>
    <w:rsid w:val="00BB0B6D"/>
    <w:rsid w:val="00BB101E"/>
    <w:rsid w:val="00BB1056"/>
    <w:rsid w:val="00BB2EFC"/>
    <w:rsid w:val="00BB3A7A"/>
    <w:rsid w:val="00BB4FAB"/>
    <w:rsid w:val="00BB5093"/>
    <w:rsid w:val="00BB741A"/>
    <w:rsid w:val="00BB74CC"/>
    <w:rsid w:val="00BB7A32"/>
    <w:rsid w:val="00BB7F6F"/>
    <w:rsid w:val="00BC3393"/>
    <w:rsid w:val="00BC3CD8"/>
    <w:rsid w:val="00BC47DD"/>
    <w:rsid w:val="00BC53F1"/>
    <w:rsid w:val="00BC7093"/>
    <w:rsid w:val="00BD0001"/>
    <w:rsid w:val="00BD04F1"/>
    <w:rsid w:val="00BD0E30"/>
    <w:rsid w:val="00BD5762"/>
    <w:rsid w:val="00BD5A50"/>
    <w:rsid w:val="00BD6098"/>
    <w:rsid w:val="00BD765A"/>
    <w:rsid w:val="00BD7B2A"/>
    <w:rsid w:val="00BE41F7"/>
    <w:rsid w:val="00BE4DAB"/>
    <w:rsid w:val="00BE5BCA"/>
    <w:rsid w:val="00BE72B4"/>
    <w:rsid w:val="00BF1728"/>
    <w:rsid w:val="00BF1A3F"/>
    <w:rsid w:val="00BF278C"/>
    <w:rsid w:val="00BF357E"/>
    <w:rsid w:val="00BF4197"/>
    <w:rsid w:val="00BF42FB"/>
    <w:rsid w:val="00BF436E"/>
    <w:rsid w:val="00BF50D4"/>
    <w:rsid w:val="00BF5D01"/>
    <w:rsid w:val="00BF6396"/>
    <w:rsid w:val="00C01060"/>
    <w:rsid w:val="00C01409"/>
    <w:rsid w:val="00C01CAF"/>
    <w:rsid w:val="00C046D5"/>
    <w:rsid w:val="00C05809"/>
    <w:rsid w:val="00C0597F"/>
    <w:rsid w:val="00C068DC"/>
    <w:rsid w:val="00C07943"/>
    <w:rsid w:val="00C07C7F"/>
    <w:rsid w:val="00C11790"/>
    <w:rsid w:val="00C12F1A"/>
    <w:rsid w:val="00C13134"/>
    <w:rsid w:val="00C14A92"/>
    <w:rsid w:val="00C15DE9"/>
    <w:rsid w:val="00C15E7F"/>
    <w:rsid w:val="00C166F3"/>
    <w:rsid w:val="00C16BBB"/>
    <w:rsid w:val="00C16EF7"/>
    <w:rsid w:val="00C16FDF"/>
    <w:rsid w:val="00C178C8"/>
    <w:rsid w:val="00C17CA9"/>
    <w:rsid w:val="00C202A5"/>
    <w:rsid w:val="00C213F7"/>
    <w:rsid w:val="00C22B0E"/>
    <w:rsid w:val="00C23173"/>
    <w:rsid w:val="00C240C6"/>
    <w:rsid w:val="00C2552D"/>
    <w:rsid w:val="00C27246"/>
    <w:rsid w:val="00C3023C"/>
    <w:rsid w:val="00C3047B"/>
    <w:rsid w:val="00C30B6E"/>
    <w:rsid w:val="00C31BE7"/>
    <w:rsid w:val="00C3259D"/>
    <w:rsid w:val="00C35A0E"/>
    <w:rsid w:val="00C36543"/>
    <w:rsid w:val="00C367FA"/>
    <w:rsid w:val="00C37CD6"/>
    <w:rsid w:val="00C40052"/>
    <w:rsid w:val="00C40D36"/>
    <w:rsid w:val="00C4298C"/>
    <w:rsid w:val="00C45F8C"/>
    <w:rsid w:val="00C46555"/>
    <w:rsid w:val="00C5078F"/>
    <w:rsid w:val="00C509D5"/>
    <w:rsid w:val="00C51EFF"/>
    <w:rsid w:val="00C52A72"/>
    <w:rsid w:val="00C52C60"/>
    <w:rsid w:val="00C52E30"/>
    <w:rsid w:val="00C5582D"/>
    <w:rsid w:val="00C56062"/>
    <w:rsid w:val="00C57CB6"/>
    <w:rsid w:val="00C62787"/>
    <w:rsid w:val="00C62DE6"/>
    <w:rsid w:val="00C6541B"/>
    <w:rsid w:val="00C66400"/>
    <w:rsid w:val="00C671EF"/>
    <w:rsid w:val="00C7112E"/>
    <w:rsid w:val="00C71E58"/>
    <w:rsid w:val="00C730A4"/>
    <w:rsid w:val="00C73DF6"/>
    <w:rsid w:val="00C8136D"/>
    <w:rsid w:val="00C836A8"/>
    <w:rsid w:val="00C86941"/>
    <w:rsid w:val="00C8791D"/>
    <w:rsid w:val="00C8792E"/>
    <w:rsid w:val="00C902D6"/>
    <w:rsid w:val="00C90DE2"/>
    <w:rsid w:val="00C91591"/>
    <w:rsid w:val="00C947F7"/>
    <w:rsid w:val="00C9577F"/>
    <w:rsid w:val="00C95ED7"/>
    <w:rsid w:val="00C96DE9"/>
    <w:rsid w:val="00CA0CB0"/>
    <w:rsid w:val="00CA26F8"/>
    <w:rsid w:val="00CA3204"/>
    <w:rsid w:val="00CA441D"/>
    <w:rsid w:val="00CA4E2F"/>
    <w:rsid w:val="00CA530A"/>
    <w:rsid w:val="00CA77ED"/>
    <w:rsid w:val="00CB21BA"/>
    <w:rsid w:val="00CB2910"/>
    <w:rsid w:val="00CB4902"/>
    <w:rsid w:val="00CC3D9C"/>
    <w:rsid w:val="00CC3FAC"/>
    <w:rsid w:val="00CC44F3"/>
    <w:rsid w:val="00CC45F1"/>
    <w:rsid w:val="00CC469B"/>
    <w:rsid w:val="00CC6C0A"/>
    <w:rsid w:val="00CC7DA2"/>
    <w:rsid w:val="00CD13CA"/>
    <w:rsid w:val="00CD2A1C"/>
    <w:rsid w:val="00CD33E0"/>
    <w:rsid w:val="00CD343A"/>
    <w:rsid w:val="00CD53E1"/>
    <w:rsid w:val="00CD5553"/>
    <w:rsid w:val="00CD74A4"/>
    <w:rsid w:val="00CD7D80"/>
    <w:rsid w:val="00CE04B5"/>
    <w:rsid w:val="00CE0A0B"/>
    <w:rsid w:val="00CE143A"/>
    <w:rsid w:val="00CE5CBB"/>
    <w:rsid w:val="00CE6CB1"/>
    <w:rsid w:val="00CF022E"/>
    <w:rsid w:val="00CF04C5"/>
    <w:rsid w:val="00CF0504"/>
    <w:rsid w:val="00CF0590"/>
    <w:rsid w:val="00CF280E"/>
    <w:rsid w:val="00CF4B56"/>
    <w:rsid w:val="00CF5CF7"/>
    <w:rsid w:val="00CF73D2"/>
    <w:rsid w:val="00CF7822"/>
    <w:rsid w:val="00CF7905"/>
    <w:rsid w:val="00D001AA"/>
    <w:rsid w:val="00D02E00"/>
    <w:rsid w:val="00D0331E"/>
    <w:rsid w:val="00D03908"/>
    <w:rsid w:val="00D03E29"/>
    <w:rsid w:val="00D04A18"/>
    <w:rsid w:val="00D051BC"/>
    <w:rsid w:val="00D10F55"/>
    <w:rsid w:val="00D117C8"/>
    <w:rsid w:val="00D1215D"/>
    <w:rsid w:val="00D13C16"/>
    <w:rsid w:val="00D14729"/>
    <w:rsid w:val="00D14BF7"/>
    <w:rsid w:val="00D15D05"/>
    <w:rsid w:val="00D1642E"/>
    <w:rsid w:val="00D16853"/>
    <w:rsid w:val="00D17DC0"/>
    <w:rsid w:val="00D201B3"/>
    <w:rsid w:val="00D21C94"/>
    <w:rsid w:val="00D30C96"/>
    <w:rsid w:val="00D319CC"/>
    <w:rsid w:val="00D31A6F"/>
    <w:rsid w:val="00D325A9"/>
    <w:rsid w:val="00D3426A"/>
    <w:rsid w:val="00D34898"/>
    <w:rsid w:val="00D3497E"/>
    <w:rsid w:val="00D41039"/>
    <w:rsid w:val="00D4155E"/>
    <w:rsid w:val="00D41C68"/>
    <w:rsid w:val="00D42D81"/>
    <w:rsid w:val="00D44DE3"/>
    <w:rsid w:val="00D45D48"/>
    <w:rsid w:val="00D4622A"/>
    <w:rsid w:val="00D47250"/>
    <w:rsid w:val="00D5082D"/>
    <w:rsid w:val="00D5215E"/>
    <w:rsid w:val="00D54BCD"/>
    <w:rsid w:val="00D5516B"/>
    <w:rsid w:val="00D5616C"/>
    <w:rsid w:val="00D56F47"/>
    <w:rsid w:val="00D61EDC"/>
    <w:rsid w:val="00D61F01"/>
    <w:rsid w:val="00D627B3"/>
    <w:rsid w:val="00D6318C"/>
    <w:rsid w:val="00D63C99"/>
    <w:rsid w:val="00D661F5"/>
    <w:rsid w:val="00D70494"/>
    <w:rsid w:val="00D70B00"/>
    <w:rsid w:val="00D71CA3"/>
    <w:rsid w:val="00D7289F"/>
    <w:rsid w:val="00D73C89"/>
    <w:rsid w:val="00D73FD4"/>
    <w:rsid w:val="00D747F6"/>
    <w:rsid w:val="00D7480F"/>
    <w:rsid w:val="00D74F79"/>
    <w:rsid w:val="00D7535D"/>
    <w:rsid w:val="00D75CCB"/>
    <w:rsid w:val="00D77ECD"/>
    <w:rsid w:val="00D8076B"/>
    <w:rsid w:val="00D808E3"/>
    <w:rsid w:val="00D84FF9"/>
    <w:rsid w:val="00D85B89"/>
    <w:rsid w:val="00D85C93"/>
    <w:rsid w:val="00D86469"/>
    <w:rsid w:val="00D87BAA"/>
    <w:rsid w:val="00D900B4"/>
    <w:rsid w:val="00D91976"/>
    <w:rsid w:val="00D91BC1"/>
    <w:rsid w:val="00D91E25"/>
    <w:rsid w:val="00D91EA9"/>
    <w:rsid w:val="00D92429"/>
    <w:rsid w:val="00D95087"/>
    <w:rsid w:val="00D9696C"/>
    <w:rsid w:val="00DA0C35"/>
    <w:rsid w:val="00DA2AA0"/>
    <w:rsid w:val="00DA2D38"/>
    <w:rsid w:val="00DA3F42"/>
    <w:rsid w:val="00DA683C"/>
    <w:rsid w:val="00DA6DF1"/>
    <w:rsid w:val="00DB0DB6"/>
    <w:rsid w:val="00DB1D4E"/>
    <w:rsid w:val="00DB2D98"/>
    <w:rsid w:val="00DB2E4B"/>
    <w:rsid w:val="00DB7340"/>
    <w:rsid w:val="00DB7BEB"/>
    <w:rsid w:val="00DC11D2"/>
    <w:rsid w:val="00DC2CB1"/>
    <w:rsid w:val="00DC3AEB"/>
    <w:rsid w:val="00DC4495"/>
    <w:rsid w:val="00DC7134"/>
    <w:rsid w:val="00DC7EF6"/>
    <w:rsid w:val="00DD04C0"/>
    <w:rsid w:val="00DD0E51"/>
    <w:rsid w:val="00DD2BF2"/>
    <w:rsid w:val="00DD5E42"/>
    <w:rsid w:val="00DD65F7"/>
    <w:rsid w:val="00DD6773"/>
    <w:rsid w:val="00DD7428"/>
    <w:rsid w:val="00DD7A3C"/>
    <w:rsid w:val="00DE04FB"/>
    <w:rsid w:val="00DE05DB"/>
    <w:rsid w:val="00DE0939"/>
    <w:rsid w:val="00DE3705"/>
    <w:rsid w:val="00DE3906"/>
    <w:rsid w:val="00DE3D14"/>
    <w:rsid w:val="00DE44AD"/>
    <w:rsid w:val="00DE44DC"/>
    <w:rsid w:val="00DE5004"/>
    <w:rsid w:val="00DE656A"/>
    <w:rsid w:val="00DF2012"/>
    <w:rsid w:val="00DF3D17"/>
    <w:rsid w:val="00DF465B"/>
    <w:rsid w:val="00DF5972"/>
    <w:rsid w:val="00DF7DD6"/>
    <w:rsid w:val="00E01F0E"/>
    <w:rsid w:val="00E049A9"/>
    <w:rsid w:val="00E0700F"/>
    <w:rsid w:val="00E0759D"/>
    <w:rsid w:val="00E07AA9"/>
    <w:rsid w:val="00E11E05"/>
    <w:rsid w:val="00E14C41"/>
    <w:rsid w:val="00E17B23"/>
    <w:rsid w:val="00E2108E"/>
    <w:rsid w:val="00E21230"/>
    <w:rsid w:val="00E22E43"/>
    <w:rsid w:val="00E24D45"/>
    <w:rsid w:val="00E26B25"/>
    <w:rsid w:val="00E26CD1"/>
    <w:rsid w:val="00E27A16"/>
    <w:rsid w:val="00E27BB0"/>
    <w:rsid w:val="00E30709"/>
    <w:rsid w:val="00E33563"/>
    <w:rsid w:val="00E347EC"/>
    <w:rsid w:val="00E360E9"/>
    <w:rsid w:val="00E36738"/>
    <w:rsid w:val="00E37434"/>
    <w:rsid w:val="00E37E0D"/>
    <w:rsid w:val="00E4213E"/>
    <w:rsid w:val="00E42DAD"/>
    <w:rsid w:val="00E430E1"/>
    <w:rsid w:val="00E43ECA"/>
    <w:rsid w:val="00E442C1"/>
    <w:rsid w:val="00E457A2"/>
    <w:rsid w:val="00E461B7"/>
    <w:rsid w:val="00E4654C"/>
    <w:rsid w:val="00E50144"/>
    <w:rsid w:val="00E50A8A"/>
    <w:rsid w:val="00E50D03"/>
    <w:rsid w:val="00E54F07"/>
    <w:rsid w:val="00E57406"/>
    <w:rsid w:val="00E62556"/>
    <w:rsid w:val="00E625E2"/>
    <w:rsid w:val="00E639BD"/>
    <w:rsid w:val="00E669B1"/>
    <w:rsid w:val="00E70A98"/>
    <w:rsid w:val="00E723ED"/>
    <w:rsid w:val="00E75402"/>
    <w:rsid w:val="00E76468"/>
    <w:rsid w:val="00E7724C"/>
    <w:rsid w:val="00E77506"/>
    <w:rsid w:val="00E8311E"/>
    <w:rsid w:val="00E83D31"/>
    <w:rsid w:val="00E84C17"/>
    <w:rsid w:val="00E84DBD"/>
    <w:rsid w:val="00E861B5"/>
    <w:rsid w:val="00E91A95"/>
    <w:rsid w:val="00E91BAF"/>
    <w:rsid w:val="00E9632A"/>
    <w:rsid w:val="00EA1D87"/>
    <w:rsid w:val="00EA2570"/>
    <w:rsid w:val="00EA2614"/>
    <w:rsid w:val="00EA29C4"/>
    <w:rsid w:val="00EA2C74"/>
    <w:rsid w:val="00EA3027"/>
    <w:rsid w:val="00EA362F"/>
    <w:rsid w:val="00EA506C"/>
    <w:rsid w:val="00EB1FC5"/>
    <w:rsid w:val="00EB283B"/>
    <w:rsid w:val="00EB3167"/>
    <w:rsid w:val="00EB405F"/>
    <w:rsid w:val="00EB46B6"/>
    <w:rsid w:val="00EB5BCA"/>
    <w:rsid w:val="00EB64A8"/>
    <w:rsid w:val="00EB6ADC"/>
    <w:rsid w:val="00EB7EAA"/>
    <w:rsid w:val="00EC224F"/>
    <w:rsid w:val="00EC355B"/>
    <w:rsid w:val="00EC38BD"/>
    <w:rsid w:val="00EC49EF"/>
    <w:rsid w:val="00EC5D7D"/>
    <w:rsid w:val="00EC6A0E"/>
    <w:rsid w:val="00EC76D2"/>
    <w:rsid w:val="00ED0099"/>
    <w:rsid w:val="00ED124B"/>
    <w:rsid w:val="00ED1451"/>
    <w:rsid w:val="00ED3D8B"/>
    <w:rsid w:val="00EE229D"/>
    <w:rsid w:val="00EE396E"/>
    <w:rsid w:val="00EE3BD3"/>
    <w:rsid w:val="00EE47E9"/>
    <w:rsid w:val="00EE55C8"/>
    <w:rsid w:val="00EE5951"/>
    <w:rsid w:val="00EE6DA9"/>
    <w:rsid w:val="00EF1536"/>
    <w:rsid w:val="00EF18B3"/>
    <w:rsid w:val="00EF1A8C"/>
    <w:rsid w:val="00EF1DBA"/>
    <w:rsid w:val="00EF201D"/>
    <w:rsid w:val="00EF2FC9"/>
    <w:rsid w:val="00EF348F"/>
    <w:rsid w:val="00EF4ECE"/>
    <w:rsid w:val="00EF4F07"/>
    <w:rsid w:val="00EF5CE7"/>
    <w:rsid w:val="00EF63F1"/>
    <w:rsid w:val="00F00297"/>
    <w:rsid w:val="00F01607"/>
    <w:rsid w:val="00F02ADA"/>
    <w:rsid w:val="00F04A4D"/>
    <w:rsid w:val="00F05907"/>
    <w:rsid w:val="00F06220"/>
    <w:rsid w:val="00F07A9F"/>
    <w:rsid w:val="00F10682"/>
    <w:rsid w:val="00F10D71"/>
    <w:rsid w:val="00F115C8"/>
    <w:rsid w:val="00F1194E"/>
    <w:rsid w:val="00F12397"/>
    <w:rsid w:val="00F1373C"/>
    <w:rsid w:val="00F14014"/>
    <w:rsid w:val="00F15F7E"/>
    <w:rsid w:val="00F16923"/>
    <w:rsid w:val="00F16B99"/>
    <w:rsid w:val="00F16DEA"/>
    <w:rsid w:val="00F206AA"/>
    <w:rsid w:val="00F2085A"/>
    <w:rsid w:val="00F2299D"/>
    <w:rsid w:val="00F22E7D"/>
    <w:rsid w:val="00F232DF"/>
    <w:rsid w:val="00F23DD8"/>
    <w:rsid w:val="00F32FBE"/>
    <w:rsid w:val="00F33696"/>
    <w:rsid w:val="00F34096"/>
    <w:rsid w:val="00F34BD8"/>
    <w:rsid w:val="00F35717"/>
    <w:rsid w:val="00F35980"/>
    <w:rsid w:val="00F36084"/>
    <w:rsid w:val="00F36BBE"/>
    <w:rsid w:val="00F36C8B"/>
    <w:rsid w:val="00F37802"/>
    <w:rsid w:val="00F37B1E"/>
    <w:rsid w:val="00F41BEB"/>
    <w:rsid w:val="00F42C76"/>
    <w:rsid w:val="00F44AE9"/>
    <w:rsid w:val="00F4609D"/>
    <w:rsid w:val="00F47699"/>
    <w:rsid w:val="00F562EF"/>
    <w:rsid w:val="00F568CC"/>
    <w:rsid w:val="00F56EDF"/>
    <w:rsid w:val="00F606C1"/>
    <w:rsid w:val="00F60F3F"/>
    <w:rsid w:val="00F61637"/>
    <w:rsid w:val="00F616A2"/>
    <w:rsid w:val="00F657DD"/>
    <w:rsid w:val="00F668E8"/>
    <w:rsid w:val="00F7019D"/>
    <w:rsid w:val="00F70A61"/>
    <w:rsid w:val="00F714E4"/>
    <w:rsid w:val="00F73025"/>
    <w:rsid w:val="00F73121"/>
    <w:rsid w:val="00F73F63"/>
    <w:rsid w:val="00F77733"/>
    <w:rsid w:val="00F821D8"/>
    <w:rsid w:val="00F84226"/>
    <w:rsid w:val="00F869CB"/>
    <w:rsid w:val="00F86C0E"/>
    <w:rsid w:val="00F90719"/>
    <w:rsid w:val="00F92FD4"/>
    <w:rsid w:val="00F9467C"/>
    <w:rsid w:val="00F97B99"/>
    <w:rsid w:val="00F97E62"/>
    <w:rsid w:val="00FA274D"/>
    <w:rsid w:val="00FA54BE"/>
    <w:rsid w:val="00FA7E93"/>
    <w:rsid w:val="00FB235C"/>
    <w:rsid w:val="00FB35FB"/>
    <w:rsid w:val="00FB4A22"/>
    <w:rsid w:val="00FB4C27"/>
    <w:rsid w:val="00FB6D4B"/>
    <w:rsid w:val="00FB7BB0"/>
    <w:rsid w:val="00FC2C14"/>
    <w:rsid w:val="00FC45C5"/>
    <w:rsid w:val="00FC49EA"/>
    <w:rsid w:val="00FC4F54"/>
    <w:rsid w:val="00FC532D"/>
    <w:rsid w:val="00FC5E1A"/>
    <w:rsid w:val="00FC7B2C"/>
    <w:rsid w:val="00FD0798"/>
    <w:rsid w:val="00FD1C95"/>
    <w:rsid w:val="00FD1E5E"/>
    <w:rsid w:val="00FD29D4"/>
    <w:rsid w:val="00FD5488"/>
    <w:rsid w:val="00FD6D46"/>
    <w:rsid w:val="00FE2389"/>
    <w:rsid w:val="00FE32CB"/>
    <w:rsid w:val="00FE3470"/>
    <w:rsid w:val="00FE3798"/>
    <w:rsid w:val="00FE4A3F"/>
    <w:rsid w:val="00FE55FB"/>
    <w:rsid w:val="00FE7641"/>
    <w:rsid w:val="00FE7A90"/>
    <w:rsid w:val="00FF1088"/>
    <w:rsid w:val="00FF1AEC"/>
    <w:rsid w:val="00FF1D73"/>
    <w:rsid w:val="00FF29D0"/>
    <w:rsid w:val="00FF2E2D"/>
    <w:rsid w:val="00FF311C"/>
    <w:rsid w:val="00FF53C7"/>
    <w:rsid w:val="00FF6DC8"/>
    <w:rsid w:val="02CF202D"/>
    <w:rsid w:val="0321CE85"/>
    <w:rsid w:val="048018A7"/>
    <w:rsid w:val="08269DE0"/>
    <w:rsid w:val="09C26E41"/>
    <w:rsid w:val="0AD631CE"/>
    <w:rsid w:val="1153D100"/>
    <w:rsid w:val="15FED661"/>
    <w:rsid w:val="16AF70EC"/>
    <w:rsid w:val="1B6A59D0"/>
    <w:rsid w:val="1DC44C12"/>
    <w:rsid w:val="1EA4C18F"/>
    <w:rsid w:val="1FF3774E"/>
    <w:rsid w:val="206ED95D"/>
    <w:rsid w:val="21D4D91B"/>
    <w:rsid w:val="24964F02"/>
    <w:rsid w:val="2891E816"/>
    <w:rsid w:val="2CD2B487"/>
    <w:rsid w:val="3A11A724"/>
    <w:rsid w:val="3BFC5438"/>
    <w:rsid w:val="3C038C8E"/>
    <w:rsid w:val="40CE966B"/>
    <w:rsid w:val="4758CA2D"/>
    <w:rsid w:val="4932F13A"/>
    <w:rsid w:val="4BD8201B"/>
    <w:rsid w:val="4D6E317D"/>
    <w:rsid w:val="542C2A34"/>
    <w:rsid w:val="54AAF295"/>
    <w:rsid w:val="5CA82E9A"/>
    <w:rsid w:val="64FB9D36"/>
    <w:rsid w:val="679C6F74"/>
    <w:rsid w:val="684CA79F"/>
    <w:rsid w:val="6ABF273F"/>
    <w:rsid w:val="6C48D703"/>
    <w:rsid w:val="6D2018C2"/>
    <w:rsid w:val="6EE915AB"/>
    <w:rsid w:val="71994B0B"/>
    <w:rsid w:val="73A27D51"/>
    <w:rsid w:val="7512024A"/>
    <w:rsid w:val="7618E0EE"/>
    <w:rsid w:val="796385A4"/>
    <w:rsid w:val="7D730205"/>
    <w:rsid w:val="7E684A10"/>
    <w:rsid w:val="7F6FB4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514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93F"/>
    <w:rPr>
      <w:rFonts w:ascii="Arial" w:hAnsi="Arial"/>
      <w:sz w:val="24"/>
    </w:rPr>
  </w:style>
  <w:style w:type="paragraph" w:styleId="Heading1">
    <w:name w:val="heading 1"/>
    <w:basedOn w:val="Normal"/>
    <w:next w:val="Normal"/>
    <w:link w:val="Heading1Char"/>
    <w:uiPriority w:val="9"/>
    <w:qFormat/>
    <w:rsid w:val="00E37E0D"/>
    <w:pPr>
      <w:jc w:val="center"/>
      <w:outlineLvl w:val="0"/>
    </w:pPr>
    <w:rPr>
      <w:rFonts w:eastAsia="Times New Roman" w:cs="Arial"/>
      <w:b/>
      <w:sz w:val="32"/>
      <w:szCs w:val="32"/>
    </w:rPr>
  </w:style>
  <w:style w:type="paragraph" w:styleId="Heading2">
    <w:name w:val="heading 2"/>
    <w:basedOn w:val="Heading1"/>
    <w:next w:val="Normal"/>
    <w:link w:val="Heading2Char"/>
    <w:uiPriority w:val="9"/>
    <w:unhideWhenUsed/>
    <w:qFormat/>
    <w:rsid w:val="00853D95"/>
    <w:pPr>
      <w:spacing w:before="480"/>
      <w:outlineLvl w:val="1"/>
    </w:pPr>
    <w:rPr>
      <w:bCs/>
      <w:sz w:val="28"/>
      <w:szCs w:val="28"/>
    </w:rPr>
  </w:style>
  <w:style w:type="paragraph" w:styleId="Heading3">
    <w:name w:val="heading 3"/>
    <w:basedOn w:val="Normal"/>
    <w:next w:val="Normal"/>
    <w:link w:val="Heading3Char"/>
    <w:uiPriority w:val="9"/>
    <w:unhideWhenUsed/>
    <w:qFormat/>
    <w:rsid w:val="00E37E0D"/>
    <w:pPr>
      <w:keepNext/>
      <w:keepLines/>
      <w:jc w:val="center"/>
      <w:outlineLvl w:val="2"/>
    </w:pPr>
    <w:rPr>
      <w:rFonts w:eastAsia="Arial" w:cs="Arial"/>
      <w:b/>
      <w:color w:val="000000"/>
      <w:szCs w:val="24"/>
      <w:lang w:val="en"/>
    </w:rPr>
  </w:style>
  <w:style w:type="paragraph" w:styleId="Heading4">
    <w:name w:val="heading 4"/>
    <w:basedOn w:val="Normal"/>
    <w:next w:val="Normal"/>
    <w:link w:val="Heading4Char"/>
    <w:uiPriority w:val="9"/>
    <w:unhideWhenUsed/>
    <w:qFormat/>
    <w:rsid w:val="00E37E0D"/>
    <w:pPr>
      <w:spacing w:before="480"/>
      <w:outlineLvl w:val="3"/>
    </w:pPr>
    <w:rPr>
      <w:b/>
      <w:bCs/>
      <w:lang w:val="en"/>
    </w:rPr>
  </w:style>
  <w:style w:type="paragraph" w:styleId="Heading6">
    <w:name w:val="heading 6"/>
    <w:basedOn w:val="Normal"/>
    <w:next w:val="Normal"/>
    <w:link w:val="Heading6Char"/>
    <w:uiPriority w:val="9"/>
    <w:semiHidden/>
    <w:unhideWhenUsed/>
    <w:qFormat/>
    <w:rsid w:val="00AA6E1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0B4"/>
    <w:pPr>
      <w:tabs>
        <w:tab w:val="center" w:pos="4680"/>
        <w:tab w:val="right" w:pos="9360"/>
      </w:tabs>
      <w:spacing w:after="0"/>
    </w:pPr>
  </w:style>
  <w:style w:type="character" w:customStyle="1" w:styleId="HeaderChar">
    <w:name w:val="Header Char"/>
    <w:basedOn w:val="DefaultParagraphFont"/>
    <w:link w:val="Header"/>
    <w:uiPriority w:val="99"/>
    <w:rsid w:val="00D900B4"/>
  </w:style>
  <w:style w:type="character" w:styleId="Hyperlink">
    <w:name w:val="Hyperlink"/>
    <w:rsid w:val="00D900B4"/>
    <w:rPr>
      <w:color w:val="0000FF"/>
      <w:u w:val="single"/>
    </w:rPr>
  </w:style>
  <w:style w:type="paragraph" w:styleId="Footer">
    <w:name w:val="footer"/>
    <w:basedOn w:val="Normal"/>
    <w:link w:val="FooterChar"/>
    <w:uiPriority w:val="99"/>
    <w:rsid w:val="00D900B4"/>
    <w:pPr>
      <w:tabs>
        <w:tab w:val="center" w:pos="4680"/>
        <w:tab w:val="right" w:pos="9360"/>
      </w:tabs>
      <w:spacing w:after="0"/>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D900B4"/>
    <w:rPr>
      <w:rFonts w:ascii="Times New Roman" w:eastAsia="Times New Roman" w:hAnsi="Times New Roman" w:cs="Times New Roman"/>
      <w:sz w:val="24"/>
      <w:szCs w:val="24"/>
    </w:rPr>
  </w:style>
  <w:style w:type="table" w:styleId="GridTable1Light">
    <w:name w:val="Grid Table 1 Light"/>
    <w:basedOn w:val="TableNormal"/>
    <w:uiPriority w:val="46"/>
    <w:rsid w:val="00D900B4"/>
    <w:pPr>
      <w:spacing w:after="0"/>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rsid w:val="00C57CB6"/>
    <w:pPr>
      <w:spacing w:after="0"/>
    </w:pPr>
    <w:rPr>
      <w:rFonts w:eastAsia="Times New Roman" w:cs="Times New Roman"/>
      <w:sz w:val="20"/>
      <w:szCs w:val="20"/>
    </w:rPr>
  </w:style>
  <w:style w:type="character" w:customStyle="1" w:styleId="FootnoteTextChar">
    <w:name w:val="Footnote Text Char"/>
    <w:basedOn w:val="DefaultParagraphFont"/>
    <w:link w:val="FootnoteText"/>
    <w:uiPriority w:val="99"/>
    <w:rsid w:val="00C57CB6"/>
    <w:rPr>
      <w:rFonts w:ascii="Arial" w:eastAsia="Times New Roman" w:hAnsi="Arial" w:cs="Times New Roman"/>
      <w:sz w:val="20"/>
      <w:szCs w:val="20"/>
    </w:rPr>
  </w:style>
  <w:style w:type="character" w:styleId="FootnoteReference">
    <w:name w:val="footnote reference"/>
    <w:basedOn w:val="DefaultParagraphFont"/>
    <w:uiPriority w:val="99"/>
    <w:rsid w:val="00D900B4"/>
    <w:rPr>
      <w:vertAlign w:val="superscript"/>
    </w:rPr>
  </w:style>
  <w:style w:type="table" w:styleId="TableGrid">
    <w:name w:val="Table Grid"/>
    <w:basedOn w:val="TableNormal"/>
    <w:uiPriority w:val="39"/>
    <w:rsid w:val="00D900B4"/>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7BAA"/>
    <w:rPr>
      <w:sz w:val="16"/>
      <w:szCs w:val="16"/>
    </w:rPr>
  </w:style>
  <w:style w:type="paragraph" w:styleId="CommentText">
    <w:name w:val="annotation text"/>
    <w:basedOn w:val="Normal"/>
    <w:link w:val="CommentTextChar"/>
    <w:unhideWhenUsed/>
    <w:rsid w:val="00D87BAA"/>
    <w:rPr>
      <w:sz w:val="20"/>
      <w:szCs w:val="20"/>
    </w:rPr>
  </w:style>
  <w:style w:type="character" w:customStyle="1" w:styleId="CommentTextChar">
    <w:name w:val="Comment Text Char"/>
    <w:basedOn w:val="DefaultParagraphFont"/>
    <w:link w:val="CommentText"/>
    <w:rsid w:val="00D87BAA"/>
    <w:rPr>
      <w:sz w:val="20"/>
      <w:szCs w:val="20"/>
    </w:rPr>
  </w:style>
  <w:style w:type="paragraph" w:styleId="CommentSubject">
    <w:name w:val="annotation subject"/>
    <w:basedOn w:val="CommentText"/>
    <w:next w:val="CommentText"/>
    <w:link w:val="CommentSubjectChar"/>
    <w:uiPriority w:val="99"/>
    <w:semiHidden/>
    <w:unhideWhenUsed/>
    <w:rsid w:val="00D87BAA"/>
    <w:rPr>
      <w:b/>
      <w:bCs/>
    </w:rPr>
  </w:style>
  <w:style w:type="character" w:customStyle="1" w:styleId="CommentSubjectChar">
    <w:name w:val="Comment Subject Char"/>
    <w:basedOn w:val="CommentTextChar"/>
    <w:link w:val="CommentSubject"/>
    <w:uiPriority w:val="99"/>
    <w:semiHidden/>
    <w:rsid w:val="00D87BAA"/>
    <w:rPr>
      <w:b/>
      <w:bCs/>
      <w:sz w:val="20"/>
      <w:szCs w:val="20"/>
    </w:rPr>
  </w:style>
  <w:style w:type="paragraph" w:styleId="BalloonText">
    <w:name w:val="Balloon Text"/>
    <w:basedOn w:val="Normal"/>
    <w:link w:val="BalloonTextChar"/>
    <w:uiPriority w:val="99"/>
    <w:semiHidden/>
    <w:unhideWhenUsed/>
    <w:rsid w:val="00D87B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BAA"/>
    <w:rPr>
      <w:rFonts w:ascii="Segoe UI" w:hAnsi="Segoe UI" w:cs="Segoe UI"/>
      <w:sz w:val="18"/>
      <w:szCs w:val="18"/>
    </w:rPr>
  </w:style>
  <w:style w:type="table" w:customStyle="1" w:styleId="GridTable1Light1">
    <w:name w:val="Grid Table 1 Light1"/>
    <w:basedOn w:val="TableNormal"/>
    <w:next w:val="GridTable1Light"/>
    <w:uiPriority w:val="46"/>
    <w:rsid w:val="00842494"/>
    <w:pPr>
      <w:spacing w:after="0"/>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E37E0D"/>
    <w:rPr>
      <w:rFonts w:ascii="Arial" w:eastAsia="Times New Roman" w:hAnsi="Arial" w:cs="Arial"/>
      <w:b/>
      <w:sz w:val="32"/>
      <w:szCs w:val="32"/>
    </w:rPr>
  </w:style>
  <w:style w:type="character" w:customStyle="1" w:styleId="Heading2Char">
    <w:name w:val="Heading 2 Char"/>
    <w:basedOn w:val="DefaultParagraphFont"/>
    <w:link w:val="Heading2"/>
    <w:uiPriority w:val="9"/>
    <w:rsid w:val="00853D95"/>
    <w:rPr>
      <w:rFonts w:ascii="Arial" w:eastAsia="Times New Roman" w:hAnsi="Arial" w:cs="Arial"/>
      <w:b/>
      <w:bCs/>
      <w:sz w:val="28"/>
      <w:szCs w:val="28"/>
    </w:rPr>
  </w:style>
  <w:style w:type="character" w:styleId="FollowedHyperlink">
    <w:name w:val="FollowedHyperlink"/>
    <w:basedOn w:val="DefaultParagraphFont"/>
    <w:uiPriority w:val="99"/>
    <w:semiHidden/>
    <w:unhideWhenUsed/>
    <w:rsid w:val="00017ACE"/>
    <w:rPr>
      <w:color w:val="954F72" w:themeColor="followedHyperlink"/>
      <w:u w:val="single"/>
    </w:rPr>
  </w:style>
  <w:style w:type="paragraph" w:styleId="ListParagraph">
    <w:name w:val="List Paragraph"/>
    <w:basedOn w:val="Normal"/>
    <w:uiPriority w:val="34"/>
    <w:qFormat/>
    <w:rsid w:val="008C6D8D"/>
    <w:pPr>
      <w:ind w:left="720"/>
      <w:contextualSpacing/>
    </w:pPr>
  </w:style>
  <w:style w:type="paragraph" w:styleId="Revision">
    <w:name w:val="Revision"/>
    <w:hidden/>
    <w:uiPriority w:val="99"/>
    <w:semiHidden/>
    <w:rsid w:val="003D4B3B"/>
    <w:pPr>
      <w:spacing w:after="0"/>
    </w:pPr>
  </w:style>
  <w:style w:type="character" w:styleId="UnresolvedMention">
    <w:name w:val="Unresolved Mention"/>
    <w:basedOn w:val="DefaultParagraphFont"/>
    <w:uiPriority w:val="99"/>
    <w:semiHidden/>
    <w:unhideWhenUsed/>
    <w:rsid w:val="000A1241"/>
    <w:rPr>
      <w:color w:val="605E5C"/>
      <w:shd w:val="clear" w:color="auto" w:fill="E1DFDD"/>
    </w:rPr>
  </w:style>
  <w:style w:type="character" w:customStyle="1" w:styleId="Heading3Char">
    <w:name w:val="Heading 3 Char"/>
    <w:basedOn w:val="DefaultParagraphFont"/>
    <w:link w:val="Heading3"/>
    <w:uiPriority w:val="9"/>
    <w:rsid w:val="00E37E0D"/>
    <w:rPr>
      <w:rFonts w:ascii="Arial" w:eastAsia="Arial" w:hAnsi="Arial" w:cs="Arial"/>
      <w:b/>
      <w:color w:val="000000"/>
      <w:sz w:val="24"/>
      <w:szCs w:val="24"/>
      <w:lang w:val="en"/>
    </w:rPr>
  </w:style>
  <w:style w:type="paragraph" w:styleId="TOC1">
    <w:name w:val="toc 1"/>
    <w:basedOn w:val="Normal"/>
    <w:next w:val="Normal"/>
    <w:autoRedefine/>
    <w:uiPriority w:val="39"/>
    <w:unhideWhenUsed/>
    <w:rsid w:val="004A38F4"/>
    <w:pPr>
      <w:tabs>
        <w:tab w:val="right" w:leader="dot" w:pos="8990"/>
      </w:tabs>
    </w:pPr>
  </w:style>
  <w:style w:type="paragraph" w:styleId="TOC2">
    <w:name w:val="toc 2"/>
    <w:basedOn w:val="Normal"/>
    <w:next w:val="Normal"/>
    <w:autoRedefine/>
    <w:uiPriority w:val="39"/>
    <w:unhideWhenUsed/>
    <w:rsid w:val="004A38F4"/>
    <w:pPr>
      <w:tabs>
        <w:tab w:val="right" w:leader="dot" w:pos="8990"/>
      </w:tabs>
    </w:pPr>
  </w:style>
  <w:style w:type="paragraph" w:styleId="TOC3">
    <w:name w:val="toc 3"/>
    <w:basedOn w:val="Normal"/>
    <w:next w:val="Normal"/>
    <w:autoRedefine/>
    <w:uiPriority w:val="39"/>
    <w:unhideWhenUsed/>
    <w:rsid w:val="00076D91"/>
    <w:pPr>
      <w:tabs>
        <w:tab w:val="right" w:leader="dot" w:pos="8990"/>
      </w:tabs>
      <w:ind w:left="360"/>
    </w:pPr>
  </w:style>
  <w:style w:type="character" w:customStyle="1" w:styleId="Heading6Char">
    <w:name w:val="Heading 6 Char"/>
    <w:basedOn w:val="DefaultParagraphFont"/>
    <w:link w:val="Heading6"/>
    <w:uiPriority w:val="9"/>
    <w:semiHidden/>
    <w:rsid w:val="00AA6E1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E37E0D"/>
    <w:rPr>
      <w:rFonts w:ascii="Arial" w:hAnsi="Arial"/>
      <w:b/>
      <w:bCs/>
      <w:sz w:val="24"/>
      <w:lang w:val="en"/>
    </w:rPr>
  </w:style>
  <w:style w:type="paragraph" w:styleId="TOC4">
    <w:name w:val="toc 4"/>
    <w:basedOn w:val="Normal"/>
    <w:next w:val="Normal"/>
    <w:autoRedefine/>
    <w:uiPriority w:val="39"/>
    <w:unhideWhenUsed/>
    <w:rsid w:val="00AE495F"/>
    <w:pPr>
      <w:tabs>
        <w:tab w:val="right" w:leader="dot" w:pos="8990"/>
      </w:tabs>
      <w:ind w:left="720"/>
    </w:pPr>
  </w:style>
  <w:style w:type="paragraph" w:styleId="Bibliography">
    <w:name w:val="Bibliography"/>
    <w:basedOn w:val="Normal"/>
    <w:next w:val="Normal"/>
    <w:uiPriority w:val="37"/>
    <w:unhideWhenUsed/>
    <w:rsid w:val="00E36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8992">
      <w:bodyDiv w:val="1"/>
      <w:marLeft w:val="0"/>
      <w:marRight w:val="0"/>
      <w:marTop w:val="0"/>
      <w:marBottom w:val="0"/>
      <w:divBdr>
        <w:top w:val="none" w:sz="0" w:space="0" w:color="auto"/>
        <w:left w:val="none" w:sz="0" w:space="0" w:color="auto"/>
        <w:bottom w:val="none" w:sz="0" w:space="0" w:color="auto"/>
        <w:right w:val="none" w:sz="0" w:space="0" w:color="auto"/>
      </w:divBdr>
    </w:div>
    <w:div w:id="285279094">
      <w:bodyDiv w:val="1"/>
      <w:marLeft w:val="0"/>
      <w:marRight w:val="0"/>
      <w:marTop w:val="0"/>
      <w:marBottom w:val="0"/>
      <w:divBdr>
        <w:top w:val="none" w:sz="0" w:space="0" w:color="auto"/>
        <w:left w:val="none" w:sz="0" w:space="0" w:color="auto"/>
        <w:bottom w:val="none" w:sz="0" w:space="0" w:color="auto"/>
        <w:right w:val="none" w:sz="0" w:space="0" w:color="auto"/>
      </w:divBdr>
    </w:div>
    <w:div w:id="370348422">
      <w:bodyDiv w:val="1"/>
      <w:marLeft w:val="0"/>
      <w:marRight w:val="0"/>
      <w:marTop w:val="0"/>
      <w:marBottom w:val="0"/>
      <w:divBdr>
        <w:top w:val="none" w:sz="0" w:space="0" w:color="auto"/>
        <w:left w:val="none" w:sz="0" w:space="0" w:color="auto"/>
        <w:bottom w:val="none" w:sz="0" w:space="0" w:color="auto"/>
        <w:right w:val="none" w:sz="0" w:space="0" w:color="auto"/>
      </w:divBdr>
    </w:div>
    <w:div w:id="424152602">
      <w:bodyDiv w:val="1"/>
      <w:marLeft w:val="0"/>
      <w:marRight w:val="0"/>
      <w:marTop w:val="0"/>
      <w:marBottom w:val="0"/>
      <w:divBdr>
        <w:top w:val="none" w:sz="0" w:space="0" w:color="auto"/>
        <w:left w:val="none" w:sz="0" w:space="0" w:color="auto"/>
        <w:bottom w:val="none" w:sz="0" w:space="0" w:color="auto"/>
        <w:right w:val="none" w:sz="0" w:space="0" w:color="auto"/>
      </w:divBdr>
    </w:div>
    <w:div w:id="497767886">
      <w:bodyDiv w:val="1"/>
      <w:marLeft w:val="0"/>
      <w:marRight w:val="0"/>
      <w:marTop w:val="0"/>
      <w:marBottom w:val="0"/>
      <w:divBdr>
        <w:top w:val="none" w:sz="0" w:space="0" w:color="auto"/>
        <w:left w:val="none" w:sz="0" w:space="0" w:color="auto"/>
        <w:bottom w:val="none" w:sz="0" w:space="0" w:color="auto"/>
        <w:right w:val="none" w:sz="0" w:space="0" w:color="auto"/>
      </w:divBdr>
    </w:div>
    <w:div w:id="525564816">
      <w:bodyDiv w:val="1"/>
      <w:marLeft w:val="0"/>
      <w:marRight w:val="0"/>
      <w:marTop w:val="0"/>
      <w:marBottom w:val="0"/>
      <w:divBdr>
        <w:top w:val="none" w:sz="0" w:space="0" w:color="auto"/>
        <w:left w:val="none" w:sz="0" w:space="0" w:color="auto"/>
        <w:bottom w:val="none" w:sz="0" w:space="0" w:color="auto"/>
        <w:right w:val="none" w:sz="0" w:space="0" w:color="auto"/>
      </w:divBdr>
    </w:div>
    <w:div w:id="635061583">
      <w:bodyDiv w:val="1"/>
      <w:marLeft w:val="0"/>
      <w:marRight w:val="0"/>
      <w:marTop w:val="0"/>
      <w:marBottom w:val="0"/>
      <w:divBdr>
        <w:top w:val="none" w:sz="0" w:space="0" w:color="auto"/>
        <w:left w:val="none" w:sz="0" w:space="0" w:color="auto"/>
        <w:bottom w:val="none" w:sz="0" w:space="0" w:color="auto"/>
        <w:right w:val="none" w:sz="0" w:space="0" w:color="auto"/>
      </w:divBdr>
    </w:div>
    <w:div w:id="885798698">
      <w:bodyDiv w:val="1"/>
      <w:marLeft w:val="0"/>
      <w:marRight w:val="0"/>
      <w:marTop w:val="0"/>
      <w:marBottom w:val="0"/>
      <w:divBdr>
        <w:top w:val="none" w:sz="0" w:space="0" w:color="auto"/>
        <w:left w:val="none" w:sz="0" w:space="0" w:color="auto"/>
        <w:bottom w:val="none" w:sz="0" w:space="0" w:color="auto"/>
        <w:right w:val="none" w:sz="0" w:space="0" w:color="auto"/>
      </w:divBdr>
    </w:div>
    <w:div w:id="974214874">
      <w:bodyDiv w:val="1"/>
      <w:marLeft w:val="0"/>
      <w:marRight w:val="0"/>
      <w:marTop w:val="0"/>
      <w:marBottom w:val="0"/>
      <w:divBdr>
        <w:top w:val="none" w:sz="0" w:space="0" w:color="auto"/>
        <w:left w:val="none" w:sz="0" w:space="0" w:color="auto"/>
        <w:bottom w:val="none" w:sz="0" w:space="0" w:color="auto"/>
        <w:right w:val="none" w:sz="0" w:space="0" w:color="auto"/>
      </w:divBdr>
      <w:divsChild>
        <w:div w:id="975571223">
          <w:marLeft w:val="240"/>
          <w:marRight w:val="0"/>
          <w:marTop w:val="0"/>
          <w:marBottom w:val="240"/>
          <w:divBdr>
            <w:top w:val="none" w:sz="0" w:space="0" w:color="auto"/>
            <w:left w:val="none" w:sz="0" w:space="0" w:color="auto"/>
            <w:bottom w:val="none" w:sz="0" w:space="0" w:color="auto"/>
            <w:right w:val="none" w:sz="0" w:space="0" w:color="auto"/>
          </w:divBdr>
        </w:div>
        <w:div w:id="975984327">
          <w:marLeft w:val="240"/>
          <w:marRight w:val="0"/>
          <w:marTop w:val="0"/>
          <w:marBottom w:val="240"/>
          <w:divBdr>
            <w:top w:val="none" w:sz="0" w:space="0" w:color="auto"/>
            <w:left w:val="none" w:sz="0" w:space="0" w:color="auto"/>
            <w:bottom w:val="none" w:sz="0" w:space="0" w:color="auto"/>
            <w:right w:val="none" w:sz="0" w:space="0" w:color="auto"/>
          </w:divBdr>
        </w:div>
        <w:div w:id="989670374">
          <w:marLeft w:val="240"/>
          <w:marRight w:val="0"/>
          <w:marTop w:val="0"/>
          <w:marBottom w:val="240"/>
          <w:divBdr>
            <w:top w:val="none" w:sz="0" w:space="0" w:color="auto"/>
            <w:left w:val="none" w:sz="0" w:space="0" w:color="auto"/>
            <w:bottom w:val="none" w:sz="0" w:space="0" w:color="auto"/>
            <w:right w:val="none" w:sz="0" w:space="0" w:color="auto"/>
          </w:divBdr>
        </w:div>
        <w:div w:id="1344235635">
          <w:marLeft w:val="240"/>
          <w:marRight w:val="0"/>
          <w:marTop w:val="0"/>
          <w:marBottom w:val="240"/>
          <w:divBdr>
            <w:top w:val="none" w:sz="0" w:space="0" w:color="auto"/>
            <w:left w:val="none" w:sz="0" w:space="0" w:color="auto"/>
            <w:bottom w:val="none" w:sz="0" w:space="0" w:color="auto"/>
            <w:right w:val="none" w:sz="0" w:space="0" w:color="auto"/>
          </w:divBdr>
        </w:div>
        <w:div w:id="2144274964">
          <w:marLeft w:val="0"/>
          <w:marRight w:val="0"/>
          <w:marTop w:val="0"/>
          <w:marBottom w:val="240"/>
          <w:divBdr>
            <w:top w:val="none" w:sz="0" w:space="0" w:color="auto"/>
            <w:left w:val="none" w:sz="0" w:space="0" w:color="auto"/>
            <w:bottom w:val="none" w:sz="0" w:space="0" w:color="auto"/>
            <w:right w:val="none" w:sz="0" w:space="0" w:color="auto"/>
          </w:divBdr>
        </w:div>
      </w:divsChild>
    </w:div>
    <w:div w:id="1109470568">
      <w:bodyDiv w:val="1"/>
      <w:marLeft w:val="0"/>
      <w:marRight w:val="0"/>
      <w:marTop w:val="0"/>
      <w:marBottom w:val="0"/>
      <w:divBdr>
        <w:top w:val="none" w:sz="0" w:space="0" w:color="auto"/>
        <w:left w:val="none" w:sz="0" w:space="0" w:color="auto"/>
        <w:bottom w:val="none" w:sz="0" w:space="0" w:color="auto"/>
        <w:right w:val="none" w:sz="0" w:space="0" w:color="auto"/>
      </w:divBdr>
    </w:div>
    <w:div w:id="1144925882">
      <w:bodyDiv w:val="1"/>
      <w:marLeft w:val="0"/>
      <w:marRight w:val="0"/>
      <w:marTop w:val="0"/>
      <w:marBottom w:val="0"/>
      <w:divBdr>
        <w:top w:val="none" w:sz="0" w:space="0" w:color="auto"/>
        <w:left w:val="none" w:sz="0" w:space="0" w:color="auto"/>
        <w:bottom w:val="none" w:sz="0" w:space="0" w:color="auto"/>
        <w:right w:val="none" w:sz="0" w:space="0" w:color="auto"/>
      </w:divBdr>
      <w:divsChild>
        <w:div w:id="732195856">
          <w:marLeft w:val="0"/>
          <w:marRight w:val="0"/>
          <w:marTop w:val="0"/>
          <w:marBottom w:val="0"/>
          <w:divBdr>
            <w:top w:val="none" w:sz="0" w:space="0" w:color="auto"/>
            <w:left w:val="none" w:sz="0" w:space="0" w:color="auto"/>
            <w:bottom w:val="none" w:sz="0" w:space="0" w:color="auto"/>
            <w:right w:val="none" w:sz="0" w:space="0" w:color="auto"/>
          </w:divBdr>
          <w:divsChild>
            <w:div w:id="11607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00822">
      <w:bodyDiv w:val="1"/>
      <w:marLeft w:val="0"/>
      <w:marRight w:val="0"/>
      <w:marTop w:val="0"/>
      <w:marBottom w:val="0"/>
      <w:divBdr>
        <w:top w:val="none" w:sz="0" w:space="0" w:color="auto"/>
        <w:left w:val="none" w:sz="0" w:space="0" w:color="auto"/>
        <w:bottom w:val="none" w:sz="0" w:space="0" w:color="auto"/>
        <w:right w:val="none" w:sz="0" w:space="0" w:color="auto"/>
      </w:divBdr>
    </w:div>
    <w:div w:id="1439524832">
      <w:bodyDiv w:val="1"/>
      <w:marLeft w:val="0"/>
      <w:marRight w:val="0"/>
      <w:marTop w:val="0"/>
      <w:marBottom w:val="0"/>
      <w:divBdr>
        <w:top w:val="none" w:sz="0" w:space="0" w:color="auto"/>
        <w:left w:val="none" w:sz="0" w:space="0" w:color="auto"/>
        <w:bottom w:val="none" w:sz="0" w:space="0" w:color="auto"/>
        <w:right w:val="none" w:sz="0" w:space="0" w:color="auto"/>
      </w:divBdr>
    </w:div>
    <w:div w:id="1695497735">
      <w:bodyDiv w:val="1"/>
      <w:marLeft w:val="0"/>
      <w:marRight w:val="0"/>
      <w:marTop w:val="0"/>
      <w:marBottom w:val="0"/>
      <w:divBdr>
        <w:top w:val="none" w:sz="0" w:space="0" w:color="auto"/>
        <w:left w:val="none" w:sz="0" w:space="0" w:color="auto"/>
        <w:bottom w:val="none" w:sz="0" w:space="0" w:color="auto"/>
        <w:right w:val="none" w:sz="0" w:space="0" w:color="auto"/>
      </w:divBdr>
    </w:div>
    <w:div w:id="1831948191">
      <w:bodyDiv w:val="1"/>
      <w:marLeft w:val="0"/>
      <w:marRight w:val="0"/>
      <w:marTop w:val="0"/>
      <w:marBottom w:val="0"/>
      <w:divBdr>
        <w:top w:val="none" w:sz="0" w:space="0" w:color="auto"/>
        <w:left w:val="none" w:sz="0" w:space="0" w:color="auto"/>
        <w:bottom w:val="none" w:sz="0" w:space="0" w:color="auto"/>
        <w:right w:val="none" w:sz="0" w:space="0" w:color="auto"/>
      </w:divBdr>
    </w:div>
    <w:div w:id="1866363712">
      <w:bodyDiv w:val="1"/>
      <w:marLeft w:val="0"/>
      <w:marRight w:val="0"/>
      <w:marTop w:val="0"/>
      <w:marBottom w:val="0"/>
      <w:divBdr>
        <w:top w:val="none" w:sz="0" w:space="0" w:color="auto"/>
        <w:left w:val="none" w:sz="0" w:space="0" w:color="auto"/>
        <w:bottom w:val="none" w:sz="0" w:space="0" w:color="auto"/>
        <w:right w:val="none" w:sz="0" w:space="0" w:color="auto"/>
      </w:divBdr>
    </w:div>
    <w:div w:id="189473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4.xml"/><Relationship Id="rId39" Type="http://schemas.openxmlformats.org/officeDocument/2006/relationships/hyperlink" Target="https://www.cde.ca.gov/pd/ca/hs/hssstateseal.asp" TargetMode="External"/><Relationship Id="rId21" Type="http://schemas.openxmlformats.org/officeDocument/2006/relationships/header" Target="header9.xml"/><Relationship Id="rId34" Type="http://schemas.openxmlformats.org/officeDocument/2006/relationships/hyperlink" Target="https://www.ccss.org/" TargetMode="External"/><Relationship Id="rId42" Type="http://schemas.openxmlformats.org/officeDocument/2006/relationships/hyperlink" Target="https://chavez.cde.ca.gov/ModelCurriculum/Intro.aspx" TargetMode="External"/><Relationship Id="rId47" Type="http://schemas.openxmlformats.org/officeDocument/2006/relationships/hyperlink" Target="https://docs.google.com/document/d/18wQZBW9AmnzUdPAklSRsPENklxO0v9afNOUQzioG8xQ/edit" TargetMode="External"/><Relationship Id="rId50" Type="http://schemas.openxmlformats.org/officeDocument/2006/relationships/hyperlink" Target="https://centerx.gseis.ucla.edu/wp-content/uploads/2023/06/Californias-Commitment-to-K-12-Civic-Learning-2022-Assessment-LEADE-Report.pdf" TargetMode="External"/><Relationship Id="rId55" Type="http://schemas.openxmlformats.org/officeDocument/2006/relationships/hyperlink" Target="https://www.socialstudies.org/" TargetMode="External"/><Relationship Id="rId63" Type="http://schemas.openxmlformats.org/officeDocument/2006/relationships/hyperlink" Target="https://citiesandschools.berkeley.edu/major-initiatives/y-plan" TargetMode="External"/><Relationship Id="rId68" Type="http://schemas.openxmlformats.org/officeDocument/2006/relationships/header" Target="header2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yperlink" Target="https://www.cde.ca.gov/pd/ca/hs/sbe2ssce.asp" TargetMode="External"/><Relationship Id="rId40" Type="http://schemas.openxmlformats.org/officeDocument/2006/relationships/hyperlink" Target="https://www.cde.ca.gov/ds/sp/cl/calpadsupdflash268.asp" TargetMode="External"/><Relationship Id="rId45" Type="http://schemas.openxmlformats.org/officeDocument/2006/relationships/hyperlink" Target="https://www.caeducatorstogether.org/resources/116944/revitalizing-k-12-civic-learning-in-california-blueprint" TargetMode="External"/><Relationship Id="rId53" Type="http://schemas.openxmlformats.org/officeDocument/2006/relationships/hyperlink" Target="https://www.socialstudies.org/system/files/2022/c3-framework-for-social-studies-rev0617.2.pdf" TargetMode="External"/><Relationship Id="rId58" Type="http://schemas.openxmlformats.org/officeDocument/2006/relationships/hyperlink" Target="https://www.search-institute.org/downloadable/2007-Roehlkepartain-CBO-Benefits-SL-NSLC.pdf" TargetMode="External"/><Relationship Id="rId66" Type="http://schemas.openxmlformats.org/officeDocument/2006/relationships/hyperlink" Target="https://youth.gov/youth-topics/civic-engagement-and-volunteering/service-learning"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yperlink" Target="https://www.cde.ca.gov/pd/ca/hs/californiaserves.asp" TargetMode="External"/><Relationship Id="rId49" Type="http://schemas.openxmlformats.org/officeDocument/2006/relationships/hyperlink" Target="http://www.ecs.org/clearinghouse/01/10/48/11048.pdf" TargetMode="External"/><Relationship Id="rId57" Type="http://schemas.openxmlformats.org/officeDocument/2006/relationships/hyperlink" Target="https://nylc.org/why/" TargetMode="External"/><Relationship Id="rId61" Type="http://schemas.openxmlformats.org/officeDocument/2006/relationships/hyperlink" Target="https://www.researchgate.net/publication/311574186_Service-Learningby_Degrees_How_Adolescents_Can_Make_a_Difference_in_the_Real_World" TargetMode="External"/><Relationship Id="rId10" Type="http://schemas.openxmlformats.org/officeDocument/2006/relationships/header" Target="header1.xml"/><Relationship Id="rId19" Type="http://schemas.openxmlformats.org/officeDocument/2006/relationships/hyperlink" Target="https://www.cde.ca.gov/pd/ca/hs/hssstateseal.asp" TargetMode="External"/><Relationship Id="rId31" Type="http://schemas.openxmlformats.org/officeDocument/2006/relationships/header" Target="header17.xml"/><Relationship Id="rId44" Type="http://schemas.openxmlformats.org/officeDocument/2006/relationships/hyperlink" Target="https://leginfo.legislature.ca.gov/faces/billNavClient.xhtml?bill_id=202120220AB181%23:~:text=SEC.%2071.,appropriation%20is%20made" TargetMode="External"/><Relationship Id="rId52" Type="http://schemas.openxmlformats.org/officeDocument/2006/relationships/hyperlink" Target="https://www.merriam-webster.com/dictionary/community%20service" TargetMode="External"/><Relationship Id="rId60" Type="http://schemas.openxmlformats.org/officeDocument/2006/relationships/hyperlink" Target="https://crfcap.org/" TargetMode="External"/><Relationship Id="rId65" Type="http://schemas.openxmlformats.org/officeDocument/2006/relationships/hyperlink" Target="https://youth.gov/youth-topics/civic-engagement-and-volunteerin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 Id="rId22" Type="http://schemas.openxmlformats.org/officeDocument/2006/relationships/footer" Target="footer3.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yperlink" Target="https://www.cde.ca.gov/ci/hs/cf/documents/hssfwchapter16.pdf" TargetMode="External"/><Relationship Id="rId43" Type="http://schemas.openxmlformats.org/officeDocument/2006/relationships/hyperlink" Target="https://chssp.ucdavis.edu/" TargetMode="External"/><Relationship Id="rId48" Type="http://schemas.openxmlformats.org/officeDocument/2006/relationships/hyperlink" Target="https://www.carnegie.org/publications/guardian-of-democracy-the-civic-mission-of-schools" TargetMode="External"/><Relationship Id="rId56" Type="http://schemas.openxmlformats.org/officeDocument/2006/relationships/hyperlink" Target="https://nylc.org/k-12-standards/" TargetMode="External"/><Relationship Id="rId64" Type="http://schemas.openxmlformats.org/officeDocument/2006/relationships/hyperlink" Target="https://yparhub.berkeley.edu/home" TargetMode="External"/><Relationship Id="rId69" Type="http://schemas.openxmlformats.org/officeDocument/2006/relationships/header" Target="header22.xml"/><Relationship Id="rId8" Type="http://schemas.openxmlformats.org/officeDocument/2006/relationships/image" Target="media/image1.png"/><Relationship Id="rId51" Type="http://schemas.openxmlformats.org/officeDocument/2006/relationships/hyperlink" Target="https://centerx.gseis.ucla.edu/leade/civic-learning"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yperlink" Target="https://www.cde.ca.gov/re/pr/servicelearning.asp" TargetMode="External"/><Relationship Id="rId46" Type="http://schemas.openxmlformats.org/officeDocument/2006/relationships/hyperlink" Target="https://www.ed4democracy.org/topics/ca-state-seal-of-civic-engagement" TargetMode="External"/><Relationship Id="rId59" Type="http://schemas.openxmlformats.org/officeDocument/2006/relationships/hyperlink" Target="https://www.cde.ca.gov/pd/ps/documents/greatnessbydesign.pdf" TargetMode="External"/><Relationship Id="rId67" Type="http://schemas.openxmlformats.org/officeDocument/2006/relationships/header" Target="header20.xml"/><Relationship Id="rId20" Type="http://schemas.openxmlformats.org/officeDocument/2006/relationships/header" Target="header8.xml"/><Relationship Id="rId41" Type="http://schemas.openxmlformats.org/officeDocument/2006/relationships/hyperlink" Target="https://chavez.cde.ca.gov/ModelCurriculum/Teachers/Lessons/Resources/Documents/ServiceLearningGuide.pdf" TargetMode="External"/><Relationship Id="rId54" Type="http://schemas.openxmlformats.org/officeDocument/2006/relationships/hyperlink" Target="https://www.socialstudies.org/rhokappa/civic-life-project" TargetMode="External"/><Relationship Id="rId62" Type="http://schemas.openxmlformats.org/officeDocument/2006/relationships/hyperlink" Target="https://iacp.berkeley.edu/home"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eginfo.legislature.ca.gov/faces/billNavClient.xhtml?bill_id=202120220AB181" TargetMode="External"/><Relationship Id="rId13" Type="http://schemas.openxmlformats.org/officeDocument/2006/relationships/hyperlink" Target="https://nylc.org/why" TargetMode="External"/><Relationship Id="rId18" Type="http://schemas.openxmlformats.org/officeDocument/2006/relationships/hyperlink" Target="http://www.ecs.org/clearinghouse/01/10/48/11048.pdf" TargetMode="External"/><Relationship Id="rId26" Type="http://schemas.openxmlformats.org/officeDocument/2006/relationships/hyperlink" Target="https://citiesandschools.berkeley.edu/major-initiatives/y-plan" TargetMode="External"/><Relationship Id="rId39" Type="http://schemas.openxmlformats.org/officeDocument/2006/relationships/hyperlink" Target="https://youth.gov/youth-topics/civic-engagement-and-volunteering/service-learning" TargetMode="External"/><Relationship Id="rId3" Type="http://schemas.openxmlformats.org/officeDocument/2006/relationships/hyperlink" Target="https://www.cde.ca.gov/pd/ca/hs/californiaserves.asp" TargetMode="External"/><Relationship Id="rId21" Type="http://schemas.openxmlformats.org/officeDocument/2006/relationships/hyperlink" Target="https://chavez.cde.ca.gov/ModelCurriculum/Intro.aspx" TargetMode="External"/><Relationship Id="rId34" Type="http://schemas.openxmlformats.org/officeDocument/2006/relationships/hyperlink" Target="https://centerx.gseis.ucla.edu/wp-content/uploads/2023/06/Californias-Commitment-to-K-12-Civic-Learning-2022-Assessment-LEADE-Report.pdf" TargetMode="External"/><Relationship Id="rId42" Type="http://schemas.openxmlformats.org/officeDocument/2006/relationships/hyperlink" Target="https://www.socialstudies.org/system/files/2022/c3-framework-for-social-studies-rev0617.2.pdf" TargetMode="External"/><Relationship Id="rId7" Type="http://schemas.openxmlformats.org/officeDocument/2006/relationships/hyperlink" Target="https://chavez.cde.ca.gov/ModelCurriculum/Intro.aspx" TargetMode="External"/><Relationship Id="rId12" Type="http://schemas.openxmlformats.org/officeDocument/2006/relationships/hyperlink" Target="https://nylc.org/why" TargetMode="External"/><Relationship Id="rId17" Type="http://schemas.openxmlformats.org/officeDocument/2006/relationships/hyperlink" Target="https://youth.gov/youth-topics/civic-engagement-and-volunteering/service-learning" TargetMode="External"/><Relationship Id="rId25" Type="http://schemas.openxmlformats.org/officeDocument/2006/relationships/hyperlink" Target="https://yparhub.berkeley.edu/home" TargetMode="External"/><Relationship Id="rId33" Type="http://schemas.openxmlformats.org/officeDocument/2006/relationships/hyperlink" Target="https://chssp.ucdavis.edu/" TargetMode="External"/><Relationship Id="rId38" Type="http://schemas.openxmlformats.org/officeDocument/2006/relationships/hyperlink" Target="https://docs.google.com/document/d/18wQZBW9AmnzUdPAklSRsPENklxO0v9afNOUQzioG8xQ/edit" TargetMode="External"/><Relationship Id="rId2" Type="http://schemas.openxmlformats.org/officeDocument/2006/relationships/hyperlink" Target="https://www.cde.ca.gov/pd/ca/hs/hssstateseal.asp" TargetMode="External"/><Relationship Id="rId16" Type="http://schemas.openxmlformats.org/officeDocument/2006/relationships/hyperlink" Target="https://www.search-institute.org/downloadable/2007-Roehlkepartain-CBO-Benefits-SL-NSLC.pdf" TargetMode="External"/><Relationship Id="rId20" Type="http://schemas.openxmlformats.org/officeDocument/2006/relationships/hyperlink" Target="https://www.socialstudies.org/standards/c3" TargetMode="External"/><Relationship Id="rId29" Type="http://schemas.openxmlformats.org/officeDocument/2006/relationships/hyperlink" Target="https://www.cde.ca.gov/pd/ps/qpls.asp" TargetMode="External"/><Relationship Id="rId41" Type="http://schemas.openxmlformats.org/officeDocument/2006/relationships/hyperlink" Target="https://centerx.gseis.ucla.edu/leade/civic-learning/" TargetMode="External"/><Relationship Id="rId1" Type="http://schemas.openxmlformats.org/officeDocument/2006/relationships/hyperlink" Target="https://www.caeducatorstogether.org/resources/116944/revitalizing-k-12-civic-learning-in-california-blueprint" TargetMode="External"/><Relationship Id="rId6" Type="http://schemas.openxmlformats.org/officeDocument/2006/relationships/hyperlink" Target="https://www.cde.ca.gov/re/pr/servicelearning.asp" TargetMode="External"/><Relationship Id="rId11" Type="http://schemas.openxmlformats.org/officeDocument/2006/relationships/hyperlink" Target="https://www.cde.ca.gov/ci/hs/cf/documents/hssfwchapter16.pdf" TargetMode="External"/><Relationship Id="rId24" Type="http://schemas.openxmlformats.org/officeDocument/2006/relationships/hyperlink" Target="https://iacp.berkeley.edu/home" TargetMode="External"/><Relationship Id="rId32" Type="http://schemas.openxmlformats.org/officeDocument/2006/relationships/hyperlink" Target="https://www.ccss.org/" TargetMode="External"/><Relationship Id="rId37" Type="http://schemas.openxmlformats.org/officeDocument/2006/relationships/hyperlink" Target="https://www.ed4democracy.org/topics/ca-state-seal-of-civic-engagement" TargetMode="External"/><Relationship Id="rId40" Type="http://schemas.openxmlformats.org/officeDocument/2006/relationships/hyperlink" Target="https://www.carnegie.org/publications/guardian-of-democracy-the-civic-mission-of-schools/" TargetMode="External"/><Relationship Id="rId5" Type="http://schemas.openxmlformats.org/officeDocument/2006/relationships/hyperlink" Target="https://www.researchgate.net/publication/311574186_Service-Learningby_Degrees_How_Adolescents_Can_Make_a_Difference_in_the_Real_World" TargetMode="External"/><Relationship Id="rId15" Type="http://schemas.openxmlformats.org/officeDocument/2006/relationships/hyperlink" Target="https://youth.gov/youth-topics/civic-engagement-and-volunteering/service-learning" TargetMode="External"/><Relationship Id="rId23" Type="http://schemas.openxmlformats.org/officeDocument/2006/relationships/hyperlink" Target="https://teachdemocracy.org" TargetMode="External"/><Relationship Id="rId28" Type="http://schemas.openxmlformats.org/officeDocument/2006/relationships/hyperlink" Target="https://www.cde.ca.gov/pd/ps/qpls.asp" TargetMode="External"/><Relationship Id="rId36" Type="http://schemas.openxmlformats.org/officeDocument/2006/relationships/hyperlink" Target="https://www.cde.ca.gov/pd/ca/hs/sbe2ssce.asp" TargetMode="External"/><Relationship Id="rId10" Type="http://schemas.openxmlformats.org/officeDocument/2006/relationships/hyperlink" Target="https://youth.gov/youth-topics/civic-engagement-and-volunteering" TargetMode="External"/><Relationship Id="rId19" Type="http://schemas.openxmlformats.org/officeDocument/2006/relationships/hyperlink" Target="https://nylc.org/k-12-standards" TargetMode="External"/><Relationship Id="rId31" Type="http://schemas.openxmlformats.org/officeDocument/2006/relationships/hyperlink" Target="https://www.socialstudies.org/rhokappa/civic-life-project" TargetMode="External"/><Relationship Id="rId44" Type="http://schemas.openxmlformats.org/officeDocument/2006/relationships/hyperlink" Target="https://leginfo.legislature.ca.gov/faces/billNavClient.xhtml?bill_id=202120220AB181" TargetMode="External"/><Relationship Id="rId4" Type="http://schemas.openxmlformats.org/officeDocument/2006/relationships/hyperlink" Target="https://www.cde.ca.gov/pd/ca/hs/hssstateseal.asp" TargetMode="External"/><Relationship Id="rId9" Type="http://schemas.openxmlformats.org/officeDocument/2006/relationships/hyperlink" Target="https://youth.gov/youth-topics/civic-engagement-and-volunteering" TargetMode="External"/><Relationship Id="rId14" Type="http://schemas.openxmlformats.org/officeDocument/2006/relationships/hyperlink" Target="http://www.ecs.org/clearinghouse/01/10/48/11048.pdf" TargetMode="External"/><Relationship Id="rId22" Type="http://schemas.openxmlformats.org/officeDocument/2006/relationships/hyperlink" Target="https://chavez.cde.ca.gov/ModelCurriculum/Teachers/Lessons/Resources/Documents/ServiceLearningGuide.pdf" TargetMode="External"/><Relationship Id="rId27" Type="http://schemas.openxmlformats.org/officeDocument/2006/relationships/hyperlink" Target="https://www.cde.ca.gov/pd/ps/documents/greatnessbydesign.pdf" TargetMode="External"/><Relationship Id="rId30" Type="http://schemas.openxmlformats.org/officeDocument/2006/relationships/hyperlink" Target="https://www.socialstudies.org" TargetMode="External"/><Relationship Id="rId35" Type="http://schemas.openxmlformats.org/officeDocument/2006/relationships/hyperlink" Target="https://www.cde.ca.gov/ds/sp/cl/calpadsupdflash268.asp" TargetMode="External"/><Relationship Id="rId43" Type="http://schemas.openxmlformats.org/officeDocument/2006/relationships/hyperlink" Target="https://www.merriam-webster.com/dictionary/community%20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Cal22</b:Tag>
    <b:SourceType>InternetSite</b:SourceType>
    <b:Guid>{E02D3AFF-276C-49FF-9679-1F85E8CB5158}</b:Guid>
    <b:Title>State Seal of Civic Engagement</b:Title>
    <b:Year>2023</b:Year>
    <b:Author>
      <b:Author>
        <b:Corporate>California Department of Education</b:Corporate>
      </b:Author>
    </b:Author>
    <b:InternetSiteTitle>California Department of Education</b:InternetSiteTitle>
    <b:URL>https://www.cde.ca.gov/pd/ca/hs/hssstateseal.asp</b:URL>
    <b:Month>November</b:Month>
    <b:Day>30</b:Day>
    <b:RefOrder>1</b:RefOrder>
  </b:Source>
  <b:Source>
    <b:Tag>Ter04</b:Tag>
    <b:SourceType>JournalArticle</b:SourceType>
    <b:Guid>{074B9102-A39C-40BE-B2BF-90743C39E515}</b:Guid>
    <b:Title>Service-Learning...By Degrees: How Adolescents Can Make a Difference in the Real World</b:Title>
    <b:Year>2004</b:Year>
    <b:URL>https://www.researchgate.net/publication/311574186_Service-Learningby_Degrees_How_Adolescents_Can_Make_a_Difference_in_the_Real_World</b:URL>
    <b:Author>
      <b:Author>
        <b:NameList>
          <b:Person>
            <b:Last>Terry</b:Last>
            <b:First>Alice</b:First>
            <b:Middle>W.</b:Middle>
          </b:Person>
          <b:Person>
            <b:Last>Bohnenberger</b:Last>
            <b:Middle>E.</b:Middle>
            <b:First>John</b:First>
          </b:Person>
        </b:NameList>
      </b:Author>
    </b:Author>
    <b:JournalName>Journal of Experiential Education</b:JournalName>
    <b:Pages>15-31</b:Pages>
    <b:Volume>27</b:Volume>
    <b:Issue>1</b:Issue>
    <b:RefOrder>2</b:RefOrder>
  </b:Source>
  <b:Source>
    <b:Tag>Cal23</b:Tag>
    <b:SourceType>InternetSite</b:SourceType>
    <b:Guid>{F0F6E4C1-B531-4732-8BF2-0CBA1BF49A24}</b:Guid>
    <b:Title>Service Learning</b:Title>
    <b:Year>2023</b:Year>
    <b:Author>
      <b:Author>
        <b:Corporate>California Department of Education</b:Corporate>
      </b:Author>
    </b:Author>
    <b:InternetSiteTitle>California Department of Education</b:InternetSiteTitle>
    <b:Month>November</b:Month>
    <b:Day>7</b:Day>
    <b:URL>https://www.cde.ca.gov/re/pr/servicelearning.asp</b:URL>
    <b:RefOrder>3</b:RefOrder>
  </b:Source>
  <b:Source>
    <b:Tag>Cal</b:Tag>
    <b:SourceType>InternetSite</b:SourceType>
    <b:Guid>{C6215061-E355-4D7B-9F83-DA26D01A9A68}</b:Guid>
    <b:Author>
      <b:Author>
        <b:Corporate>California Department of Education</b:Corporate>
      </b:Author>
    </b:Author>
    <b:Title>César E. Chávez</b:Title>
    <b:InternetSiteTitle>California Department of Education</b:InternetSiteTitle>
    <b:URL>https://chavez.cde.ca.gov/ModelCurriculum/Intro.aspx</b:URL>
    <b:RefOrder>4</b:RefOrder>
  </b:Source>
  <b:Source>
    <b:Tag>Cal221</b:Tag>
    <b:SourceType>InternetSite</b:SourceType>
    <b:Guid>{F5B54B0C-2235-430E-A33D-2F6367BF7AEE}</b:Guid>
    <b:Title>AB 181 Education finance: education omnibus budget trailer bill.</b:Title>
    <b:InternetSiteTitle>California Legislative Information</b:InternetSiteTitle>
    <b:Year>2022</b:Year>
    <b:Month>June</b:Month>
    <b:Day>30</b:Day>
    <b:URL>https://leginfo.legislature.ca.gov/faces/billNavClient.xhtml?bill_id=202120220AB181#:~:text=SEC.%2071.,appropriation%20is%20made.</b:URL>
    <b:Author>
      <b:Author>
        <b:Corporate>California Legislature</b:Corporate>
      </b:Author>
    </b:Author>
    <b:RefOrder>5</b:RefOrder>
  </b:Source>
  <b:Source>
    <b:Tag>You</b:Tag>
    <b:SourceType>InternetSite</b:SourceType>
    <b:Guid>{5B548D1A-1CBC-4E54-B5E7-3E6953A7A4E4}</b:Guid>
    <b:Author>
      <b:Author>
        <b:Corporate>Youth.gov</b:Corporate>
      </b:Author>
    </b:Author>
    <b:Title>Civic Engagement</b:Title>
    <b:InternetSiteTitle>Youth.gov</b:InternetSiteTitle>
    <b:URL>https://youth.gov/youth-topics/civic-engagement-and-volunteering</b:URL>
    <b:RefOrder>6</b:RefOrder>
  </b:Source>
  <b:Source>
    <b:Tag>Cal17</b:Tag>
    <b:SourceType>DocumentFromInternetSite</b:SourceType>
    <b:Guid>{1D6BC109-E006-4E7E-ADFB-43E60F2E5F34}</b:Guid>
    <b:Author>
      <b:Author>
        <b:Corporate>California Department of Education</b:Corporate>
      </b:Author>
    </b:Author>
    <b:Title>California History–Social Science Framework, Appendix H: Practicing Civic Engagement: Service-Learning in the History–Social Science Framework</b:Title>
    <b:InternetSiteTitle>California Department of Education</b:InternetSiteTitle>
    <b:Year>2017</b:Year>
    <b:URL>https://www.cde.ca.gov/ci/hs/cf/documents/hssfwchapter16.pdf</b:URL>
    <b:RefOrder>7</b:RefOrder>
  </b:Source>
  <b:Source>
    <b:Tag>Nat</b:Tag>
    <b:SourceType>InternetSite</b:SourceType>
    <b:Guid>{44EB51EF-0DC3-40F4-8073-36306F756A1A}</b:Guid>
    <b:Title>Why Service-Learning?</b:Title>
    <b:InternetSiteTitle>National Youth Leadership Council</b:InternetSiteTitle>
    <b:URL>https://nylc.org/why/</b:URL>
    <b:Author>
      <b:Author>
        <b:Corporate>National Youth Leadership Council</b:Corporate>
      </b:Author>
    </b:Author>
    <b:RefOrder>8</b:RefOrder>
  </b:Source>
  <b:Source>
    <b:Tag>Gui14</b:Tag>
    <b:SourceType>Report</b:SourceType>
    <b:Guid>{0A81C5C9-614E-4AFB-AAC9-6AA5B8949D05}</b:Guid>
    <b:Title>Guidebook: Six Proven Practices for Effective Civic Learning</b:Title>
    <b:Year>2014</b:Year>
    <b:URL>http://www.ecs.org/clearinghouse/01/10/48/11048.pdf</b:URL>
    <b:Author>
      <b:Author>
        <b:NameList>
          <b:Person>
            <b:Last>Guilfoile</b:Last>
            <b:First>Lisa</b:First>
          </b:Person>
          <b:Person>
            <b:Last>Delander</b:Last>
            <b:First>Brady</b:First>
          </b:Person>
        </b:NameList>
      </b:Author>
    </b:Author>
    <b:Department>National Center for Learning and Civic Engagement</b:Department>
    <b:Institution>Education Commission of the States</b:Institution>
    <b:RefOrder>9</b:RefOrder>
  </b:Source>
  <b:Source>
    <b:Tag>You1</b:Tag>
    <b:SourceType>InternetSite</b:SourceType>
    <b:Guid>{336B99DE-A9EB-4389-89C7-E65B7A73E37A}</b:Guid>
    <b:Title>Service-Learning</b:Title>
    <b:Author>
      <b:Author>
        <b:Corporate>Youth.gov</b:Corporate>
      </b:Author>
    </b:Author>
    <b:InternetSiteTitle>Youth.gov</b:InternetSiteTitle>
    <b:URL>https://youth.gov/youth-topics/civic-engagement-and-volunteering/service-learning#_ftn </b:URL>
    <b:RefOrder>10</b:RefOrder>
  </b:Source>
  <b:Source>
    <b:Tag>Roe07</b:Tag>
    <b:SourceType>Report</b:SourceType>
    <b:Guid>{9E3E5A06-05FE-4AFD-898E-4FB7F3170A72}</b:Guid>
    <b:Title>Benefits of Community-Based Service-Learning</b:Title>
    <b:Year>2007</b:Year>
    <b:URL>https://www.search-institute.org/downloadable/2007-Roehlkepartain-CBO-Benefits-SL-NSLC.pdf</b:URL>
    <b:Publisher>National Service-Learning Clearinghouse</b:Publisher>
    <b:City>Scotts Valley</b:City>
    <b:Author>
      <b:Author>
        <b:NameList>
          <b:Person>
            <b:Last>Roehlkepartain</b:Last>
            <b:Middle>C.</b:Middle>
            <b:First>E.</b:First>
          </b:Person>
        </b:NameList>
      </b:Author>
    </b:Author>
    <b:RefOrder>11</b:RefOrder>
  </b:Source>
  <b:Source>
    <b:Tag>Nat1</b:Tag>
    <b:SourceType>InternetSite</b:SourceType>
    <b:Guid>{06F5EAB2-996F-410C-9A7B-EC2F38DECD97}</b:Guid>
    <b:Title>Service Learning K–12 Standards</b:Title>
    <b:Author>
      <b:Author>
        <b:Corporate>National Youth Leadership Council</b:Corporate>
      </b:Author>
    </b:Author>
    <b:InternetSiteTitle>National Youth Leadership Council</b:InternetSiteTitle>
    <b:URL>https://nylc.org/k-12-standards/</b:URL>
    <b:RefOrder>12</b:RefOrder>
  </b:Source>
  <b:Source>
    <b:Tag>Cal1</b:Tag>
    <b:SourceType>DocumentFromInternetSite</b:SourceType>
    <b:Guid>{50E7547F-A54C-4FF9-8AFD-08315FDBE02E}</b:Guid>
    <b:Title>A Teacher's Guide to Service Learning</b:Title>
    <b:Publisher>California Department of Education</b:Publisher>
    <b:Author>
      <b:Author>
        <b:Corporate>California Department of Education</b:Corporate>
      </b:Author>
    </b:Author>
    <b:URL>https://chavez.cde.ca.gov/ModelCurriculum/Teachers/Lessons/Resources/Documents/ServiceLearningGuide.pdf</b:URL>
    <b:InternetSiteTitle>California Department of Education</b:InternetSiteTitle>
    <b:RefOrder>13</b:RefOrder>
  </b:Source>
  <b:Source>
    <b:Tag>UCB23</b:Tag>
    <b:SourceType>InternetSite</b:SourceType>
    <b:Guid>{70C93F72-3F3F-4B15-9E7E-6DABEF721C91}</b:Guid>
    <b:Title>Integrated Action Civics Project</b:Title>
    <b:InternetSiteTitle>UC Berkeley: Integrated Action Civics Project</b:InternetSiteTitle>
    <b:Year>2023</b:Year>
    <b:URL>https://iacp.berkeley.edu/home</b:URL>
    <b:Author>
      <b:Author>
        <b:Corporate>UC Berkeley</b:Corporate>
      </b:Author>
    </b:Author>
    <b:RefOrder>14</b:RefOrder>
  </b:Source>
  <b:Source>
    <b:Tag>UCB</b:Tag>
    <b:SourceType>InternetSite</b:SourceType>
    <b:Guid>{72225028-1A83-4726-B742-79468E9AC59B}</b:Guid>
    <b:Author>
      <b:Author>
        <b:Corporate>UC Berkeley</b:Corporate>
      </b:Author>
    </b:Author>
    <b:Title>Youth Participatory Action Research Hub</b:Title>
    <b:InternetSiteTitle>UC Berkeley: YPAR Hub</b:InternetSiteTitle>
    <b:URL>https://yparhub.berkeley.edu/home</b:URL>
    <b:RefOrder>15</b:RefOrder>
  </b:Source>
  <b:Source>
    <b:Tag>UCB231</b:Tag>
    <b:SourceType>InternetSite</b:SourceType>
    <b:Guid>{C56773D0-01B2-40DE-896E-B2D22CC8F1B5}</b:Guid>
    <b:Author>
      <b:Author>
        <b:Corporate>UC Berkeley Center for Cities + Schools</b:Corporate>
      </b:Author>
    </b:Author>
    <b:Title>Youth–Plan, Learn, Act Now</b:Title>
    <b:InternetSiteTitle>Y-PLAN</b:InternetSiteTitle>
    <b:Year>2023</b:Year>
    <b:URL>https://citiesandschools.berkeley.edu/major-initiatives/y-plan/</b:URL>
    <b:RefOrder>16</b:RefOrder>
  </b:Source>
  <b:Source>
    <b:Tag>Nat23</b:Tag>
    <b:SourceType>InternetSite</b:SourceType>
    <b:Guid>{89BF7C01-EC18-4C1A-A1B9-DACEDD3A39FA}</b:Guid>
    <b:Author>
      <b:Author>
        <b:Corporate>National Council for the Social Studies</b:Corporate>
      </b:Author>
    </b:Author>
    <b:Title>National Council for the Social Studies</b:Title>
    <b:InternetSiteTitle>National Council for the Social Studies</b:InternetSiteTitle>
    <b:Year>2023</b:Year>
    <b:URL>https://www.socialstudies.org/</b:URL>
    <b:RefOrder>17</b:RefOrder>
  </b:Source>
  <b:Source>
    <b:Tag>Nat231</b:Tag>
    <b:SourceType>InternetSite</b:SourceType>
    <b:Guid>{4C903C13-E3F5-47A3-A03F-4CAFF0B0FEE6}</b:Guid>
    <b:Author>
      <b:Author>
        <b:Corporate>National Council for the Social Studies</b:Corporate>
      </b:Author>
    </b:Author>
    <b:Title>Civic Life Project</b:Title>
    <b:InternetSiteTitle>National Council for the Social Studies</b:InternetSiteTitle>
    <b:Year>2023</b:Year>
    <b:URL>https://www.socialstudies.org/rhokappa/civic-life-project</b:URL>
    <b:RefOrder>18</b:RefOrder>
  </b:Source>
  <b:Source>
    <b:Tag>Cal231</b:Tag>
    <b:SourceType>InternetSite</b:SourceType>
    <b:Guid>{9E45D3F5-6178-4F8B-922C-52DD40B51089}</b:Guid>
    <b:Author>
      <b:Author>
        <b:Corporate>California Council for the Social Studies</b:Corporate>
      </b:Author>
    </b:Author>
    <b:Title>California Council for the Social Studies</b:Title>
    <b:InternetSiteTitle>California Council for the Social Studies</b:InternetSiteTitle>
    <b:Year>2023</b:Year>
    <b:URL>https://www.ccss.org/</b:URL>
    <b:RefOrder>19</b:RefOrder>
  </b:Source>
  <b:Source>
    <b:Tag>Cal232</b:Tag>
    <b:SourceType>InternetSite</b:SourceType>
    <b:Guid>{323D7799-BE0F-4EEB-80EC-2104AB359AAC}</b:Guid>
    <b:Author>
      <b:Author>
        <b:Corporate>California History–Social Science Project</b:Corporate>
      </b:Author>
    </b:Author>
    <b:Title>California History–Social Science Project</b:Title>
    <b:InternetSiteTitle>California History–Social Science Project</b:InternetSiteTitle>
    <b:Year>2023</b:Year>
    <b:URL>https://chssp.ucdavis.edu/</b:URL>
    <b:RefOrder>20</b:RefOrder>
  </b:Source>
  <b:Source>
    <b:Tag>Hod23</b:Tag>
    <b:SourceType>Report</b:SourceType>
    <b:Guid>{A2B8C12C-F98E-40C4-88B6-B62A2FF8BD69}</b:Guid>
    <b:Title>California's Commitment to K–12 Civic Education: A 2022 Assessment</b:Title>
    <b:Year>2023</b:Year>
    <b:URL>https://centerx.gseis.ucla.edu/wp-content/uploads/2023/06/Californias-Commitment-to-K-12-Civic-Learning-2022-Assessment-LEADE-Report.pdf</b:URL>
    <b:Institution>Leveraging Equity &amp; Access in Democratic Education at UCLA and UC Riverside</b:Institution>
    <b:Pages>22</b:Pages>
    <b:Author>
      <b:Author>
        <b:NameList>
          <b:Person>
            <b:Last>Hodgin</b:Last>
            <b:First>Erica</b:First>
          </b:Person>
          <b:Person>
            <b:Last>Alkam</b:Last>
            <b:First>Samia</b:First>
          </b:Person>
          <b:Person>
            <b:Last>Conde</b:Last>
            <b:First>Yvette</b:First>
          </b:Person>
          <b:Person>
            <b:Last>Kahne</b:Last>
            <b:First>Joseph</b:First>
          </b:Person>
        </b:NameList>
      </b:Author>
    </b:Author>
    <b:RefOrder>21</b:RefOrder>
  </b:Source>
  <b:Source>
    <b:Tag>Civ</b:Tag>
    <b:SourceType>InternetSite</b:SourceType>
    <b:Guid>{312B52DC-44A5-446E-83A3-948DC2D653B1}</b:Guid>
    <b:Title>CA State Seal of Civic Engagement</b:Title>
    <b:Author>
      <b:Author>
        <b:Corporate>Civic Engagement Research Group</b:Corporate>
      </b:Author>
    </b:Author>
    <b:InternetSiteTitle>Educating 4 Democracy</b:InternetSiteTitle>
    <b:URL>https://www.ed4democracy.org/topics/ca-state-seal-of-civic-engagement</b:URL>
    <b:RefOrder>22</b:RefOrder>
  </b:Source>
  <b:Source>
    <b:Tag>Civ1</b:Tag>
    <b:SourceType>DocumentFromInternetSite</b:SourceType>
    <b:Guid>{D5BD37C6-DB98-4A44-8548-7047182C91BC}</b:Guid>
    <b:Title>California State Seal of Civic Engagement Planning Packet</b:Title>
    <b:InternetSiteTitle>Educating 4 Democracy</b:InternetSiteTitle>
    <b:URL>https://docs.google.com/document/d/18wQZBW9AmnzUdPAklSRsPENklxO0v9afNOUQzioG8xQ/edit</b:URL>
    <b:Author>
      <b:Author>
        <b:Corporate>Civic Engagement Research Group</b:Corporate>
      </b:Author>
    </b:Author>
    <b:RefOrder>23</b:RefOrder>
  </b:Source>
  <b:Source>
    <b:Tag>Ver95</b:Tag>
    <b:SourceType>Book</b:SourceType>
    <b:Guid>{6BA0DB3A-FA41-4D94-B439-F75F7367DE61}</b:Guid>
    <b:Title>Voice and Equality: Civic Voluntarism in American Politics</b:Title>
    <b:Year>1995</b:Year>
    <b:City>Cambridge</b:City>
    <b:Publisher>Harvard University Press</b:Publisher>
    <b:Author>
      <b:Author>
        <b:NameList>
          <b:Person>
            <b:Last>Verba</b:Last>
            <b:First>Sidney</b:First>
          </b:Person>
          <b:Person>
            <b:Last>Schlozman</b:Last>
            <b:Middle>Lehman</b:Middle>
            <b:First>Kay</b:First>
          </b:Person>
          <b:Person>
            <b:Last>Brady</b:Last>
            <b:First>Henry</b:First>
          </b:Person>
        </b:NameList>
      </b:Author>
    </b:Author>
    <b:RefOrder>24</b:RefOrder>
  </b:Source>
  <b:Source>
    <b:Tag>Gou11</b:Tag>
    <b:SourceType>Report</b:SourceType>
    <b:Guid>{4D3E45B8-E349-44DD-A4C1-22691C22E29A}</b:Guid>
    <b:Title>Guardian of Democracy: The Civic Mission of Schools</b:Title>
    <b:Year>2011</b:Year>
    <b:City>Philadelphia</b:City>
    <b:Department>Lenore Annenberg Institute for Civics</b:Department>
    <b:Institution>Annenberg Public Policy Center</b:Institution>
    <b:Pages>56</b:Pages>
    <b:URL>https://www.carnegie.org/publications/guardian-of-democracy-the-civic-mission-of-schools/</b:URL>
    <b:Author>
      <b:Author>
        <b:NameList>
          <b:Person>
            <b:Last>Gould</b:Last>
            <b:First>Jonathan</b:First>
          </b:Person>
          <b:Person>
            <b:Last>Jamieson</b:Last>
            <b:First>Kathleen</b:First>
            <b:Middle>Hall</b:Middle>
          </b:Person>
          <b:Person>
            <b:Last>Levine</b:Last>
            <b:First>Peter</b:First>
          </b:Person>
          <b:Person>
            <b:Last>McConnell</b:Last>
            <b:First>Ted</b:First>
          </b:Person>
          <b:Person>
            <b:Last>Smith</b:Last>
            <b:First>David</b:First>
            <b:Middle>B., eds</b:Middle>
          </b:Person>
        </b:NameList>
      </b:Author>
    </b:Author>
    <b:RefOrder>25</b:RefOrder>
  </b:Source>
  <b:Source>
    <b:Tag>Lev23</b:Tag>
    <b:SourceType>InternetSite</b:SourceType>
    <b:Guid>{0FC8A1CE-B287-4A14-9F66-C6560AF18EB8}</b:Guid>
    <b:Title>What is Civic Learning?</b:Title>
    <b:Year>2023</b:Year>
    <b:Author>
      <b:Author>
        <b:Corporate>Leveraging Equity &amp; Access in Democratic Education</b:Corporate>
      </b:Author>
    </b:Author>
    <b:InternetSiteTitle>Leveraging Equity &amp; Access in Democratic Education</b:InternetSiteTitle>
    <b:URL>https://centerx.gseis.ucla.edu/leade/civic-learning/</b:URL>
    <b:RefOrder>26</b:RefOrder>
  </b:Source>
  <b:Source>
    <b:Tag>Nat13</b:Tag>
    <b:SourceType>Report</b:SourceType>
    <b:Guid>{A3370730-7F15-4A77-B99A-588CB1141CAB}</b:Guid>
    <b:Author>
      <b:Author>
        <b:Corporate>National Council for the Social Studies</b:Corporate>
      </b:Author>
    </b:Author>
    <b:Title>The College, Career, and Civic Life Framework</b:Title>
    <b:Year>2013</b:Year>
    <b:URL>https://www.socialstudies.org/system/files/2022/c3-framework-for-social-studies-rev0617.2.pdf</b:URL>
    <b:Publisher>NCSS</b:Publisher>
    <b:City>Silver Springs</b:City>
    <b:Pages>114</b:Pages>
    <b:RefOrder>27</b:RefOrder>
  </b:Source>
  <b:Source>
    <b:Tag>Mer23</b:Tag>
    <b:SourceType>InternetSite</b:SourceType>
    <b:Guid>{41688A31-0BC0-4984-A1EF-4B1776757B7A}</b:Guid>
    <b:Author>
      <b:Author>
        <b:Corporate>Merriam-Webster</b:Corporate>
      </b:Author>
    </b:Author>
    <b:Title>community service</b:Title>
    <b:InternetSiteTitle>Merriam-Webster</b:InternetSiteTitle>
    <b:Year>2023</b:Year>
    <b:Month>December</b:Month>
    <b:Day>29</b:Day>
    <b:URL>https://www.merriam-webster.com/dictionary/community%20service</b:URL>
    <b:RefOrder>28</b:RefOrder>
  </b:Source>
  <b:Source>
    <b:Tag>Cal233</b:Tag>
    <b:SourceType>InternetSite</b:SourceType>
    <b:Guid>{974271B2-07AC-4AB8-B52D-C43D37984926}</b:Guid>
    <b:Author>
      <b:Author>
        <b:Corporate>California Department of Education</b:Corporate>
      </b:Author>
    </b:Author>
    <b:Title>California Serves</b:Title>
    <b:InternetSiteTitle>California Department of Education</b:InternetSiteTitle>
    <b:Year>2023</b:Year>
    <b:Month>June</b:Month>
    <b:Day>1</b:Day>
    <b:URL>https://www.cde.ca.gov/pd/ca/hs/californiaserves.asp</b:URL>
    <b:RefOrder>29</b:RefOrder>
  </b:Source>
  <b:Source>
    <b:Tag>Cal14</b:Tag>
    <b:SourceType>Report</b:SourceType>
    <b:Guid>{E949607C-4EEE-452E-8CE3-FFD872793E74}</b:Guid>
    <b:Title>Revitalizing K–12 Civic Learning in California: A Blueprint for Action</b:Title>
    <b:Year>2014</b:Year>
    <b:URL>https://www.caeducatorstogether.org/resources/116944/revitalizing-k-12-civic-learning-in-california-blueprint</b:URL>
    <b:Author>
      <b:Author>
        <b:Corporate>California Task Force on K–12 Learning</b:Corporate>
      </b:Author>
    </b:Author>
    <b:Pages>66</b:Pages>
    <b:RefOrder>30</b:RefOrder>
  </b:Source>
  <b:Source>
    <b:Tag>Tas12</b:Tag>
    <b:SourceType>Report</b:SourceType>
    <b:Guid>{F6FDC505-3030-439F-8CA4-D07DB0DF8A58}</b:Guid>
    <b:Title>Greatness by Design: Supporting Outstanding Teaching to Sustain a Golden State</b:Title>
    <b:Year>2012</b:Year>
    <b:Publisher>California Department of Education</b:Publisher>
    <b:City>Sacramento</b:City>
    <b:Author>
      <b:Author>
        <b:Corporate>Task Force on Educator Excellence</b:Corporate>
      </b:Author>
    </b:Author>
    <b:Pages>96</b:Pages>
    <b:URL>https://www.cde.ca.gov/pd/ps/documents/greatnessbydesign.pdf</b:URL>
    <b:RefOrder>31</b:RefOrder>
  </b:Source>
  <b:Source>
    <b:Tag>Civ2</b:Tag>
    <b:SourceType>InternetSite</b:SourceType>
    <b:Guid>{83BBC93E-720B-46E8-ACD4-A5EC83A24090}</b:Guid>
    <b:Title>Civic Action Project</b:Title>
    <b:InternetSiteTitle>Teach Democracy</b:InternetSiteTitle>
    <b:URL>https://crfcap.org/</b:URL>
    <b:Author>
      <b:Author>
        <b:Corporate>Teach Democracy</b:Corporate>
      </b:Author>
    </b:Author>
    <b:RefOrder>32</b:RefOrder>
  </b:Source>
  <b:Source>
    <b:Tag>Cal24</b:Tag>
    <b:SourceType>InternetSite</b:SourceType>
    <b:Guid>{5998399D-0498-46D7-8242-0D6CA36D6187}</b:Guid>
    <b:Author>
      <b:Author>
        <b:Corporate>California Department of Education</b:Corporate>
      </b:Author>
    </b:Author>
    <b:Title>CALPADS Update Flash #268</b:Title>
    <b:InternetSiteTitle>California Department of Education</b:InternetSiteTitle>
    <b:Year>2024</b:Year>
    <b:Month>March</b:Month>
    <b:Day>15</b:Day>
    <b:URL>https://www.cde.ca.gov/ds/sp/cl/calpadsupdflash268.asp</b:URL>
    <b:RefOrder>33</b:RefOrder>
  </b:Source>
  <b:Source>
    <b:Tag>Cal234</b:Tag>
    <b:SourceType>InternetSite</b:SourceType>
    <b:Guid>{C7E78BBC-C078-4245-90F2-6B11D3D86463}</b:Guid>
    <b:Author>
      <b:Author>
        <b:Corporate>California Department of Education</b:Corporate>
      </b:Author>
    </b:Author>
    <b:Title>SBE Items Related to the SSCE</b:Title>
    <b:InternetSiteTitle>California Department of Education</b:InternetSiteTitle>
    <b:Year>2023</b:Year>
    <b:Month>December</b:Month>
    <b:Day>15</b:Day>
    <b:URL>https://www.cde.ca.gov/pd/ca/hs/sbe2ssce.asp</b:URL>
    <b:RefOrder>34</b:RefOrder>
  </b:Source>
</b:Sources>
</file>

<file path=customXml/itemProps1.xml><?xml version="1.0" encoding="utf-8"?>
<ds:datastoreItem xmlns:ds="http://schemas.openxmlformats.org/officeDocument/2006/customXml" ds:itemID="{1139783A-AE54-4A8E-B535-D9E8C3D4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10446</Words>
  <Characters>59543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California Serves Program Legislative Report - Professional Learning (CA Dept of Education)</vt:lpstr>
    </vt:vector>
  </TitlesOfParts>
  <Company/>
  <LinksUpToDate>false</LinksUpToDate>
  <CharactersWithSpaces>69850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Serves Program Legislative Report - Professional Learning (CA Dept of Education)</dc:title>
  <dc:subject>This document outlines strategies to expand high-quality and accessible service-learning programs in California high schools.</dc:subject>
  <dc:creator/>
  <cp:keywords/>
  <dc:description/>
  <cp:lastModifiedBy/>
  <cp:revision>1</cp:revision>
  <dcterms:created xsi:type="dcterms:W3CDTF">2024-12-27T23:45:00Z</dcterms:created>
  <dcterms:modified xsi:type="dcterms:W3CDTF">2025-01-08T17:33:00Z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e0ad3b58563a4bfe4d4928feb7bbf55ed25379d83cb81f6a61d25012427d663d</vt:lpwstr>
  </property>
</Properties>
</file>