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5899" w14:textId="77777777" w:rsidR="00232510" w:rsidRDefault="007609DA" w:rsidP="00232510">
      <w:pPr>
        <w:pStyle w:val="NoSpacing"/>
      </w:pPr>
      <w:r>
        <w:t>May</w:t>
      </w:r>
      <w:r w:rsidRPr="00F16073">
        <w:t xml:space="preserve"> 2018 SACS Forum</w:t>
      </w:r>
      <w:r>
        <w:t xml:space="preserve"> Minutes</w:t>
      </w:r>
      <w:r w:rsidR="00232510" w:rsidRPr="00F16073">
        <w:t xml:space="preserve">, Attachment </w:t>
      </w:r>
      <w:r w:rsidR="00232510">
        <w:t>A</w:t>
      </w:r>
    </w:p>
    <w:p w14:paraId="6EE6D29A" w14:textId="77777777" w:rsidR="00232510" w:rsidRDefault="00232510" w:rsidP="00232510">
      <w:pPr>
        <w:pStyle w:val="NoSpacing"/>
      </w:pPr>
      <w:r w:rsidRPr="00F16073">
        <w:t>Calif</w:t>
      </w:r>
      <w:r>
        <w:t xml:space="preserve">ornia Department of Education, </w:t>
      </w:r>
      <w:r w:rsidRPr="00F16073">
        <w:t>Sc</w:t>
      </w:r>
      <w:r>
        <w:t>hool Fiscal Services Division</w:t>
      </w:r>
    </w:p>
    <w:p w14:paraId="282A42E0" w14:textId="77777777" w:rsidR="003D659D" w:rsidRDefault="003D659D" w:rsidP="00232510">
      <w:pPr>
        <w:pStyle w:val="NoSpacing"/>
      </w:pPr>
    </w:p>
    <w:p w14:paraId="7854589F" w14:textId="77777777" w:rsidR="00BF27F5" w:rsidRDefault="00470207" w:rsidP="003D659D">
      <w:pPr>
        <w:pStyle w:val="Heading1"/>
        <w:tabs>
          <w:tab w:val="center" w:pos="4680"/>
          <w:tab w:val="left" w:pos="7890"/>
        </w:tabs>
        <w:spacing w:line="240" w:lineRule="auto"/>
        <w:jc w:val="center"/>
        <w:rPr>
          <w:rFonts w:ascii="Arial" w:hAnsi="Arial" w:cs="Arial"/>
          <w:b/>
          <w:color w:val="auto"/>
        </w:rPr>
      </w:pPr>
      <w:r>
        <w:rPr>
          <w:rFonts w:ascii="Arial" w:hAnsi="Arial" w:cs="Arial"/>
          <w:b/>
          <w:color w:val="auto"/>
        </w:rPr>
        <w:t>SACS Forum Minutes – May 16, 2018</w:t>
      </w:r>
      <w:r w:rsidR="003D659D">
        <w:rPr>
          <w:rFonts w:ascii="Arial" w:hAnsi="Arial" w:cs="Arial"/>
          <w:b/>
          <w:color w:val="auto"/>
        </w:rPr>
        <w:t xml:space="preserve"> </w:t>
      </w:r>
      <w:r w:rsidR="003D659D">
        <w:rPr>
          <w:rFonts w:ascii="Arial" w:hAnsi="Arial" w:cs="Arial"/>
          <w:b/>
          <w:color w:val="auto"/>
        </w:rPr>
        <w:br/>
      </w:r>
      <w:r>
        <w:rPr>
          <w:rFonts w:ascii="Arial" w:hAnsi="Arial" w:cs="Arial"/>
          <w:b/>
          <w:color w:val="auto"/>
        </w:rPr>
        <w:t xml:space="preserve">PowerPoint </w:t>
      </w:r>
      <w:r w:rsidR="003D659D">
        <w:rPr>
          <w:rFonts w:ascii="Arial" w:hAnsi="Arial" w:cs="Arial"/>
          <w:b/>
          <w:color w:val="auto"/>
        </w:rPr>
        <w:t>Outline (Attachment A)</w:t>
      </w:r>
    </w:p>
    <w:p w14:paraId="56D8D661" w14:textId="77777777" w:rsidR="007609DA" w:rsidRPr="007609DA" w:rsidRDefault="007609DA" w:rsidP="007609DA"/>
    <w:p w14:paraId="57A52293" w14:textId="77777777" w:rsidR="005C6D55" w:rsidRDefault="00B02CE1" w:rsidP="00923739">
      <w:pPr>
        <w:spacing w:before="240" w:after="0" w:line="240" w:lineRule="auto"/>
        <w:rPr>
          <w:sz w:val="28"/>
        </w:rPr>
      </w:pPr>
      <w:r w:rsidRPr="005C6D55">
        <w:rPr>
          <w:rStyle w:val="Heading2Char"/>
          <w:rFonts w:ascii="Arial" w:hAnsi="Arial" w:cs="Arial"/>
          <w:b/>
          <w:color w:val="auto"/>
        </w:rPr>
        <w:t>Slide 3: CASBO SACS Workshops</w:t>
      </w:r>
      <w:r w:rsidR="00232510" w:rsidRPr="005C6D55">
        <w:rPr>
          <w:sz w:val="28"/>
        </w:rPr>
        <w:t xml:space="preserve"> </w:t>
      </w:r>
    </w:p>
    <w:p w14:paraId="752C4B59" w14:textId="77777777" w:rsidR="00B02CE1" w:rsidRDefault="00B02CE1" w:rsidP="00923739">
      <w:pPr>
        <w:tabs>
          <w:tab w:val="left" w:pos="6030"/>
        </w:tabs>
      </w:pPr>
      <w:r>
        <w:t>Removed due to outdated information</w:t>
      </w:r>
      <w:r w:rsidR="00923739">
        <w:tab/>
      </w:r>
    </w:p>
    <w:p w14:paraId="3F538F64"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4: Approved Indirect Cost Rates</w:t>
      </w:r>
    </w:p>
    <w:p w14:paraId="03B0C520" w14:textId="77777777" w:rsidR="00BF27F5" w:rsidRPr="00BF27F5" w:rsidRDefault="00BF27F5" w:rsidP="00BF27F5">
      <w:r w:rsidRPr="00BF27F5">
        <w:t xml:space="preserve">Local Educational Agency (LEA) approved indirect cost rates were released on April 11, and can be found on the CDE </w:t>
      </w:r>
      <w:r w:rsidR="005345D6" w:rsidRPr="005345D6">
        <w:rPr>
          <w:lang w:val="en"/>
        </w:rPr>
        <w:t>Indirect Cost Rates (ICR)</w:t>
      </w:r>
      <w:r w:rsidR="005345D6">
        <w:rPr>
          <w:lang w:val="en"/>
        </w:rPr>
        <w:t xml:space="preserve"> </w:t>
      </w:r>
      <w:r w:rsidR="005345D6">
        <w:t>web page</w:t>
      </w:r>
      <w:r w:rsidRPr="00BF27F5">
        <w:t xml:space="preserve"> at </w:t>
      </w:r>
      <w:hyperlink r:id="rId7" w:tooltip="Approved Indirect Cost Rates" w:history="1">
        <w:r w:rsidRPr="0086449F">
          <w:rPr>
            <w:rStyle w:val="Hyperlink"/>
          </w:rPr>
          <w:t>https://www.cde.ca.gov/fg/ac/ic/</w:t>
        </w:r>
      </w:hyperlink>
      <w:r w:rsidRPr="002C1CB6">
        <w:t>.</w:t>
      </w:r>
    </w:p>
    <w:p w14:paraId="2F870F47"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5: SACS2018 Budget Software</w:t>
      </w:r>
    </w:p>
    <w:p w14:paraId="6B61E88A" w14:textId="77777777" w:rsidR="00BF27F5" w:rsidRPr="00BF27F5" w:rsidRDefault="00BF27F5" w:rsidP="00BF27F5">
      <w:r w:rsidRPr="00BF27F5">
        <w:t>The SACS2018 Budget Software was released on April 2</w:t>
      </w:r>
      <w:r w:rsidR="00166455">
        <w:t>7, and can be found on the CDE</w:t>
      </w:r>
      <w:r w:rsidR="005345D6" w:rsidRPr="005345D6">
        <w:rPr>
          <w:lang w:val="en"/>
        </w:rPr>
        <w:t xml:space="preserve"> Financial Reporting</w:t>
      </w:r>
      <w:r w:rsidR="00166455">
        <w:t xml:space="preserve"> w</w:t>
      </w:r>
      <w:r w:rsidR="005345D6">
        <w:t>eb page</w:t>
      </w:r>
      <w:r w:rsidRPr="00BF27F5">
        <w:t xml:space="preserve"> at </w:t>
      </w:r>
      <w:hyperlink r:id="rId8" w:tooltip="SACS2018 Budget Software" w:history="1">
        <w:r w:rsidRPr="0086449F">
          <w:rPr>
            <w:rStyle w:val="Hyperlink"/>
          </w:rPr>
          <w:t>https://www.cde.ca.gov/fg/sf/fr/</w:t>
        </w:r>
      </w:hyperlink>
      <w:r w:rsidRPr="002C1CB6">
        <w:t xml:space="preserve">.  </w:t>
      </w:r>
    </w:p>
    <w:p w14:paraId="2622D67E"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6: Validation Table Update (1)</w:t>
      </w:r>
    </w:p>
    <w:p w14:paraId="218B6A08" w14:textId="77777777" w:rsidR="00BF27F5" w:rsidRPr="00BF27F5" w:rsidRDefault="00BF27F5" w:rsidP="00BF27F5">
      <w:r w:rsidRPr="00BF27F5">
        <w:t>The SACS Validation table was updated on April 2</w:t>
      </w:r>
      <w:r w:rsidR="00166455">
        <w:t xml:space="preserve">3, and can be found on the CDE </w:t>
      </w:r>
      <w:r w:rsidR="005345D6" w:rsidRPr="005345D6">
        <w:rPr>
          <w:lang w:val="en"/>
        </w:rPr>
        <w:t xml:space="preserve">SACS Valid Codes and Combinations </w:t>
      </w:r>
      <w:r w:rsidR="00166455">
        <w:t>w</w:t>
      </w:r>
      <w:r w:rsidR="005345D6">
        <w:t>eb page</w:t>
      </w:r>
      <w:r w:rsidRPr="00BF27F5">
        <w:t xml:space="preserve"> at </w:t>
      </w:r>
      <w:hyperlink r:id="rId9" w:tooltip="Validation Table Update" w:history="1">
        <w:r w:rsidRPr="0086449F">
          <w:rPr>
            <w:rStyle w:val="Hyperlink"/>
          </w:rPr>
          <w:t>https://www.cde.ca.gov/fg/ac/ac/validcodes.asp</w:t>
        </w:r>
      </w:hyperlink>
      <w:r w:rsidRPr="002C1CB6">
        <w:t xml:space="preserve">. </w:t>
      </w:r>
    </w:p>
    <w:p w14:paraId="7C6F689A" w14:textId="77777777" w:rsidR="00BF27F5" w:rsidRPr="00BF27F5" w:rsidRDefault="00BF27F5" w:rsidP="00BF27F5">
      <w:pPr>
        <w:rPr>
          <w:rFonts w:ascii="Calibri" w:hAnsi="Calibri" w:cs="Calibri"/>
          <w:kern w:val="24"/>
          <w:sz w:val="40"/>
          <w:szCs w:val="40"/>
        </w:rPr>
      </w:pPr>
      <w:r w:rsidRPr="00BF27F5">
        <w:t>The CDE is currently working on a solution to post the spreadsheets of the validation table that will meet the accessibility requirements of federal Section 508 of the Rehabilitation Act of 1973.</w:t>
      </w:r>
    </w:p>
    <w:p w14:paraId="590CE8E2"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7: Validation Table Update (2)</w:t>
      </w:r>
    </w:p>
    <w:p w14:paraId="5F4F1991" w14:textId="77777777" w:rsidR="00BF27F5" w:rsidRPr="00BF27F5" w:rsidRDefault="00BF27F5" w:rsidP="00BF27F5">
      <w:r w:rsidRPr="00BF27F5">
        <w:t>Combination of Resource 0000, Object Code 8625</w:t>
      </w:r>
    </w:p>
    <w:p w14:paraId="7894A5FD" w14:textId="77777777" w:rsidR="00BF27F5" w:rsidRPr="00BF27F5" w:rsidRDefault="00BF27F5" w:rsidP="00BF27F5">
      <w:pPr>
        <w:pStyle w:val="ListParagraph"/>
        <w:numPr>
          <w:ilvl w:val="0"/>
          <w:numId w:val="10"/>
        </w:numPr>
        <w:rPr>
          <w:szCs w:val="24"/>
        </w:rPr>
      </w:pPr>
      <w:r w:rsidRPr="00BF27F5">
        <w:rPr>
          <w:szCs w:val="24"/>
        </w:rPr>
        <w:t xml:space="preserve">Since the community redevelopment funds not subject to LCFF deduction are restricted in regards to what they can be spent on, LEAs should use Resource 9010, Other Restricted Local, or a locally-defined restricted resource that rolls up to Resource 9010. </w:t>
      </w:r>
    </w:p>
    <w:p w14:paraId="79B0E4B3" w14:textId="77777777" w:rsidR="00BF27F5" w:rsidRPr="00BF27F5" w:rsidRDefault="00BF27F5" w:rsidP="00BF27F5">
      <w:pPr>
        <w:pStyle w:val="ListParagraph"/>
        <w:numPr>
          <w:ilvl w:val="0"/>
          <w:numId w:val="10"/>
        </w:numPr>
        <w:rPr>
          <w:szCs w:val="24"/>
        </w:rPr>
      </w:pPr>
      <w:r w:rsidRPr="00BF27F5">
        <w:rPr>
          <w:szCs w:val="24"/>
        </w:rPr>
        <w:t xml:space="preserve">This is a holdover from a prior era and should now be accounted for as restricted. Therefore, we have updated the SACS validation tables in January 2018 to end the combination of Object 8625 and unrestricted resource effective 7/1/2018. </w:t>
      </w:r>
    </w:p>
    <w:p w14:paraId="1242A8BB"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 xml:space="preserve">Slide 8: </w:t>
      </w:r>
      <w:r w:rsidRPr="00234083">
        <w:rPr>
          <w:rFonts w:ascii="Arial" w:hAnsi="Arial" w:cs="Arial"/>
          <w:b/>
          <w:i/>
          <w:color w:val="auto"/>
        </w:rPr>
        <w:t>CSAM</w:t>
      </w:r>
      <w:r w:rsidRPr="00232510">
        <w:rPr>
          <w:rFonts w:ascii="Arial" w:hAnsi="Arial" w:cs="Arial"/>
          <w:b/>
          <w:color w:val="auto"/>
        </w:rPr>
        <w:t xml:space="preserve"> Update</w:t>
      </w:r>
    </w:p>
    <w:p w14:paraId="224FD199" w14:textId="77777777" w:rsidR="00BF27F5" w:rsidRPr="00BF27F5" w:rsidRDefault="00BF27F5" w:rsidP="00BF27F5">
      <w:r w:rsidRPr="00BF27F5">
        <w:t xml:space="preserve">CDE is currently working on an update for the </w:t>
      </w:r>
      <w:r w:rsidRPr="00234083">
        <w:rPr>
          <w:i/>
        </w:rPr>
        <w:t>CSAM</w:t>
      </w:r>
      <w:r w:rsidRPr="00BF27F5">
        <w:t>.</w:t>
      </w:r>
    </w:p>
    <w:p w14:paraId="6B288EE1" w14:textId="77777777" w:rsidR="00BF27F5" w:rsidRPr="00BF27F5" w:rsidRDefault="00BF27F5" w:rsidP="00BF27F5">
      <w:r w:rsidRPr="00BF27F5">
        <w:t xml:space="preserve">The updated </w:t>
      </w:r>
      <w:r w:rsidRPr="00234083">
        <w:rPr>
          <w:i/>
        </w:rPr>
        <w:t>CSAM</w:t>
      </w:r>
      <w:r w:rsidRPr="00BF27F5">
        <w:t xml:space="preserve"> is scheduled to be completed by the end 2018, or beginning of 2019.</w:t>
      </w:r>
    </w:p>
    <w:p w14:paraId="0DFE45B4"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lastRenderedPageBreak/>
        <w:t>Slide 9: Unaudited Actuals Reporting Center Application</w:t>
      </w:r>
    </w:p>
    <w:p w14:paraId="6EC4B685" w14:textId="77777777" w:rsidR="00BF27F5" w:rsidRPr="00BF27F5" w:rsidRDefault="00BF27F5" w:rsidP="00BF27F5">
      <w:r w:rsidRPr="00BF27F5">
        <w:t xml:space="preserve">New web application for County </w:t>
      </w:r>
      <w:r w:rsidR="008075BD" w:rsidRPr="00BF27F5">
        <w:t>Offices</w:t>
      </w:r>
      <w:r w:rsidRPr="00BF27F5">
        <w:t xml:space="preserve"> of Education (COEs)</w:t>
      </w:r>
    </w:p>
    <w:p w14:paraId="0B9B0BFF" w14:textId="77777777" w:rsidR="00BF27F5" w:rsidRPr="00BF27F5" w:rsidRDefault="00BF27F5" w:rsidP="00BF27F5">
      <w:r w:rsidRPr="00BF27F5">
        <w:t>Allows COEs to complete and submit both the Charter Schools Unaudited Actuals Reporting Status and the Request for SACS eTransfer Access form to the CDE electronically.</w:t>
      </w:r>
    </w:p>
    <w:p w14:paraId="5627FCE4" w14:textId="77777777" w:rsidR="00BF27F5" w:rsidRDefault="00BF27F5" w:rsidP="003F6EFF">
      <w:r w:rsidRPr="00BF27F5">
        <w:t>Instructions for accessing this new application will be attached to the software release email sent to all County Chief Business Officers in July.</w:t>
      </w:r>
    </w:p>
    <w:p w14:paraId="571DAD10" w14:textId="77777777" w:rsidR="00B02CE1" w:rsidRPr="00232510" w:rsidRDefault="00B02CE1" w:rsidP="003F6EFF">
      <w:pPr>
        <w:rPr>
          <w:rFonts w:eastAsiaTheme="majorEastAsia" w:cs="Arial"/>
          <w:b/>
          <w:sz w:val="26"/>
          <w:szCs w:val="26"/>
        </w:rPr>
      </w:pPr>
      <w:r w:rsidRPr="00232510">
        <w:rPr>
          <w:rFonts w:eastAsiaTheme="majorEastAsia" w:cs="Arial"/>
          <w:b/>
          <w:sz w:val="26"/>
          <w:szCs w:val="26"/>
        </w:rPr>
        <w:t>Slide 10: Accounting Updates</w:t>
      </w:r>
    </w:p>
    <w:p w14:paraId="288530C8"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1</w:t>
      </w:r>
      <w:r w:rsidRPr="00232510">
        <w:rPr>
          <w:rFonts w:ascii="Arial" w:hAnsi="Arial" w:cs="Arial"/>
          <w:b/>
          <w:color w:val="auto"/>
        </w:rPr>
        <w:t>: Every Student Succeeds Act (ESSA) Per-pupil Expenditure (PPE) Reporting Update (1)</w:t>
      </w:r>
    </w:p>
    <w:p w14:paraId="18AD26B3" w14:textId="77777777" w:rsidR="00BF27F5" w:rsidRPr="00BF27F5" w:rsidRDefault="00BF27F5" w:rsidP="00BF27F5">
      <w:r w:rsidRPr="00BF27F5">
        <w:t>REQUIREMENT</w:t>
      </w:r>
    </w:p>
    <w:p w14:paraId="45B263CA" w14:textId="77777777" w:rsidR="00BF27F5" w:rsidRPr="00BF27F5" w:rsidRDefault="00BF27F5" w:rsidP="00E80072">
      <w:pPr>
        <w:spacing w:after="0" w:line="240" w:lineRule="auto"/>
        <w:rPr>
          <w:rFonts w:hAnsi="Times New Roman"/>
        </w:rPr>
      </w:pPr>
      <w:r w:rsidRPr="00BF27F5">
        <w:rPr>
          <w:rFonts w:hAnsi="Times New Roman"/>
        </w:rPr>
        <w:t>ESSA, which reauthorizes the Elementary and Secondary Educatio</w:t>
      </w:r>
      <w:r w:rsidR="00E80072">
        <w:rPr>
          <w:rFonts w:hAnsi="Times New Roman"/>
        </w:rPr>
        <w:t xml:space="preserve">n Act of 1965 </w:t>
      </w:r>
      <w:r w:rsidRPr="00BF27F5">
        <w:rPr>
          <w:rFonts w:hAnsi="Times New Roman"/>
        </w:rPr>
        <w:t>(ESEA)</w:t>
      </w:r>
      <w:r w:rsidR="00D04B99" w:rsidRPr="00E80072">
        <w:rPr>
          <w:rFonts w:hAnsi="Times New Roman"/>
          <w:szCs w:val="24"/>
        </w:rPr>
        <w:t>,</w:t>
      </w:r>
      <w:r w:rsidR="00D04B99">
        <w:rPr>
          <w:rFonts w:hAnsi="Times New Roman"/>
          <w:sz w:val="48"/>
          <w:szCs w:val="48"/>
        </w:rPr>
        <w:t xml:space="preserve"> </w:t>
      </w:r>
      <w:r w:rsidRPr="00BF27F5">
        <w:rPr>
          <w:rFonts w:hAnsi="Times New Roman"/>
        </w:rPr>
        <w:t>Section 1111(h), requires that states and local educational agencies (LEA) disseminate and make available to the public a concise, understandable, and widely accessible report card that contains a minimum set of required information, which includes LEA and school-level per-pupil expenditures.</w:t>
      </w:r>
      <w:r w:rsidR="00E80072">
        <w:rPr>
          <w:rFonts w:hAnsi="Times New Roman"/>
        </w:rPr>
        <w:br/>
      </w:r>
      <w:r w:rsidRPr="00BF27F5">
        <w:rPr>
          <w:rFonts w:hAnsi="Times New Roman"/>
        </w:rPr>
        <w:t xml:space="preserve"> </w:t>
      </w:r>
    </w:p>
    <w:p w14:paraId="67AB1027" w14:textId="77777777" w:rsidR="00BF27F5" w:rsidRPr="00BF27F5" w:rsidRDefault="00BF27F5" w:rsidP="00BF27F5">
      <w:pPr>
        <w:rPr>
          <w:rFonts w:hAnsi="Times New Roman"/>
        </w:rPr>
      </w:pPr>
      <w:r w:rsidRPr="00BF27F5">
        <w:rPr>
          <w:rFonts w:hAnsi="Times New Roman"/>
        </w:rPr>
        <w:t>Effective 2017-18 (except the PPE information; will be reported beginning 2018-19)</w:t>
      </w:r>
    </w:p>
    <w:p w14:paraId="289784DB" w14:textId="77777777" w:rsidR="00BF27F5" w:rsidRPr="00BF27F5" w:rsidRDefault="00BF27F5" w:rsidP="00BF27F5">
      <w:pPr>
        <w:rPr>
          <w:rFonts w:hAnsi="Times New Roman"/>
        </w:rPr>
      </w:pPr>
      <w:r w:rsidRPr="00BF27F5">
        <w:rPr>
          <w:rFonts w:hAnsi="Times New Roman"/>
        </w:rPr>
        <w:t>Link to the full text of the ESSA law:</w:t>
      </w:r>
    </w:p>
    <w:p w14:paraId="57D0937C" w14:textId="77777777" w:rsidR="00BF27F5" w:rsidRPr="00BF27F5" w:rsidRDefault="00000000" w:rsidP="00BF27F5">
      <w:pPr>
        <w:rPr>
          <w:rFonts w:hAnsi="Times New Roman"/>
          <w:szCs w:val="24"/>
        </w:rPr>
      </w:pPr>
      <w:hyperlink r:id="rId10" w:tooltip="Full Text of ESSA Law" w:history="1">
        <w:r w:rsidR="00BF27F5" w:rsidRPr="0086449F">
          <w:rPr>
            <w:rStyle w:val="Hyperlink"/>
            <w:rFonts w:hAnsi="Times New Roman"/>
            <w:szCs w:val="24"/>
          </w:rPr>
          <w:t>https://www.gpo.gov/fdsys/pkg/BILLS-114s1177enr/pdf/BILLS-114s1177enr.pdf</w:t>
        </w:r>
      </w:hyperlink>
      <w:r w:rsidR="00BF27F5">
        <w:rPr>
          <w:rFonts w:hAnsi="Times New Roman"/>
          <w:szCs w:val="24"/>
          <w:u w:val="single"/>
        </w:rPr>
        <w:t xml:space="preserve"> </w:t>
      </w:r>
      <w:r w:rsidR="00BF27F5" w:rsidRPr="00BF27F5">
        <w:rPr>
          <w:rFonts w:hAnsi="Times New Roman"/>
          <w:szCs w:val="24"/>
        </w:rPr>
        <w:t xml:space="preserve"> </w:t>
      </w:r>
    </w:p>
    <w:p w14:paraId="77B6D249"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2</w:t>
      </w:r>
      <w:r w:rsidRPr="00232510">
        <w:rPr>
          <w:rFonts w:ascii="Arial" w:hAnsi="Arial" w:cs="Arial"/>
          <w:b/>
          <w:color w:val="auto"/>
        </w:rPr>
        <w:t>: Every Student Succeeds Act (ESSA) Per-pupil Expenditure (PPE) Reporting Update (2)</w:t>
      </w:r>
    </w:p>
    <w:p w14:paraId="3BAE3D58" w14:textId="77777777" w:rsidR="00BF27F5" w:rsidRPr="00BF27F5" w:rsidRDefault="00BF27F5" w:rsidP="00BF27F5">
      <w:r w:rsidRPr="00BF27F5">
        <w:t>BRIEF HISTORY</w:t>
      </w:r>
    </w:p>
    <w:p w14:paraId="26743881" w14:textId="77777777" w:rsidR="00BF27F5" w:rsidRPr="00BF27F5" w:rsidRDefault="00BF27F5" w:rsidP="00BF27F5">
      <w:r w:rsidRPr="00BF27F5">
        <w:t>November 2016 Regulations - Repealed</w:t>
      </w:r>
    </w:p>
    <w:p w14:paraId="53A8770B" w14:textId="77777777" w:rsidR="00BF27F5" w:rsidRPr="00BF27F5" w:rsidRDefault="00BF27F5" w:rsidP="00BF27F5">
      <w:pPr>
        <w:rPr>
          <w:szCs w:val="24"/>
        </w:rPr>
      </w:pPr>
      <w:r w:rsidRPr="00BF27F5">
        <w:rPr>
          <w:szCs w:val="24"/>
        </w:rPr>
        <w:t>Would have required states to develop a methodology for LEAs to calculate per-pupil expenditures.</w:t>
      </w:r>
    </w:p>
    <w:p w14:paraId="00EBB419" w14:textId="77777777" w:rsidR="00BF27F5" w:rsidRPr="00BF27F5" w:rsidRDefault="00BF27F5" w:rsidP="00BF27F5">
      <w:r w:rsidRPr="00BF27F5">
        <w:t>“Dear Colleague” Letter issued by U.S. Department of Education dated June 28, 2017</w:t>
      </w:r>
    </w:p>
    <w:p w14:paraId="6D68C10D" w14:textId="77777777" w:rsidR="00BF27F5" w:rsidRPr="00BF27F5" w:rsidRDefault="00BF27F5" w:rsidP="00BF27F5">
      <w:pPr>
        <w:rPr>
          <w:szCs w:val="24"/>
        </w:rPr>
      </w:pPr>
      <w:r w:rsidRPr="00BF27F5">
        <w:rPr>
          <w:szCs w:val="24"/>
        </w:rPr>
        <w:t>Provides one-year extension for per-pupil expenditure information to be included in report cards.</w:t>
      </w:r>
    </w:p>
    <w:p w14:paraId="66C302BD" w14:textId="77777777" w:rsidR="00BF27F5" w:rsidRPr="00BF27F5" w:rsidRDefault="00BF27F5" w:rsidP="00BF27F5">
      <w:pPr>
        <w:rPr>
          <w:szCs w:val="24"/>
        </w:rPr>
      </w:pPr>
      <w:r w:rsidRPr="00BF27F5">
        <w:rPr>
          <w:szCs w:val="24"/>
        </w:rPr>
        <w:t>2018-19 information can be provided on 2018-19 report cards.</w:t>
      </w:r>
    </w:p>
    <w:p w14:paraId="624CEB25" w14:textId="77777777" w:rsidR="00BF27F5" w:rsidRPr="00BF27F5" w:rsidRDefault="00BF27F5" w:rsidP="00D04B99">
      <w:pPr>
        <w:spacing w:after="0"/>
        <w:rPr>
          <w:szCs w:val="24"/>
        </w:rPr>
      </w:pPr>
      <w:r w:rsidRPr="00BF27F5">
        <w:rPr>
          <w:szCs w:val="24"/>
        </w:rPr>
        <w:t>2017-18 report cards must provide brief description of the steps the SEA and LEAs are taking to ensure that per-pupil expenditure information is included on 2018-19 report cards.</w:t>
      </w:r>
    </w:p>
    <w:p w14:paraId="3BE5C627" w14:textId="77777777" w:rsidR="00BF27F5" w:rsidRPr="00D04B99" w:rsidRDefault="00BF27F5" w:rsidP="00BF27F5">
      <w:pPr>
        <w:autoSpaceDE w:val="0"/>
        <w:autoSpaceDN w:val="0"/>
        <w:adjustRightInd w:val="0"/>
        <w:spacing w:after="0" w:line="240" w:lineRule="auto"/>
        <w:ind w:left="144" w:hanging="144"/>
        <w:rPr>
          <w:rFonts w:cs="Arial"/>
          <w:kern w:val="24"/>
          <w:szCs w:val="24"/>
        </w:rPr>
      </w:pPr>
    </w:p>
    <w:p w14:paraId="78EFAC97"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lastRenderedPageBreak/>
        <w:t>Slide 1</w:t>
      </w:r>
      <w:r w:rsidR="00F867AB" w:rsidRPr="00232510">
        <w:rPr>
          <w:rFonts w:ascii="Arial" w:hAnsi="Arial" w:cs="Arial"/>
          <w:b/>
          <w:color w:val="auto"/>
        </w:rPr>
        <w:t>3</w:t>
      </w:r>
      <w:r w:rsidRPr="00232510">
        <w:rPr>
          <w:rFonts w:ascii="Arial" w:hAnsi="Arial" w:cs="Arial"/>
          <w:b/>
          <w:color w:val="auto"/>
        </w:rPr>
        <w:t>: Every Student Succeeds Act (ESSA) Per-pupil Expenditure (PPE) Reporting Update (3)</w:t>
      </w:r>
    </w:p>
    <w:p w14:paraId="1DBD28AD" w14:textId="77777777" w:rsidR="00BF27F5" w:rsidRPr="00BF27F5" w:rsidRDefault="00BF27F5" w:rsidP="00BF27F5">
      <w:r w:rsidRPr="00BF27F5">
        <w:t>LATEST NEWS</w:t>
      </w:r>
    </w:p>
    <w:p w14:paraId="7CCE2639" w14:textId="77777777" w:rsidR="00BF27F5" w:rsidRPr="00BF27F5" w:rsidRDefault="00BF27F5" w:rsidP="00BF27F5">
      <w:pPr>
        <w:rPr>
          <w:rFonts w:hAnsi="Times New Roman"/>
        </w:rPr>
      </w:pPr>
      <w:r w:rsidRPr="00BF27F5">
        <w:rPr>
          <w:rFonts w:hAnsi="Times New Roman"/>
        </w:rPr>
        <w:t>CDE convened a workgroup of local educational agency (LEA) representatives to explore alternatives for and discuss technical accounting issues related to calculating LEA and school-level expenditures.</w:t>
      </w:r>
    </w:p>
    <w:p w14:paraId="0B9D4D73" w14:textId="77777777" w:rsidR="00BF27F5" w:rsidRPr="00BF27F5" w:rsidRDefault="00BF27F5" w:rsidP="00BF27F5">
      <w:pPr>
        <w:rPr>
          <w:rFonts w:hAnsi="Times New Roman"/>
          <w:szCs w:val="24"/>
        </w:rPr>
      </w:pPr>
      <w:r w:rsidRPr="00BF27F5">
        <w:rPr>
          <w:rFonts w:hAnsi="Times New Roman"/>
          <w:szCs w:val="24"/>
        </w:rPr>
        <w:t xml:space="preserve">Three meetings have been held with the workgroup </w:t>
      </w:r>
      <w:r w:rsidRPr="00BF27F5">
        <w:rPr>
          <w:rFonts w:hAnsi="Times New Roman"/>
          <w:szCs w:val="24"/>
        </w:rPr>
        <w:t>–</w:t>
      </w:r>
      <w:r w:rsidRPr="00BF27F5">
        <w:rPr>
          <w:rFonts w:hAnsi="Times New Roman"/>
          <w:szCs w:val="24"/>
        </w:rPr>
        <w:t xml:space="preserve"> February, March and April. </w:t>
      </w:r>
    </w:p>
    <w:p w14:paraId="2CB0E841" w14:textId="77777777" w:rsidR="00BF27F5" w:rsidRPr="00BF27F5" w:rsidRDefault="00BF27F5" w:rsidP="00BF27F5">
      <w:pPr>
        <w:rPr>
          <w:rFonts w:hAnsi="Times New Roman"/>
        </w:rPr>
      </w:pPr>
      <w:r w:rsidRPr="00BF27F5">
        <w:rPr>
          <w:rFonts w:hAnsi="Times New Roman"/>
        </w:rPr>
        <w:t xml:space="preserve">CDE held a stakeholder outreach meeting on May 14 to discuss the PPE reporting requirement with education advocacy representatives. </w:t>
      </w:r>
    </w:p>
    <w:p w14:paraId="19CAD74A" w14:textId="77777777" w:rsidR="00BF27F5" w:rsidRPr="00BF27F5" w:rsidRDefault="00BF27F5" w:rsidP="00BF27F5">
      <w:pPr>
        <w:rPr>
          <w:rFonts w:hAnsi="Times New Roman"/>
        </w:rPr>
      </w:pPr>
      <w:r w:rsidRPr="00BF27F5">
        <w:rPr>
          <w:rFonts w:hAnsi="Times New Roman"/>
        </w:rPr>
        <w:t xml:space="preserve">Although previously reported that the U.S. Department of Education was expected to issue non-regulatory guidance, the CDE now believes this is unlikely. </w:t>
      </w:r>
    </w:p>
    <w:p w14:paraId="15B1E4E9" w14:textId="77777777" w:rsidR="00BF27F5" w:rsidRPr="00BF27F5" w:rsidRDefault="00BF27F5" w:rsidP="00BF27F5">
      <w:pPr>
        <w:rPr>
          <w:rFonts w:hAnsi="Times New Roman"/>
        </w:rPr>
      </w:pPr>
      <w:r w:rsidRPr="00BF27F5">
        <w:rPr>
          <w:rFonts w:hAnsi="Times New Roman"/>
        </w:rPr>
        <w:t>CDE</w:t>
      </w:r>
      <w:r w:rsidRPr="00BF27F5">
        <w:rPr>
          <w:rFonts w:hAnsi="Times New Roman"/>
        </w:rPr>
        <w:t>’</w:t>
      </w:r>
      <w:r w:rsidRPr="00BF27F5">
        <w:rPr>
          <w:rFonts w:hAnsi="Times New Roman"/>
        </w:rPr>
        <w:t>s goal is to provide final guidelines in June 2018.</w:t>
      </w:r>
    </w:p>
    <w:p w14:paraId="64A78CDE" w14:textId="77777777" w:rsidR="00BF27F5" w:rsidRPr="00BF27F5" w:rsidRDefault="00BF27F5" w:rsidP="00BF27F5">
      <w:pPr>
        <w:rPr>
          <w:rFonts w:hAnsi="Times New Roman"/>
          <w:szCs w:val="24"/>
        </w:rPr>
      </w:pPr>
      <w:r w:rsidRPr="00BF27F5">
        <w:rPr>
          <w:rFonts w:hAnsi="Times New Roman"/>
          <w:szCs w:val="24"/>
        </w:rPr>
        <w:t xml:space="preserve">CDE guidance will stress consistency in the methodology used at the district level, for comparability between LEA schools. </w:t>
      </w:r>
    </w:p>
    <w:p w14:paraId="0AD412C5"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4</w:t>
      </w:r>
      <w:r w:rsidR="00BF27F5" w:rsidRPr="00232510">
        <w:rPr>
          <w:rFonts w:ascii="Arial" w:hAnsi="Arial" w:cs="Arial"/>
          <w:b/>
          <w:color w:val="auto"/>
        </w:rPr>
        <w:t>: Every Student Succeeds Act (ESSA) Per-pupil Expenditure (PPE) Reporting Update (4)</w:t>
      </w:r>
    </w:p>
    <w:p w14:paraId="04E0B52F" w14:textId="77777777" w:rsidR="00BF27F5" w:rsidRPr="00BF27F5" w:rsidRDefault="00BF27F5" w:rsidP="00BF27F5">
      <w:r w:rsidRPr="00BF27F5">
        <w:t>REITERATION OF IMPORTANT POINTS</w:t>
      </w:r>
    </w:p>
    <w:p w14:paraId="3B938698" w14:textId="77777777" w:rsidR="00BF27F5" w:rsidRPr="00BF27F5" w:rsidRDefault="00BF27F5" w:rsidP="00BF27F5">
      <w:r w:rsidRPr="00BF27F5">
        <w:t xml:space="preserve">CDE is not required to prescribe a per-pupil expenditure calculation methodology. That requirement was included in the now-rescinded regulations. </w:t>
      </w:r>
    </w:p>
    <w:p w14:paraId="259F49BD" w14:textId="77777777" w:rsidR="00BF27F5" w:rsidRPr="00BF27F5" w:rsidRDefault="00BF27F5" w:rsidP="00BF27F5">
      <w:r w:rsidRPr="00BF27F5">
        <w:t>CDE will not require LEAs to implement the School field of the standardized account code structure (SACS) to collect school-level data.</w:t>
      </w:r>
    </w:p>
    <w:p w14:paraId="6ADCAD4D" w14:textId="77777777" w:rsidR="00BF27F5" w:rsidRPr="00BF27F5" w:rsidRDefault="00BF27F5" w:rsidP="00BF27F5">
      <w:r w:rsidRPr="00BF27F5">
        <w:t>LEA and school-level per-pupil expenditures will be calculated at the LEA level and reported to CDE. Collection method still to be determined.</w:t>
      </w:r>
    </w:p>
    <w:p w14:paraId="2EF1546A"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w:t>
      </w:r>
      <w:r w:rsidR="00BD393E" w:rsidRPr="00232510">
        <w:rPr>
          <w:rFonts w:ascii="Arial" w:hAnsi="Arial" w:cs="Arial"/>
          <w:b/>
          <w:color w:val="auto"/>
        </w:rPr>
        <w:t xml:space="preserve"> 1</w:t>
      </w:r>
      <w:r w:rsidR="00F867AB" w:rsidRPr="00232510">
        <w:rPr>
          <w:rFonts w:ascii="Arial" w:hAnsi="Arial" w:cs="Arial"/>
          <w:b/>
          <w:color w:val="auto"/>
        </w:rPr>
        <w:t>5</w:t>
      </w:r>
      <w:r w:rsidRPr="00232510">
        <w:rPr>
          <w:rFonts w:ascii="Arial" w:hAnsi="Arial" w:cs="Arial"/>
          <w:b/>
          <w:color w:val="auto"/>
        </w:rPr>
        <w:t>: Every Student Succeeds Act (ESSA) Per-pupil Expenditure (PPE) Reporting Update (5)</w:t>
      </w:r>
    </w:p>
    <w:p w14:paraId="7B4040A5" w14:textId="77777777" w:rsidR="00BF27F5" w:rsidRPr="00BF27F5" w:rsidRDefault="00BF27F5" w:rsidP="00BF27F5">
      <w:r w:rsidRPr="00BF27F5">
        <w:t>REITERATION OF IMPORTANT POINTS (CONTINUED)</w:t>
      </w:r>
    </w:p>
    <w:p w14:paraId="6AFCE77C" w14:textId="77777777" w:rsidR="00BF27F5" w:rsidRPr="00BF27F5" w:rsidRDefault="00BF27F5" w:rsidP="00BF27F5">
      <w:r w:rsidRPr="00BF27F5">
        <w:t xml:space="preserve">The data is not intended to be used to ensure compliance with federal laws (e.g., supplement not supplant) or to determine federal funding. </w:t>
      </w:r>
    </w:p>
    <w:p w14:paraId="03496F78" w14:textId="77777777" w:rsidR="00BF27F5" w:rsidRPr="00BF27F5" w:rsidRDefault="00BF27F5" w:rsidP="00BF27F5">
      <w:r w:rsidRPr="00BF27F5">
        <w:t xml:space="preserve">The per-pupil expenditure data will be reported in LEA and State reports cards, in conjunction with other required data elements, as prescribed in ESSA. </w:t>
      </w:r>
    </w:p>
    <w:p w14:paraId="334605F8" w14:textId="77777777" w:rsidR="00BF27F5" w:rsidRPr="00BF27F5" w:rsidRDefault="00BF27F5" w:rsidP="00D04B99">
      <w:pPr>
        <w:spacing w:after="0"/>
      </w:pPr>
      <w:r w:rsidRPr="00BF27F5">
        <w:t xml:space="preserve">Per-pupil expenditure information will be reported beginning with reports cards for the 2018-19 school year. Note that reports cards containing all other required information must be provided for the 2017-18 school year. </w:t>
      </w:r>
    </w:p>
    <w:p w14:paraId="205FB77E" w14:textId="77777777" w:rsidR="00BF27F5" w:rsidRPr="00D04B99" w:rsidRDefault="00BF27F5" w:rsidP="00BF27F5">
      <w:pPr>
        <w:autoSpaceDE w:val="0"/>
        <w:autoSpaceDN w:val="0"/>
        <w:adjustRightInd w:val="0"/>
        <w:spacing w:after="0" w:line="240" w:lineRule="auto"/>
        <w:ind w:left="144" w:hanging="144"/>
        <w:rPr>
          <w:rFonts w:cs="Arial"/>
          <w:kern w:val="24"/>
          <w:szCs w:val="24"/>
        </w:rPr>
      </w:pPr>
    </w:p>
    <w:p w14:paraId="130F1054"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lastRenderedPageBreak/>
        <w:t>Slide 1</w:t>
      </w:r>
      <w:r w:rsidR="00F867AB" w:rsidRPr="00232510">
        <w:rPr>
          <w:rFonts w:ascii="Arial" w:hAnsi="Arial" w:cs="Arial"/>
          <w:b/>
          <w:color w:val="auto"/>
        </w:rPr>
        <w:t>6</w:t>
      </w:r>
      <w:r w:rsidR="00BF27F5" w:rsidRPr="00232510">
        <w:rPr>
          <w:rFonts w:ascii="Arial" w:hAnsi="Arial" w:cs="Arial"/>
          <w:b/>
          <w:color w:val="auto"/>
        </w:rPr>
        <w:t>: California State Teachers’ Retirement System (CalSTRS) On-behalf Contribution</w:t>
      </w:r>
    </w:p>
    <w:p w14:paraId="43F218CB" w14:textId="77777777" w:rsidR="00BF27F5" w:rsidRPr="00BF27F5" w:rsidRDefault="00BF27F5" w:rsidP="00BF27F5">
      <w:r w:rsidRPr="00BF27F5">
        <w:t xml:space="preserve">Updated CalSTRS on-behalf contribution information can be found at </w:t>
      </w:r>
      <w:hyperlink r:id="rId11" w:tooltip="CalSTRS GASB 67-68 FAQ's" w:history="1">
        <w:r w:rsidR="00387FA5">
          <w:rPr>
            <w:rStyle w:val="Hyperlink"/>
          </w:rPr>
          <w:t>https://www.calstrs.com/gasb-67-68-frequently-asked-questions</w:t>
        </w:r>
      </w:hyperlink>
      <w:r>
        <w:t xml:space="preserve"> </w:t>
      </w:r>
    </w:p>
    <w:p w14:paraId="39ADF904" w14:textId="77777777" w:rsidR="00BF27F5" w:rsidRPr="00BF27F5" w:rsidRDefault="00BF27F5" w:rsidP="00BF27F5">
      <w:r w:rsidRPr="00BF27F5">
        <w:t>Two on-behalf contribution amounts required</w:t>
      </w:r>
    </w:p>
    <w:p w14:paraId="6236DD0D" w14:textId="77777777" w:rsidR="00BF27F5" w:rsidRPr="00BF27F5" w:rsidRDefault="00BF27F5" w:rsidP="00BF27F5">
      <w:pPr>
        <w:rPr>
          <w:szCs w:val="24"/>
        </w:rPr>
      </w:pPr>
      <w:r w:rsidRPr="00BF27F5">
        <w:rPr>
          <w:szCs w:val="24"/>
        </w:rPr>
        <w:t>UNDER GASB 68 – GOVERNMENT-WIDE FINANCIAL STATEMENTS</w:t>
      </w:r>
    </w:p>
    <w:p w14:paraId="6DCB2A50" w14:textId="77777777" w:rsidR="00BF27F5" w:rsidRPr="00BF27F5" w:rsidRDefault="00BF27F5" w:rsidP="00BF27F5">
      <w:pPr>
        <w:rPr>
          <w:rFonts w:ascii="Calibri" w:hAnsi="Calibri" w:cs="Calibri"/>
          <w:kern w:val="24"/>
          <w:sz w:val="40"/>
          <w:szCs w:val="40"/>
        </w:rPr>
      </w:pPr>
      <w:r w:rsidRPr="00BF27F5">
        <w:rPr>
          <w:szCs w:val="24"/>
        </w:rPr>
        <w:t>UNDER GASB 85 – FUND FINANCIAL STATEMENTS FOR GOVERNMENTAL FUNDS</w:t>
      </w:r>
    </w:p>
    <w:p w14:paraId="2623432A"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7</w:t>
      </w:r>
      <w:r w:rsidR="00BF27F5" w:rsidRPr="00232510">
        <w:rPr>
          <w:rFonts w:ascii="Arial" w:hAnsi="Arial" w:cs="Arial"/>
          <w:b/>
          <w:color w:val="auto"/>
        </w:rPr>
        <w:t>: Governmental Accounting Standards Board (GASB 84) – Fiduciary Activities (1)</w:t>
      </w:r>
    </w:p>
    <w:p w14:paraId="31D45EBA" w14:textId="77777777" w:rsidR="00BF27F5" w:rsidRPr="00BF27F5" w:rsidRDefault="00BF27F5" w:rsidP="00BF27F5">
      <w:r w:rsidRPr="00BF27F5">
        <w:t>EFFECTIVE 2019-20</w:t>
      </w:r>
    </w:p>
    <w:p w14:paraId="3B42CF73" w14:textId="77777777" w:rsidR="00BF27F5" w:rsidRPr="00BF27F5" w:rsidRDefault="00BF27F5" w:rsidP="00BF27F5">
      <w:r w:rsidRPr="00BF27F5">
        <w:t>Types of fiduciary fund</w:t>
      </w:r>
      <w:r>
        <w:t>s:</w:t>
      </w:r>
    </w:p>
    <w:p w14:paraId="0D1D4C5E" w14:textId="77777777" w:rsidR="00BF27F5" w:rsidRPr="00BF27F5" w:rsidRDefault="00BF27F5" w:rsidP="00BF27F5">
      <w:pPr>
        <w:rPr>
          <w:szCs w:val="24"/>
        </w:rPr>
      </w:pPr>
      <w:r w:rsidRPr="00BF27F5">
        <w:rPr>
          <w:szCs w:val="24"/>
        </w:rPr>
        <w:t>Pension (and other employee benefit) trust funds</w:t>
      </w:r>
    </w:p>
    <w:p w14:paraId="3807609B" w14:textId="77777777" w:rsidR="00BF27F5" w:rsidRPr="00BF27F5" w:rsidRDefault="00BF27F5" w:rsidP="00BF27F5">
      <w:pPr>
        <w:rPr>
          <w:szCs w:val="24"/>
        </w:rPr>
      </w:pPr>
      <w:r w:rsidRPr="00BF27F5">
        <w:rPr>
          <w:szCs w:val="24"/>
        </w:rPr>
        <w:t>Investment trust funds</w:t>
      </w:r>
    </w:p>
    <w:p w14:paraId="0E11E577" w14:textId="77777777" w:rsidR="00BF27F5" w:rsidRPr="00BF27F5" w:rsidRDefault="00BF27F5" w:rsidP="00BF27F5">
      <w:pPr>
        <w:rPr>
          <w:szCs w:val="24"/>
        </w:rPr>
      </w:pPr>
      <w:r w:rsidRPr="00BF27F5">
        <w:rPr>
          <w:szCs w:val="24"/>
        </w:rPr>
        <w:t>Private-purpose trust funds</w:t>
      </w:r>
    </w:p>
    <w:p w14:paraId="5F9CC0D3" w14:textId="77777777" w:rsidR="00BF27F5" w:rsidRPr="00BF27F5" w:rsidRDefault="00BF27F5" w:rsidP="00BF27F5">
      <w:pPr>
        <w:rPr>
          <w:rFonts w:ascii="Calibri" w:hAnsi="Calibri" w:cs="Calibri"/>
          <w:kern w:val="24"/>
          <w:sz w:val="40"/>
          <w:szCs w:val="40"/>
        </w:rPr>
      </w:pPr>
      <w:r w:rsidRPr="00BF27F5">
        <w:rPr>
          <w:szCs w:val="24"/>
        </w:rPr>
        <w:t>Custodial funds</w:t>
      </w:r>
    </w:p>
    <w:p w14:paraId="1B9E3A24"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8</w:t>
      </w:r>
      <w:r w:rsidR="00BF27F5" w:rsidRPr="00232510">
        <w:rPr>
          <w:rFonts w:ascii="Arial" w:hAnsi="Arial" w:cs="Arial"/>
          <w:b/>
          <w:color w:val="auto"/>
        </w:rPr>
        <w:t>: Governmental Accounting Standards Board (GASB 84) – Fiduciary Activities (2)</w:t>
      </w:r>
    </w:p>
    <w:p w14:paraId="2029489A" w14:textId="77777777" w:rsidR="00BF27F5" w:rsidRPr="00BF27F5" w:rsidRDefault="00BF27F5" w:rsidP="00BF27F5">
      <w:r w:rsidRPr="00BF27F5">
        <w:t>Investment trust funds – to report fiduciary activities from the external portion of investment pools and individual investment accounts that are held in a trust.</w:t>
      </w:r>
    </w:p>
    <w:p w14:paraId="6AD30765" w14:textId="77777777" w:rsidR="00BF27F5" w:rsidRPr="00BF27F5" w:rsidRDefault="00BF27F5" w:rsidP="00BF27F5">
      <w:r w:rsidRPr="00BF27F5">
        <w:t>Custodial funds replace agency funds</w:t>
      </w:r>
    </w:p>
    <w:p w14:paraId="3CCFAA86"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9</w:t>
      </w:r>
      <w:r w:rsidR="00BF27F5" w:rsidRPr="00232510">
        <w:rPr>
          <w:rFonts w:ascii="Arial" w:hAnsi="Arial" w:cs="Arial"/>
          <w:b/>
          <w:color w:val="auto"/>
        </w:rPr>
        <w:t>: Governmental Accounting Standards Board (GASB 75) Update (1)</w:t>
      </w:r>
    </w:p>
    <w:p w14:paraId="05CDA1D6" w14:textId="77777777" w:rsidR="00BF27F5" w:rsidRPr="00BF27F5" w:rsidRDefault="00BF27F5" w:rsidP="00BF27F5">
      <w:r w:rsidRPr="00BF27F5">
        <w:t>Effective 2017-18</w:t>
      </w:r>
    </w:p>
    <w:p w14:paraId="3CC64956" w14:textId="77777777" w:rsidR="00BF27F5" w:rsidRPr="00BF27F5" w:rsidRDefault="00BF27F5" w:rsidP="00BF27F5">
      <w:r w:rsidRPr="00BF27F5">
        <w:t>GASB Objectives</w:t>
      </w:r>
    </w:p>
    <w:p w14:paraId="1DF843BB" w14:textId="77777777" w:rsidR="00BF27F5" w:rsidRPr="00BF27F5" w:rsidRDefault="00BF27F5" w:rsidP="00BF27F5">
      <w:pPr>
        <w:rPr>
          <w:szCs w:val="24"/>
        </w:rPr>
      </w:pPr>
      <w:r w:rsidRPr="00BF27F5">
        <w:rPr>
          <w:szCs w:val="24"/>
        </w:rPr>
        <w:t>Similar to GASB 67/68 pension</w:t>
      </w:r>
    </w:p>
    <w:p w14:paraId="584B2E74" w14:textId="77777777" w:rsidR="00BF27F5" w:rsidRPr="00BF27F5" w:rsidRDefault="008A649D" w:rsidP="00BF27F5">
      <w:pPr>
        <w:rPr>
          <w:szCs w:val="24"/>
        </w:rPr>
      </w:pPr>
      <w:r>
        <w:rPr>
          <w:szCs w:val="24"/>
        </w:rPr>
        <w:t>S</w:t>
      </w:r>
      <w:r w:rsidR="00BF27F5" w:rsidRPr="00BF27F5">
        <w:rPr>
          <w:szCs w:val="24"/>
        </w:rPr>
        <w:t>eparates funding and financial reporting</w:t>
      </w:r>
    </w:p>
    <w:p w14:paraId="574209F5" w14:textId="77777777" w:rsidR="00BF27F5" w:rsidRPr="00BF27F5" w:rsidRDefault="00BF27F5" w:rsidP="00BF27F5">
      <w:pPr>
        <w:rPr>
          <w:rFonts w:ascii="Calibri" w:hAnsi="Calibri" w:cs="Calibri"/>
          <w:kern w:val="24"/>
          <w:sz w:val="40"/>
          <w:szCs w:val="40"/>
        </w:rPr>
      </w:pPr>
      <w:r w:rsidRPr="00BF27F5">
        <w:t>CDE Assumption – single-employer and agent multiple-employer defined benefit OPEB plans</w:t>
      </w:r>
    </w:p>
    <w:p w14:paraId="1B84D279"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t xml:space="preserve">Slide </w:t>
      </w:r>
      <w:r w:rsidR="00F867AB" w:rsidRPr="00232510">
        <w:rPr>
          <w:rFonts w:ascii="Arial" w:hAnsi="Arial" w:cs="Arial"/>
          <w:b/>
          <w:color w:val="auto"/>
        </w:rPr>
        <w:t>20</w:t>
      </w:r>
      <w:r w:rsidR="00BF27F5" w:rsidRPr="00232510">
        <w:rPr>
          <w:rFonts w:ascii="Arial" w:hAnsi="Arial" w:cs="Arial"/>
          <w:b/>
          <w:color w:val="auto"/>
        </w:rPr>
        <w:t>: Governmental Accounting Standards Board (GASB 75) Update (2)</w:t>
      </w:r>
    </w:p>
    <w:p w14:paraId="518B36F6" w14:textId="77777777" w:rsidR="00BF27F5" w:rsidRPr="00BF27F5" w:rsidRDefault="00BF27F5" w:rsidP="00BF27F5">
      <w:r w:rsidRPr="00BF27F5">
        <w:t>OPEB expenditures recognized in governmental funds depending whether OPEB plans are:</w:t>
      </w:r>
    </w:p>
    <w:p w14:paraId="64C84E63" w14:textId="77777777" w:rsidR="00BF27F5" w:rsidRPr="00BF27F5" w:rsidRDefault="00BF27F5" w:rsidP="00BF27F5">
      <w:pPr>
        <w:rPr>
          <w:szCs w:val="24"/>
        </w:rPr>
      </w:pPr>
      <w:r w:rsidRPr="00BF27F5">
        <w:rPr>
          <w:szCs w:val="24"/>
        </w:rPr>
        <w:lastRenderedPageBreak/>
        <w:t xml:space="preserve">Administered through </w:t>
      </w:r>
      <w:r w:rsidR="008A649D" w:rsidRPr="00BF27F5">
        <w:rPr>
          <w:szCs w:val="24"/>
        </w:rPr>
        <w:t>qualifying</w:t>
      </w:r>
      <w:r w:rsidRPr="00BF27F5">
        <w:rPr>
          <w:szCs w:val="24"/>
        </w:rPr>
        <w:t xml:space="preserve"> trusts (that meet the criteria in paragraph 4 of GASB 75)</w:t>
      </w:r>
    </w:p>
    <w:p w14:paraId="73740FB1" w14:textId="77777777" w:rsidR="00BF27F5" w:rsidRPr="004D4AE0" w:rsidRDefault="00BF27F5" w:rsidP="001F0738">
      <w:pPr>
        <w:spacing w:after="0" w:line="240" w:lineRule="auto"/>
        <w:rPr>
          <w:szCs w:val="24"/>
        </w:rPr>
      </w:pPr>
      <w:r w:rsidRPr="004D4AE0">
        <w:rPr>
          <w:szCs w:val="24"/>
        </w:rPr>
        <w:t>Not administered through qualifying trusts (referred as Non-qualifying trusts)</w:t>
      </w:r>
    </w:p>
    <w:p w14:paraId="468AF070" w14:textId="77777777" w:rsidR="00BF27F5" w:rsidRPr="004D4AE0" w:rsidRDefault="00BF27F5" w:rsidP="004D4AE0">
      <w:pPr>
        <w:rPr>
          <w:szCs w:val="24"/>
        </w:rPr>
      </w:pPr>
      <w:r w:rsidRPr="004D4AE0">
        <w:rPr>
          <w:szCs w:val="24"/>
        </w:rPr>
        <w:t>including pay-as-you-go</w:t>
      </w:r>
    </w:p>
    <w:p w14:paraId="5B36CB55"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1</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(3)</w:t>
      </w:r>
    </w:p>
    <w:p w14:paraId="60236321" w14:textId="77777777" w:rsidR="00BF27F5" w:rsidRPr="004D4AE0" w:rsidRDefault="00BF27F5" w:rsidP="004D4AE0">
      <w:pPr>
        <w:rPr>
          <w:szCs w:val="24"/>
        </w:rPr>
      </w:pPr>
      <w:r w:rsidRPr="004D4AE0">
        <w:rPr>
          <w:szCs w:val="24"/>
        </w:rPr>
        <w:t>Qualifying trusts – OPEB expenditures reported in governmental funds include:</w:t>
      </w:r>
    </w:p>
    <w:p w14:paraId="489ECE5E" w14:textId="77777777" w:rsidR="00BF27F5" w:rsidRPr="004D4AE0" w:rsidRDefault="00BF27F5" w:rsidP="004D4AE0">
      <w:pPr>
        <w:rPr>
          <w:szCs w:val="24"/>
        </w:rPr>
      </w:pPr>
      <w:r w:rsidRPr="004D4AE0">
        <w:rPr>
          <w:szCs w:val="24"/>
        </w:rPr>
        <w:t>Amounts paid by the employer to the OPEB plan, including</w:t>
      </w:r>
    </w:p>
    <w:p w14:paraId="0F5FBCC6" w14:textId="77777777" w:rsidR="00BF27F5" w:rsidRPr="004D4AE0" w:rsidRDefault="00BF27F5" w:rsidP="004D4AE0">
      <w:pPr>
        <w:rPr>
          <w:szCs w:val="24"/>
        </w:rPr>
      </w:pPr>
      <w:r w:rsidRPr="004D4AE0">
        <w:rPr>
          <w:szCs w:val="24"/>
        </w:rPr>
        <w:t>Amounts paid by the employer for OPEB as the benefits come due (if not reimbursed to the employer using OPEB plan assets)</w:t>
      </w:r>
    </w:p>
    <w:p w14:paraId="66D9BC7D" w14:textId="77777777" w:rsidR="00BF27F5" w:rsidRPr="004D4AE0" w:rsidRDefault="00BF27F5" w:rsidP="004D4AE0">
      <w:pPr>
        <w:rPr>
          <w:szCs w:val="24"/>
        </w:rPr>
      </w:pPr>
      <w:r w:rsidRPr="004D4AE0">
        <w:rPr>
          <w:szCs w:val="24"/>
        </w:rPr>
        <w:t>Amounts paid by the employer to the OPEB trust</w:t>
      </w:r>
    </w:p>
    <w:p w14:paraId="4A20E8F7" w14:textId="77777777" w:rsidR="00BF27F5" w:rsidRPr="004D4AE0" w:rsidRDefault="00BF27F5" w:rsidP="004D4AE0">
      <w:pPr>
        <w:rPr>
          <w:szCs w:val="24"/>
        </w:rPr>
      </w:pPr>
      <w:r w:rsidRPr="004D4AE0">
        <w:rPr>
          <w:szCs w:val="24"/>
        </w:rPr>
        <w:t>The change between the beginning and ending balances of amounts normally expected to be liquidated with expendable available financial resources</w:t>
      </w:r>
    </w:p>
    <w:p w14:paraId="6B963899"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2</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(4)</w:t>
      </w:r>
    </w:p>
    <w:p w14:paraId="7D0642DC" w14:textId="77777777" w:rsidR="00BF27F5" w:rsidRPr="00BF27F5" w:rsidRDefault="00BF27F5" w:rsidP="004D4AE0">
      <w:r w:rsidRPr="00BF27F5">
        <w:t>Non-qualifying trusts – OPEB expenditures reported in governmental funds include:</w:t>
      </w:r>
    </w:p>
    <w:p w14:paraId="743FE6BB" w14:textId="77777777" w:rsidR="00BF27F5" w:rsidRPr="00BF27F5" w:rsidRDefault="00BF27F5" w:rsidP="004D4AE0">
      <w:pPr>
        <w:rPr>
          <w:szCs w:val="24"/>
        </w:rPr>
      </w:pPr>
      <w:r w:rsidRPr="00BF27F5">
        <w:rPr>
          <w:szCs w:val="24"/>
        </w:rPr>
        <w:t>Amounts paid by the employer for OPEB as the benefits come due</w:t>
      </w:r>
    </w:p>
    <w:p w14:paraId="52839B07" w14:textId="77777777" w:rsidR="00BF27F5" w:rsidRPr="00BF27F5" w:rsidRDefault="00BF27F5" w:rsidP="004D4AE0">
      <w:pPr>
        <w:rPr>
          <w:szCs w:val="24"/>
        </w:rPr>
      </w:pPr>
      <w:r w:rsidRPr="00BF27F5">
        <w:rPr>
          <w:szCs w:val="24"/>
        </w:rPr>
        <w:t>The change between the beginning and ending balances of amounts normally expected to be liquidated with expendable available financial resources</w:t>
      </w:r>
    </w:p>
    <w:p w14:paraId="1DDF4891"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3</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(5)</w:t>
      </w:r>
    </w:p>
    <w:p w14:paraId="19EFA12B" w14:textId="77777777" w:rsidR="00BF27F5" w:rsidRPr="00BF27F5" w:rsidRDefault="00BF27F5" w:rsidP="004D4AE0">
      <w:r w:rsidRPr="00BF27F5">
        <w:t>Qualifying trust examples</w:t>
      </w:r>
    </w:p>
    <w:p w14:paraId="1906B4D5" w14:textId="77777777" w:rsidR="00BF27F5" w:rsidRPr="00BF27F5" w:rsidRDefault="00BF27F5" w:rsidP="004D4AE0">
      <w:pPr>
        <w:rPr>
          <w:szCs w:val="24"/>
        </w:rPr>
      </w:pPr>
      <w:r w:rsidRPr="00BF27F5">
        <w:rPr>
          <w:szCs w:val="24"/>
        </w:rPr>
        <w:t xml:space="preserve">Example 1: The LEA paid $38,000 using its own resources for current year OPEB benefits for already retired employees as the benefits came </w:t>
      </w:r>
      <w:proofErr w:type="gramStart"/>
      <w:r w:rsidRPr="00BF27F5">
        <w:rPr>
          <w:szCs w:val="24"/>
        </w:rPr>
        <w:t>due, and</w:t>
      </w:r>
      <w:proofErr w:type="gramEnd"/>
      <w:r w:rsidRPr="00BF27F5">
        <w:rPr>
          <w:szCs w:val="24"/>
        </w:rPr>
        <w:t xml:space="preserve"> made $12,000 contribution to the OPEB trust during the reporting period. The LEA did not receive any reimbursements from the OPEB trust. The total OPEB expenditures reported by the LEA for the reporting period is $50,000 ($38,000 + $12,000).</w:t>
      </w:r>
    </w:p>
    <w:p w14:paraId="31540A6C" w14:textId="77777777" w:rsidR="00BF27F5" w:rsidRPr="00232510" w:rsidRDefault="004D4AE0"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4</w:t>
      </w:r>
      <w:r w:rsidRPr="00232510">
        <w:rPr>
          <w:rFonts w:ascii="Arial" w:hAnsi="Arial" w:cs="Arial"/>
          <w:b/>
          <w:color w:val="auto"/>
        </w:rPr>
        <w:t xml:space="preserve">: </w:t>
      </w:r>
      <w:r w:rsidR="00BF27F5" w:rsidRPr="00232510">
        <w:rPr>
          <w:rFonts w:ascii="Arial" w:hAnsi="Arial" w:cs="Arial"/>
          <w:b/>
          <w:color w:val="auto"/>
        </w:rPr>
        <w:t>Governmental Accounting Standards Board (GASB 75) Update (6)</w:t>
      </w:r>
    </w:p>
    <w:p w14:paraId="0020B02C" w14:textId="77777777" w:rsidR="00BF27F5" w:rsidRPr="00BF27F5" w:rsidRDefault="00BF27F5" w:rsidP="004D4AE0">
      <w:r w:rsidRPr="00BF27F5">
        <w:t>Qualifying trust examples</w:t>
      </w:r>
    </w:p>
    <w:p w14:paraId="011340C9" w14:textId="77777777" w:rsidR="00BF27F5" w:rsidRPr="00BF27F5" w:rsidRDefault="00BF27F5" w:rsidP="004D4AE0">
      <w:pPr>
        <w:rPr>
          <w:szCs w:val="24"/>
        </w:rPr>
      </w:pPr>
      <w:r w:rsidRPr="00BF27F5">
        <w:rPr>
          <w:szCs w:val="24"/>
        </w:rPr>
        <w:t xml:space="preserve">Example 2: The LEA paid $38,000 using its own resources for current year OPEB benefits for already retired employees as the benefits came </w:t>
      </w:r>
      <w:proofErr w:type="gramStart"/>
      <w:r w:rsidRPr="00BF27F5">
        <w:rPr>
          <w:szCs w:val="24"/>
        </w:rPr>
        <w:t>due, and</w:t>
      </w:r>
      <w:proofErr w:type="gramEnd"/>
      <w:r w:rsidRPr="00BF27F5">
        <w:rPr>
          <w:szCs w:val="24"/>
        </w:rPr>
        <w:t xml:space="preserve"> made $12,000 contribution to the OPEB trust during the reporting period. The LEA did receive reimbursements in the amount of $38,000 from the OPEB trust. The total OPEB expenditures reported by the LEA for the reporting period is $12,000.</w:t>
      </w:r>
    </w:p>
    <w:p w14:paraId="5AA9065B"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5</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(7)</w:t>
      </w:r>
    </w:p>
    <w:p w14:paraId="2165C723" w14:textId="77777777" w:rsidR="00BF27F5" w:rsidRPr="004D4AE0" w:rsidRDefault="00BF27F5" w:rsidP="004D4AE0">
      <w:pPr>
        <w:rPr>
          <w:szCs w:val="24"/>
        </w:rPr>
      </w:pPr>
      <w:r w:rsidRPr="004D4AE0">
        <w:rPr>
          <w:szCs w:val="24"/>
        </w:rPr>
        <w:t>Allowability of OPEB costs to federal programs</w:t>
      </w:r>
    </w:p>
    <w:p w14:paraId="58953BFE" w14:textId="77777777" w:rsidR="00BF27F5" w:rsidRPr="004D4AE0" w:rsidRDefault="00BF27F5" w:rsidP="004D4AE0">
      <w:pPr>
        <w:rPr>
          <w:szCs w:val="24"/>
        </w:rPr>
      </w:pPr>
      <w:r w:rsidRPr="004D4AE0">
        <w:rPr>
          <w:szCs w:val="24"/>
        </w:rPr>
        <w:t>Qualifying trusts:</w:t>
      </w:r>
    </w:p>
    <w:p w14:paraId="702B548A" w14:textId="77777777" w:rsidR="00BF27F5" w:rsidRPr="004D4AE0" w:rsidRDefault="00BF27F5" w:rsidP="004D4AE0">
      <w:pPr>
        <w:rPr>
          <w:szCs w:val="24"/>
        </w:rPr>
      </w:pPr>
      <w:r w:rsidRPr="004D4AE0">
        <w:rPr>
          <w:szCs w:val="24"/>
        </w:rPr>
        <w:lastRenderedPageBreak/>
        <w:t>OPEB expenditures (up to service costs amount) sho</w:t>
      </w:r>
      <w:r w:rsidR="008A649D">
        <w:rPr>
          <w:szCs w:val="24"/>
        </w:rPr>
        <w:t xml:space="preserve">uld be direct-charged (objects </w:t>
      </w:r>
      <w:r w:rsidRPr="004D4AE0">
        <w:rPr>
          <w:szCs w:val="24"/>
        </w:rPr>
        <w:t>3751-3752)</w:t>
      </w:r>
    </w:p>
    <w:p w14:paraId="49572718" w14:textId="77777777" w:rsidR="00BF27F5" w:rsidRPr="004D4AE0" w:rsidRDefault="00BF27F5" w:rsidP="004D4AE0">
      <w:pPr>
        <w:rPr>
          <w:szCs w:val="24"/>
        </w:rPr>
      </w:pPr>
      <w:r w:rsidRPr="004D4AE0">
        <w:rPr>
          <w:szCs w:val="24"/>
        </w:rPr>
        <w:t>Direct charge as a fringe benefit on a per-eligible-FTE basis to program(s) to which each OPEB-eligible active employee’s salary is charged (</w:t>
      </w:r>
      <w:r w:rsidRPr="00234083">
        <w:rPr>
          <w:i/>
          <w:szCs w:val="24"/>
        </w:rPr>
        <w:t>CSAM</w:t>
      </w:r>
      <w:r w:rsidRPr="004D4AE0">
        <w:rPr>
          <w:szCs w:val="24"/>
        </w:rPr>
        <w:t xml:space="preserve"> procedure 785-18)</w:t>
      </w:r>
    </w:p>
    <w:p w14:paraId="2F83B264" w14:textId="77777777" w:rsidR="00BF27F5" w:rsidRPr="004D4AE0" w:rsidRDefault="00BF27F5" w:rsidP="004D4AE0">
      <w:pPr>
        <w:rPr>
          <w:szCs w:val="24"/>
        </w:rPr>
      </w:pPr>
      <w:r w:rsidRPr="004D4AE0">
        <w:rPr>
          <w:szCs w:val="24"/>
        </w:rPr>
        <w:t>Remaining OPEB expenditures (if any) should be allocated (objects 3701-3702)</w:t>
      </w:r>
    </w:p>
    <w:p w14:paraId="6A5F64AB" w14:textId="77777777" w:rsidR="00BF27F5" w:rsidRPr="004D4AE0" w:rsidRDefault="00BF27F5" w:rsidP="004D4AE0">
      <w:pPr>
        <w:rPr>
          <w:szCs w:val="24"/>
        </w:rPr>
      </w:pPr>
      <w:r w:rsidRPr="004D4AE0">
        <w:rPr>
          <w:szCs w:val="24"/>
        </w:rPr>
        <w:t>Allocated to all activities in proportion to total salaries or total FTEs in all activities (</w:t>
      </w:r>
      <w:r w:rsidRPr="00234083">
        <w:rPr>
          <w:i/>
          <w:szCs w:val="24"/>
        </w:rPr>
        <w:t>CSAM</w:t>
      </w:r>
      <w:r w:rsidRPr="004D4AE0">
        <w:rPr>
          <w:szCs w:val="24"/>
        </w:rPr>
        <w:t xml:space="preserve"> Procedure 785-11)</w:t>
      </w:r>
    </w:p>
    <w:p w14:paraId="68A5D2C1" w14:textId="77777777" w:rsidR="00BF27F5" w:rsidRPr="004D4AE0" w:rsidRDefault="00BF27F5" w:rsidP="004D4AE0">
      <w:pPr>
        <w:rPr>
          <w:szCs w:val="24"/>
        </w:rPr>
      </w:pPr>
      <w:r w:rsidRPr="004D4AE0">
        <w:rPr>
          <w:szCs w:val="24"/>
        </w:rPr>
        <w:t>Non-qualifying trusts (including pay-as-you-go)</w:t>
      </w:r>
    </w:p>
    <w:p w14:paraId="3C931FC3" w14:textId="77777777" w:rsidR="00BF27F5" w:rsidRPr="004D4AE0" w:rsidRDefault="00BF27F5" w:rsidP="004D4AE0">
      <w:pPr>
        <w:rPr>
          <w:szCs w:val="24"/>
        </w:rPr>
      </w:pPr>
      <w:r w:rsidRPr="004D4AE0">
        <w:rPr>
          <w:szCs w:val="24"/>
        </w:rPr>
        <w:t>All OPEB expenditures should be allocated (objects 3701-3702)</w:t>
      </w:r>
    </w:p>
    <w:p w14:paraId="73365A06"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6</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(8)</w:t>
      </w:r>
    </w:p>
    <w:p w14:paraId="07287E63" w14:textId="77777777" w:rsidR="00BF27F5" w:rsidRPr="004D4AE0" w:rsidRDefault="00BF27F5" w:rsidP="004D4AE0">
      <w:pPr>
        <w:rPr>
          <w:szCs w:val="24"/>
        </w:rPr>
      </w:pPr>
      <w:r w:rsidRPr="004D4AE0">
        <w:rPr>
          <w:szCs w:val="24"/>
        </w:rPr>
        <w:t>Qualifying trust examples:</w:t>
      </w:r>
    </w:p>
    <w:p w14:paraId="37854626" w14:textId="77777777" w:rsidR="00BF27F5" w:rsidRPr="004D4AE0" w:rsidRDefault="00BF27F5" w:rsidP="004D4AE0">
      <w:pPr>
        <w:rPr>
          <w:szCs w:val="24"/>
        </w:rPr>
      </w:pPr>
      <w:r w:rsidRPr="004D4AE0">
        <w:rPr>
          <w:szCs w:val="24"/>
        </w:rPr>
        <w:t xml:space="preserve">Example 1: continued from previous example 1 (slide </w:t>
      </w:r>
      <w:r w:rsidR="004D4AE0">
        <w:rPr>
          <w:szCs w:val="24"/>
        </w:rPr>
        <w:t>23</w:t>
      </w:r>
      <w:r w:rsidRPr="004D4AE0">
        <w:rPr>
          <w:szCs w:val="24"/>
        </w:rPr>
        <w:t>). The service costs from the actuarial valuation report for the period are $45,000.</w:t>
      </w:r>
    </w:p>
    <w:p w14:paraId="0EE103C3" w14:textId="77777777" w:rsidR="00BF27F5" w:rsidRPr="004D4AE0" w:rsidRDefault="00BF27F5" w:rsidP="004D4AE0">
      <w:pPr>
        <w:rPr>
          <w:szCs w:val="24"/>
        </w:rPr>
      </w:pPr>
      <w:r w:rsidRPr="004D4AE0">
        <w:rPr>
          <w:szCs w:val="24"/>
        </w:rPr>
        <w:t>Total OPEB expenditures = $50,000</w:t>
      </w:r>
    </w:p>
    <w:p w14:paraId="695A0F27" w14:textId="77777777" w:rsidR="00BF27F5" w:rsidRPr="004D4AE0" w:rsidRDefault="00BF27F5" w:rsidP="004D4AE0">
      <w:pPr>
        <w:rPr>
          <w:szCs w:val="24"/>
        </w:rPr>
      </w:pPr>
      <w:r w:rsidRPr="004D4AE0">
        <w:rPr>
          <w:szCs w:val="24"/>
        </w:rPr>
        <w:t>Direct-charge $45,000 (objects 3751-3752)</w:t>
      </w:r>
    </w:p>
    <w:p w14:paraId="3F0437AA" w14:textId="77777777" w:rsidR="00BF27F5" w:rsidRPr="00BF27F5" w:rsidRDefault="00BF27F5" w:rsidP="004D4AE0">
      <w:pPr>
        <w:rPr>
          <w:rFonts w:ascii="Calibri" w:hAnsi="Calibri" w:cs="Calibri"/>
          <w:kern w:val="24"/>
          <w:sz w:val="40"/>
          <w:szCs w:val="40"/>
        </w:rPr>
      </w:pPr>
      <w:r w:rsidRPr="004D4AE0">
        <w:rPr>
          <w:szCs w:val="24"/>
        </w:rPr>
        <w:t>Allocate $5,000 (objects 3701-3702)</w:t>
      </w:r>
    </w:p>
    <w:p w14:paraId="1FD84F33" w14:textId="77777777" w:rsidR="00BF27F5" w:rsidRPr="00232510" w:rsidRDefault="004D4AE0" w:rsidP="004D4AE0">
      <w:pPr>
        <w:pStyle w:val="Heading2"/>
        <w:rPr>
          <w:rFonts w:ascii="Arial" w:hAnsi="Arial" w:cs="Arial"/>
          <w:b/>
          <w:color w:val="auto"/>
        </w:rPr>
      </w:pPr>
      <w:r w:rsidRPr="00232510">
        <w:rPr>
          <w:rFonts w:ascii="Arial" w:hAnsi="Arial" w:cs="Arial"/>
          <w:b/>
          <w:color w:val="auto"/>
        </w:rPr>
        <w:t>Slide</w:t>
      </w:r>
      <w:r w:rsidR="00BD393E" w:rsidRPr="00232510">
        <w:rPr>
          <w:rFonts w:ascii="Arial" w:hAnsi="Arial" w:cs="Arial"/>
          <w:b/>
          <w:color w:val="auto"/>
        </w:rPr>
        <w:t xml:space="preserve"> 2</w:t>
      </w:r>
      <w:r w:rsidR="00F867AB" w:rsidRPr="00232510">
        <w:rPr>
          <w:rFonts w:ascii="Arial" w:hAnsi="Arial" w:cs="Arial"/>
          <w:b/>
          <w:color w:val="auto"/>
        </w:rPr>
        <w:t>7</w:t>
      </w:r>
      <w:r w:rsidRPr="00232510">
        <w:rPr>
          <w:rFonts w:ascii="Arial" w:hAnsi="Arial" w:cs="Arial"/>
          <w:b/>
          <w:color w:val="auto"/>
        </w:rPr>
        <w:t xml:space="preserve">: </w:t>
      </w:r>
      <w:r w:rsidR="00BF27F5" w:rsidRPr="00232510">
        <w:rPr>
          <w:rFonts w:ascii="Arial" w:hAnsi="Arial" w:cs="Arial"/>
          <w:b/>
          <w:color w:val="auto"/>
        </w:rPr>
        <w:t>Governmental Accounting Standards Board (GASB 75) Update (9)</w:t>
      </w:r>
    </w:p>
    <w:p w14:paraId="48631438" w14:textId="77777777" w:rsidR="00BF27F5" w:rsidRPr="004D4AE0" w:rsidRDefault="00BF27F5" w:rsidP="004D4AE0">
      <w:pPr>
        <w:rPr>
          <w:szCs w:val="24"/>
        </w:rPr>
      </w:pPr>
      <w:r w:rsidRPr="004D4AE0">
        <w:rPr>
          <w:szCs w:val="24"/>
        </w:rPr>
        <w:t>Qualifying trust examples:</w:t>
      </w:r>
    </w:p>
    <w:p w14:paraId="1C0B8721" w14:textId="77777777" w:rsidR="00BF27F5" w:rsidRPr="004D4AE0" w:rsidRDefault="00BF27F5" w:rsidP="004D4AE0">
      <w:pPr>
        <w:rPr>
          <w:szCs w:val="24"/>
        </w:rPr>
      </w:pPr>
      <w:r w:rsidRPr="004D4AE0">
        <w:rPr>
          <w:szCs w:val="24"/>
        </w:rPr>
        <w:t xml:space="preserve">Example 2: continued from previous example 2 (slide </w:t>
      </w:r>
      <w:r w:rsidR="004D4AE0">
        <w:rPr>
          <w:szCs w:val="24"/>
        </w:rPr>
        <w:t>24</w:t>
      </w:r>
      <w:r w:rsidRPr="004D4AE0">
        <w:rPr>
          <w:szCs w:val="24"/>
        </w:rPr>
        <w:t>). The service costs from the actuarial valuation report for the period are $45,000.</w:t>
      </w:r>
    </w:p>
    <w:p w14:paraId="014BCE37" w14:textId="77777777" w:rsidR="00BF27F5" w:rsidRPr="004D4AE0" w:rsidRDefault="00BF27F5" w:rsidP="004D4AE0">
      <w:pPr>
        <w:rPr>
          <w:szCs w:val="24"/>
        </w:rPr>
      </w:pPr>
      <w:r w:rsidRPr="004D4AE0">
        <w:rPr>
          <w:szCs w:val="24"/>
        </w:rPr>
        <w:t>Total OPEB expenditures = $12,000</w:t>
      </w:r>
    </w:p>
    <w:p w14:paraId="5432C38F" w14:textId="77777777" w:rsidR="00BF27F5" w:rsidRPr="00BF27F5" w:rsidRDefault="00BF27F5" w:rsidP="004D4AE0">
      <w:pPr>
        <w:rPr>
          <w:rFonts w:ascii="Calibri" w:hAnsi="Calibri" w:cs="Calibri"/>
          <w:kern w:val="24"/>
          <w:sz w:val="40"/>
          <w:szCs w:val="40"/>
        </w:rPr>
      </w:pPr>
      <w:r w:rsidRPr="004D4AE0">
        <w:rPr>
          <w:szCs w:val="24"/>
        </w:rPr>
        <w:t>Direct-charge $12,000 (objects 3751-3752)</w:t>
      </w:r>
    </w:p>
    <w:p w14:paraId="3A852BE7"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8</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(10)</w:t>
      </w:r>
    </w:p>
    <w:p w14:paraId="21F211E4" w14:textId="77777777" w:rsidR="00BF27F5" w:rsidRPr="004D4AE0" w:rsidRDefault="00BF27F5" w:rsidP="004D4AE0">
      <w:pPr>
        <w:rPr>
          <w:szCs w:val="24"/>
        </w:rPr>
      </w:pPr>
      <w:r w:rsidRPr="004D4AE0">
        <w:rPr>
          <w:szCs w:val="24"/>
        </w:rPr>
        <w:t>Non-qualifying trust example</w:t>
      </w:r>
      <w:r w:rsidR="008A649D">
        <w:rPr>
          <w:szCs w:val="24"/>
        </w:rPr>
        <w:t>:</w:t>
      </w:r>
    </w:p>
    <w:p w14:paraId="5EA50A8E" w14:textId="77777777" w:rsidR="00BF27F5" w:rsidRPr="004D4AE0" w:rsidRDefault="008A649D" w:rsidP="004D4AE0">
      <w:pPr>
        <w:rPr>
          <w:szCs w:val="24"/>
        </w:rPr>
      </w:pPr>
      <w:r>
        <w:rPr>
          <w:szCs w:val="24"/>
        </w:rPr>
        <w:t>T</w:t>
      </w:r>
      <w:r w:rsidR="00BF27F5" w:rsidRPr="004D4AE0">
        <w:rPr>
          <w:szCs w:val="24"/>
        </w:rPr>
        <w:t xml:space="preserve">he LEA paid $38,000 using its own resources for current year OPEB benefits for already retired employees as the benefits came due. The LEA’s OPEB plan is not administered through a qualifying trust. </w:t>
      </w:r>
    </w:p>
    <w:p w14:paraId="7C92C24C" w14:textId="77777777" w:rsidR="00BF27F5" w:rsidRPr="004D4AE0" w:rsidRDefault="00BF27F5" w:rsidP="004D4AE0">
      <w:pPr>
        <w:rPr>
          <w:szCs w:val="24"/>
        </w:rPr>
      </w:pPr>
      <w:r w:rsidRPr="004D4AE0">
        <w:rPr>
          <w:szCs w:val="24"/>
        </w:rPr>
        <w:t>OPEB expenditures = $38,000</w:t>
      </w:r>
    </w:p>
    <w:p w14:paraId="2534E036" w14:textId="77777777" w:rsidR="00BF27F5" w:rsidRPr="004D4AE0" w:rsidRDefault="00BF27F5" w:rsidP="004D4AE0">
      <w:pPr>
        <w:rPr>
          <w:szCs w:val="24"/>
        </w:rPr>
      </w:pPr>
      <w:r w:rsidRPr="004D4AE0">
        <w:rPr>
          <w:szCs w:val="24"/>
        </w:rPr>
        <w:t>Allocate $38,000 (objects 3701-3702)</w:t>
      </w:r>
    </w:p>
    <w:p w14:paraId="788A422B" w14:textId="77777777" w:rsidR="00BF27F5" w:rsidRPr="00232510" w:rsidRDefault="00BD393E" w:rsidP="004D4AE0">
      <w:pPr>
        <w:pStyle w:val="Heading2"/>
        <w:rPr>
          <w:rFonts w:ascii="Arial" w:hAnsi="Arial" w:cs="Arial"/>
          <w:b/>
        </w:rPr>
      </w:pPr>
      <w:r w:rsidRPr="00232510">
        <w:rPr>
          <w:rFonts w:ascii="Arial" w:hAnsi="Arial" w:cs="Arial"/>
          <w:b/>
          <w:color w:val="auto"/>
        </w:rPr>
        <w:t>Slide 2</w:t>
      </w:r>
      <w:r w:rsidR="00F867AB" w:rsidRPr="00232510">
        <w:rPr>
          <w:rFonts w:ascii="Arial" w:hAnsi="Arial" w:cs="Arial"/>
          <w:b/>
          <w:color w:val="auto"/>
        </w:rPr>
        <w:t>9</w:t>
      </w:r>
      <w:r w:rsidR="004D4AE0" w:rsidRPr="00232510">
        <w:rPr>
          <w:rFonts w:ascii="Arial" w:hAnsi="Arial" w:cs="Arial"/>
          <w:b/>
          <w:color w:val="auto"/>
        </w:rPr>
        <w:t xml:space="preserve">: </w:t>
      </w:r>
      <w:r w:rsidR="00BF27F5" w:rsidRPr="00232510">
        <w:rPr>
          <w:rFonts w:ascii="Arial" w:hAnsi="Arial" w:cs="Arial"/>
          <w:b/>
          <w:color w:val="auto"/>
        </w:rPr>
        <w:t>Routine Restricted Maintenance Account Contribution</w:t>
      </w:r>
    </w:p>
    <w:p w14:paraId="6B19618E" w14:textId="77777777" w:rsidR="00BF27F5" w:rsidRPr="008A649D" w:rsidRDefault="00BF27F5" w:rsidP="004D4AE0">
      <w:r w:rsidRPr="008A649D">
        <w:t>Prop. 51 Funding</w:t>
      </w:r>
      <w:r w:rsidR="004D4AE0" w:rsidRPr="008A649D">
        <w:t>:</w:t>
      </w:r>
    </w:p>
    <w:p w14:paraId="47C08131" w14:textId="77777777" w:rsidR="00BF27F5" w:rsidRPr="00BF27F5" w:rsidRDefault="00BF27F5" w:rsidP="004D4AE0">
      <w:pPr>
        <w:rPr>
          <w:szCs w:val="24"/>
        </w:rPr>
      </w:pPr>
      <w:r w:rsidRPr="00BF27F5">
        <w:rPr>
          <w:szCs w:val="24"/>
        </w:rPr>
        <w:lastRenderedPageBreak/>
        <w:t xml:space="preserve">The Department of Finance </w:t>
      </w:r>
      <w:r w:rsidR="008672E3">
        <w:rPr>
          <w:szCs w:val="24"/>
        </w:rPr>
        <w:t>(DOF) determined the required 3 percent</w:t>
      </w:r>
      <w:r w:rsidRPr="00BF27F5">
        <w:rPr>
          <w:szCs w:val="24"/>
        </w:rPr>
        <w:t xml:space="preserve"> contribution should be made in the year that the funds are received. </w:t>
      </w:r>
    </w:p>
    <w:p w14:paraId="3F291156" w14:textId="77777777" w:rsidR="00BF27F5" w:rsidRPr="00BF27F5" w:rsidRDefault="00BF27F5" w:rsidP="004D4AE0">
      <w:pPr>
        <w:rPr>
          <w:szCs w:val="24"/>
        </w:rPr>
      </w:pPr>
      <w:r w:rsidRPr="00BF27F5">
        <w:rPr>
          <w:szCs w:val="24"/>
        </w:rPr>
        <w:t>Previous guidance given to</w:t>
      </w:r>
      <w:r w:rsidR="008672E3">
        <w:rPr>
          <w:szCs w:val="24"/>
        </w:rPr>
        <w:t xml:space="preserve"> the CDE was for the required 3 percent</w:t>
      </w:r>
      <w:r w:rsidRPr="00BF27F5">
        <w:rPr>
          <w:szCs w:val="24"/>
        </w:rPr>
        <w:t xml:space="preserve"> contribution be made in the year following receipt of the funds.</w:t>
      </w:r>
    </w:p>
    <w:p w14:paraId="258AF699" w14:textId="77777777" w:rsidR="00BF27F5" w:rsidRPr="00BF27F5" w:rsidRDefault="00BF27F5" w:rsidP="004D4AE0">
      <w:pPr>
        <w:rPr>
          <w:szCs w:val="24"/>
        </w:rPr>
      </w:pPr>
      <w:r w:rsidRPr="00BF27F5">
        <w:rPr>
          <w:szCs w:val="24"/>
        </w:rPr>
        <w:t>The 2018-19 Audit Guide developed by the State Controller’s Office (SCO), will be update</w:t>
      </w:r>
      <w:r w:rsidR="008672E3">
        <w:rPr>
          <w:szCs w:val="24"/>
        </w:rPr>
        <w:t>d</w:t>
      </w:r>
      <w:r w:rsidRPr="00BF27F5">
        <w:rPr>
          <w:szCs w:val="24"/>
        </w:rPr>
        <w:t xml:space="preserve"> to indicate that the contribution should be made in the current year.</w:t>
      </w:r>
    </w:p>
    <w:p w14:paraId="5F2303B4" w14:textId="77777777" w:rsidR="00BF27F5" w:rsidRPr="00BF27F5" w:rsidRDefault="00BF27F5" w:rsidP="004D4AE0">
      <w:r w:rsidRPr="00BF27F5">
        <w:rPr>
          <w:szCs w:val="24"/>
        </w:rPr>
        <w:t>The FCMAT Fiscal Procedure Manual will also be updated to reflect the change in guidance.</w:t>
      </w:r>
      <w:r w:rsidR="00B02CE1">
        <w:rPr>
          <w:szCs w:val="24"/>
        </w:rPr>
        <w:t xml:space="preserve"> – See May 16 SACS Forum minutes for updated information.</w:t>
      </w:r>
    </w:p>
    <w:p w14:paraId="5D51EC1A" w14:textId="77777777" w:rsidR="00BF27F5" w:rsidRDefault="00BF27F5" w:rsidP="004D4AE0">
      <w:r w:rsidRPr="00BF27F5">
        <w:t xml:space="preserve">All LEAs will be </w:t>
      </w:r>
      <w:r w:rsidR="008672E3">
        <w:t>required to make the required 3 percent</w:t>
      </w:r>
      <w:r w:rsidRPr="00BF27F5">
        <w:t xml:space="preserve"> contribution with the full implementation of the LCFF in FY 19/20.</w:t>
      </w:r>
    </w:p>
    <w:p w14:paraId="2ADB87E0" w14:textId="77777777" w:rsidR="00903204" w:rsidRPr="00232510" w:rsidRDefault="00903204" w:rsidP="00903204">
      <w:pPr>
        <w:pStyle w:val="Heading2"/>
        <w:spacing w:before="100" w:beforeAutospacing="1" w:after="100" w:afterAutospacing="1"/>
        <w:rPr>
          <w:rFonts w:ascii="Arial" w:hAnsi="Arial" w:cs="Arial"/>
          <w:b/>
          <w:color w:val="auto"/>
        </w:rPr>
      </w:pPr>
      <w:r w:rsidRPr="00232510">
        <w:rPr>
          <w:rFonts w:ascii="Arial" w:hAnsi="Arial" w:cs="Arial"/>
          <w:b/>
          <w:color w:val="auto"/>
        </w:rPr>
        <w:t>Slide 30: SACS Software Updates</w:t>
      </w:r>
    </w:p>
    <w:p w14:paraId="42F85B77"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 xml:space="preserve">Slide </w:t>
      </w:r>
      <w:r w:rsidR="00F867AB" w:rsidRPr="00232510">
        <w:rPr>
          <w:rFonts w:ascii="Arial" w:hAnsi="Arial" w:cs="Arial"/>
          <w:b/>
          <w:color w:val="auto"/>
        </w:rPr>
        <w:t>31</w:t>
      </w:r>
      <w:r w:rsidR="004D4AE0" w:rsidRPr="00232510">
        <w:rPr>
          <w:rFonts w:ascii="Arial" w:hAnsi="Arial" w:cs="Arial"/>
          <w:b/>
          <w:color w:val="auto"/>
        </w:rPr>
        <w:t xml:space="preserve">: </w:t>
      </w:r>
      <w:r w:rsidR="00BF27F5" w:rsidRPr="00232510">
        <w:rPr>
          <w:rFonts w:ascii="Arial" w:hAnsi="Arial" w:cs="Arial"/>
          <w:b/>
          <w:color w:val="auto"/>
        </w:rPr>
        <w:t>SACS2018ALL Software</w:t>
      </w:r>
    </w:p>
    <w:p w14:paraId="4CD9BBD2" w14:textId="77777777" w:rsidR="00BF27F5" w:rsidRPr="00BF27F5" w:rsidRDefault="00BF27F5" w:rsidP="004D4AE0">
      <w:r w:rsidRPr="00BF27F5">
        <w:t>Software is scheduled to be available the first week of July 2018.</w:t>
      </w:r>
    </w:p>
    <w:p w14:paraId="58074E17"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3</w:t>
      </w:r>
      <w:r w:rsidR="00F867AB" w:rsidRPr="00232510">
        <w:rPr>
          <w:rFonts w:ascii="Arial" w:hAnsi="Arial" w:cs="Arial"/>
          <w:b/>
          <w:color w:val="auto"/>
        </w:rPr>
        <w:t>2</w:t>
      </w:r>
      <w:r w:rsidR="004D4AE0" w:rsidRPr="00232510">
        <w:rPr>
          <w:rFonts w:ascii="Arial" w:hAnsi="Arial" w:cs="Arial"/>
          <w:b/>
          <w:color w:val="auto"/>
        </w:rPr>
        <w:t xml:space="preserve">: </w:t>
      </w:r>
      <w:r w:rsidR="00BF27F5" w:rsidRPr="00232510">
        <w:rPr>
          <w:rFonts w:ascii="Arial" w:hAnsi="Arial" w:cs="Arial"/>
          <w:b/>
          <w:color w:val="auto"/>
        </w:rPr>
        <w:t>CDE Fiscal listservs</w:t>
      </w:r>
    </w:p>
    <w:p w14:paraId="2B4BAA4A" w14:textId="77777777" w:rsidR="00BF27F5" w:rsidRPr="00BF27F5" w:rsidRDefault="00BF27F5" w:rsidP="004D4AE0">
      <w:r w:rsidRPr="00BF27F5">
        <w:t>SACS Forum</w:t>
      </w:r>
    </w:p>
    <w:p w14:paraId="10D09BDF" w14:textId="77777777" w:rsidR="00BF27F5" w:rsidRPr="00BF27F5" w:rsidRDefault="00000000" w:rsidP="004D4AE0">
      <w:pPr>
        <w:rPr>
          <w:szCs w:val="24"/>
        </w:rPr>
      </w:pPr>
      <w:hyperlink r:id="rId12" w:history="1">
        <w:r w:rsidR="00903204" w:rsidRPr="00A93AEA">
          <w:rPr>
            <w:rStyle w:val="Hyperlink"/>
            <w:szCs w:val="24"/>
          </w:rPr>
          <w:t>join-sacs-forum@mlist.cde.ca.gov</w:t>
        </w:r>
      </w:hyperlink>
      <w:r w:rsidR="004950D7">
        <w:rPr>
          <w:szCs w:val="24"/>
          <w:u w:val="single"/>
        </w:rPr>
        <w:t xml:space="preserve"> </w:t>
      </w:r>
      <w:r w:rsidR="00BF27F5" w:rsidRPr="00BF27F5">
        <w:rPr>
          <w:szCs w:val="24"/>
        </w:rPr>
        <w:t xml:space="preserve"> </w:t>
      </w:r>
    </w:p>
    <w:p w14:paraId="2DF87C53" w14:textId="77777777" w:rsidR="00BF27F5" w:rsidRPr="00E04C5C" w:rsidRDefault="00BF27F5" w:rsidP="00E04C5C">
      <w:pPr>
        <w:spacing w:after="0"/>
      </w:pPr>
      <w:r w:rsidRPr="00E04C5C">
        <w:t>SACS Updates</w:t>
      </w:r>
    </w:p>
    <w:p w14:paraId="30C64C7A" w14:textId="77777777" w:rsidR="00BF27F5" w:rsidRPr="00BF27F5" w:rsidRDefault="00000000" w:rsidP="004D4AE0">
      <w:pPr>
        <w:rPr>
          <w:szCs w:val="24"/>
        </w:rPr>
      </w:pPr>
      <w:hyperlink r:id="rId13" w:history="1">
        <w:r w:rsidR="00903204" w:rsidRPr="00A93AEA">
          <w:rPr>
            <w:rStyle w:val="Hyperlink"/>
            <w:szCs w:val="24"/>
          </w:rPr>
          <w:t>join-sacs-update@mlist.cde.ca.gov</w:t>
        </w:r>
      </w:hyperlink>
      <w:r w:rsidR="004950D7">
        <w:rPr>
          <w:szCs w:val="24"/>
          <w:u w:val="single"/>
        </w:rPr>
        <w:t xml:space="preserve"> </w:t>
      </w:r>
    </w:p>
    <w:p w14:paraId="4270B35F" w14:textId="77777777" w:rsidR="00BF27F5" w:rsidRPr="00BF27F5" w:rsidRDefault="00BF27F5" w:rsidP="004D4AE0">
      <w:r w:rsidRPr="00BF27F5">
        <w:t>Principal Apportionment Section (PASE)</w:t>
      </w:r>
    </w:p>
    <w:p w14:paraId="789E0F30" w14:textId="77777777" w:rsidR="00BF27F5" w:rsidRPr="00BF27F5" w:rsidRDefault="00000000" w:rsidP="004D4AE0">
      <w:pPr>
        <w:rPr>
          <w:szCs w:val="24"/>
        </w:rPr>
      </w:pPr>
      <w:hyperlink r:id="rId14" w:history="1">
        <w:r w:rsidR="00903204" w:rsidRPr="00A93AEA">
          <w:rPr>
            <w:rStyle w:val="Hyperlink"/>
            <w:szCs w:val="24"/>
          </w:rPr>
          <w:t xml:space="preserve">join-pase-contacts@mlist.cde.ca.gov </w:t>
        </w:r>
      </w:hyperlink>
      <w:r w:rsidR="00E04C5C">
        <w:rPr>
          <w:szCs w:val="24"/>
          <w:u w:val="single"/>
        </w:rPr>
        <w:t xml:space="preserve"> </w:t>
      </w:r>
    </w:p>
    <w:p w14:paraId="62B98FCF" w14:textId="77777777" w:rsidR="00BF27F5" w:rsidRPr="00BF27F5" w:rsidRDefault="00BF27F5" w:rsidP="004D4AE0">
      <w:r w:rsidRPr="00BF27F5">
        <w:t>Local Control Funding Formula (LCFF)</w:t>
      </w:r>
    </w:p>
    <w:p w14:paraId="03CEDD48" w14:textId="77777777" w:rsidR="00BF27F5" w:rsidRPr="00BF27F5" w:rsidRDefault="00000000" w:rsidP="004D4AE0">
      <w:pPr>
        <w:rPr>
          <w:szCs w:val="24"/>
        </w:rPr>
      </w:pPr>
      <w:hyperlink r:id="rId15" w:history="1">
        <w:r w:rsidR="004950D7" w:rsidRPr="0086449F">
          <w:rPr>
            <w:rStyle w:val="Hyperlink"/>
            <w:szCs w:val="24"/>
          </w:rPr>
          <w:t>join-lcff-list@mlist.cde.ca.gov</w:t>
        </w:r>
      </w:hyperlink>
    </w:p>
    <w:p w14:paraId="320BC7E8" w14:textId="77777777" w:rsidR="00BF27F5" w:rsidRPr="00BF27F5" w:rsidRDefault="00BF27F5" w:rsidP="004D4AE0">
      <w:r w:rsidRPr="00BF27F5">
        <w:t>Federal Cash Management (FCM)</w:t>
      </w:r>
    </w:p>
    <w:p w14:paraId="0900E454" w14:textId="77777777" w:rsidR="006868CE" w:rsidRPr="00BF27F5" w:rsidRDefault="00000000">
      <w:hyperlink r:id="rId16" w:history="1">
        <w:r w:rsidR="00903204" w:rsidRPr="00A93AEA">
          <w:rPr>
            <w:rStyle w:val="Hyperlink"/>
            <w:szCs w:val="24"/>
          </w:rPr>
          <w:t>join-federalcashmanagement@mlist.cde.ca.gov</w:t>
        </w:r>
      </w:hyperlink>
      <w:r w:rsidR="004950D7">
        <w:rPr>
          <w:szCs w:val="24"/>
          <w:u w:val="single"/>
        </w:rPr>
        <w:t xml:space="preserve"> </w:t>
      </w:r>
    </w:p>
    <w:sectPr w:rsidR="006868CE" w:rsidRPr="00BF27F5" w:rsidSect="003F7DE6">
      <w:headerReference w:type="default" r:id="rId17"/>
      <w:footerReference w:type="default" r:id="rId18"/>
      <w:footerReference w:type="first" r:id="rId1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E3DF" w14:textId="77777777" w:rsidR="003F7DE6" w:rsidRDefault="003F7DE6" w:rsidP="003F6EFF">
      <w:pPr>
        <w:spacing w:after="0" w:line="240" w:lineRule="auto"/>
      </w:pPr>
      <w:r>
        <w:separator/>
      </w:r>
    </w:p>
  </w:endnote>
  <w:endnote w:type="continuationSeparator" w:id="0">
    <w:p w14:paraId="0D6060B2" w14:textId="77777777" w:rsidR="003F7DE6" w:rsidRDefault="003F7DE6" w:rsidP="003F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032633"/>
      <w:docPartObj>
        <w:docPartGallery w:val="Page Numbers (Bottom of Page)"/>
        <w:docPartUnique/>
      </w:docPartObj>
    </w:sdtPr>
    <w:sdtEndPr>
      <w:rPr>
        <w:color w:val="7F7F7F" w:themeColor="background1" w:themeShade="7F"/>
        <w:spacing w:val="60"/>
      </w:rPr>
    </w:sdtEndPr>
    <w:sdtContent>
      <w:p w14:paraId="5C34C5A5" w14:textId="77777777" w:rsidR="003F6EFF" w:rsidRDefault="003F6EF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672E3">
          <w:rPr>
            <w:noProof/>
          </w:rPr>
          <w:t>7</w:t>
        </w:r>
        <w:r>
          <w:rPr>
            <w:noProof/>
          </w:rPr>
          <w:fldChar w:fldCharType="end"/>
        </w:r>
        <w:r>
          <w:t xml:space="preserve"> | </w:t>
        </w:r>
        <w:r>
          <w:rPr>
            <w:color w:val="7F7F7F" w:themeColor="background1" w:themeShade="7F"/>
            <w:spacing w:val="60"/>
          </w:rPr>
          <w:t>Page</w:t>
        </w:r>
      </w:p>
    </w:sdtContent>
  </w:sdt>
  <w:p w14:paraId="6F8F376F" w14:textId="77777777" w:rsidR="003F6EFF" w:rsidRDefault="003F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415058"/>
      <w:docPartObj>
        <w:docPartGallery w:val="Page Numbers (Bottom of Page)"/>
        <w:docPartUnique/>
      </w:docPartObj>
    </w:sdtPr>
    <w:sdtEndPr>
      <w:rPr>
        <w:color w:val="7F7F7F" w:themeColor="background1" w:themeShade="7F"/>
        <w:spacing w:val="60"/>
      </w:rPr>
    </w:sdtEndPr>
    <w:sdtContent>
      <w:p w14:paraId="371514C2" w14:textId="77777777" w:rsidR="00923739" w:rsidRDefault="0092373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672E3">
          <w:rPr>
            <w:noProof/>
          </w:rPr>
          <w:t>1</w:t>
        </w:r>
        <w:r>
          <w:rPr>
            <w:noProof/>
          </w:rPr>
          <w:fldChar w:fldCharType="end"/>
        </w:r>
        <w:r>
          <w:t xml:space="preserve"> | </w:t>
        </w:r>
        <w:r>
          <w:rPr>
            <w:color w:val="7F7F7F" w:themeColor="background1" w:themeShade="7F"/>
            <w:spacing w:val="60"/>
          </w:rPr>
          <w:t>Page</w:t>
        </w:r>
      </w:p>
    </w:sdtContent>
  </w:sdt>
  <w:p w14:paraId="3ECA15DE" w14:textId="77777777" w:rsidR="00923739" w:rsidRDefault="0092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B700" w14:textId="77777777" w:rsidR="003F7DE6" w:rsidRDefault="003F7DE6" w:rsidP="003F6EFF">
      <w:pPr>
        <w:spacing w:after="0" w:line="240" w:lineRule="auto"/>
      </w:pPr>
      <w:r>
        <w:separator/>
      </w:r>
    </w:p>
  </w:footnote>
  <w:footnote w:type="continuationSeparator" w:id="0">
    <w:p w14:paraId="70B105E7" w14:textId="77777777" w:rsidR="003F7DE6" w:rsidRDefault="003F7DE6" w:rsidP="003F6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1949" w14:textId="77777777" w:rsidR="00E04C5C" w:rsidRPr="00232510" w:rsidRDefault="00E04C5C" w:rsidP="00E04C5C">
    <w:pPr>
      <w:pStyle w:val="Header"/>
      <w:jc w:val="center"/>
      <w:rPr>
        <w:szCs w:val="20"/>
      </w:rPr>
    </w:pPr>
    <w:r w:rsidRPr="00232510">
      <w:rPr>
        <w:szCs w:val="20"/>
      </w:rPr>
      <w:t>California Department of Education – School Fiscal Services Division – May 2018 SACS Forum</w:t>
    </w:r>
  </w:p>
  <w:p w14:paraId="1BEDAFB5" w14:textId="77777777" w:rsidR="003F6EFF" w:rsidRPr="00E04C5C" w:rsidRDefault="003F6EFF" w:rsidP="00E04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46E5FBA"/>
    <w:lvl w:ilvl="0">
      <w:numFmt w:val="bullet"/>
      <w:lvlText w:val="*"/>
      <w:lvlJc w:val="left"/>
    </w:lvl>
  </w:abstractNum>
  <w:abstractNum w:abstractNumId="1" w15:restartNumberingAfterBreak="0">
    <w:nsid w:val="2FAB70F9"/>
    <w:multiLevelType w:val="hybridMultilevel"/>
    <w:tmpl w:val="D942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735A4"/>
    <w:multiLevelType w:val="hybridMultilevel"/>
    <w:tmpl w:val="E814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6632A"/>
    <w:multiLevelType w:val="hybridMultilevel"/>
    <w:tmpl w:val="D576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613842">
    <w:abstractNumId w:val="0"/>
    <w:lvlOverride w:ilvl="0">
      <w:lvl w:ilvl="0">
        <w:numFmt w:val="bullet"/>
        <w:lvlText w:val=" "/>
        <w:legacy w:legacy="1" w:legacySpace="0" w:legacyIndent="0"/>
        <w:lvlJc w:val="left"/>
        <w:rPr>
          <w:rFonts w:ascii="Calibri" w:hAnsi="Calibri" w:hint="default"/>
          <w:sz w:val="40"/>
        </w:rPr>
      </w:lvl>
    </w:lvlOverride>
  </w:num>
  <w:num w:numId="2" w16cid:durableId="803044989">
    <w:abstractNumId w:val="0"/>
    <w:lvlOverride w:ilvl="0">
      <w:lvl w:ilvl="0">
        <w:numFmt w:val="bullet"/>
        <w:lvlText w:val="◦"/>
        <w:legacy w:legacy="1" w:legacySpace="0" w:legacyIndent="0"/>
        <w:lvlJc w:val="left"/>
        <w:rPr>
          <w:rFonts w:ascii="Calibri" w:hAnsi="Calibri" w:hint="default"/>
          <w:sz w:val="36"/>
        </w:rPr>
      </w:lvl>
    </w:lvlOverride>
  </w:num>
  <w:num w:numId="3" w16cid:durableId="757023992">
    <w:abstractNumId w:val="0"/>
    <w:lvlOverride w:ilvl="0">
      <w:lvl w:ilvl="0">
        <w:numFmt w:val="bullet"/>
        <w:lvlText w:val=" "/>
        <w:legacy w:legacy="1" w:legacySpace="0" w:legacyIndent="0"/>
        <w:lvlJc w:val="left"/>
        <w:rPr>
          <w:rFonts w:ascii="Calibri" w:hAnsi="Calibri" w:hint="default"/>
          <w:sz w:val="88"/>
        </w:rPr>
      </w:lvl>
    </w:lvlOverride>
  </w:num>
  <w:num w:numId="4" w16cid:durableId="769815543">
    <w:abstractNumId w:val="0"/>
    <w:lvlOverride w:ilvl="0">
      <w:lvl w:ilvl="0">
        <w:numFmt w:val="bullet"/>
        <w:lvlText w:val="•"/>
        <w:legacy w:legacy="1" w:legacySpace="0" w:legacyIndent="0"/>
        <w:lvlJc w:val="left"/>
        <w:rPr>
          <w:rFonts w:ascii="Arial" w:hAnsi="Arial" w:cs="Arial" w:hint="default"/>
          <w:sz w:val="40"/>
        </w:rPr>
      </w:lvl>
    </w:lvlOverride>
  </w:num>
  <w:num w:numId="5" w16cid:durableId="40324305">
    <w:abstractNumId w:val="0"/>
    <w:lvlOverride w:ilvl="0">
      <w:lvl w:ilvl="0">
        <w:numFmt w:val="bullet"/>
        <w:lvlText w:val="–"/>
        <w:legacy w:legacy="1" w:legacySpace="0" w:legacyIndent="0"/>
        <w:lvlJc w:val="left"/>
        <w:rPr>
          <w:rFonts w:ascii="Arial" w:hAnsi="Arial" w:cs="Arial" w:hint="default"/>
          <w:sz w:val="36"/>
        </w:rPr>
      </w:lvl>
    </w:lvlOverride>
  </w:num>
  <w:num w:numId="6" w16cid:durableId="820341939">
    <w:abstractNumId w:val="0"/>
    <w:lvlOverride w:ilvl="0">
      <w:lvl w:ilvl="0">
        <w:numFmt w:val="bullet"/>
        <w:lvlText w:val="•"/>
        <w:legacy w:legacy="1" w:legacySpace="0" w:legacyIndent="0"/>
        <w:lvlJc w:val="left"/>
        <w:rPr>
          <w:rFonts w:ascii="Arial" w:hAnsi="Arial" w:cs="Arial" w:hint="default"/>
          <w:sz w:val="32"/>
        </w:rPr>
      </w:lvl>
    </w:lvlOverride>
  </w:num>
  <w:num w:numId="7" w16cid:durableId="104157234">
    <w:abstractNumId w:val="0"/>
    <w:lvlOverride w:ilvl="0">
      <w:lvl w:ilvl="0">
        <w:numFmt w:val="bullet"/>
        <w:lvlText w:val="◦"/>
        <w:legacy w:legacy="1" w:legacySpace="0" w:legacyIndent="0"/>
        <w:lvlJc w:val="left"/>
        <w:rPr>
          <w:rFonts w:ascii="Calibri" w:hAnsi="Calibri" w:hint="default"/>
          <w:sz w:val="28"/>
        </w:rPr>
      </w:lvl>
    </w:lvlOverride>
  </w:num>
  <w:num w:numId="8" w16cid:durableId="1813402646">
    <w:abstractNumId w:val="2"/>
  </w:num>
  <w:num w:numId="9" w16cid:durableId="1427578064">
    <w:abstractNumId w:val="1"/>
  </w:num>
  <w:num w:numId="10" w16cid:durableId="222373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F5"/>
    <w:rsid w:val="00043C88"/>
    <w:rsid w:val="00112A96"/>
    <w:rsid w:val="00166455"/>
    <w:rsid w:val="001F0738"/>
    <w:rsid w:val="00232510"/>
    <w:rsid w:val="00234083"/>
    <w:rsid w:val="002754DB"/>
    <w:rsid w:val="002C1CB6"/>
    <w:rsid w:val="00387FA5"/>
    <w:rsid w:val="003D659D"/>
    <w:rsid w:val="003F6EFF"/>
    <w:rsid w:val="003F7DE6"/>
    <w:rsid w:val="00403CBA"/>
    <w:rsid w:val="00441CC2"/>
    <w:rsid w:val="00470207"/>
    <w:rsid w:val="004950D7"/>
    <w:rsid w:val="004B7947"/>
    <w:rsid w:val="004D4AE0"/>
    <w:rsid w:val="004E6C3A"/>
    <w:rsid w:val="00520422"/>
    <w:rsid w:val="005345D6"/>
    <w:rsid w:val="005C6D55"/>
    <w:rsid w:val="0061672D"/>
    <w:rsid w:val="006868CE"/>
    <w:rsid w:val="00732D3B"/>
    <w:rsid w:val="007609DA"/>
    <w:rsid w:val="008075BD"/>
    <w:rsid w:val="00824440"/>
    <w:rsid w:val="008672E3"/>
    <w:rsid w:val="008A649D"/>
    <w:rsid w:val="00903204"/>
    <w:rsid w:val="00923739"/>
    <w:rsid w:val="00983CB8"/>
    <w:rsid w:val="00A110CC"/>
    <w:rsid w:val="00A4782D"/>
    <w:rsid w:val="00A713BB"/>
    <w:rsid w:val="00AB737E"/>
    <w:rsid w:val="00B02CE1"/>
    <w:rsid w:val="00BD393E"/>
    <w:rsid w:val="00BF27F5"/>
    <w:rsid w:val="00C40D62"/>
    <w:rsid w:val="00D04B99"/>
    <w:rsid w:val="00E00D79"/>
    <w:rsid w:val="00E04C5C"/>
    <w:rsid w:val="00E140E5"/>
    <w:rsid w:val="00E80072"/>
    <w:rsid w:val="00EA10ED"/>
    <w:rsid w:val="00EB3F6A"/>
    <w:rsid w:val="00EC40C7"/>
    <w:rsid w:val="00F8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D5EA5"/>
  <w15:chartTrackingRefBased/>
  <w15:docId w15:val="{9B387698-C931-44C7-B423-75625AAB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C7"/>
    <w:rPr>
      <w:rFonts w:ascii="Arial" w:hAnsi="Arial"/>
      <w:sz w:val="24"/>
    </w:rPr>
  </w:style>
  <w:style w:type="paragraph" w:styleId="Heading1">
    <w:name w:val="heading 1"/>
    <w:basedOn w:val="Normal"/>
    <w:next w:val="Normal"/>
    <w:link w:val="Heading1Char"/>
    <w:uiPriority w:val="9"/>
    <w:qFormat/>
    <w:rsid w:val="00BF27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27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7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27F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F27F5"/>
    <w:pPr>
      <w:ind w:left="720"/>
      <w:contextualSpacing/>
    </w:pPr>
  </w:style>
  <w:style w:type="character" w:styleId="Hyperlink">
    <w:name w:val="Hyperlink"/>
    <w:basedOn w:val="DefaultParagraphFont"/>
    <w:uiPriority w:val="99"/>
    <w:unhideWhenUsed/>
    <w:rsid w:val="00BF27F5"/>
    <w:rPr>
      <w:color w:val="0563C1" w:themeColor="hyperlink"/>
      <w:u w:val="single"/>
    </w:rPr>
  </w:style>
  <w:style w:type="paragraph" w:styleId="Header">
    <w:name w:val="header"/>
    <w:basedOn w:val="Normal"/>
    <w:link w:val="HeaderChar"/>
    <w:uiPriority w:val="99"/>
    <w:unhideWhenUsed/>
    <w:rsid w:val="003F6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EFF"/>
    <w:rPr>
      <w:rFonts w:ascii="Arial" w:hAnsi="Arial"/>
      <w:sz w:val="24"/>
    </w:rPr>
  </w:style>
  <w:style w:type="paragraph" w:styleId="Footer">
    <w:name w:val="footer"/>
    <w:basedOn w:val="Normal"/>
    <w:link w:val="FooterChar"/>
    <w:uiPriority w:val="99"/>
    <w:unhideWhenUsed/>
    <w:rsid w:val="003F6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EFF"/>
    <w:rPr>
      <w:rFonts w:ascii="Arial" w:hAnsi="Arial"/>
      <w:sz w:val="24"/>
    </w:rPr>
  </w:style>
  <w:style w:type="character" w:styleId="FollowedHyperlink">
    <w:name w:val="FollowedHyperlink"/>
    <w:basedOn w:val="DefaultParagraphFont"/>
    <w:uiPriority w:val="99"/>
    <w:semiHidden/>
    <w:unhideWhenUsed/>
    <w:rsid w:val="00E04C5C"/>
    <w:rPr>
      <w:color w:val="954F72" w:themeColor="followedHyperlink"/>
      <w:u w:val="single"/>
    </w:rPr>
  </w:style>
  <w:style w:type="paragraph" w:styleId="NoSpacing">
    <w:name w:val="No Spacing"/>
    <w:uiPriority w:val="1"/>
    <w:qFormat/>
    <w:rsid w:val="0023251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fg/sf/fr/" TargetMode="External"/><Relationship Id="rId13" Type="http://schemas.openxmlformats.org/officeDocument/2006/relationships/hyperlink" Target="mailto:join-sacs-update@mlist.cde.ca.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e.ca.gov/fg/ac/ic/" TargetMode="External"/><Relationship Id="rId12" Type="http://schemas.openxmlformats.org/officeDocument/2006/relationships/hyperlink" Target="mailto:join-sacs-forum@mlist.cde.ca.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oin-federalcashmanagement@mlist.cde.c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strs.com/gasb-67-68-frequently-asked-questions" TargetMode="External"/><Relationship Id="rId5" Type="http://schemas.openxmlformats.org/officeDocument/2006/relationships/footnotes" Target="footnotes.xml"/><Relationship Id="rId15" Type="http://schemas.openxmlformats.org/officeDocument/2006/relationships/hyperlink" Target="mailto:join-lcff-list@mlist.cde.ca.gov" TargetMode="External"/><Relationship Id="rId10" Type="http://schemas.openxmlformats.org/officeDocument/2006/relationships/hyperlink" Target="https://www.gpo.gov/fdsys/pkg/BILLS-114s1177enr/pdf/BILLS-114s1177enr.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de.ca.gov/fg/ac/ac/validcodes.asp" TargetMode="External"/><Relationship Id="rId14" Type="http://schemas.openxmlformats.org/officeDocument/2006/relationships/hyperlink" Target="mailto:join-pase-contacts@mlist.cde.ca.go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SACS Minutes, May 2018, Attachment A - Standardized Account Code Structure (CA Dept of Education)</vt:lpstr>
    </vt:vector>
  </TitlesOfParts>
  <Company>CA Department of Education</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Minutes, May 2018, Attachment A - Standardized Account Code Structure (CA Dept of Education)</dc:title>
  <dc:subject>This document is Attachment A to the Standardized Account Code Structure (SACS) Forum meeting minutes for May 16, 2018.</dc:subject>
  <dc:creator/>
  <cp:keywords/>
  <dc:description/>
  <cp:lastModifiedBy>Jacob Blum</cp:lastModifiedBy>
  <cp:revision>28</cp:revision>
  <dcterms:created xsi:type="dcterms:W3CDTF">2018-05-15T21:33:00Z</dcterms:created>
  <dcterms:modified xsi:type="dcterms:W3CDTF">2024-01-25T21:40:00Z</dcterms:modified>
</cp:coreProperties>
</file>