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106E" w14:textId="743BCEB8" w:rsidR="00CB03F2" w:rsidRPr="00CE5E15" w:rsidRDefault="00CB03F2" w:rsidP="009451C1">
      <w:pPr>
        <w:spacing w:after="0"/>
        <w:jc w:val="center"/>
        <w:rPr>
          <w:rFonts w:cs="Arial"/>
          <w:b/>
        </w:rPr>
      </w:pPr>
      <w:bookmarkStart w:id="0" w:name="_Hlk129865498"/>
      <w:r w:rsidRPr="00CE5E15">
        <w:rPr>
          <w:rFonts w:cs="Arial"/>
          <w:b/>
          <w:sz w:val="28"/>
        </w:rPr>
        <w:t>THIS DOCUMENT IS FOR REFERENCE ONLY.</w:t>
      </w:r>
    </w:p>
    <w:p w14:paraId="07980E02" w14:textId="1D2129F5" w:rsidR="00CB03F2" w:rsidRPr="00CE5E15" w:rsidRDefault="00CB03F2" w:rsidP="00864DE3">
      <w:pPr>
        <w:spacing w:after="240"/>
        <w:jc w:val="center"/>
        <w:rPr>
          <w:rFonts w:cs="Arial"/>
          <w:b/>
          <w:szCs w:val="24"/>
        </w:rPr>
      </w:pPr>
      <w:r w:rsidRPr="00CE5E15">
        <w:rPr>
          <w:rFonts w:cs="Arial"/>
          <w:b/>
          <w:sz w:val="28"/>
          <w:szCs w:val="28"/>
        </w:rPr>
        <w:t>PLEASE DO NOT SUBMIT THIS DOCUMENT TO THE CALIFORNIA DEPARTMENT OF EDUCATION</w:t>
      </w:r>
    </w:p>
    <w:p w14:paraId="55DDAB33" w14:textId="294924F8" w:rsidR="008D11B4" w:rsidRPr="00CE5E15" w:rsidRDefault="008D11B4" w:rsidP="00257198">
      <w:pPr>
        <w:pStyle w:val="Heading1"/>
        <w:spacing w:before="0"/>
        <w:contextualSpacing/>
        <w:jc w:val="center"/>
        <w:rPr>
          <w:rFonts w:eastAsia="Arial" w:cs="Arial"/>
          <w:sz w:val="24"/>
        </w:rPr>
      </w:pPr>
      <w:r w:rsidRPr="00CE5E15">
        <w:rPr>
          <w:rFonts w:cs="Arial"/>
        </w:rPr>
        <w:t>Learning Recovery Emergency Block Grant</w:t>
      </w:r>
      <w:r w:rsidR="003E1D98" w:rsidRPr="00CE5E15">
        <w:rPr>
          <w:rFonts w:cs="Arial"/>
        </w:rPr>
        <w:t xml:space="preserve"> </w:t>
      </w:r>
      <w:r w:rsidR="00D96EA6" w:rsidRPr="00CE5E15">
        <w:rPr>
          <w:rFonts w:eastAsia="Arial" w:cs="Arial"/>
        </w:rPr>
        <w:t xml:space="preserve">Reporting </w:t>
      </w:r>
      <w:r w:rsidRPr="00CE5E15">
        <w:rPr>
          <w:rFonts w:eastAsia="Arial" w:cs="Arial"/>
        </w:rPr>
        <w:t>Template</w:t>
      </w:r>
      <w:r w:rsidR="00F210A0" w:rsidRPr="00CE5E15">
        <w:rPr>
          <w:rFonts w:eastAsia="Arial" w:cs="Arial"/>
        </w:rPr>
        <w:t xml:space="preserve"> for Interim Expenditures</w:t>
      </w:r>
    </w:p>
    <w:p w14:paraId="33FDA4DC" w14:textId="77777777" w:rsidR="008D11B4" w:rsidRPr="00CE5E15" w:rsidRDefault="008D11B4" w:rsidP="006B1AAF">
      <w:pPr>
        <w:pStyle w:val="Heading2"/>
      </w:pPr>
      <w:r w:rsidRPr="00CE5E15">
        <w:t>Purpose</w:t>
      </w:r>
    </w:p>
    <w:p w14:paraId="636DD2BB" w14:textId="77F36E91" w:rsidR="00B51705" w:rsidRPr="00CE5E15" w:rsidRDefault="008D11B4" w:rsidP="00257198">
      <w:pPr>
        <w:spacing w:before="240" w:line="250" w:lineRule="auto"/>
        <w:ind w:left="14" w:hanging="14"/>
        <w:contextualSpacing/>
        <w:rPr>
          <w:rStyle w:val="Heading2Char"/>
          <w:rFonts w:eastAsia="Arial"/>
          <w:b w:val="0"/>
          <w:szCs w:val="22"/>
        </w:rPr>
      </w:pPr>
      <w:r w:rsidRPr="00CE5E15">
        <w:rPr>
          <w:rFonts w:eastAsia="Arial" w:cs="Arial"/>
        </w:rPr>
        <w:t xml:space="preserve">The Learning Recovery Emergency Block Grant (LREBG) was established in response to the emergency caused by the COVID-19 pandemic to assist schools serving pupils in the long-term recovery from the COVID-19 pandemic, including addressing pupil learning, mental health, and overall well-being. The LREBG allocates </w:t>
      </w:r>
      <w:r w:rsidR="00CC49BA" w:rsidRPr="00CE5E15">
        <w:rPr>
          <w:rFonts w:eastAsia="Arial" w:cs="Arial"/>
        </w:rPr>
        <w:t xml:space="preserve">$6,800,050,000 </w:t>
      </w:r>
      <w:r w:rsidRPr="00CE5E15">
        <w:rPr>
          <w:rFonts w:eastAsia="Arial" w:cs="Arial"/>
        </w:rPr>
        <w:t>to local educational agencies (LEAs), including county offices of education, school districts, and charter schools beginning fiscal year 2022–23 through 2027–28.</w:t>
      </w:r>
    </w:p>
    <w:p w14:paraId="431D13DE" w14:textId="77777777" w:rsidR="00257198" w:rsidRPr="00CE5E15" w:rsidRDefault="008D11B4" w:rsidP="00257198">
      <w:pPr>
        <w:pStyle w:val="Heading2"/>
        <w:spacing w:after="240" w:line="240" w:lineRule="auto"/>
        <w:rPr>
          <w:rStyle w:val="Heading2Char"/>
          <w:b/>
        </w:rPr>
      </w:pPr>
      <w:r w:rsidRPr="00CE5E15">
        <w:rPr>
          <w:rStyle w:val="Heading2Char"/>
          <w:b/>
        </w:rPr>
        <w:t>Legislative Authorit</w:t>
      </w:r>
      <w:r w:rsidR="001B426F" w:rsidRPr="00CE5E15">
        <w:rPr>
          <w:rStyle w:val="Heading2Char"/>
          <w:b/>
        </w:rPr>
        <w:t>y</w:t>
      </w:r>
    </w:p>
    <w:p w14:paraId="65FF7127" w14:textId="3DC82AC1" w:rsidR="006B1AAF" w:rsidRPr="00CE5E15" w:rsidRDefault="008D11B4" w:rsidP="00CE5E15">
      <w:r w:rsidRPr="00CE5E15">
        <w:rPr>
          <w:i/>
          <w:iCs/>
        </w:rPr>
        <w:t>Education Code</w:t>
      </w:r>
      <w:r w:rsidRPr="00CE5E15">
        <w:t> (</w:t>
      </w:r>
      <w:r w:rsidRPr="00CE5E15">
        <w:rPr>
          <w:i/>
          <w:iCs/>
        </w:rPr>
        <w:t>EC</w:t>
      </w:r>
      <w:r w:rsidRPr="00CE5E15">
        <w:t xml:space="preserve">) Title 1, Division 1, Part 19.6, Section 32526, </w:t>
      </w:r>
    </w:p>
    <w:p w14:paraId="121DF447" w14:textId="77777777" w:rsidR="00257198" w:rsidRPr="00CE5E15" w:rsidRDefault="000B4E38" w:rsidP="00257198">
      <w:pPr>
        <w:pStyle w:val="ListParagraph"/>
        <w:numPr>
          <w:ilvl w:val="0"/>
          <w:numId w:val="26"/>
        </w:numPr>
        <w:spacing w:after="0" w:line="360" w:lineRule="auto"/>
        <w:rPr>
          <w:rFonts w:ascii="Helvetica" w:hAnsi="Helvetica" w:cs="Helvetica"/>
          <w:szCs w:val="23"/>
        </w:rPr>
      </w:pPr>
      <w:r w:rsidRPr="00CE5E15">
        <w:rPr>
          <w:rFonts w:ascii="Helvetica" w:hAnsi="Helvetica" w:cs="Helvetica"/>
          <w:szCs w:val="23"/>
        </w:rPr>
        <w:t xml:space="preserve">Added by Section 2 of </w:t>
      </w:r>
      <w:r w:rsidR="00894969" w:rsidRPr="00CE5E15">
        <w:rPr>
          <w:rFonts w:ascii="Helvetica" w:hAnsi="Helvetica" w:cs="Helvetica"/>
          <w:szCs w:val="23"/>
        </w:rPr>
        <w:t>Assembly Bill</w:t>
      </w:r>
      <w:r w:rsidRPr="00CE5E15">
        <w:rPr>
          <w:rFonts w:ascii="Helvetica" w:hAnsi="Helvetica" w:cs="Helvetica"/>
          <w:szCs w:val="23"/>
        </w:rPr>
        <w:t xml:space="preserve"> 182 (Chapter 53, 2022),</w:t>
      </w:r>
    </w:p>
    <w:p w14:paraId="1D32C865" w14:textId="77777777" w:rsidR="00257198" w:rsidRPr="00CE5E15" w:rsidRDefault="000B4E38" w:rsidP="00257198">
      <w:pPr>
        <w:pStyle w:val="ListParagraph"/>
        <w:numPr>
          <w:ilvl w:val="0"/>
          <w:numId w:val="26"/>
        </w:numPr>
        <w:spacing w:after="0" w:line="360" w:lineRule="auto"/>
        <w:rPr>
          <w:rFonts w:ascii="Helvetica" w:hAnsi="Helvetica" w:cs="Helvetica"/>
          <w:szCs w:val="23"/>
        </w:rPr>
      </w:pPr>
      <w:r w:rsidRPr="00CE5E15">
        <w:rPr>
          <w:rFonts w:ascii="Helvetica" w:hAnsi="Helvetica" w:cs="Helvetica"/>
          <w:szCs w:val="23"/>
        </w:rPr>
        <w:t xml:space="preserve">Amended by Section 15 of AB 185 (Chapter 571, 2022) and Section 16 of </w:t>
      </w:r>
      <w:r w:rsidR="00894969" w:rsidRPr="00CE5E15">
        <w:rPr>
          <w:rFonts w:ascii="Helvetica" w:hAnsi="Helvetica" w:cs="Helvetica"/>
          <w:szCs w:val="23"/>
        </w:rPr>
        <w:t>Senate Bill</w:t>
      </w:r>
      <w:r w:rsidRPr="00CE5E15">
        <w:rPr>
          <w:rFonts w:ascii="Helvetica" w:hAnsi="Helvetica" w:cs="Helvetica"/>
          <w:szCs w:val="23"/>
        </w:rPr>
        <w:t xml:space="preserve"> 114 (Chapter 48, 2023)</w:t>
      </w:r>
    </w:p>
    <w:p w14:paraId="46D2F20E" w14:textId="77777777" w:rsidR="00257198" w:rsidRPr="00CE5E15" w:rsidRDefault="000B4E38" w:rsidP="00257198">
      <w:pPr>
        <w:pStyle w:val="ListParagraph"/>
        <w:numPr>
          <w:ilvl w:val="0"/>
          <w:numId w:val="26"/>
        </w:numPr>
        <w:spacing w:after="0" w:line="360" w:lineRule="auto"/>
        <w:rPr>
          <w:rFonts w:ascii="Helvetica" w:hAnsi="Helvetica" w:cs="Helvetica"/>
          <w:szCs w:val="23"/>
        </w:rPr>
      </w:pPr>
      <w:r w:rsidRPr="00CE5E15">
        <w:rPr>
          <w:rFonts w:ascii="Helvetica" w:hAnsi="Helvetica" w:cs="Helvetica"/>
          <w:szCs w:val="23"/>
        </w:rPr>
        <w:t>Amended by Section 6 of SB 141 (Chapter 194, 2023)</w:t>
      </w:r>
    </w:p>
    <w:p w14:paraId="1F389AA0" w14:textId="77777777" w:rsidR="00257198" w:rsidRPr="00CE5E15" w:rsidRDefault="000B4E38" w:rsidP="00257198">
      <w:pPr>
        <w:pStyle w:val="ListParagraph"/>
        <w:numPr>
          <w:ilvl w:val="1"/>
          <w:numId w:val="26"/>
        </w:numPr>
        <w:spacing w:after="0" w:line="360" w:lineRule="auto"/>
        <w:rPr>
          <w:rFonts w:ascii="Helvetica" w:hAnsi="Helvetica" w:cs="Helvetica"/>
          <w:szCs w:val="23"/>
        </w:rPr>
      </w:pPr>
      <w:r w:rsidRPr="00CE5E15">
        <w:rPr>
          <w:rFonts w:ascii="Helvetica" w:hAnsi="Helvetica" w:cs="Helvetica"/>
          <w:szCs w:val="23"/>
        </w:rPr>
        <w:t>Item 6100-485 of the Budget Act of 2023 (Chapter 12, 2023)</w:t>
      </w:r>
    </w:p>
    <w:p w14:paraId="69CB9A5F" w14:textId="77777777" w:rsidR="00257198" w:rsidRPr="00CE5E15" w:rsidRDefault="000B4E38" w:rsidP="00257198">
      <w:pPr>
        <w:pStyle w:val="ListParagraph"/>
        <w:numPr>
          <w:ilvl w:val="1"/>
          <w:numId w:val="26"/>
        </w:numPr>
        <w:spacing w:after="0" w:line="360" w:lineRule="auto"/>
        <w:rPr>
          <w:rFonts w:ascii="Helvetica" w:hAnsi="Helvetica" w:cs="Helvetica"/>
          <w:szCs w:val="23"/>
        </w:rPr>
      </w:pPr>
      <w:r w:rsidRPr="00CE5E15">
        <w:rPr>
          <w:rFonts w:ascii="Helvetica" w:hAnsi="Helvetica" w:cs="Helvetica"/>
          <w:szCs w:val="23"/>
        </w:rPr>
        <w:t>Item 6100-488, Prov. 4, per Section 199 of AB 102 (Chapter 38, 2023)</w:t>
      </w:r>
    </w:p>
    <w:p w14:paraId="1D73D069" w14:textId="79771E20" w:rsidR="000B4E38" w:rsidRPr="00CE5E15" w:rsidRDefault="00D366E6" w:rsidP="00257198">
      <w:pPr>
        <w:pStyle w:val="ListParagraph"/>
        <w:numPr>
          <w:ilvl w:val="0"/>
          <w:numId w:val="26"/>
        </w:numPr>
        <w:spacing w:after="0" w:line="360" w:lineRule="auto"/>
        <w:rPr>
          <w:rFonts w:ascii="Helvetica" w:hAnsi="Helvetica" w:cs="Helvetica"/>
          <w:szCs w:val="23"/>
        </w:rPr>
      </w:pPr>
      <w:r w:rsidRPr="00CE5E15">
        <w:rPr>
          <w:rFonts w:ascii="Helvetica" w:eastAsia="Times New Roman" w:hAnsi="Helvetica" w:cs="Helvetica"/>
          <w:szCs w:val="24"/>
        </w:rPr>
        <w:t>Amended by Section 10 of SB 153 (Chapter 38, 2024)</w:t>
      </w:r>
    </w:p>
    <w:p w14:paraId="331DD771" w14:textId="2325A581" w:rsidR="006B1AAF" w:rsidRPr="00CE5E15" w:rsidRDefault="008D11B4" w:rsidP="00257198">
      <w:pPr>
        <w:pStyle w:val="Heading2"/>
        <w:spacing w:after="240"/>
      </w:pPr>
      <w:r w:rsidRPr="00CE5E15">
        <w:t>Reporting Requirements</w:t>
      </w:r>
    </w:p>
    <w:p w14:paraId="19CF573D" w14:textId="7C64489C" w:rsidR="00F210A0" w:rsidRPr="00CE5E15" w:rsidRDefault="008D11B4" w:rsidP="00257198">
      <w:pPr>
        <w:rPr>
          <w:color w:val="000000" w:themeColor="text1"/>
          <w:shd w:val="clear" w:color="auto" w:fill="FFFFFF"/>
        </w:rPr>
      </w:pPr>
      <w:r w:rsidRPr="00CE5E15">
        <w:t xml:space="preserve">LREBG recipients are </w:t>
      </w:r>
      <w:r w:rsidRPr="00CE5E15">
        <w:rPr>
          <w:i/>
        </w:rPr>
        <w:t>required</w:t>
      </w:r>
      <w:r w:rsidRPr="00CE5E15">
        <w:t xml:space="preserve"> to report interim expenditures of apportioned funds on or before </w:t>
      </w:r>
      <w:r w:rsidR="00F210A0" w:rsidRPr="00CE5E15">
        <w:rPr>
          <w:b/>
          <w:bCs/>
        </w:rPr>
        <w:t>December 15, 2024</w:t>
      </w:r>
      <w:r w:rsidR="00F210A0" w:rsidRPr="00CE5E15">
        <w:t>.</w:t>
      </w:r>
      <w:r w:rsidRPr="00CE5E15">
        <w:rPr>
          <w:color w:val="000000" w:themeColor="text1"/>
          <w:shd w:val="clear" w:color="auto" w:fill="FFFFFF"/>
        </w:rPr>
        <w:t xml:space="preserve"> </w:t>
      </w:r>
    </w:p>
    <w:p w14:paraId="5C1D4BA4" w14:textId="15561869" w:rsidR="00F210A0" w:rsidRPr="00CE5E15" w:rsidRDefault="00F210A0" w:rsidP="00257198">
      <w:pPr>
        <w:pStyle w:val="ListParagraph"/>
        <w:numPr>
          <w:ilvl w:val="0"/>
          <w:numId w:val="3"/>
        </w:numPr>
        <w:contextualSpacing w:val="0"/>
      </w:pPr>
      <w:r w:rsidRPr="00CE5E15">
        <w:rPr>
          <w:color w:val="000000" w:themeColor="text1"/>
        </w:rPr>
        <w:t>LEAs</w:t>
      </w:r>
      <w:r w:rsidRPr="00CE5E15">
        <w:rPr>
          <w:color w:val="000000" w:themeColor="text1"/>
          <w:shd w:val="clear" w:color="auto" w:fill="FFFFFF"/>
        </w:rPr>
        <w:t xml:space="preserve"> receiving LREBG funds shall report using the template developed by the California Department of Education (CDE), and make publicly available on their internet websites, interim expenditures of those apportioned funds to the CDE.</w:t>
      </w:r>
      <w:r w:rsidRPr="00CE5E15">
        <w:t xml:space="preserve"> </w:t>
      </w:r>
    </w:p>
    <w:p w14:paraId="6AEBA885" w14:textId="2DA9B47B" w:rsidR="00F210A0" w:rsidRPr="00CE5E15" w:rsidRDefault="00F210A0" w:rsidP="00257198">
      <w:pPr>
        <w:pStyle w:val="ListParagraph"/>
        <w:numPr>
          <w:ilvl w:val="0"/>
          <w:numId w:val="3"/>
        </w:numPr>
        <w:contextualSpacing w:val="0"/>
      </w:pPr>
      <w:r w:rsidRPr="00CE5E15">
        <w:t xml:space="preserve">If a charter school ceases to operate before December 15, 2029, a final expenditure report, using the template developed by the </w:t>
      </w:r>
      <w:r w:rsidR="00F42BD6" w:rsidRPr="00CE5E15">
        <w:t>CDE</w:t>
      </w:r>
      <w:r w:rsidRPr="00CE5E15">
        <w:t xml:space="preserve">, shall be due to the </w:t>
      </w:r>
      <w:r w:rsidR="00F42BD6" w:rsidRPr="00CE5E15">
        <w:t>CDE</w:t>
      </w:r>
      <w:r w:rsidRPr="00CE5E15">
        <w:t xml:space="preserve"> within 60 days of the effective date of closure and the </w:t>
      </w:r>
      <w:r w:rsidR="00F42BD6" w:rsidRPr="00CE5E15">
        <w:t>CDE</w:t>
      </w:r>
      <w:r w:rsidRPr="00CE5E15">
        <w:t xml:space="preserve"> shall collect any unspent amounts.</w:t>
      </w:r>
    </w:p>
    <w:p w14:paraId="75D648C0" w14:textId="77777777" w:rsidR="00257198" w:rsidRPr="00CE5E15" w:rsidRDefault="00F210A0" w:rsidP="00864DE3">
      <w:pPr>
        <w:spacing w:after="720"/>
        <w:rPr>
          <w:rFonts w:cs="Arial"/>
          <w:szCs w:val="32"/>
        </w:rPr>
      </w:pPr>
      <w:r w:rsidRPr="00CE5E15">
        <w:rPr>
          <w:rStyle w:val="Heading3Char"/>
          <w:b w:val="0"/>
          <w:bCs/>
        </w:rPr>
        <w:t xml:space="preserve">Please note, this template is for </w:t>
      </w:r>
      <w:r w:rsidRPr="00CE5E15">
        <w:rPr>
          <w:rStyle w:val="Heading3Char"/>
        </w:rPr>
        <w:t>reference only</w:t>
      </w:r>
      <w:r w:rsidRPr="00CE5E15">
        <w:rPr>
          <w:rStyle w:val="Heading3Char"/>
          <w:b w:val="0"/>
          <w:bCs/>
        </w:rPr>
        <w:t xml:space="preserve"> and will not be submitted to the CDE. LREBG Interim Expenditure Reports will be completed and submitted to the CDE in a web-based reporting tool. </w:t>
      </w:r>
      <w:bookmarkStart w:id="1" w:name="_Hlk129265104"/>
      <w:r w:rsidRPr="00CE5E15">
        <w:rPr>
          <w:rStyle w:val="Heading3Char"/>
          <w:b w:val="0"/>
          <w:bCs/>
        </w:rPr>
        <w:t>More information about the web-based reporting system will be communicated once it is available.</w:t>
      </w:r>
      <w:bookmarkEnd w:id="1"/>
    </w:p>
    <w:p w14:paraId="08B91DBB" w14:textId="21D5A470" w:rsidR="009451C1" w:rsidRPr="00CE5E15" w:rsidRDefault="009451C1" w:rsidP="00257198">
      <w:pPr>
        <w:spacing w:after="0"/>
        <w:rPr>
          <w:rFonts w:eastAsiaTheme="majorEastAsia" w:cs="Arial"/>
          <w:bCs/>
          <w:szCs w:val="24"/>
        </w:rPr>
      </w:pPr>
      <w:r w:rsidRPr="00CE5E15">
        <w:rPr>
          <w:rFonts w:cs="Arial"/>
          <w:szCs w:val="32"/>
        </w:rPr>
        <w:t>California Department of Education – 202</w:t>
      </w:r>
      <w:r w:rsidR="00F210A0" w:rsidRPr="00CE5E15">
        <w:rPr>
          <w:rFonts w:cs="Arial"/>
          <w:szCs w:val="32"/>
        </w:rPr>
        <w:t>4</w:t>
      </w:r>
    </w:p>
    <w:p w14:paraId="5B2C4676" w14:textId="0F1EBB53" w:rsidR="009451C1" w:rsidRPr="005D4101" w:rsidRDefault="009451C1" w:rsidP="00257198">
      <w:pPr>
        <w:pStyle w:val="Footer"/>
        <w:rPr>
          <w:rFonts w:cs="Arial"/>
          <w:sz w:val="20"/>
          <w:szCs w:val="28"/>
        </w:rPr>
        <w:sectPr w:rsidR="009451C1" w:rsidRPr="005D4101" w:rsidSect="003D008A">
          <w:type w:val="continuous"/>
          <w:pgSz w:w="12240" w:h="15840"/>
          <w:pgMar w:top="720" w:right="720" w:bottom="720" w:left="720" w:header="720" w:footer="720" w:gutter="0"/>
          <w:cols w:space="720"/>
          <w:docGrid w:linePitch="360"/>
        </w:sectPr>
      </w:pPr>
      <w:r w:rsidRPr="00CE5E15">
        <w:rPr>
          <w:rFonts w:cs="Arial"/>
          <w:b/>
          <w:szCs w:val="32"/>
        </w:rPr>
        <w:t>NOTE</w:t>
      </w:r>
      <w:r w:rsidRPr="00CE5E15">
        <w:rPr>
          <w:rFonts w:cs="Arial"/>
          <w:szCs w:val="32"/>
        </w:rPr>
        <w:t>: This document is for REFERENCE ONLY. Do not submit this document to</w:t>
      </w:r>
      <w:r w:rsidRPr="009F6B5D">
        <w:rPr>
          <w:rFonts w:cs="Arial"/>
          <w:szCs w:val="32"/>
        </w:rPr>
        <w:t xml:space="preserve"> the CDE.</w:t>
      </w:r>
    </w:p>
    <w:p w14:paraId="59AAC98D" w14:textId="39479F29" w:rsidR="00F210A0" w:rsidRPr="00A863AF" w:rsidRDefault="00F210A0" w:rsidP="00F210A0">
      <w:pPr>
        <w:pStyle w:val="Heading2"/>
        <w:jc w:val="center"/>
        <w:rPr>
          <w:szCs w:val="22"/>
        </w:rPr>
      </w:pPr>
      <w:bookmarkStart w:id="2" w:name="_Hlk129185548"/>
      <w:r w:rsidRPr="00A863AF">
        <w:lastRenderedPageBreak/>
        <w:t xml:space="preserve">Learning Recovery Emergency Block Grant </w:t>
      </w:r>
      <w:r w:rsidRPr="00A863AF">
        <w:rPr>
          <w:rFonts w:eastAsia="Arial"/>
        </w:rPr>
        <w:t>Reporting Template for Interim Expenditures</w:t>
      </w:r>
    </w:p>
    <w:tbl>
      <w:tblPr>
        <w:tblStyle w:val="TableGrid"/>
        <w:tblW w:w="5000" w:type="pct"/>
        <w:jc w:val="center"/>
        <w:tblLayout w:type="fixed"/>
        <w:tblLook w:val="04A0" w:firstRow="1" w:lastRow="0" w:firstColumn="1" w:lastColumn="0" w:noHBand="0" w:noVBand="1"/>
        <w:tblDescription w:val="Learning Recovery Emergency Block Grant expenditure reporting table."/>
      </w:tblPr>
      <w:tblGrid>
        <w:gridCol w:w="11101"/>
        <w:gridCol w:w="3411"/>
        <w:gridCol w:w="3279"/>
        <w:gridCol w:w="919"/>
      </w:tblGrid>
      <w:tr w:rsidR="00F210A0" w:rsidRPr="009F6B5D" w14:paraId="7D4A77F5" w14:textId="77777777" w:rsidTr="002350FF">
        <w:trPr>
          <w:cantSplit/>
          <w:trHeight w:val="530"/>
          <w:tblHeader/>
          <w:jc w:val="center"/>
        </w:trPr>
        <w:tc>
          <w:tcPr>
            <w:tcW w:w="11171" w:type="dxa"/>
            <w:shd w:val="clear" w:color="auto" w:fill="1F3864" w:themeFill="accent1" w:themeFillShade="80"/>
            <w:vAlign w:val="center"/>
          </w:tcPr>
          <w:bookmarkEnd w:id="2"/>
          <w:p w14:paraId="080306BC" w14:textId="77777777" w:rsidR="00F210A0" w:rsidRPr="009F6B5D" w:rsidRDefault="00F210A0" w:rsidP="00F71DB2">
            <w:pPr>
              <w:pStyle w:val="Heading1"/>
              <w:spacing w:after="0"/>
              <w:jc w:val="center"/>
              <w:rPr>
                <w:rFonts w:cs="Arial"/>
                <w:sz w:val="24"/>
                <w:szCs w:val="24"/>
              </w:rPr>
            </w:pPr>
            <w:r w:rsidRPr="00B34A2F">
              <w:rPr>
                <w:rFonts w:cs="Arial"/>
                <w:sz w:val="28"/>
                <w:szCs w:val="28"/>
              </w:rPr>
              <w:t>Allowable Uses of Funds</w:t>
            </w:r>
          </w:p>
        </w:tc>
        <w:tc>
          <w:tcPr>
            <w:tcW w:w="3431" w:type="dxa"/>
            <w:shd w:val="clear" w:color="auto" w:fill="1F3864" w:themeFill="accent1" w:themeFillShade="80"/>
            <w:vAlign w:val="center"/>
          </w:tcPr>
          <w:p w14:paraId="105BAEC8" w14:textId="77777777" w:rsidR="00257198" w:rsidRPr="00482B39" w:rsidRDefault="00F210A0" w:rsidP="00F71DB2">
            <w:pPr>
              <w:pStyle w:val="Heading1"/>
              <w:spacing w:after="0"/>
              <w:jc w:val="center"/>
              <w:rPr>
                <w:rFonts w:cs="Arial"/>
                <w:color w:val="FFFFFF" w:themeColor="background1"/>
                <w:sz w:val="24"/>
                <w:szCs w:val="24"/>
              </w:rPr>
            </w:pPr>
            <w:r w:rsidRPr="00482B39">
              <w:rPr>
                <w:rFonts w:cs="Arial"/>
                <w:color w:val="FFFFFF" w:themeColor="background1"/>
                <w:sz w:val="24"/>
                <w:szCs w:val="24"/>
              </w:rPr>
              <w:t xml:space="preserve">Fiscal Year (FY) 2022−23 Expenditures  </w:t>
            </w:r>
          </w:p>
          <w:p w14:paraId="77260BF9" w14:textId="4E899D13" w:rsidR="00F210A0" w:rsidRPr="00482B39" w:rsidRDefault="00F210A0" w:rsidP="00F71DB2">
            <w:pPr>
              <w:pStyle w:val="Heading1"/>
              <w:spacing w:after="0"/>
              <w:jc w:val="center"/>
              <w:rPr>
                <w:rFonts w:cs="Arial"/>
                <w:b w:val="0"/>
                <w:bCs/>
                <w:color w:val="FFFFFF" w:themeColor="background1"/>
                <w:sz w:val="24"/>
                <w:szCs w:val="24"/>
              </w:rPr>
            </w:pPr>
            <w:r w:rsidRPr="00482B39">
              <w:rPr>
                <w:rFonts w:cs="Arial"/>
                <w:color w:val="FFFFFF" w:themeColor="background1"/>
                <w:sz w:val="24"/>
                <w:szCs w:val="24"/>
              </w:rPr>
              <w:t>Performance Period:</w:t>
            </w:r>
            <w:r w:rsidRPr="00482B39">
              <w:rPr>
                <w:rFonts w:cs="Arial"/>
                <w:b w:val="0"/>
                <w:bCs/>
                <w:color w:val="FFFFFF" w:themeColor="background1"/>
                <w:sz w:val="24"/>
                <w:szCs w:val="24"/>
              </w:rPr>
              <w:t xml:space="preserve"> 7/1/2022−6/30/2023</w:t>
            </w:r>
          </w:p>
          <w:p w14:paraId="09A639B6" w14:textId="77777777" w:rsidR="00F210A0" w:rsidRPr="00482B39" w:rsidRDefault="00F210A0" w:rsidP="00F71DB2">
            <w:pPr>
              <w:pStyle w:val="Heading1"/>
              <w:spacing w:after="0"/>
              <w:jc w:val="center"/>
              <w:rPr>
                <w:rFonts w:cs="Arial"/>
                <w:color w:val="FFFFFF" w:themeColor="background1"/>
                <w:sz w:val="24"/>
                <w:szCs w:val="24"/>
              </w:rPr>
            </w:pPr>
            <w:r w:rsidRPr="00482B39">
              <w:rPr>
                <w:rFonts w:cs="Arial"/>
                <w:color w:val="FFFFFF" w:themeColor="background1"/>
                <w:sz w:val="24"/>
                <w:szCs w:val="24"/>
              </w:rPr>
              <w:t>Due:</w:t>
            </w:r>
            <w:r w:rsidRPr="00482B39">
              <w:rPr>
                <w:rFonts w:cs="Arial"/>
                <w:b w:val="0"/>
                <w:bCs/>
                <w:color w:val="FFFFFF" w:themeColor="background1"/>
                <w:sz w:val="24"/>
                <w:szCs w:val="24"/>
              </w:rPr>
              <w:t xml:space="preserve"> 12/15/2024</w:t>
            </w:r>
          </w:p>
        </w:tc>
        <w:tc>
          <w:tcPr>
            <w:tcW w:w="3298" w:type="dxa"/>
            <w:shd w:val="clear" w:color="auto" w:fill="1F3864" w:themeFill="accent1" w:themeFillShade="80"/>
            <w:vAlign w:val="center"/>
          </w:tcPr>
          <w:p w14:paraId="3DAC233C" w14:textId="77777777" w:rsidR="00257198" w:rsidRPr="00482B39" w:rsidRDefault="00F210A0" w:rsidP="00A863AF">
            <w:pPr>
              <w:pStyle w:val="Heading1"/>
              <w:spacing w:before="240" w:after="240"/>
              <w:jc w:val="center"/>
              <w:rPr>
                <w:rFonts w:cs="Arial"/>
                <w:color w:val="FFFFFF" w:themeColor="background1"/>
                <w:sz w:val="24"/>
                <w:szCs w:val="24"/>
              </w:rPr>
            </w:pPr>
            <w:r w:rsidRPr="00482B39">
              <w:rPr>
                <w:rFonts w:cs="Arial"/>
                <w:color w:val="FFFFFF" w:themeColor="background1"/>
                <w:sz w:val="24"/>
                <w:szCs w:val="24"/>
              </w:rPr>
              <w:t>FY 2023−24 Expenditures</w:t>
            </w:r>
          </w:p>
          <w:p w14:paraId="49009E1C" w14:textId="0FD07BFB" w:rsidR="00F210A0" w:rsidRPr="00482B39" w:rsidRDefault="00F210A0" w:rsidP="00A863AF">
            <w:pPr>
              <w:pStyle w:val="Heading1"/>
              <w:spacing w:before="240" w:after="0"/>
              <w:jc w:val="center"/>
              <w:rPr>
                <w:rFonts w:cs="Arial"/>
                <w:b w:val="0"/>
                <w:bCs/>
                <w:color w:val="FFFFFF" w:themeColor="background1"/>
                <w:sz w:val="24"/>
                <w:szCs w:val="24"/>
              </w:rPr>
            </w:pPr>
            <w:r w:rsidRPr="00482B39">
              <w:rPr>
                <w:rFonts w:cs="Arial"/>
                <w:color w:val="FFFFFF" w:themeColor="background1"/>
                <w:sz w:val="24"/>
                <w:szCs w:val="24"/>
              </w:rPr>
              <w:t>Performance Period:</w:t>
            </w:r>
            <w:r w:rsidRPr="00482B39">
              <w:rPr>
                <w:rFonts w:cs="Arial"/>
                <w:b w:val="0"/>
                <w:bCs/>
                <w:color w:val="FFFFFF" w:themeColor="background1"/>
                <w:sz w:val="24"/>
                <w:szCs w:val="24"/>
              </w:rPr>
              <w:t xml:space="preserve"> 7/1/2023−6/30/2024</w:t>
            </w:r>
          </w:p>
          <w:p w14:paraId="37BE6B58" w14:textId="77777777" w:rsidR="00F210A0" w:rsidRPr="00482B39" w:rsidRDefault="00F210A0" w:rsidP="00A863AF">
            <w:pPr>
              <w:pStyle w:val="Heading1"/>
              <w:spacing w:after="0"/>
              <w:jc w:val="center"/>
              <w:rPr>
                <w:rFonts w:cs="Arial"/>
                <w:color w:val="FFFFFF" w:themeColor="background1"/>
                <w:sz w:val="24"/>
                <w:szCs w:val="24"/>
              </w:rPr>
            </w:pPr>
            <w:r w:rsidRPr="00482B39">
              <w:rPr>
                <w:rFonts w:cs="Arial"/>
                <w:color w:val="FFFFFF" w:themeColor="background1"/>
                <w:sz w:val="24"/>
                <w:szCs w:val="24"/>
              </w:rPr>
              <w:t>Due:</w:t>
            </w:r>
            <w:r w:rsidRPr="00482B39">
              <w:rPr>
                <w:rFonts w:cs="Arial"/>
                <w:b w:val="0"/>
                <w:bCs/>
                <w:color w:val="FFFFFF" w:themeColor="background1"/>
                <w:sz w:val="24"/>
                <w:szCs w:val="24"/>
              </w:rPr>
              <w:t xml:space="preserve"> 12/15/2024</w:t>
            </w:r>
          </w:p>
        </w:tc>
        <w:tc>
          <w:tcPr>
            <w:tcW w:w="923" w:type="dxa"/>
            <w:shd w:val="clear" w:color="auto" w:fill="1F3864" w:themeFill="accent1" w:themeFillShade="80"/>
            <w:vAlign w:val="center"/>
          </w:tcPr>
          <w:p w14:paraId="1F28DA46" w14:textId="77777777" w:rsidR="00F210A0" w:rsidRPr="009F6B5D" w:rsidRDefault="00F210A0" w:rsidP="00F71DB2">
            <w:pPr>
              <w:pStyle w:val="Heading1"/>
              <w:spacing w:after="0"/>
              <w:jc w:val="center"/>
              <w:rPr>
                <w:rFonts w:cs="Arial"/>
                <w:sz w:val="24"/>
                <w:szCs w:val="24"/>
              </w:rPr>
            </w:pPr>
            <w:r w:rsidRPr="009F6B5D">
              <w:rPr>
                <w:rFonts w:cs="Arial"/>
                <w:sz w:val="24"/>
                <w:szCs w:val="24"/>
              </w:rPr>
              <w:t>Total</w:t>
            </w:r>
          </w:p>
        </w:tc>
      </w:tr>
      <w:tr w:rsidR="00F210A0" w:rsidRPr="009F6B5D" w14:paraId="54420448" w14:textId="77777777" w:rsidTr="002350FF">
        <w:trPr>
          <w:cantSplit/>
          <w:trHeight w:val="347"/>
          <w:jc w:val="center"/>
        </w:trPr>
        <w:tc>
          <w:tcPr>
            <w:tcW w:w="11171" w:type="dxa"/>
          </w:tcPr>
          <w:p w14:paraId="2CE8EB9D" w14:textId="77777777" w:rsidR="00F210A0" w:rsidRPr="00CC1666" w:rsidRDefault="00F210A0" w:rsidP="00F71DB2">
            <w:pPr>
              <w:ind w:left="695" w:hanging="695"/>
              <w:rPr>
                <w:szCs w:val="24"/>
              </w:rPr>
            </w:pPr>
            <w:r w:rsidRPr="00CC1666">
              <w:rPr>
                <w:rFonts w:cs="Arial"/>
                <w:b/>
                <w:szCs w:val="24"/>
              </w:rPr>
              <w:t>(A</w:t>
            </w:r>
            <w:r w:rsidRPr="00CC1666">
              <w:rPr>
                <w:b/>
                <w:szCs w:val="24"/>
              </w:rPr>
              <w:t xml:space="preserve">) </w:t>
            </w:r>
            <w:r w:rsidRPr="00CC1666">
              <w:rPr>
                <w:szCs w:val="24"/>
              </w:rPr>
              <w:t>Instructional learning time for the 2022–23 through 2027–28 school years by:</w:t>
            </w:r>
          </w:p>
          <w:p w14:paraId="7EA3B861" w14:textId="77777777" w:rsidR="00F210A0" w:rsidRPr="009F6B5D" w:rsidRDefault="00F210A0" w:rsidP="005A0813">
            <w:pPr>
              <w:pStyle w:val="ListParagraph"/>
              <w:numPr>
                <w:ilvl w:val="0"/>
                <w:numId w:val="8"/>
              </w:numPr>
              <w:spacing w:before="120" w:after="120" w:line="240" w:lineRule="auto"/>
              <w:contextualSpacing w:val="0"/>
              <w:rPr>
                <w:b/>
                <w:szCs w:val="24"/>
              </w:rPr>
            </w:pPr>
            <w:r w:rsidRPr="009F6B5D">
              <w:rPr>
                <w:szCs w:val="24"/>
              </w:rPr>
              <w:t xml:space="preserve">increasing the number of instructional days or minutes provided during the school year, </w:t>
            </w:r>
          </w:p>
          <w:p w14:paraId="69E552FA" w14:textId="77777777" w:rsidR="00F210A0" w:rsidRPr="009F6B5D" w:rsidRDefault="00F210A0" w:rsidP="005A0813">
            <w:pPr>
              <w:pStyle w:val="ListParagraph"/>
              <w:numPr>
                <w:ilvl w:val="0"/>
                <w:numId w:val="8"/>
              </w:numPr>
              <w:spacing w:before="120" w:after="120" w:line="240" w:lineRule="auto"/>
              <w:contextualSpacing w:val="0"/>
              <w:rPr>
                <w:b/>
                <w:szCs w:val="24"/>
              </w:rPr>
            </w:pPr>
            <w:r w:rsidRPr="009F6B5D">
              <w:rPr>
                <w:szCs w:val="24"/>
              </w:rPr>
              <w:t xml:space="preserve">providing summer school or intersessional instructional programs, </w:t>
            </w:r>
          </w:p>
          <w:p w14:paraId="1DAD36D6" w14:textId="77777777" w:rsidR="00F210A0" w:rsidRPr="009F6B5D" w:rsidRDefault="00F210A0" w:rsidP="005A0813">
            <w:pPr>
              <w:pStyle w:val="ListParagraph"/>
              <w:numPr>
                <w:ilvl w:val="0"/>
                <w:numId w:val="8"/>
              </w:numPr>
              <w:spacing w:before="120" w:after="120" w:line="240" w:lineRule="auto"/>
              <w:contextualSpacing w:val="0"/>
              <w:rPr>
                <w:b/>
                <w:szCs w:val="24"/>
              </w:rPr>
            </w:pPr>
            <w:r w:rsidRPr="009F6B5D">
              <w:rPr>
                <w:szCs w:val="24"/>
              </w:rPr>
              <w:t xml:space="preserve">or taking any other action that increases or stabilizes the amount of instructional time or services provided to pupils, </w:t>
            </w:r>
          </w:p>
          <w:p w14:paraId="191D6671" w14:textId="77777777" w:rsidR="00F210A0" w:rsidRPr="009F6B5D" w:rsidRDefault="00F210A0" w:rsidP="005A0813">
            <w:pPr>
              <w:pStyle w:val="ListParagraph"/>
              <w:numPr>
                <w:ilvl w:val="0"/>
                <w:numId w:val="8"/>
              </w:numPr>
              <w:spacing w:before="120" w:after="120" w:line="240" w:lineRule="auto"/>
              <w:contextualSpacing w:val="0"/>
              <w:rPr>
                <w:b/>
                <w:szCs w:val="24"/>
              </w:rPr>
            </w:pPr>
            <w:r w:rsidRPr="009F6B5D">
              <w:rPr>
                <w:szCs w:val="24"/>
              </w:rPr>
              <w:t>or decreases or stabilizes staff-to-pupil ratios, based on pupil learning needs</w:t>
            </w:r>
          </w:p>
        </w:tc>
        <w:tc>
          <w:tcPr>
            <w:tcW w:w="3431" w:type="dxa"/>
            <w:vAlign w:val="center"/>
          </w:tcPr>
          <w:p w14:paraId="17EFC775" w14:textId="77777777" w:rsidR="00F210A0" w:rsidRPr="009F6B5D" w:rsidRDefault="00F210A0" w:rsidP="00F71DB2">
            <w:pPr>
              <w:jc w:val="right"/>
              <w:rPr>
                <w:rFonts w:cs="Arial"/>
                <w:szCs w:val="24"/>
              </w:rPr>
            </w:pPr>
            <w:r>
              <w:rPr>
                <w:rFonts w:cs="Arial"/>
                <w:color w:val="000000"/>
              </w:rPr>
              <w:t>$0</w:t>
            </w:r>
          </w:p>
        </w:tc>
        <w:tc>
          <w:tcPr>
            <w:tcW w:w="3298" w:type="dxa"/>
            <w:vAlign w:val="center"/>
          </w:tcPr>
          <w:p w14:paraId="64C39524" w14:textId="77777777" w:rsidR="00F210A0" w:rsidRPr="009F6B5D" w:rsidRDefault="00F210A0" w:rsidP="00F71DB2">
            <w:pPr>
              <w:jc w:val="right"/>
              <w:rPr>
                <w:rFonts w:cs="Arial"/>
                <w:szCs w:val="24"/>
              </w:rPr>
            </w:pPr>
            <w:r w:rsidRPr="00C97E3F">
              <w:rPr>
                <w:rFonts w:cs="Arial"/>
                <w:color w:val="000000"/>
              </w:rPr>
              <w:t>$0</w:t>
            </w:r>
          </w:p>
        </w:tc>
        <w:tc>
          <w:tcPr>
            <w:tcW w:w="923" w:type="dxa"/>
            <w:vAlign w:val="center"/>
          </w:tcPr>
          <w:p w14:paraId="3E3D646A" w14:textId="77777777" w:rsidR="00F210A0" w:rsidRPr="009F6B5D" w:rsidRDefault="00F210A0" w:rsidP="00F71DB2">
            <w:pPr>
              <w:jc w:val="right"/>
              <w:rPr>
                <w:rFonts w:cs="Arial"/>
                <w:b/>
                <w:szCs w:val="24"/>
              </w:rPr>
            </w:pPr>
            <w:r w:rsidRPr="00C97E3F">
              <w:rPr>
                <w:rFonts w:cs="Arial"/>
                <w:color w:val="000000"/>
              </w:rPr>
              <w:t>$0</w:t>
            </w:r>
          </w:p>
        </w:tc>
      </w:tr>
      <w:tr w:rsidR="00F210A0" w:rsidRPr="009F6B5D" w14:paraId="4DCD805A" w14:textId="77777777" w:rsidTr="002350FF">
        <w:trPr>
          <w:cantSplit/>
          <w:trHeight w:val="347"/>
          <w:jc w:val="center"/>
        </w:trPr>
        <w:tc>
          <w:tcPr>
            <w:tcW w:w="11171" w:type="dxa"/>
          </w:tcPr>
          <w:p w14:paraId="03AB2CD4" w14:textId="77777777" w:rsidR="00F210A0" w:rsidRPr="009F6B5D" w:rsidRDefault="00F210A0" w:rsidP="00F71DB2">
            <w:pPr>
              <w:ind w:left="427" w:hanging="427"/>
              <w:rPr>
                <w:rFonts w:cs="Arial"/>
                <w:szCs w:val="24"/>
              </w:rPr>
            </w:pPr>
            <w:r w:rsidRPr="009F6B5D">
              <w:rPr>
                <w:rFonts w:cs="Arial"/>
                <w:b/>
                <w:szCs w:val="24"/>
              </w:rPr>
              <w:t>(B)</w:t>
            </w:r>
            <w:r>
              <w:rPr>
                <w:rFonts w:cs="Arial"/>
                <w:b/>
                <w:szCs w:val="24"/>
              </w:rPr>
              <w:t xml:space="preserve"> </w:t>
            </w:r>
            <w:r w:rsidRPr="009F6B5D">
              <w:rPr>
                <w:rFonts w:cs="Arial"/>
                <w:szCs w:val="24"/>
              </w:rPr>
              <w:t>Accelerating progress to close learning gaps through the implementation,</w:t>
            </w:r>
            <w:r>
              <w:rPr>
                <w:rFonts w:cs="Arial"/>
                <w:szCs w:val="24"/>
              </w:rPr>
              <w:t xml:space="preserve"> expansion</w:t>
            </w:r>
            <w:r w:rsidRPr="009F6B5D">
              <w:rPr>
                <w:rFonts w:cs="Arial"/>
                <w:szCs w:val="24"/>
              </w:rPr>
              <w:t>, or enhancement of learning supports, such as:</w:t>
            </w:r>
          </w:p>
          <w:p w14:paraId="58E37F5B" w14:textId="77777777" w:rsidR="00F210A0" w:rsidRPr="00CC1666" w:rsidRDefault="00F210A0" w:rsidP="005A0813">
            <w:pPr>
              <w:pStyle w:val="ListParagraph"/>
              <w:numPr>
                <w:ilvl w:val="0"/>
                <w:numId w:val="6"/>
              </w:numPr>
              <w:spacing w:before="120" w:after="120" w:line="240" w:lineRule="auto"/>
              <w:contextualSpacing w:val="0"/>
              <w:rPr>
                <w:szCs w:val="24"/>
              </w:rPr>
            </w:pPr>
            <w:r w:rsidRPr="00CC1666">
              <w:rPr>
                <w:szCs w:val="24"/>
              </w:rPr>
              <w:t>Tutoring or other one-on-one or small group learning supports provided by certificated or classified staff.</w:t>
            </w:r>
          </w:p>
          <w:p w14:paraId="2A99A4B2" w14:textId="77777777" w:rsidR="00F210A0" w:rsidRPr="00CC1666" w:rsidRDefault="00F210A0" w:rsidP="005A0813">
            <w:pPr>
              <w:pStyle w:val="ListParagraph"/>
              <w:numPr>
                <w:ilvl w:val="0"/>
                <w:numId w:val="6"/>
              </w:numPr>
              <w:spacing w:before="120" w:after="120" w:line="240" w:lineRule="auto"/>
              <w:contextualSpacing w:val="0"/>
              <w:rPr>
                <w:szCs w:val="24"/>
              </w:rPr>
            </w:pPr>
            <w:r w:rsidRPr="00CC1666">
              <w:rPr>
                <w:szCs w:val="24"/>
              </w:rPr>
              <w:t>Learning recovery programs and materials designed to accelerate pupil academic proficiency or English language proficiency, or both.</w:t>
            </w:r>
          </w:p>
          <w:p w14:paraId="635003F3" w14:textId="17D8F155" w:rsidR="00F210A0" w:rsidRPr="00CC1666" w:rsidRDefault="00326C3F" w:rsidP="005A0813">
            <w:pPr>
              <w:pStyle w:val="ListParagraph"/>
              <w:numPr>
                <w:ilvl w:val="0"/>
                <w:numId w:val="6"/>
              </w:numPr>
              <w:spacing w:before="120" w:after="120" w:line="240" w:lineRule="auto"/>
              <w:contextualSpacing w:val="0"/>
              <w:rPr>
                <w:szCs w:val="24"/>
              </w:rPr>
            </w:pPr>
            <w:r>
              <w:rPr>
                <w:szCs w:val="24"/>
              </w:rPr>
              <w:t xml:space="preserve"> </w:t>
            </w:r>
            <w:r w:rsidR="00F210A0" w:rsidRPr="00CC1666">
              <w:rPr>
                <w:szCs w:val="24"/>
              </w:rPr>
              <w:t>Providing early intervention and literacy programs for pupils in preschool to grade 3, inclusive, including, but not limited to, school library access.</w:t>
            </w:r>
          </w:p>
          <w:p w14:paraId="0FB45F77" w14:textId="78AF13AE" w:rsidR="00F210A0" w:rsidRPr="00CC1666" w:rsidRDefault="00326C3F" w:rsidP="005A0813">
            <w:pPr>
              <w:pStyle w:val="ListParagraph"/>
              <w:numPr>
                <w:ilvl w:val="0"/>
                <w:numId w:val="6"/>
              </w:numPr>
              <w:spacing w:before="120" w:after="120" w:line="240" w:lineRule="auto"/>
              <w:contextualSpacing w:val="0"/>
              <w:rPr>
                <w:szCs w:val="24"/>
              </w:rPr>
            </w:pPr>
            <w:r>
              <w:rPr>
                <w:szCs w:val="24"/>
              </w:rPr>
              <w:t xml:space="preserve"> </w:t>
            </w:r>
            <w:r w:rsidR="00F210A0" w:rsidRPr="00CC1666">
              <w:rPr>
                <w:szCs w:val="24"/>
              </w:rPr>
              <w:t>Supporting expanded learning opportunity program services pursuant to Section 46120.</w:t>
            </w:r>
          </w:p>
          <w:p w14:paraId="15BF1813" w14:textId="77777777" w:rsidR="00F210A0" w:rsidRPr="00CC1666" w:rsidRDefault="00F210A0" w:rsidP="005A0813">
            <w:pPr>
              <w:pStyle w:val="ListParagraph"/>
              <w:numPr>
                <w:ilvl w:val="0"/>
                <w:numId w:val="6"/>
              </w:numPr>
              <w:spacing w:before="120" w:after="120" w:line="240" w:lineRule="auto"/>
              <w:contextualSpacing w:val="0"/>
              <w:rPr>
                <w:b/>
                <w:szCs w:val="24"/>
              </w:rPr>
            </w:pPr>
            <w:r w:rsidRPr="00CC1666">
              <w:rPr>
                <w:szCs w:val="24"/>
              </w:rPr>
              <w:t>Providing instruction and services consistent with the California Community Schools Partnership Act (Chapter 6 (commencing with Section 8900) of Part 6) regardless of grantee status.</w:t>
            </w:r>
          </w:p>
        </w:tc>
        <w:tc>
          <w:tcPr>
            <w:tcW w:w="3431" w:type="dxa"/>
            <w:vAlign w:val="center"/>
          </w:tcPr>
          <w:p w14:paraId="5F0B3B16" w14:textId="77777777" w:rsidR="00F210A0" w:rsidRPr="009F6B5D" w:rsidRDefault="00F210A0" w:rsidP="00F71DB2">
            <w:pPr>
              <w:jc w:val="right"/>
              <w:rPr>
                <w:rFonts w:cs="Arial"/>
                <w:szCs w:val="24"/>
              </w:rPr>
            </w:pPr>
            <w:r w:rsidRPr="00F124D7">
              <w:rPr>
                <w:rFonts w:cs="Arial"/>
                <w:color w:val="000000"/>
              </w:rPr>
              <w:t>$0</w:t>
            </w:r>
          </w:p>
        </w:tc>
        <w:tc>
          <w:tcPr>
            <w:tcW w:w="3298" w:type="dxa"/>
            <w:vAlign w:val="center"/>
          </w:tcPr>
          <w:p w14:paraId="4CE69EF2" w14:textId="77777777" w:rsidR="00F210A0" w:rsidRPr="009F6B5D" w:rsidRDefault="00F210A0" w:rsidP="00F71DB2">
            <w:pPr>
              <w:jc w:val="right"/>
              <w:rPr>
                <w:rFonts w:cs="Arial"/>
                <w:szCs w:val="24"/>
              </w:rPr>
            </w:pPr>
            <w:r w:rsidRPr="00F124D7">
              <w:rPr>
                <w:rFonts w:cs="Arial"/>
                <w:color w:val="000000"/>
              </w:rPr>
              <w:t>$0</w:t>
            </w:r>
          </w:p>
        </w:tc>
        <w:tc>
          <w:tcPr>
            <w:tcW w:w="923" w:type="dxa"/>
            <w:vAlign w:val="center"/>
          </w:tcPr>
          <w:p w14:paraId="466C8F97" w14:textId="77777777" w:rsidR="00F210A0" w:rsidRPr="009F6B5D" w:rsidRDefault="00F210A0" w:rsidP="00F71DB2">
            <w:pPr>
              <w:jc w:val="right"/>
              <w:rPr>
                <w:rFonts w:cs="Arial"/>
                <w:b/>
                <w:szCs w:val="24"/>
              </w:rPr>
            </w:pPr>
            <w:r w:rsidRPr="00F124D7">
              <w:rPr>
                <w:rFonts w:cs="Arial"/>
                <w:color w:val="000000"/>
              </w:rPr>
              <w:t>$0</w:t>
            </w:r>
          </w:p>
        </w:tc>
      </w:tr>
      <w:tr w:rsidR="00F210A0" w:rsidRPr="009F6B5D" w14:paraId="6D8C4E7F" w14:textId="77777777" w:rsidTr="002350FF">
        <w:trPr>
          <w:cantSplit/>
          <w:trHeight w:val="347"/>
          <w:jc w:val="center"/>
        </w:trPr>
        <w:tc>
          <w:tcPr>
            <w:tcW w:w="11171" w:type="dxa"/>
          </w:tcPr>
          <w:p w14:paraId="5FC1D722" w14:textId="0EA666D8" w:rsidR="00F210A0" w:rsidRPr="009F6B5D" w:rsidRDefault="00F210A0" w:rsidP="00F71DB2">
            <w:pPr>
              <w:ind w:left="427" w:hanging="450"/>
              <w:rPr>
                <w:rFonts w:cs="Arial"/>
                <w:b/>
                <w:szCs w:val="24"/>
              </w:rPr>
            </w:pPr>
            <w:r w:rsidRPr="009F6B5D">
              <w:rPr>
                <w:rFonts w:cs="Arial"/>
                <w:b/>
                <w:szCs w:val="24"/>
              </w:rPr>
              <w:t>(C)</w:t>
            </w:r>
            <w:r>
              <w:rPr>
                <w:rFonts w:cs="Arial"/>
                <w:szCs w:val="24"/>
              </w:rPr>
              <w:t xml:space="preserve"> </w:t>
            </w:r>
            <w:r w:rsidRPr="009F6B5D">
              <w:rPr>
                <w:rFonts w:cs="Arial"/>
                <w:szCs w:val="24"/>
              </w:rPr>
              <w:t>Integrating pupil supports to address other barriers to learning, and staf</w:t>
            </w:r>
            <w:r>
              <w:rPr>
                <w:rFonts w:cs="Arial"/>
                <w:szCs w:val="24"/>
              </w:rPr>
              <w:t>f s</w:t>
            </w:r>
            <w:r w:rsidRPr="009F6B5D">
              <w:rPr>
                <w:rFonts w:cs="Arial"/>
                <w:szCs w:val="24"/>
              </w:rPr>
              <w:t>upports and training, such as the provision of health, counseling, or mental health services, access to school meal programs, before and after school programs, or programs to address pupil trauma and social-emotional learning, or referrals for support for family or pupil needs.</w:t>
            </w:r>
          </w:p>
        </w:tc>
        <w:tc>
          <w:tcPr>
            <w:tcW w:w="3431" w:type="dxa"/>
            <w:vAlign w:val="center"/>
          </w:tcPr>
          <w:p w14:paraId="2A671669" w14:textId="77777777" w:rsidR="00F210A0" w:rsidRPr="009F6B5D" w:rsidRDefault="00F210A0" w:rsidP="00F71DB2">
            <w:pPr>
              <w:jc w:val="right"/>
              <w:rPr>
                <w:rFonts w:cs="Arial"/>
                <w:szCs w:val="24"/>
              </w:rPr>
            </w:pPr>
            <w:r w:rsidRPr="00641396">
              <w:rPr>
                <w:rFonts w:cs="Arial"/>
                <w:color w:val="000000"/>
              </w:rPr>
              <w:t>$0</w:t>
            </w:r>
          </w:p>
        </w:tc>
        <w:tc>
          <w:tcPr>
            <w:tcW w:w="3298" w:type="dxa"/>
            <w:vAlign w:val="center"/>
          </w:tcPr>
          <w:p w14:paraId="4FD37291" w14:textId="77777777" w:rsidR="00F210A0" w:rsidRPr="009F6B5D" w:rsidRDefault="00F210A0" w:rsidP="00F71DB2">
            <w:pPr>
              <w:jc w:val="right"/>
              <w:rPr>
                <w:rFonts w:cs="Arial"/>
                <w:szCs w:val="24"/>
              </w:rPr>
            </w:pPr>
            <w:r w:rsidRPr="00641396">
              <w:rPr>
                <w:rFonts w:cs="Arial"/>
                <w:color w:val="000000"/>
              </w:rPr>
              <w:t>$0</w:t>
            </w:r>
          </w:p>
        </w:tc>
        <w:tc>
          <w:tcPr>
            <w:tcW w:w="923" w:type="dxa"/>
            <w:vAlign w:val="center"/>
          </w:tcPr>
          <w:p w14:paraId="7DDEF5E5" w14:textId="77777777" w:rsidR="00F210A0" w:rsidRPr="009F6B5D" w:rsidRDefault="00F210A0" w:rsidP="00F71DB2">
            <w:pPr>
              <w:jc w:val="right"/>
              <w:rPr>
                <w:rFonts w:cs="Arial"/>
                <w:b/>
                <w:szCs w:val="24"/>
              </w:rPr>
            </w:pPr>
            <w:r w:rsidRPr="00641396">
              <w:rPr>
                <w:rFonts w:cs="Arial"/>
                <w:color w:val="000000"/>
              </w:rPr>
              <w:t>$0</w:t>
            </w:r>
          </w:p>
        </w:tc>
      </w:tr>
      <w:tr w:rsidR="00F210A0" w:rsidRPr="009F6B5D" w14:paraId="4F99B8B0" w14:textId="77777777" w:rsidTr="002350FF">
        <w:trPr>
          <w:cantSplit/>
          <w:trHeight w:val="347"/>
          <w:jc w:val="center"/>
        </w:trPr>
        <w:tc>
          <w:tcPr>
            <w:tcW w:w="11171" w:type="dxa"/>
          </w:tcPr>
          <w:p w14:paraId="3AAC452A" w14:textId="6DDA31DD" w:rsidR="00F210A0" w:rsidRPr="009F6B5D" w:rsidRDefault="00F210A0" w:rsidP="00F71DB2">
            <w:pPr>
              <w:ind w:left="427" w:hanging="450"/>
              <w:rPr>
                <w:rFonts w:cs="Arial"/>
                <w:b/>
                <w:szCs w:val="24"/>
              </w:rPr>
            </w:pPr>
            <w:r>
              <w:rPr>
                <w:rFonts w:cs="Arial"/>
                <w:b/>
                <w:szCs w:val="24"/>
              </w:rPr>
              <w:t>(</w:t>
            </w:r>
            <w:r w:rsidRPr="009F6B5D">
              <w:rPr>
                <w:rFonts w:cs="Arial"/>
                <w:b/>
                <w:szCs w:val="24"/>
              </w:rPr>
              <w:t xml:space="preserve">D) </w:t>
            </w:r>
            <w:r w:rsidRPr="009F6B5D">
              <w:rPr>
                <w:rFonts w:cs="Arial"/>
                <w:szCs w:val="24"/>
              </w:rPr>
              <w:t>Access to instruction for credit-deficient pupils to complete graduation or grade promotion requirements and to increase or improve pupils’ college eligibility.</w:t>
            </w:r>
          </w:p>
        </w:tc>
        <w:tc>
          <w:tcPr>
            <w:tcW w:w="3431" w:type="dxa"/>
            <w:vAlign w:val="center"/>
          </w:tcPr>
          <w:p w14:paraId="7DE62CCD" w14:textId="77777777" w:rsidR="00F210A0" w:rsidRPr="009F6B5D" w:rsidRDefault="00F210A0" w:rsidP="00F71DB2">
            <w:pPr>
              <w:jc w:val="right"/>
              <w:rPr>
                <w:rFonts w:cs="Arial"/>
                <w:szCs w:val="24"/>
              </w:rPr>
            </w:pPr>
            <w:r w:rsidRPr="00641396">
              <w:rPr>
                <w:rFonts w:cs="Arial"/>
                <w:color w:val="000000"/>
              </w:rPr>
              <w:t>$0</w:t>
            </w:r>
          </w:p>
        </w:tc>
        <w:tc>
          <w:tcPr>
            <w:tcW w:w="3298" w:type="dxa"/>
            <w:vAlign w:val="center"/>
          </w:tcPr>
          <w:p w14:paraId="0251BECB" w14:textId="77777777" w:rsidR="00F210A0" w:rsidRPr="009F6B5D" w:rsidRDefault="00F210A0" w:rsidP="00F71DB2">
            <w:pPr>
              <w:jc w:val="right"/>
              <w:rPr>
                <w:rFonts w:cs="Arial"/>
                <w:szCs w:val="24"/>
              </w:rPr>
            </w:pPr>
            <w:r w:rsidRPr="00641396">
              <w:rPr>
                <w:rFonts w:cs="Arial"/>
                <w:color w:val="000000"/>
              </w:rPr>
              <w:t>$0</w:t>
            </w:r>
          </w:p>
        </w:tc>
        <w:tc>
          <w:tcPr>
            <w:tcW w:w="923" w:type="dxa"/>
            <w:vAlign w:val="center"/>
          </w:tcPr>
          <w:p w14:paraId="15113137" w14:textId="77777777" w:rsidR="00F210A0" w:rsidRPr="009F6B5D" w:rsidRDefault="00F210A0" w:rsidP="00F71DB2">
            <w:pPr>
              <w:jc w:val="right"/>
              <w:rPr>
                <w:rFonts w:cs="Arial"/>
                <w:b/>
                <w:szCs w:val="24"/>
              </w:rPr>
            </w:pPr>
            <w:r w:rsidRPr="00641396">
              <w:rPr>
                <w:rFonts w:cs="Arial"/>
                <w:color w:val="000000"/>
              </w:rPr>
              <w:t>$0</w:t>
            </w:r>
          </w:p>
        </w:tc>
      </w:tr>
      <w:tr w:rsidR="00F210A0" w:rsidRPr="009F6B5D" w14:paraId="4B3559CE" w14:textId="77777777" w:rsidTr="002350FF">
        <w:trPr>
          <w:cantSplit/>
          <w:trHeight w:val="347"/>
          <w:jc w:val="center"/>
        </w:trPr>
        <w:tc>
          <w:tcPr>
            <w:tcW w:w="11171" w:type="dxa"/>
          </w:tcPr>
          <w:p w14:paraId="574F2123" w14:textId="34D2FE1B" w:rsidR="00F210A0" w:rsidRPr="00761AA0" w:rsidRDefault="00F210A0" w:rsidP="00F71DB2">
            <w:pPr>
              <w:ind w:left="427" w:hanging="427"/>
              <w:rPr>
                <w:rFonts w:cs="Arial"/>
                <w:szCs w:val="24"/>
              </w:rPr>
            </w:pPr>
            <w:r w:rsidRPr="009F6B5D">
              <w:rPr>
                <w:rFonts w:cs="Arial"/>
                <w:b/>
                <w:szCs w:val="24"/>
              </w:rPr>
              <w:t>(E)</w:t>
            </w:r>
            <w:r>
              <w:rPr>
                <w:rFonts w:cs="Arial"/>
                <w:b/>
                <w:szCs w:val="24"/>
              </w:rPr>
              <w:t xml:space="preserve"> </w:t>
            </w:r>
            <w:r w:rsidRPr="009F6B5D">
              <w:rPr>
                <w:rFonts w:cs="Arial"/>
                <w:szCs w:val="24"/>
              </w:rPr>
              <w:t>Additional academic services for pupils, such as diagnostic, progress</w:t>
            </w:r>
            <w:r w:rsidR="00257198">
              <w:rPr>
                <w:rFonts w:cs="Arial"/>
                <w:szCs w:val="24"/>
              </w:rPr>
              <w:t xml:space="preserve"> </w:t>
            </w:r>
            <w:r>
              <w:rPr>
                <w:rFonts w:cs="Arial"/>
                <w:szCs w:val="24"/>
              </w:rPr>
              <w:t>monitoring</w:t>
            </w:r>
            <w:r w:rsidRPr="009F6B5D">
              <w:rPr>
                <w:rFonts w:cs="Arial"/>
                <w:szCs w:val="24"/>
              </w:rPr>
              <w:t>, and benchmark assessments of pupil learning</w:t>
            </w:r>
          </w:p>
        </w:tc>
        <w:tc>
          <w:tcPr>
            <w:tcW w:w="3431" w:type="dxa"/>
            <w:vAlign w:val="center"/>
          </w:tcPr>
          <w:p w14:paraId="11B71675" w14:textId="77777777" w:rsidR="00F210A0" w:rsidRPr="009F6B5D" w:rsidRDefault="00F210A0" w:rsidP="00F71DB2">
            <w:pPr>
              <w:jc w:val="right"/>
              <w:rPr>
                <w:rFonts w:cs="Arial"/>
                <w:szCs w:val="24"/>
              </w:rPr>
            </w:pPr>
            <w:r w:rsidRPr="00641396">
              <w:rPr>
                <w:rFonts w:cs="Arial"/>
                <w:color w:val="000000"/>
              </w:rPr>
              <w:t>$0</w:t>
            </w:r>
          </w:p>
        </w:tc>
        <w:tc>
          <w:tcPr>
            <w:tcW w:w="3298" w:type="dxa"/>
            <w:vAlign w:val="center"/>
          </w:tcPr>
          <w:p w14:paraId="37E538B5" w14:textId="77777777" w:rsidR="00F210A0" w:rsidRPr="009F6B5D" w:rsidRDefault="00F210A0" w:rsidP="00F71DB2">
            <w:pPr>
              <w:jc w:val="right"/>
              <w:rPr>
                <w:rFonts w:cs="Arial"/>
                <w:szCs w:val="24"/>
              </w:rPr>
            </w:pPr>
            <w:r w:rsidRPr="00641396">
              <w:rPr>
                <w:rFonts w:cs="Arial"/>
                <w:color w:val="000000"/>
              </w:rPr>
              <w:t>$0</w:t>
            </w:r>
          </w:p>
        </w:tc>
        <w:tc>
          <w:tcPr>
            <w:tcW w:w="923" w:type="dxa"/>
            <w:vAlign w:val="center"/>
          </w:tcPr>
          <w:p w14:paraId="6FBD460D" w14:textId="77777777" w:rsidR="00F210A0" w:rsidRPr="009F6B5D" w:rsidRDefault="00F210A0" w:rsidP="00F71DB2">
            <w:pPr>
              <w:jc w:val="right"/>
              <w:rPr>
                <w:rFonts w:cs="Arial"/>
                <w:b/>
                <w:szCs w:val="24"/>
              </w:rPr>
            </w:pPr>
            <w:r w:rsidRPr="00641396">
              <w:rPr>
                <w:rFonts w:cs="Arial"/>
                <w:color w:val="000000"/>
              </w:rPr>
              <w:t>$0</w:t>
            </w:r>
          </w:p>
        </w:tc>
      </w:tr>
    </w:tbl>
    <w:bookmarkEnd w:id="0"/>
    <w:p w14:paraId="6CEBCCA7" w14:textId="1D6B14B9" w:rsidR="00F210A0" w:rsidRPr="00F210A0" w:rsidRDefault="00F210A0" w:rsidP="00257198">
      <w:pPr>
        <w:pStyle w:val="Footer"/>
        <w:spacing w:before="240"/>
        <w:rPr>
          <w:rFonts w:cs="Arial"/>
          <w:bCs/>
          <w:szCs w:val="32"/>
        </w:rPr>
      </w:pPr>
      <w:r w:rsidRPr="00F210A0">
        <w:rPr>
          <w:rFonts w:cs="Arial"/>
          <w:bCs/>
          <w:szCs w:val="32"/>
        </w:rPr>
        <w:t>California Department of Education – 2024</w:t>
      </w:r>
    </w:p>
    <w:p w14:paraId="2913F13E" w14:textId="2D171815" w:rsidR="008373EA" w:rsidRPr="00F210A0" w:rsidRDefault="00F210A0" w:rsidP="00F210A0">
      <w:pPr>
        <w:pStyle w:val="Footer"/>
        <w:rPr>
          <w:rFonts w:eastAsia="Arial" w:cs="Arial"/>
          <w:bCs/>
          <w:color w:val="000000"/>
          <w:sz w:val="25"/>
          <w:szCs w:val="25"/>
        </w:rPr>
      </w:pPr>
      <w:r w:rsidRPr="00F210A0">
        <w:rPr>
          <w:rFonts w:cs="Arial"/>
          <w:b/>
          <w:szCs w:val="32"/>
        </w:rPr>
        <w:t xml:space="preserve">NOTE: </w:t>
      </w:r>
      <w:r w:rsidRPr="00F210A0">
        <w:rPr>
          <w:rFonts w:cs="Arial"/>
          <w:bCs/>
          <w:szCs w:val="32"/>
        </w:rPr>
        <w:t>This document is for REFERENCE ONLY. Do not submit this document to the CDE.</w:t>
      </w:r>
    </w:p>
    <w:sectPr w:rsidR="008373EA" w:rsidRPr="00F210A0" w:rsidSect="00F210A0">
      <w:pgSz w:w="20160" w:h="12240" w:orient="landscape" w:code="5"/>
      <w:pgMar w:top="288" w:right="720" w:bottom="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D280C" w14:textId="77777777" w:rsidR="008242D6" w:rsidRDefault="008242D6">
      <w:pPr>
        <w:spacing w:after="0" w:line="240" w:lineRule="auto"/>
      </w:pPr>
      <w:r>
        <w:separator/>
      </w:r>
    </w:p>
  </w:endnote>
  <w:endnote w:type="continuationSeparator" w:id="0">
    <w:p w14:paraId="255BACB8" w14:textId="77777777" w:rsidR="008242D6" w:rsidRDefault="0082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E1C6" w14:textId="77777777" w:rsidR="008242D6" w:rsidRDefault="008242D6">
      <w:pPr>
        <w:spacing w:after="0" w:line="240" w:lineRule="auto"/>
      </w:pPr>
      <w:r>
        <w:separator/>
      </w:r>
    </w:p>
  </w:footnote>
  <w:footnote w:type="continuationSeparator" w:id="0">
    <w:p w14:paraId="057E588A" w14:textId="77777777" w:rsidR="008242D6" w:rsidRDefault="00824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713"/>
    <w:multiLevelType w:val="hybridMultilevel"/>
    <w:tmpl w:val="AE1A9CE8"/>
    <w:lvl w:ilvl="0" w:tplc="D9BC97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6D10"/>
    <w:multiLevelType w:val="hybridMultilevel"/>
    <w:tmpl w:val="B9380BD8"/>
    <w:lvl w:ilvl="0" w:tplc="44F03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7E19"/>
    <w:multiLevelType w:val="multilevel"/>
    <w:tmpl w:val="50D0B28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C727A"/>
    <w:multiLevelType w:val="hybridMultilevel"/>
    <w:tmpl w:val="1BC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432B"/>
    <w:multiLevelType w:val="hybridMultilevel"/>
    <w:tmpl w:val="24FACC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1F0544"/>
    <w:multiLevelType w:val="multilevel"/>
    <w:tmpl w:val="4BA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A39BE"/>
    <w:multiLevelType w:val="hybridMultilevel"/>
    <w:tmpl w:val="015A47C8"/>
    <w:lvl w:ilvl="0" w:tplc="82E2BCAC">
      <w:start w:val="1"/>
      <w:numFmt w:val="bullet"/>
      <w:lvlText w:val="¾"/>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2B51C9"/>
    <w:multiLevelType w:val="hybridMultilevel"/>
    <w:tmpl w:val="11E60554"/>
    <w:lvl w:ilvl="0" w:tplc="44F033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3F679B"/>
    <w:multiLevelType w:val="hybridMultilevel"/>
    <w:tmpl w:val="F740E9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0A1BF4"/>
    <w:multiLevelType w:val="hybridMultilevel"/>
    <w:tmpl w:val="58F051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F40D32"/>
    <w:multiLevelType w:val="hybridMultilevel"/>
    <w:tmpl w:val="CA4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E001F"/>
    <w:multiLevelType w:val="hybridMultilevel"/>
    <w:tmpl w:val="B2027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B19F6"/>
    <w:multiLevelType w:val="hybridMultilevel"/>
    <w:tmpl w:val="751669C6"/>
    <w:lvl w:ilvl="0" w:tplc="D9BC976A">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FC622E"/>
    <w:multiLevelType w:val="hybridMultilevel"/>
    <w:tmpl w:val="DB30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01CFD"/>
    <w:multiLevelType w:val="hybridMultilevel"/>
    <w:tmpl w:val="E364FF42"/>
    <w:lvl w:ilvl="0" w:tplc="D9BC976A">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814CD5"/>
    <w:multiLevelType w:val="hybridMultilevel"/>
    <w:tmpl w:val="8F9E2EC0"/>
    <w:lvl w:ilvl="0" w:tplc="D9BC97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77A33"/>
    <w:multiLevelType w:val="hybridMultilevel"/>
    <w:tmpl w:val="61880E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DCC250E"/>
    <w:multiLevelType w:val="hybridMultilevel"/>
    <w:tmpl w:val="5A828F46"/>
    <w:lvl w:ilvl="0" w:tplc="82E2BCAC">
      <w:start w:val="1"/>
      <w:numFmt w:val="bullet"/>
      <w:lvlText w:val="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16F56"/>
    <w:multiLevelType w:val="hybridMultilevel"/>
    <w:tmpl w:val="9C842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AD7201"/>
    <w:multiLevelType w:val="hybridMultilevel"/>
    <w:tmpl w:val="2AD242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A883F6C"/>
    <w:multiLevelType w:val="hybridMultilevel"/>
    <w:tmpl w:val="89AA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26455"/>
    <w:multiLevelType w:val="hybridMultilevel"/>
    <w:tmpl w:val="5EFC6E18"/>
    <w:lvl w:ilvl="0" w:tplc="5450FF86">
      <w:start w:val="1"/>
      <w:numFmt w:val="lowerRoman"/>
      <w:lvlText w:val="(%1)"/>
      <w:lvlJc w:val="left"/>
      <w:pPr>
        <w:ind w:left="1055" w:hanging="720"/>
      </w:pPr>
      <w:rPr>
        <w:rFonts w:hint="default"/>
        <w:b/>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2" w15:restartNumberingAfterBreak="0">
    <w:nsid w:val="6D3611D8"/>
    <w:multiLevelType w:val="hybridMultilevel"/>
    <w:tmpl w:val="9A4A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D531D"/>
    <w:multiLevelType w:val="hybridMultilevel"/>
    <w:tmpl w:val="E0D84B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E3B62E0"/>
    <w:multiLevelType w:val="hybridMultilevel"/>
    <w:tmpl w:val="98E4FEFC"/>
    <w:lvl w:ilvl="0" w:tplc="D9BC976A">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430CD6"/>
    <w:multiLevelType w:val="hybridMultilevel"/>
    <w:tmpl w:val="F284429E"/>
    <w:lvl w:ilvl="0" w:tplc="5450FF86">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7673272">
    <w:abstractNumId w:val="23"/>
  </w:num>
  <w:num w:numId="2" w16cid:durableId="1753120182">
    <w:abstractNumId w:val="2"/>
  </w:num>
  <w:num w:numId="3" w16cid:durableId="57484942">
    <w:abstractNumId w:val="3"/>
  </w:num>
  <w:num w:numId="4" w16cid:durableId="290287770">
    <w:abstractNumId w:val="6"/>
  </w:num>
  <w:num w:numId="5" w16cid:durableId="691418488">
    <w:abstractNumId w:val="17"/>
  </w:num>
  <w:num w:numId="6" w16cid:durableId="480849970">
    <w:abstractNumId w:val="25"/>
  </w:num>
  <w:num w:numId="7" w16cid:durableId="1045063248">
    <w:abstractNumId w:val="21"/>
  </w:num>
  <w:num w:numId="8" w16cid:durableId="1714497635">
    <w:abstractNumId w:val="22"/>
  </w:num>
  <w:num w:numId="9" w16cid:durableId="1899895248">
    <w:abstractNumId w:val="20"/>
  </w:num>
  <w:num w:numId="10" w16cid:durableId="1399355249">
    <w:abstractNumId w:val="7"/>
  </w:num>
  <w:num w:numId="11" w16cid:durableId="699940067">
    <w:abstractNumId w:val="1"/>
  </w:num>
  <w:num w:numId="12" w16cid:durableId="624242091">
    <w:abstractNumId w:val="12"/>
  </w:num>
  <w:num w:numId="13" w16cid:durableId="1067337812">
    <w:abstractNumId w:val="14"/>
  </w:num>
  <w:num w:numId="14" w16cid:durableId="272517333">
    <w:abstractNumId w:val="15"/>
  </w:num>
  <w:num w:numId="15" w16cid:durableId="904140569">
    <w:abstractNumId w:val="10"/>
  </w:num>
  <w:num w:numId="16" w16cid:durableId="1698892331">
    <w:abstractNumId w:val="24"/>
  </w:num>
  <w:num w:numId="17" w16cid:durableId="1243494109">
    <w:abstractNumId w:val="0"/>
  </w:num>
  <w:num w:numId="18" w16cid:durableId="360596114">
    <w:abstractNumId w:val="4"/>
  </w:num>
  <w:num w:numId="19" w16cid:durableId="391582041">
    <w:abstractNumId w:val="9"/>
  </w:num>
  <w:num w:numId="20" w16cid:durableId="1419449989">
    <w:abstractNumId w:val="19"/>
  </w:num>
  <w:num w:numId="21" w16cid:durableId="923994193">
    <w:abstractNumId w:val="16"/>
  </w:num>
  <w:num w:numId="22" w16cid:durableId="386029665">
    <w:abstractNumId w:val="18"/>
  </w:num>
  <w:num w:numId="23" w16cid:durableId="1366253087">
    <w:abstractNumId w:val="8"/>
  </w:num>
  <w:num w:numId="24" w16cid:durableId="719941601">
    <w:abstractNumId w:val="13"/>
  </w:num>
  <w:num w:numId="25" w16cid:durableId="1091044398">
    <w:abstractNumId w:val="5"/>
  </w:num>
  <w:num w:numId="26" w16cid:durableId="964846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sDQ1NDYxtjQ3NjFQ0lEKTi0uzszPAykwqQUARZtvySwAAAA="/>
  </w:docVars>
  <w:rsids>
    <w:rsidRoot w:val="008D11B4"/>
    <w:rsid w:val="000155A1"/>
    <w:rsid w:val="0001654B"/>
    <w:rsid w:val="00025DB1"/>
    <w:rsid w:val="000364C0"/>
    <w:rsid w:val="0004243E"/>
    <w:rsid w:val="000513CE"/>
    <w:rsid w:val="000537B9"/>
    <w:rsid w:val="000756FF"/>
    <w:rsid w:val="000A0496"/>
    <w:rsid w:val="000A3407"/>
    <w:rsid w:val="000B1DD4"/>
    <w:rsid w:val="000B4E38"/>
    <w:rsid w:val="000C418C"/>
    <w:rsid w:val="000D4E03"/>
    <w:rsid w:val="00113823"/>
    <w:rsid w:val="00133683"/>
    <w:rsid w:val="00153A8C"/>
    <w:rsid w:val="00197096"/>
    <w:rsid w:val="001B254F"/>
    <w:rsid w:val="001B426F"/>
    <w:rsid w:val="001D4B4F"/>
    <w:rsid w:val="001D5656"/>
    <w:rsid w:val="00213634"/>
    <w:rsid w:val="002350FF"/>
    <w:rsid w:val="002425D2"/>
    <w:rsid w:val="00257198"/>
    <w:rsid w:val="0026166D"/>
    <w:rsid w:val="00272ED6"/>
    <w:rsid w:val="00281B3B"/>
    <w:rsid w:val="0029074F"/>
    <w:rsid w:val="00290F8A"/>
    <w:rsid w:val="00293E79"/>
    <w:rsid w:val="002B0B04"/>
    <w:rsid w:val="002F6AB3"/>
    <w:rsid w:val="00310214"/>
    <w:rsid w:val="00311B87"/>
    <w:rsid w:val="00326C3F"/>
    <w:rsid w:val="00376199"/>
    <w:rsid w:val="003A2DD1"/>
    <w:rsid w:val="003B3CF2"/>
    <w:rsid w:val="003D008A"/>
    <w:rsid w:val="003E1D98"/>
    <w:rsid w:val="00402306"/>
    <w:rsid w:val="00414013"/>
    <w:rsid w:val="00417EE1"/>
    <w:rsid w:val="004223DD"/>
    <w:rsid w:val="0045373A"/>
    <w:rsid w:val="00455D53"/>
    <w:rsid w:val="0047556E"/>
    <w:rsid w:val="00482B39"/>
    <w:rsid w:val="004B3AD8"/>
    <w:rsid w:val="004E6413"/>
    <w:rsid w:val="0051708F"/>
    <w:rsid w:val="0051733A"/>
    <w:rsid w:val="0054050E"/>
    <w:rsid w:val="00541EC5"/>
    <w:rsid w:val="00556E03"/>
    <w:rsid w:val="005A0813"/>
    <w:rsid w:val="005C3196"/>
    <w:rsid w:val="005D4101"/>
    <w:rsid w:val="005D4FE2"/>
    <w:rsid w:val="00622646"/>
    <w:rsid w:val="00622FA2"/>
    <w:rsid w:val="006264BE"/>
    <w:rsid w:val="00635C9B"/>
    <w:rsid w:val="00672C38"/>
    <w:rsid w:val="00674F44"/>
    <w:rsid w:val="00684302"/>
    <w:rsid w:val="006A24B1"/>
    <w:rsid w:val="006A5551"/>
    <w:rsid w:val="006B1AAF"/>
    <w:rsid w:val="006F222E"/>
    <w:rsid w:val="00702CC5"/>
    <w:rsid w:val="00714423"/>
    <w:rsid w:val="0072176A"/>
    <w:rsid w:val="00737FB1"/>
    <w:rsid w:val="00761AA0"/>
    <w:rsid w:val="00767E81"/>
    <w:rsid w:val="007D4027"/>
    <w:rsid w:val="007E518B"/>
    <w:rsid w:val="008242D6"/>
    <w:rsid w:val="00836270"/>
    <w:rsid w:val="00836971"/>
    <w:rsid w:val="008373EA"/>
    <w:rsid w:val="00845E2E"/>
    <w:rsid w:val="00864DE3"/>
    <w:rsid w:val="00867F97"/>
    <w:rsid w:val="00874921"/>
    <w:rsid w:val="00894969"/>
    <w:rsid w:val="008A4A9A"/>
    <w:rsid w:val="008B7D16"/>
    <w:rsid w:val="008D11B4"/>
    <w:rsid w:val="008E6D82"/>
    <w:rsid w:val="008F5A7B"/>
    <w:rsid w:val="008F68F9"/>
    <w:rsid w:val="00904C17"/>
    <w:rsid w:val="009335A7"/>
    <w:rsid w:val="0094217E"/>
    <w:rsid w:val="009451C1"/>
    <w:rsid w:val="00956839"/>
    <w:rsid w:val="009614F7"/>
    <w:rsid w:val="00971207"/>
    <w:rsid w:val="009730A3"/>
    <w:rsid w:val="0098326C"/>
    <w:rsid w:val="009A3C35"/>
    <w:rsid w:val="009B2218"/>
    <w:rsid w:val="009B3B47"/>
    <w:rsid w:val="009C6DC8"/>
    <w:rsid w:val="009D622E"/>
    <w:rsid w:val="009E41DF"/>
    <w:rsid w:val="009F6B5D"/>
    <w:rsid w:val="00A302A4"/>
    <w:rsid w:val="00A863AF"/>
    <w:rsid w:val="00A87203"/>
    <w:rsid w:val="00AA7C82"/>
    <w:rsid w:val="00AD059C"/>
    <w:rsid w:val="00B01B97"/>
    <w:rsid w:val="00B32555"/>
    <w:rsid w:val="00B326A4"/>
    <w:rsid w:val="00B335F3"/>
    <w:rsid w:val="00B51705"/>
    <w:rsid w:val="00B658ED"/>
    <w:rsid w:val="00B73E51"/>
    <w:rsid w:val="00BA474D"/>
    <w:rsid w:val="00BB31D5"/>
    <w:rsid w:val="00BD66A7"/>
    <w:rsid w:val="00BE2548"/>
    <w:rsid w:val="00BE3150"/>
    <w:rsid w:val="00BF30AC"/>
    <w:rsid w:val="00BF6DAE"/>
    <w:rsid w:val="00C41BB7"/>
    <w:rsid w:val="00C477EE"/>
    <w:rsid w:val="00C744CB"/>
    <w:rsid w:val="00C8637B"/>
    <w:rsid w:val="00CB03F2"/>
    <w:rsid w:val="00CC1666"/>
    <w:rsid w:val="00CC49BA"/>
    <w:rsid w:val="00CC7E18"/>
    <w:rsid w:val="00CE5E15"/>
    <w:rsid w:val="00CF33E5"/>
    <w:rsid w:val="00D039FD"/>
    <w:rsid w:val="00D23E87"/>
    <w:rsid w:val="00D3006F"/>
    <w:rsid w:val="00D366E6"/>
    <w:rsid w:val="00D4127C"/>
    <w:rsid w:val="00D43797"/>
    <w:rsid w:val="00D5386F"/>
    <w:rsid w:val="00D56EC0"/>
    <w:rsid w:val="00D61A15"/>
    <w:rsid w:val="00D6705D"/>
    <w:rsid w:val="00D96EA6"/>
    <w:rsid w:val="00DB2B07"/>
    <w:rsid w:val="00DC3C7F"/>
    <w:rsid w:val="00DC744A"/>
    <w:rsid w:val="00DE161F"/>
    <w:rsid w:val="00E1763C"/>
    <w:rsid w:val="00E319E9"/>
    <w:rsid w:val="00E40509"/>
    <w:rsid w:val="00E407B0"/>
    <w:rsid w:val="00E52A1E"/>
    <w:rsid w:val="00E551FA"/>
    <w:rsid w:val="00E8197B"/>
    <w:rsid w:val="00E84867"/>
    <w:rsid w:val="00EB1DA8"/>
    <w:rsid w:val="00F021A8"/>
    <w:rsid w:val="00F17CAB"/>
    <w:rsid w:val="00F17DD1"/>
    <w:rsid w:val="00F210A0"/>
    <w:rsid w:val="00F42BD6"/>
    <w:rsid w:val="00F6205A"/>
    <w:rsid w:val="00F831F2"/>
    <w:rsid w:val="00FA55EF"/>
    <w:rsid w:val="00FB2E08"/>
    <w:rsid w:val="00FE5E8F"/>
    <w:rsid w:val="00FE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6D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B4"/>
    <w:rPr>
      <w:rFonts w:ascii="Arial" w:hAnsi="Arial"/>
      <w:sz w:val="24"/>
    </w:rPr>
  </w:style>
  <w:style w:type="paragraph" w:styleId="Heading1">
    <w:name w:val="heading 1"/>
    <w:basedOn w:val="Normal"/>
    <w:next w:val="Normal"/>
    <w:link w:val="Heading1Char"/>
    <w:uiPriority w:val="9"/>
    <w:qFormat/>
    <w:rsid w:val="008D11B4"/>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B1AAF"/>
    <w:pPr>
      <w:keepNext/>
      <w:keepLines/>
      <w:spacing w:before="40" w:after="0"/>
      <w:outlineLvl w:val="1"/>
    </w:pPr>
    <w:rPr>
      <w:rFonts w:eastAsiaTheme="majorEastAsia" w:cs="Arial"/>
      <w:b/>
      <w:szCs w:val="24"/>
    </w:rPr>
  </w:style>
  <w:style w:type="paragraph" w:styleId="Heading3">
    <w:name w:val="heading 3"/>
    <w:basedOn w:val="Normal"/>
    <w:next w:val="Normal"/>
    <w:link w:val="Heading3Char"/>
    <w:uiPriority w:val="9"/>
    <w:unhideWhenUsed/>
    <w:qFormat/>
    <w:rsid w:val="008D11B4"/>
    <w:pPr>
      <w:keepNext/>
      <w:keepLines/>
      <w:spacing w:before="480" w:after="240"/>
      <w:jc w:val="center"/>
      <w:outlineLvl w:val="2"/>
    </w:pPr>
    <w:rPr>
      <w:rFonts w:eastAsiaTheme="majorEastAsia"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1B4"/>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8D11B4"/>
    <w:rPr>
      <w:rFonts w:ascii="Arial" w:eastAsiaTheme="majorEastAsia" w:hAnsi="Arial" w:cs="Arial"/>
      <w:b/>
      <w:sz w:val="24"/>
      <w:szCs w:val="24"/>
    </w:rPr>
  </w:style>
  <w:style w:type="paragraph" w:styleId="ListParagraph">
    <w:name w:val="List Paragraph"/>
    <w:basedOn w:val="Normal"/>
    <w:uiPriority w:val="34"/>
    <w:qFormat/>
    <w:rsid w:val="008D11B4"/>
    <w:pPr>
      <w:spacing w:after="240" w:line="250" w:lineRule="auto"/>
      <w:ind w:left="720" w:hanging="14"/>
      <w:contextualSpacing/>
    </w:pPr>
    <w:rPr>
      <w:rFonts w:eastAsia="Arial" w:cs="Arial"/>
      <w:color w:val="000000"/>
    </w:rPr>
  </w:style>
  <w:style w:type="character" w:styleId="Hyperlink">
    <w:name w:val="Hyperlink"/>
    <w:basedOn w:val="DefaultParagraphFont"/>
    <w:uiPriority w:val="99"/>
    <w:unhideWhenUsed/>
    <w:rsid w:val="008D11B4"/>
    <w:rPr>
      <w:color w:val="0563C1" w:themeColor="hyperlink"/>
      <w:u w:val="single"/>
    </w:rPr>
  </w:style>
  <w:style w:type="character" w:styleId="Strong">
    <w:name w:val="Strong"/>
    <w:basedOn w:val="DefaultParagraphFont"/>
    <w:uiPriority w:val="22"/>
    <w:qFormat/>
    <w:rsid w:val="008D11B4"/>
    <w:rPr>
      <w:b/>
      <w:bCs/>
    </w:rPr>
  </w:style>
  <w:style w:type="character" w:styleId="Emphasis">
    <w:name w:val="Emphasis"/>
    <w:basedOn w:val="DefaultParagraphFont"/>
    <w:uiPriority w:val="20"/>
    <w:qFormat/>
    <w:rsid w:val="008D11B4"/>
    <w:rPr>
      <w:i/>
      <w:iCs/>
    </w:rPr>
  </w:style>
  <w:style w:type="paragraph" w:styleId="Footer">
    <w:name w:val="footer"/>
    <w:basedOn w:val="Normal"/>
    <w:link w:val="FooterChar"/>
    <w:uiPriority w:val="99"/>
    <w:unhideWhenUsed/>
    <w:rsid w:val="008D1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1B4"/>
    <w:rPr>
      <w:rFonts w:ascii="Arial" w:hAnsi="Arial"/>
      <w:sz w:val="24"/>
    </w:rPr>
  </w:style>
  <w:style w:type="table" w:styleId="TableGrid">
    <w:name w:val="Table Grid"/>
    <w:basedOn w:val="TableNormal"/>
    <w:uiPriority w:val="39"/>
    <w:rsid w:val="008D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11B4"/>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E8197B"/>
    <w:rPr>
      <w:color w:val="605E5C"/>
      <w:shd w:val="clear" w:color="auto" w:fill="E1DFDD"/>
    </w:rPr>
  </w:style>
  <w:style w:type="character" w:styleId="CommentReference">
    <w:name w:val="annotation reference"/>
    <w:basedOn w:val="DefaultParagraphFont"/>
    <w:uiPriority w:val="99"/>
    <w:semiHidden/>
    <w:unhideWhenUsed/>
    <w:rsid w:val="00E8197B"/>
    <w:rPr>
      <w:sz w:val="16"/>
      <w:szCs w:val="16"/>
    </w:rPr>
  </w:style>
  <w:style w:type="paragraph" w:styleId="CommentText">
    <w:name w:val="annotation text"/>
    <w:basedOn w:val="Normal"/>
    <w:link w:val="CommentTextChar"/>
    <w:uiPriority w:val="99"/>
    <w:unhideWhenUsed/>
    <w:rsid w:val="00E8197B"/>
    <w:pPr>
      <w:spacing w:line="240" w:lineRule="auto"/>
    </w:pPr>
    <w:rPr>
      <w:sz w:val="20"/>
      <w:szCs w:val="20"/>
    </w:rPr>
  </w:style>
  <w:style w:type="character" w:customStyle="1" w:styleId="CommentTextChar">
    <w:name w:val="Comment Text Char"/>
    <w:basedOn w:val="DefaultParagraphFont"/>
    <w:link w:val="CommentText"/>
    <w:uiPriority w:val="99"/>
    <w:rsid w:val="00E819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197B"/>
    <w:rPr>
      <w:b/>
      <w:bCs/>
    </w:rPr>
  </w:style>
  <w:style w:type="character" w:customStyle="1" w:styleId="CommentSubjectChar">
    <w:name w:val="Comment Subject Char"/>
    <w:basedOn w:val="CommentTextChar"/>
    <w:link w:val="CommentSubject"/>
    <w:uiPriority w:val="99"/>
    <w:semiHidden/>
    <w:rsid w:val="00E8197B"/>
    <w:rPr>
      <w:rFonts w:ascii="Arial" w:hAnsi="Arial"/>
      <w:b/>
      <w:bCs/>
      <w:sz w:val="20"/>
      <w:szCs w:val="20"/>
    </w:rPr>
  </w:style>
  <w:style w:type="paragraph" w:styleId="BalloonText">
    <w:name w:val="Balloon Text"/>
    <w:basedOn w:val="Normal"/>
    <w:link w:val="BalloonTextChar"/>
    <w:uiPriority w:val="99"/>
    <w:semiHidden/>
    <w:unhideWhenUsed/>
    <w:rsid w:val="00E81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97B"/>
    <w:rPr>
      <w:rFonts w:ascii="Segoe UI" w:hAnsi="Segoe UI" w:cs="Segoe UI"/>
      <w:sz w:val="18"/>
      <w:szCs w:val="18"/>
    </w:rPr>
  </w:style>
  <w:style w:type="paragraph" w:styleId="Revision">
    <w:name w:val="Revision"/>
    <w:hidden/>
    <w:uiPriority w:val="99"/>
    <w:semiHidden/>
    <w:rsid w:val="009F6B5D"/>
    <w:pPr>
      <w:spacing w:after="0" w:line="240" w:lineRule="auto"/>
    </w:pPr>
    <w:rPr>
      <w:rFonts w:ascii="Arial" w:hAnsi="Arial"/>
      <w:sz w:val="24"/>
    </w:rPr>
  </w:style>
  <w:style w:type="paragraph" w:styleId="Header">
    <w:name w:val="header"/>
    <w:basedOn w:val="Normal"/>
    <w:link w:val="HeaderChar"/>
    <w:uiPriority w:val="99"/>
    <w:unhideWhenUsed/>
    <w:rsid w:val="009F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B5D"/>
    <w:rPr>
      <w:rFonts w:ascii="Arial" w:hAnsi="Arial"/>
      <w:sz w:val="24"/>
    </w:rPr>
  </w:style>
  <w:style w:type="character" w:customStyle="1" w:styleId="Heading2Char">
    <w:name w:val="Heading 2 Char"/>
    <w:basedOn w:val="DefaultParagraphFont"/>
    <w:link w:val="Heading2"/>
    <w:uiPriority w:val="9"/>
    <w:rsid w:val="006B1AAF"/>
    <w:rPr>
      <w:rFonts w:ascii="Arial" w:eastAsiaTheme="majorEastAsia" w:hAnsi="Arial" w:cs="Arial"/>
      <w:b/>
      <w:sz w:val="24"/>
      <w:szCs w:val="24"/>
    </w:rPr>
  </w:style>
  <w:style w:type="character" w:styleId="FollowedHyperlink">
    <w:name w:val="FollowedHyperlink"/>
    <w:basedOn w:val="DefaultParagraphFont"/>
    <w:uiPriority w:val="99"/>
    <w:semiHidden/>
    <w:unhideWhenUsed/>
    <w:rsid w:val="00B51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3912</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LREBG Reporting Template - Categorical Programs (CA Dept of Education)</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LREBG Reporting Template - Categorical Programs (CA Dept of Education)</dc:title>
  <dc:subject>Learning Recovery Emergency Block Grant (LREBG) Reporting Template for reference only.</dc:subject>
  <dc:creator/>
  <cp:keywords/>
  <dc:description/>
  <cp:lastModifiedBy/>
  <cp:revision>1</cp:revision>
  <dcterms:created xsi:type="dcterms:W3CDTF">2024-08-23T17:31:00Z</dcterms:created>
  <dcterms:modified xsi:type="dcterms:W3CDTF">2024-09-18T18:21:00Z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efc0d6e8f14a89f0d22e969bd93f67696ae1c3c0d87c0192491894d722239ce3</vt:lpwstr>
  </property>
</Properties>
</file>