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D000" w14:textId="74DB6E7D" w:rsidR="005F1D6F" w:rsidRPr="00A0036B" w:rsidRDefault="005F1D6F" w:rsidP="00792B6C">
      <w:pPr>
        <w:pStyle w:val="Heading1"/>
      </w:pPr>
      <w:bookmarkStart w:id="0" w:name="_Toc152757054"/>
      <w:r w:rsidRPr="00A0036B">
        <w:t>California Department of Education</w:t>
      </w:r>
      <w:r w:rsidR="00937AC7" w:rsidRPr="00A0036B">
        <w:t xml:space="preserve"> </w:t>
      </w:r>
      <w:r w:rsidR="00995547" w:rsidRPr="00A0036B">
        <w:t>Request for Proposals</w:t>
      </w:r>
      <w:r w:rsidR="00D26438" w:rsidRPr="00A0036B">
        <w:t xml:space="preserve"> (RFP)</w:t>
      </w:r>
      <w:r w:rsidR="00937AC7" w:rsidRPr="00A0036B">
        <w:t xml:space="preserve"> </w:t>
      </w:r>
      <w:bookmarkStart w:id="1" w:name="_Hlk127545743"/>
      <w:bookmarkStart w:id="2" w:name="_Hlk127961736"/>
      <w:r w:rsidR="00FD70FB" w:rsidRPr="00610857">
        <w:t>California Community Schools Partnership Program Formative Evaluations</w:t>
      </w:r>
      <w:bookmarkEnd w:id="1"/>
      <w:bookmarkEnd w:id="2"/>
      <w:r w:rsidR="00FD70FB" w:rsidRPr="00610857" w:rsidDel="001304A1">
        <w:t xml:space="preserve"> </w:t>
      </w:r>
      <w:r w:rsidR="00D17889">
        <w:t>–</w:t>
      </w:r>
      <w:r w:rsidR="00937AC7" w:rsidRPr="00A0036B">
        <w:t xml:space="preserve"> </w:t>
      </w:r>
      <w:r w:rsidR="005A13BE" w:rsidRPr="00A0036B">
        <w:t>CN</w:t>
      </w:r>
      <w:r w:rsidR="005A13BE">
        <w:t>240004</w:t>
      </w:r>
      <w:bookmarkEnd w:id="0"/>
    </w:p>
    <w:p w14:paraId="3D8AD001" w14:textId="3B61D815" w:rsidR="005F1D6F" w:rsidRPr="005A13BE" w:rsidRDefault="00937AC7" w:rsidP="00697B9C">
      <w:pPr>
        <w:jc w:val="center"/>
      </w:pPr>
      <w:r w:rsidRPr="00937AC7">
        <w:t xml:space="preserve">Contract </w:t>
      </w:r>
      <w:r w:rsidRPr="005A13BE">
        <w:t xml:space="preserve">Term: </w:t>
      </w:r>
      <w:r w:rsidR="002B386C" w:rsidRPr="00160E7E">
        <w:t>July</w:t>
      </w:r>
      <w:r w:rsidR="00D26438" w:rsidRPr="00160E7E">
        <w:t xml:space="preserve"> 1, </w:t>
      </w:r>
      <w:r w:rsidR="00FD70FB" w:rsidRPr="00160E7E">
        <w:t xml:space="preserve">2024 </w:t>
      </w:r>
      <w:r w:rsidR="00DD385D" w:rsidRPr="00160E7E">
        <w:t xml:space="preserve">– </w:t>
      </w:r>
      <w:r w:rsidR="00B86178">
        <w:t>December 31, 2031</w:t>
      </w:r>
    </w:p>
    <w:p w14:paraId="3D8AD002" w14:textId="7B595EB7" w:rsidR="00CB1B58" w:rsidRPr="005A13BE" w:rsidRDefault="00CB1B58" w:rsidP="00697B9C">
      <w:pPr>
        <w:jc w:val="center"/>
      </w:pPr>
      <w:r w:rsidRPr="005A13BE">
        <w:t xml:space="preserve">RFP Release Date: </w:t>
      </w:r>
      <w:r w:rsidR="005A13BE">
        <w:t>December 20, 2023</w:t>
      </w:r>
    </w:p>
    <w:p w14:paraId="3D8AD003" w14:textId="77777777" w:rsidR="00D26438" w:rsidRPr="005A13BE" w:rsidRDefault="00D26438" w:rsidP="00697B9C">
      <w:pPr>
        <w:jc w:val="center"/>
      </w:pPr>
      <w:r w:rsidRPr="005A13BE">
        <w:t>California Department of Education</w:t>
      </w:r>
    </w:p>
    <w:p w14:paraId="3D8AD004" w14:textId="430D0D20" w:rsidR="00D26438" w:rsidRPr="005A13BE" w:rsidRDefault="00FD70FB" w:rsidP="00697B9C">
      <w:pPr>
        <w:jc w:val="center"/>
      </w:pPr>
      <w:r w:rsidRPr="005A13BE">
        <w:rPr>
          <w:rFonts w:cs="Arial"/>
          <w:szCs w:val="24"/>
        </w:rPr>
        <w:t>Career and College Transition Division</w:t>
      </w:r>
    </w:p>
    <w:p w14:paraId="3D8AD005" w14:textId="11FE41F9" w:rsidR="00D26438" w:rsidRPr="005A13BE" w:rsidRDefault="00D26438" w:rsidP="00697B9C">
      <w:pPr>
        <w:jc w:val="center"/>
      </w:pPr>
      <w:r w:rsidRPr="005A13BE">
        <w:t xml:space="preserve">Attention: </w:t>
      </w:r>
      <w:r w:rsidR="00FD70FB" w:rsidRPr="005A13BE">
        <w:t xml:space="preserve">Lisa </w:t>
      </w:r>
      <w:r w:rsidR="00ED7A24">
        <w:t>Clark-Devine</w:t>
      </w:r>
    </w:p>
    <w:p w14:paraId="3D8AD006" w14:textId="08B89A19" w:rsidR="00D26438" w:rsidRPr="005A13BE" w:rsidRDefault="002E0181" w:rsidP="00697B9C">
      <w:pPr>
        <w:jc w:val="center"/>
      </w:pPr>
      <w:r w:rsidRPr="005A13BE">
        <w:t xml:space="preserve">1430 N Street, Suite </w:t>
      </w:r>
      <w:r w:rsidR="00FD70FB" w:rsidRPr="005A13BE">
        <w:t>4202</w:t>
      </w:r>
    </w:p>
    <w:p w14:paraId="3D8AD007" w14:textId="77777777" w:rsidR="00D26438" w:rsidRPr="005A13BE" w:rsidRDefault="00D26438" w:rsidP="00697B9C">
      <w:pPr>
        <w:jc w:val="center"/>
      </w:pPr>
      <w:r w:rsidRPr="005A13BE">
        <w:t>Sacramento, CA 95814</w:t>
      </w:r>
    </w:p>
    <w:p w14:paraId="7A05115E" w14:textId="3A2AEF5D" w:rsidR="00FE53EB" w:rsidRPr="005A13BE" w:rsidRDefault="00FE53EB" w:rsidP="00697B9C">
      <w:pPr>
        <w:jc w:val="center"/>
      </w:pPr>
      <w:r w:rsidRPr="005A13BE">
        <w:t xml:space="preserve">Email: </w:t>
      </w:r>
      <w:hyperlink r:id="rId8" w:history="1">
        <w:r w:rsidR="005A13BE" w:rsidRPr="00324C59">
          <w:rPr>
            <w:rStyle w:val="Hyperlink"/>
          </w:rPr>
          <w:t>CCSPP@cde.ca.gov</w:t>
        </w:r>
      </w:hyperlink>
      <w:r w:rsidR="005A13BE">
        <w:t xml:space="preserve"> </w:t>
      </w:r>
    </w:p>
    <w:p w14:paraId="3D8AD009" w14:textId="695A173D" w:rsidR="00D22A88" w:rsidRPr="005A13BE" w:rsidRDefault="00FE53EB" w:rsidP="00EE2F9F">
      <w:pPr>
        <w:autoSpaceDE w:val="0"/>
        <w:autoSpaceDN w:val="0"/>
        <w:adjustRightInd w:val="0"/>
        <w:jc w:val="center"/>
        <w:rPr>
          <w:rFonts w:cs="Arial"/>
          <w:szCs w:val="24"/>
        </w:rPr>
      </w:pPr>
      <w:r w:rsidRPr="005A13BE">
        <w:t xml:space="preserve">Phone: </w:t>
      </w:r>
      <w:r w:rsidR="00FD70FB" w:rsidRPr="005A13BE">
        <w:t>916-982-2158</w:t>
      </w:r>
    </w:p>
    <w:p w14:paraId="45EEB02E" w14:textId="1FD2FEA4" w:rsidR="00483D58" w:rsidRDefault="00483D58">
      <w:pPr>
        <w:rPr>
          <w:rFonts w:cs="Arial"/>
        </w:rPr>
      </w:pPr>
      <w:r>
        <w:rPr>
          <w:rFonts w:cs="Arial"/>
        </w:rPr>
        <w:br w:type="page"/>
      </w:r>
      <w:r w:rsidR="00FD70FB">
        <w:rPr>
          <w:rFonts w:cs="Arial"/>
        </w:rPr>
        <w:lastRenderedPageBreak/>
        <w:t xml:space="preserve"> </w:t>
      </w:r>
    </w:p>
    <w:p w14:paraId="3D8AD00A" w14:textId="28BCF7FE" w:rsidR="003D2B70" w:rsidRPr="00D22A88" w:rsidRDefault="00FC2FC1" w:rsidP="00D22A88">
      <w:pPr>
        <w:spacing w:before="240" w:after="240"/>
        <w:jc w:val="center"/>
        <w:rPr>
          <w:rFonts w:cs="Arial"/>
        </w:rPr>
      </w:pPr>
      <w:r w:rsidRPr="0097472E">
        <w:rPr>
          <w:rFonts w:cs="Arial"/>
        </w:rPr>
        <w:t>This page intentionally left blank to facilitate double-sided printing</w:t>
      </w:r>
      <w:r w:rsidR="006D50FC">
        <w:rPr>
          <w:rFonts w:cs="Arial"/>
        </w:rPr>
        <w:t>.</w:t>
      </w:r>
    </w:p>
    <w:p w14:paraId="3D8AD00B" w14:textId="77777777" w:rsidR="00D22A88" w:rsidRDefault="00D22A88">
      <w:pPr>
        <w:rPr>
          <w:rFonts w:eastAsia="Times New Roman" w:cs="Arial"/>
          <w:b/>
          <w:bCs/>
          <w:iCs/>
          <w:sz w:val="32"/>
          <w:szCs w:val="28"/>
        </w:rPr>
      </w:pPr>
      <w:r>
        <w:br w:type="page"/>
      </w:r>
    </w:p>
    <w:p w14:paraId="3D8AD00C" w14:textId="77777777" w:rsidR="00C8242D" w:rsidRPr="00A0036B" w:rsidRDefault="008E39F4" w:rsidP="00DC35FD">
      <w:pPr>
        <w:pStyle w:val="Heading2"/>
      </w:pPr>
      <w:bookmarkStart w:id="3" w:name="_Toc152757055"/>
      <w:r w:rsidRPr="00A0036B">
        <w:lastRenderedPageBreak/>
        <w:t>TABLE OF CONTENTS</w:t>
      </w:r>
      <w:bookmarkEnd w:id="3"/>
    </w:p>
    <w:p w14:paraId="14F73D47" w14:textId="75154D6E" w:rsidR="00F657EA" w:rsidRDefault="003616B1">
      <w:pPr>
        <w:pStyle w:val="TOC1"/>
        <w:rPr>
          <w:rFonts w:asciiTheme="minorHAnsi" w:eastAsiaTheme="minorEastAsia" w:hAnsiTheme="minorHAnsi" w:cstheme="minorBidi"/>
          <w:noProof/>
          <w:kern w:val="2"/>
          <w:sz w:val="22"/>
          <w14:ligatures w14:val="standardContextual"/>
        </w:rPr>
      </w:pPr>
      <w:r>
        <w:rPr>
          <w:b/>
          <w:bCs/>
          <w:iCs/>
        </w:rPr>
        <w:fldChar w:fldCharType="begin"/>
      </w:r>
      <w:r>
        <w:rPr>
          <w:b/>
          <w:bCs/>
          <w:iCs/>
        </w:rPr>
        <w:instrText xml:space="preserve"> TOC \o "1-2" \h \z \u </w:instrText>
      </w:r>
      <w:r>
        <w:rPr>
          <w:b/>
          <w:bCs/>
          <w:iCs/>
        </w:rPr>
        <w:fldChar w:fldCharType="separate"/>
      </w:r>
      <w:hyperlink w:anchor="_Toc152757054" w:history="1">
        <w:r w:rsidR="00F657EA" w:rsidRPr="00171757">
          <w:rPr>
            <w:rStyle w:val="Hyperlink"/>
            <w:noProof/>
          </w:rPr>
          <w:t>California Department of Education Request for Proposals (RFP) California Community Schools Partnership Program Formative Evaluations – CN240004</w:t>
        </w:r>
        <w:r w:rsidR="00F657EA">
          <w:rPr>
            <w:noProof/>
            <w:webHidden/>
          </w:rPr>
          <w:tab/>
        </w:r>
        <w:r w:rsidR="00F657EA">
          <w:rPr>
            <w:noProof/>
            <w:webHidden/>
          </w:rPr>
          <w:fldChar w:fldCharType="begin"/>
        </w:r>
        <w:r w:rsidR="00F657EA">
          <w:rPr>
            <w:noProof/>
            <w:webHidden/>
          </w:rPr>
          <w:instrText xml:space="preserve"> PAGEREF _Toc152757054 \h </w:instrText>
        </w:r>
        <w:r w:rsidR="00F657EA">
          <w:rPr>
            <w:noProof/>
            <w:webHidden/>
          </w:rPr>
        </w:r>
        <w:r w:rsidR="00F657EA">
          <w:rPr>
            <w:noProof/>
            <w:webHidden/>
          </w:rPr>
          <w:fldChar w:fldCharType="separate"/>
        </w:r>
        <w:r w:rsidR="00137D0D">
          <w:rPr>
            <w:noProof/>
            <w:webHidden/>
          </w:rPr>
          <w:t>1</w:t>
        </w:r>
        <w:r w:rsidR="00F657EA">
          <w:rPr>
            <w:noProof/>
            <w:webHidden/>
          </w:rPr>
          <w:fldChar w:fldCharType="end"/>
        </w:r>
      </w:hyperlink>
    </w:p>
    <w:p w14:paraId="6BF68C24" w14:textId="6BE9AA49" w:rsidR="00F657EA" w:rsidRDefault="00000000">
      <w:pPr>
        <w:pStyle w:val="TOC2"/>
        <w:rPr>
          <w:rFonts w:asciiTheme="minorHAnsi" w:eastAsiaTheme="minorEastAsia" w:hAnsiTheme="minorHAnsi" w:cstheme="minorBidi"/>
          <w:noProof/>
          <w:kern w:val="2"/>
          <w:sz w:val="22"/>
          <w14:ligatures w14:val="standardContextual"/>
        </w:rPr>
      </w:pPr>
      <w:hyperlink w:anchor="_Toc152757055" w:history="1">
        <w:r w:rsidR="00F657EA" w:rsidRPr="00171757">
          <w:rPr>
            <w:rStyle w:val="Hyperlink"/>
            <w:noProof/>
          </w:rPr>
          <w:t>TABLE OF CONTENTS</w:t>
        </w:r>
        <w:r w:rsidR="00F657EA">
          <w:rPr>
            <w:noProof/>
            <w:webHidden/>
          </w:rPr>
          <w:tab/>
        </w:r>
        <w:r w:rsidR="00F657EA">
          <w:rPr>
            <w:noProof/>
            <w:webHidden/>
          </w:rPr>
          <w:fldChar w:fldCharType="begin"/>
        </w:r>
        <w:r w:rsidR="00F657EA">
          <w:rPr>
            <w:noProof/>
            <w:webHidden/>
          </w:rPr>
          <w:instrText xml:space="preserve"> PAGEREF _Toc152757055 \h </w:instrText>
        </w:r>
        <w:r w:rsidR="00F657EA">
          <w:rPr>
            <w:noProof/>
            <w:webHidden/>
          </w:rPr>
        </w:r>
        <w:r w:rsidR="00F657EA">
          <w:rPr>
            <w:noProof/>
            <w:webHidden/>
          </w:rPr>
          <w:fldChar w:fldCharType="separate"/>
        </w:r>
        <w:r w:rsidR="00137D0D">
          <w:rPr>
            <w:noProof/>
            <w:webHidden/>
          </w:rPr>
          <w:t>3</w:t>
        </w:r>
        <w:r w:rsidR="00F657EA">
          <w:rPr>
            <w:noProof/>
            <w:webHidden/>
          </w:rPr>
          <w:fldChar w:fldCharType="end"/>
        </w:r>
      </w:hyperlink>
    </w:p>
    <w:p w14:paraId="6C6B443D" w14:textId="127EE006" w:rsidR="00F657EA" w:rsidRDefault="00000000">
      <w:pPr>
        <w:pStyle w:val="TOC2"/>
        <w:rPr>
          <w:rFonts w:asciiTheme="minorHAnsi" w:eastAsiaTheme="minorEastAsia" w:hAnsiTheme="minorHAnsi" w:cstheme="minorBidi"/>
          <w:noProof/>
          <w:kern w:val="2"/>
          <w:sz w:val="22"/>
          <w14:ligatures w14:val="standardContextual"/>
        </w:rPr>
      </w:pPr>
      <w:hyperlink w:anchor="_Toc152757056" w:history="1">
        <w:r w:rsidR="00F657EA" w:rsidRPr="00171757">
          <w:rPr>
            <w:rStyle w:val="Hyperlink"/>
            <w:noProof/>
          </w:rPr>
          <w:t>ATTACHMENTS</w:t>
        </w:r>
        <w:r w:rsidR="00F657EA">
          <w:rPr>
            <w:noProof/>
            <w:webHidden/>
          </w:rPr>
          <w:tab/>
        </w:r>
        <w:r w:rsidR="00F657EA">
          <w:rPr>
            <w:noProof/>
            <w:webHidden/>
          </w:rPr>
          <w:fldChar w:fldCharType="begin"/>
        </w:r>
        <w:r w:rsidR="00F657EA">
          <w:rPr>
            <w:noProof/>
            <w:webHidden/>
          </w:rPr>
          <w:instrText xml:space="preserve"> PAGEREF _Toc152757056 \h </w:instrText>
        </w:r>
        <w:r w:rsidR="00F657EA">
          <w:rPr>
            <w:noProof/>
            <w:webHidden/>
          </w:rPr>
        </w:r>
        <w:r w:rsidR="00F657EA">
          <w:rPr>
            <w:noProof/>
            <w:webHidden/>
          </w:rPr>
          <w:fldChar w:fldCharType="separate"/>
        </w:r>
        <w:r w:rsidR="00137D0D">
          <w:rPr>
            <w:noProof/>
            <w:webHidden/>
          </w:rPr>
          <w:t>3</w:t>
        </w:r>
        <w:r w:rsidR="00F657EA">
          <w:rPr>
            <w:noProof/>
            <w:webHidden/>
          </w:rPr>
          <w:fldChar w:fldCharType="end"/>
        </w:r>
      </w:hyperlink>
    </w:p>
    <w:p w14:paraId="6A25C3D4" w14:textId="479353A1" w:rsidR="00F657EA" w:rsidRDefault="00000000">
      <w:pPr>
        <w:pStyle w:val="TOC2"/>
        <w:rPr>
          <w:rFonts w:asciiTheme="minorHAnsi" w:eastAsiaTheme="minorEastAsia" w:hAnsiTheme="minorHAnsi" w:cstheme="minorBidi"/>
          <w:noProof/>
          <w:kern w:val="2"/>
          <w:sz w:val="22"/>
          <w14:ligatures w14:val="standardContextual"/>
        </w:rPr>
      </w:pPr>
      <w:hyperlink w:anchor="_Toc152757057" w:history="1">
        <w:r w:rsidR="00F657EA" w:rsidRPr="00171757">
          <w:rPr>
            <w:rStyle w:val="Hyperlink"/>
            <w:noProof/>
          </w:rPr>
          <w:t>1. PURPOSE AND BACKGROUND</w:t>
        </w:r>
        <w:r w:rsidR="00F657EA">
          <w:rPr>
            <w:noProof/>
            <w:webHidden/>
          </w:rPr>
          <w:tab/>
        </w:r>
        <w:r w:rsidR="00F657EA">
          <w:rPr>
            <w:noProof/>
            <w:webHidden/>
          </w:rPr>
          <w:fldChar w:fldCharType="begin"/>
        </w:r>
        <w:r w:rsidR="00F657EA">
          <w:rPr>
            <w:noProof/>
            <w:webHidden/>
          </w:rPr>
          <w:instrText xml:space="preserve"> PAGEREF _Toc152757057 \h </w:instrText>
        </w:r>
        <w:r w:rsidR="00F657EA">
          <w:rPr>
            <w:noProof/>
            <w:webHidden/>
          </w:rPr>
        </w:r>
        <w:r w:rsidR="00F657EA">
          <w:rPr>
            <w:noProof/>
            <w:webHidden/>
          </w:rPr>
          <w:fldChar w:fldCharType="separate"/>
        </w:r>
        <w:r w:rsidR="00137D0D">
          <w:rPr>
            <w:noProof/>
            <w:webHidden/>
          </w:rPr>
          <w:t>5</w:t>
        </w:r>
        <w:r w:rsidR="00F657EA">
          <w:rPr>
            <w:noProof/>
            <w:webHidden/>
          </w:rPr>
          <w:fldChar w:fldCharType="end"/>
        </w:r>
      </w:hyperlink>
    </w:p>
    <w:p w14:paraId="45D69CF8" w14:textId="5A970E2B" w:rsidR="00F657EA" w:rsidRDefault="00000000">
      <w:pPr>
        <w:pStyle w:val="TOC2"/>
        <w:rPr>
          <w:rFonts w:asciiTheme="minorHAnsi" w:eastAsiaTheme="minorEastAsia" w:hAnsiTheme="minorHAnsi" w:cstheme="minorBidi"/>
          <w:noProof/>
          <w:kern w:val="2"/>
          <w:sz w:val="22"/>
          <w14:ligatures w14:val="standardContextual"/>
        </w:rPr>
      </w:pPr>
      <w:hyperlink w:anchor="_Toc152757058" w:history="1">
        <w:r w:rsidR="00F657EA" w:rsidRPr="00171757">
          <w:rPr>
            <w:rStyle w:val="Hyperlink"/>
            <w:noProof/>
          </w:rPr>
          <w:t>2. GENERAL PROPOSAL INFORMATION</w:t>
        </w:r>
        <w:r w:rsidR="00F657EA">
          <w:rPr>
            <w:noProof/>
            <w:webHidden/>
          </w:rPr>
          <w:tab/>
        </w:r>
        <w:r w:rsidR="00F657EA">
          <w:rPr>
            <w:noProof/>
            <w:webHidden/>
          </w:rPr>
          <w:fldChar w:fldCharType="begin"/>
        </w:r>
        <w:r w:rsidR="00F657EA">
          <w:rPr>
            <w:noProof/>
            <w:webHidden/>
          </w:rPr>
          <w:instrText xml:space="preserve"> PAGEREF _Toc152757058 \h </w:instrText>
        </w:r>
        <w:r w:rsidR="00F657EA">
          <w:rPr>
            <w:noProof/>
            <w:webHidden/>
          </w:rPr>
        </w:r>
        <w:r w:rsidR="00F657EA">
          <w:rPr>
            <w:noProof/>
            <w:webHidden/>
          </w:rPr>
          <w:fldChar w:fldCharType="separate"/>
        </w:r>
        <w:r w:rsidR="00137D0D">
          <w:rPr>
            <w:noProof/>
            <w:webHidden/>
          </w:rPr>
          <w:t>10</w:t>
        </w:r>
        <w:r w:rsidR="00F657EA">
          <w:rPr>
            <w:noProof/>
            <w:webHidden/>
          </w:rPr>
          <w:fldChar w:fldCharType="end"/>
        </w:r>
      </w:hyperlink>
    </w:p>
    <w:p w14:paraId="5550A0B9" w14:textId="656F4655" w:rsidR="00F657EA" w:rsidRDefault="00000000">
      <w:pPr>
        <w:pStyle w:val="TOC2"/>
        <w:rPr>
          <w:rFonts w:asciiTheme="minorHAnsi" w:eastAsiaTheme="minorEastAsia" w:hAnsiTheme="minorHAnsi" w:cstheme="minorBidi"/>
          <w:noProof/>
          <w:kern w:val="2"/>
          <w:sz w:val="22"/>
          <w14:ligatures w14:val="standardContextual"/>
        </w:rPr>
      </w:pPr>
      <w:hyperlink w:anchor="_Toc152757059" w:history="1">
        <w:r w:rsidR="00F657EA" w:rsidRPr="00171757">
          <w:rPr>
            <w:rStyle w:val="Hyperlink"/>
            <w:noProof/>
            <w:snapToGrid w:val="0"/>
          </w:rPr>
          <w:t>3</w:t>
        </w:r>
        <w:r w:rsidR="00F657EA" w:rsidRPr="00171757">
          <w:rPr>
            <w:rStyle w:val="Hyperlink"/>
            <w:noProof/>
          </w:rPr>
          <w:t>. PROPOSAL SPECIFICATIONS</w:t>
        </w:r>
        <w:r w:rsidR="00F657EA">
          <w:rPr>
            <w:noProof/>
            <w:webHidden/>
          </w:rPr>
          <w:tab/>
        </w:r>
        <w:r w:rsidR="00F657EA">
          <w:rPr>
            <w:noProof/>
            <w:webHidden/>
          </w:rPr>
          <w:fldChar w:fldCharType="begin"/>
        </w:r>
        <w:r w:rsidR="00F657EA">
          <w:rPr>
            <w:noProof/>
            <w:webHidden/>
          </w:rPr>
          <w:instrText xml:space="preserve"> PAGEREF _Toc152757059 \h </w:instrText>
        </w:r>
        <w:r w:rsidR="00F657EA">
          <w:rPr>
            <w:noProof/>
            <w:webHidden/>
          </w:rPr>
        </w:r>
        <w:r w:rsidR="00F657EA">
          <w:rPr>
            <w:noProof/>
            <w:webHidden/>
          </w:rPr>
          <w:fldChar w:fldCharType="separate"/>
        </w:r>
        <w:r w:rsidR="00137D0D">
          <w:rPr>
            <w:noProof/>
            <w:webHidden/>
          </w:rPr>
          <w:t>18</w:t>
        </w:r>
        <w:r w:rsidR="00F657EA">
          <w:rPr>
            <w:noProof/>
            <w:webHidden/>
          </w:rPr>
          <w:fldChar w:fldCharType="end"/>
        </w:r>
      </w:hyperlink>
    </w:p>
    <w:p w14:paraId="1132AFC1" w14:textId="4678C4DC" w:rsidR="00F657EA" w:rsidRDefault="00000000">
      <w:pPr>
        <w:pStyle w:val="TOC2"/>
        <w:rPr>
          <w:rFonts w:asciiTheme="minorHAnsi" w:eastAsiaTheme="minorEastAsia" w:hAnsiTheme="minorHAnsi" w:cstheme="minorBidi"/>
          <w:noProof/>
          <w:kern w:val="2"/>
          <w:sz w:val="22"/>
          <w14:ligatures w14:val="standardContextual"/>
        </w:rPr>
      </w:pPr>
      <w:hyperlink w:anchor="_Toc152757060" w:history="1">
        <w:r w:rsidR="00F657EA" w:rsidRPr="00171757">
          <w:rPr>
            <w:rStyle w:val="Hyperlink"/>
            <w:noProof/>
          </w:rPr>
          <w:t>4. EVALUATION PROCESS</w:t>
        </w:r>
        <w:r w:rsidR="00F657EA">
          <w:rPr>
            <w:noProof/>
            <w:webHidden/>
          </w:rPr>
          <w:tab/>
        </w:r>
        <w:r w:rsidR="00F657EA">
          <w:rPr>
            <w:noProof/>
            <w:webHidden/>
          </w:rPr>
          <w:fldChar w:fldCharType="begin"/>
        </w:r>
        <w:r w:rsidR="00F657EA">
          <w:rPr>
            <w:noProof/>
            <w:webHidden/>
          </w:rPr>
          <w:instrText xml:space="preserve"> PAGEREF _Toc152757060 \h </w:instrText>
        </w:r>
        <w:r w:rsidR="00F657EA">
          <w:rPr>
            <w:noProof/>
            <w:webHidden/>
          </w:rPr>
        </w:r>
        <w:r w:rsidR="00F657EA">
          <w:rPr>
            <w:noProof/>
            <w:webHidden/>
          </w:rPr>
          <w:fldChar w:fldCharType="separate"/>
        </w:r>
        <w:r w:rsidR="00137D0D">
          <w:rPr>
            <w:noProof/>
            <w:webHidden/>
          </w:rPr>
          <w:t>39</w:t>
        </w:r>
        <w:r w:rsidR="00F657EA">
          <w:rPr>
            <w:noProof/>
            <w:webHidden/>
          </w:rPr>
          <w:fldChar w:fldCharType="end"/>
        </w:r>
      </w:hyperlink>
    </w:p>
    <w:p w14:paraId="608D2AB8" w14:textId="7F6C71C1" w:rsidR="00F657EA" w:rsidRDefault="00000000">
      <w:pPr>
        <w:pStyle w:val="TOC2"/>
        <w:rPr>
          <w:rFonts w:asciiTheme="minorHAnsi" w:eastAsiaTheme="minorEastAsia" w:hAnsiTheme="minorHAnsi" w:cstheme="minorBidi"/>
          <w:noProof/>
          <w:kern w:val="2"/>
          <w:sz w:val="22"/>
          <w14:ligatures w14:val="standardContextual"/>
        </w:rPr>
      </w:pPr>
      <w:hyperlink w:anchor="_Toc152757061" w:history="1">
        <w:r w:rsidR="00F657EA" w:rsidRPr="00171757">
          <w:rPr>
            <w:rStyle w:val="Hyperlink"/>
            <w:noProof/>
          </w:rPr>
          <w:t>5. AWARD AND PROTEST</w:t>
        </w:r>
        <w:r w:rsidR="00F657EA">
          <w:rPr>
            <w:noProof/>
            <w:webHidden/>
          </w:rPr>
          <w:tab/>
        </w:r>
        <w:r w:rsidR="00F657EA">
          <w:rPr>
            <w:noProof/>
            <w:webHidden/>
          </w:rPr>
          <w:fldChar w:fldCharType="begin"/>
        </w:r>
        <w:r w:rsidR="00F657EA">
          <w:rPr>
            <w:noProof/>
            <w:webHidden/>
          </w:rPr>
          <w:instrText xml:space="preserve"> PAGEREF _Toc152757061 \h </w:instrText>
        </w:r>
        <w:r w:rsidR="00F657EA">
          <w:rPr>
            <w:noProof/>
            <w:webHidden/>
          </w:rPr>
        </w:r>
        <w:r w:rsidR="00F657EA">
          <w:rPr>
            <w:noProof/>
            <w:webHidden/>
          </w:rPr>
          <w:fldChar w:fldCharType="separate"/>
        </w:r>
        <w:r w:rsidR="00137D0D">
          <w:rPr>
            <w:noProof/>
            <w:webHidden/>
          </w:rPr>
          <w:t>42</w:t>
        </w:r>
        <w:r w:rsidR="00F657EA">
          <w:rPr>
            <w:noProof/>
            <w:webHidden/>
          </w:rPr>
          <w:fldChar w:fldCharType="end"/>
        </w:r>
      </w:hyperlink>
    </w:p>
    <w:p w14:paraId="22ACCA1C" w14:textId="19D9CD9C" w:rsidR="00F657EA" w:rsidRDefault="00000000">
      <w:pPr>
        <w:pStyle w:val="TOC2"/>
        <w:rPr>
          <w:rFonts w:asciiTheme="minorHAnsi" w:eastAsiaTheme="minorEastAsia" w:hAnsiTheme="minorHAnsi" w:cstheme="minorBidi"/>
          <w:noProof/>
          <w:kern w:val="2"/>
          <w:sz w:val="22"/>
          <w14:ligatures w14:val="standardContextual"/>
        </w:rPr>
      </w:pPr>
      <w:hyperlink w:anchor="_Toc152757062" w:history="1">
        <w:r w:rsidR="00F657EA" w:rsidRPr="00171757">
          <w:rPr>
            <w:rStyle w:val="Hyperlink"/>
            <w:noProof/>
          </w:rPr>
          <w:t>6. STANDARD CONDITIONS OF SERVICE</w:t>
        </w:r>
        <w:r w:rsidR="00F657EA">
          <w:rPr>
            <w:noProof/>
            <w:webHidden/>
          </w:rPr>
          <w:tab/>
        </w:r>
        <w:r w:rsidR="00F657EA">
          <w:rPr>
            <w:noProof/>
            <w:webHidden/>
          </w:rPr>
          <w:fldChar w:fldCharType="begin"/>
        </w:r>
        <w:r w:rsidR="00F657EA">
          <w:rPr>
            <w:noProof/>
            <w:webHidden/>
          </w:rPr>
          <w:instrText xml:space="preserve"> PAGEREF _Toc152757062 \h </w:instrText>
        </w:r>
        <w:r w:rsidR="00F657EA">
          <w:rPr>
            <w:noProof/>
            <w:webHidden/>
          </w:rPr>
        </w:r>
        <w:r w:rsidR="00F657EA">
          <w:rPr>
            <w:noProof/>
            <w:webHidden/>
          </w:rPr>
          <w:fldChar w:fldCharType="separate"/>
        </w:r>
        <w:r w:rsidR="00137D0D">
          <w:rPr>
            <w:noProof/>
            <w:webHidden/>
          </w:rPr>
          <w:t>43</w:t>
        </w:r>
        <w:r w:rsidR="00F657EA">
          <w:rPr>
            <w:noProof/>
            <w:webHidden/>
          </w:rPr>
          <w:fldChar w:fldCharType="end"/>
        </w:r>
      </w:hyperlink>
    </w:p>
    <w:p w14:paraId="59D251E9" w14:textId="60FBD462" w:rsidR="00F657EA" w:rsidRDefault="00000000">
      <w:pPr>
        <w:pStyle w:val="TOC2"/>
        <w:rPr>
          <w:rFonts w:asciiTheme="minorHAnsi" w:eastAsiaTheme="minorEastAsia" w:hAnsiTheme="minorHAnsi" w:cstheme="minorBidi"/>
          <w:noProof/>
          <w:kern w:val="2"/>
          <w:sz w:val="22"/>
          <w14:ligatures w14:val="standardContextual"/>
        </w:rPr>
      </w:pPr>
      <w:hyperlink w:anchor="_Toc152757063" w:history="1">
        <w:r w:rsidR="00F657EA" w:rsidRPr="00171757">
          <w:rPr>
            <w:rStyle w:val="Hyperlink"/>
            <w:noProof/>
          </w:rPr>
          <w:t>7. SCOPE OF PROJECT</w:t>
        </w:r>
        <w:r w:rsidR="00F657EA">
          <w:rPr>
            <w:noProof/>
            <w:webHidden/>
          </w:rPr>
          <w:tab/>
        </w:r>
        <w:r w:rsidR="00F657EA">
          <w:rPr>
            <w:noProof/>
            <w:webHidden/>
          </w:rPr>
          <w:fldChar w:fldCharType="begin"/>
        </w:r>
        <w:r w:rsidR="00F657EA">
          <w:rPr>
            <w:noProof/>
            <w:webHidden/>
          </w:rPr>
          <w:instrText xml:space="preserve"> PAGEREF _Toc152757063 \h </w:instrText>
        </w:r>
        <w:r w:rsidR="00F657EA">
          <w:rPr>
            <w:noProof/>
            <w:webHidden/>
          </w:rPr>
        </w:r>
        <w:r w:rsidR="00F657EA">
          <w:rPr>
            <w:noProof/>
            <w:webHidden/>
          </w:rPr>
          <w:fldChar w:fldCharType="separate"/>
        </w:r>
        <w:r w:rsidR="00137D0D">
          <w:rPr>
            <w:noProof/>
            <w:webHidden/>
          </w:rPr>
          <w:t>44</w:t>
        </w:r>
        <w:r w:rsidR="00F657EA">
          <w:rPr>
            <w:noProof/>
            <w:webHidden/>
          </w:rPr>
          <w:fldChar w:fldCharType="end"/>
        </w:r>
      </w:hyperlink>
    </w:p>
    <w:p w14:paraId="749D4B42" w14:textId="4BA5CC33" w:rsidR="00F657EA" w:rsidRDefault="00000000">
      <w:pPr>
        <w:pStyle w:val="TOC2"/>
        <w:rPr>
          <w:rFonts w:asciiTheme="minorHAnsi" w:eastAsiaTheme="minorEastAsia" w:hAnsiTheme="minorHAnsi" w:cstheme="minorBidi"/>
          <w:noProof/>
          <w:kern w:val="2"/>
          <w:sz w:val="22"/>
          <w14:ligatures w14:val="standardContextual"/>
        </w:rPr>
      </w:pPr>
      <w:hyperlink w:anchor="_Toc152757064" w:history="1">
        <w:r w:rsidR="00F657EA" w:rsidRPr="00171757">
          <w:rPr>
            <w:rStyle w:val="Hyperlink"/>
            <w:noProof/>
          </w:rPr>
          <w:t>8. BUDGET DETAIL AND PAYMENT PROVISIONS</w:t>
        </w:r>
        <w:r w:rsidR="00F657EA">
          <w:rPr>
            <w:noProof/>
            <w:webHidden/>
          </w:rPr>
          <w:tab/>
        </w:r>
        <w:r w:rsidR="00F657EA">
          <w:rPr>
            <w:noProof/>
            <w:webHidden/>
          </w:rPr>
          <w:fldChar w:fldCharType="begin"/>
        </w:r>
        <w:r w:rsidR="00F657EA">
          <w:rPr>
            <w:noProof/>
            <w:webHidden/>
          </w:rPr>
          <w:instrText xml:space="preserve"> PAGEREF _Toc152757064 \h </w:instrText>
        </w:r>
        <w:r w:rsidR="00F657EA">
          <w:rPr>
            <w:noProof/>
            <w:webHidden/>
          </w:rPr>
        </w:r>
        <w:r w:rsidR="00F657EA">
          <w:rPr>
            <w:noProof/>
            <w:webHidden/>
          </w:rPr>
          <w:fldChar w:fldCharType="separate"/>
        </w:r>
        <w:r w:rsidR="00137D0D">
          <w:rPr>
            <w:noProof/>
            <w:webHidden/>
          </w:rPr>
          <w:t>62</w:t>
        </w:r>
        <w:r w:rsidR="00F657EA">
          <w:rPr>
            <w:noProof/>
            <w:webHidden/>
          </w:rPr>
          <w:fldChar w:fldCharType="end"/>
        </w:r>
      </w:hyperlink>
    </w:p>
    <w:p w14:paraId="515D073B" w14:textId="7E0C8E2D" w:rsidR="00F657EA" w:rsidRDefault="00000000">
      <w:pPr>
        <w:pStyle w:val="TOC2"/>
        <w:rPr>
          <w:rFonts w:asciiTheme="minorHAnsi" w:eastAsiaTheme="minorEastAsia" w:hAnsiTheme="minorHAnsi" w:cstheme="minorBidi"/>
          <w:noProof/>
          <w:kern w:val="2"/>
          <w:sz w:val="22"/>
          <w14:ligatures w14:val="standardContextual"/>
        </w:rPr>
      </w:pPr>
      <w:hyperlink w:anchor="_Toc152757065" w:history="1">
        <w:r w:rsidR="00F657EA" w:rsidRPr="00171757">
          <w:rPr>
            <w:rStyle w:val="Hyperlink"/>
            <w:noProof/>
          </w:rPr>
          <w:t>9. GENERAL TERMS AND CONDITIONS</w:t>
        </w:r>
        <w:r w:rsidR="00F657EA">
          <w:rPr>
            <w:noProof/>
            <w:webHidden/>
          </w:rPr>
          <w:tab/>
        </w:r>
        <w:r w:rsidR="00F657EA">
          <w:rPr>
            <w:noProof/>
            <w:webHidden/>
          </w:rPr>
          <w:fldChar w:fldCharType="begin"/>
        </w:r>
        <w:r w:rsidR="00F657EA">
          <w:rPr>
            <w:noProof/>
            <w:webHidden/>
          </w:rPr>
          <w:instrText xml:space="preserve"> PAGEREF _Toc152757065 \h </w:instrText>
        </w:r>
        <w:r w:rsidR="00F657EA">
          <w:rPr>
            <w:noProof/>
            <w:webHidden/>
          </w:rPr>
        </w:r>
        <w:r w:rsidR="00F657EA">
          <w:rPr>
            <w:noProof/>
            <w:webHidden/>
          </w:rPr>
          <w:fldChar w:fldCharType="separate"/>
        </w:r>
        <w:r w:rsidR="00137D0D">
          <w:rPr>
            <w:noProof/>
            <w:webHidden/>
          </w:rPr>
          <w:t>65</w:t>
        </w:r>
        <w:r w:rsidR="00F657EA">
          <w:rPr>
            <w:noProof/>
            <w:webHidden/>
          </w:rPr>
          <w:fldChar w:fldCharType="end"/>
        </w:r>
      </w:hyperlink>
    </w:p>
    <w:p w14:paraId="78EB3DC5" w14:textId="100AE1C3" w:rsidR="00F657EA" w:rsidRDefault="00000000">
      <w:pPr>
        <w:pStyle w:val="TOC2"/>
        <w:rPr>
          <w:rFonts w:asciiTheme="minorHAnsi" w:eastAsiaTheme="minorEastAsia" w:hAnsiTheme="minorHAnsi" w:cstheme="minorBidi"/>
          <w:noProof/>
          <w:kern w:val="2"/>
          <w:sz w:val="22"/>
          <w14:ligatures w14:val="standardContextual"/>
        </w:rPr>
      </w:pPr>
      <w:hyperlink w:anchor="_Toc152757066" w:history="1">
        <w:r w:rsidR="00F657EA" w:rsidRPr="00171757">
          <w:rPr>
            <w:rStyle w:val="Hyperlink"/>
            <w:noProof/>
          </w:rPr>
          <w:t>10. SPECIAL TERMS AND CONDITIONS</w:t>
        </w:r>
        <w:r w:rsidR="00F657EA">
          <w:rPr>
            <w:noProof/>
            <w:webHidden/>
          </w:rPr>
          <w:tab/>
        </w:r>
        <w:r w:rsidR="00F657EA">
          <w:rPr>
            <w:noProof/>
            <w:webHidden/>
          </w:rPr>
          <w:fldChar w:fldCharType="begin"/>
        </w:r>
        <w:r w:rsidR="00F657EA">
          <w:rPr>
            <w:noProof/>
            <w:webHidden/>
          </w:rPr>
          <w:instrText xml:space="preserve"> PAGEREF _Toc152757066 \h </w:instrText>
        </w:r>
        <w:r w:rsidR="00F657EA">
          <w:rPr>
            <w:noProof/>
            <w:webHidden/>
          </w:rPr>
        </w:r>
        <w:r w:rsidR="00F657EA">
          <w:rPr>
            <w:noProof/>
            <w:webHidden/>
          </w:rPr>
          <w:fldChar w:fldCharType="separate"/>
        </w:r>
        <w:r w:rsidR="00137D0D">
          <w:rPr>
            <w:noProof/>
            <w:webHidden/>
          </w:rPr>
          <w:t>66</w:t>
        </w:r>
        <w:r w:rsidR="00F657EA">
          <w:rPr>
            <w:noProof/>
            <w:webHidden/>
          </w:rPr>
          <w:fldChar w:fldCharType="end"/>
        </w:r>
      </w:hyperlink>
    </w:p>
    <w:p w14:paraId="73AD9883" w14:textId="3530D580" w:rsidR="00F657EA" w:rsidRDefault="00000000">
      <w:pPr>
        <w:pStyle w:val="TOC2"/>
        <w:rPr>
          <w:rFonts w:asciiTheme="minorHAnsi" w:eastAsiaTheme="minorEastAsia" w:hAnsiTheme="minorHAnsi" w:cstheme="minorBidi"/>
          <w:noProof/>
          <w:kern w:val="2"/>
          <w:sz w:val="22"/>
          <w14:ligatures w14:val="standardContextual"/>
        </w:rPr>
      </w:pPr>
      <w:hyperlink w:anchor="_Toc152757067" w:history="1">
        <w:r w:rsidR="00F657EA" w:rsidRPr="00171757">
          <w:rPr>
            <w:rStyle w:val="Hyperlink"/>
            <w:noProof/>
          </w:rPr>
          <w:t>11. ADDITIONAL PROVISIONS</w:t>
        </w:r>
        <w:r w:rsidR="00F657EA">
          <w:rPr>
            <w:noProof/>
            <w:webHidden/>
          </w:rPr>
          <w:tab/>
        </w:r>
        <w:r w:rsidR="00F657EA">
          <w:rPr>
            <w:noProof/>
            <w:webHidden/>
          </w:rPr>
          <w:fldChar w:fldCharType="begin"/>
        </w:r>
        <w:r w:rsidR="00F657EA">
          <w:rPr>
            <w:noProof/>
            <w:webHidden/>
          </w:rPr>
          <w:instrText xml:space="preserve"> PAGEREF _Toc152757067 \h </w:instrText>
        </w:r>
        <w:r w:rsidR="00F657EA">
          <w:rPr>
            <w:noProof/>
            <w:webHidden/>
          </w:rPr>
        </w:r>
        <w:r w:rsidR="00F657EA">
          <w:rPr>
            <w:noProof/>
            <w:webHidden/>
          </w:rPr>
          <w:fldChar w:fldCharType="separate"/>
        </w:r>
        <w:r w:rsidR="00137D0D">
          <w:rPr>
            <w:noProof/>
            <w:webHidden/>
          </w:rPr>
          <w:t>74</w:t>
        </w:r>
        <w:r w:rsidR="00F657EA">
          <w:rPr>
            <w:noProof/>
            <w:webHidden/>
          </w:rPr>
          <w:fldChar w:fldCharType="end"/>
        </w:r>
      </w:hyperlink>
    </w:p>
    <w:p w14:paraId="70E23F59" w14:textId="65C0D3CC" w:rsidR="0008572D" w:rsidRDefault="003616B1" w:rsidP="00DC35FD">
      <w:pPr>
        <w:pStyle w:val="Heading2"/>
      </w:pPr>
      <w:r>
        <w:rPr>
          <w:rFonts w:eastAsia="Calibri" w:cs="Times New Roman"/>
          <w:sz w:val="24"/>
          <w:szCs w:val="22"/>
        </w:rPr>
        <w:fldChar w:fldCharType="end"/>
      </w:r>
      <w:bookmarkStart w:id="4" w:name="_Toc152757056"/>
      <w:r w:rsidR="00D658A4" w:rsidRPr="001F3F42">
        <w:t>ATTACHMENTS</w:t>
      </w:r>
      <w:bookmarkEnd w:id="4"/>
      <w:r w:rsidR="00CF34C8" w:rsidRPr="001F3F42">
        <w:t xml:space="preserve"> </w:t>
      </w:r>
    </w:p>
    <w:p w14:paraId="3D8AD023" w14:textId="3C869E61" w:rsidR="00D658A4" w:rsidRPr="00BC514B" w:rsidRDefault="0008572D" w:rsidP="0008572D">
      <w:r>
        <w:t xml:space="preserve">Attachments are </w:t>
      </w:r>
      <w:r w:rsidR="00E43B4A">
        <w:t xml:space="preserve">incorporated herein and </w:t>
      </w:r>
      <w:r w:rsidR="00CF34C8" w:rsidRPr="001F3F42">
        <w:t>attached as separate document(s)</w:t>
      </w:r>
      <w:r w:rsidR="00E43B4A">
        <w:t>:</w:t>
      </w:r>
    </w:p>
    <w:p w14:paraId="6103E903" w14:textId="77777777" w:rsidR="005E7F9B" w:rsidRDefault="005E7F9B" w:rsidP="005E7F9B">
      <w:pPr>
        <w:numPr>
          <w:ilvl w:val="0"/>
          <w:numId w:val="5"/>
        </w:numPr>
        <w:spacing w:before="240" w:after="240"/>
        <w:ind w:left="360" w:right="720"/>
      </w:pPr>
      <w:r w:rsidRPr="00FE5D24">
        <w:t xml:space="preserve">Intent to Submit a Proposal </w:t>
      </w:r>
    </w:p>
    <w:p w14:paraId="3FF87874" w14:textId="77777777" w:rsidR="005E7F9B" w:rsidRDefault="005E7F9B" w:rsidP="00DB77A8">
      <w:pPr>
        <w:numPr>
          <w:ilvl w:val="0"/>
          <w:numId w:val="5"/>
        </w:numPr>
        <w:spacing w:before="240" w:after="240"/>
        <w:ind w:left="360" w:right="720"/>
      </w:pPr>
      <w:r w:rsidRPr="00FE5D24">
        <w:t xml:space="preserve">Attachment Checklist </w:t>
      </w:r>
    </w:p>
    <w:p w14:paraId="3D8AD024" w14:textId="18CE570A" w:rsidR="00FE5D24" w:rsidRPr="00FE5D24" w:rsidRDefault="00FE5D24" w:rsidP="00DB77A8">
      <w:pPr>
        <w:numPr>
          <w:ilvl w:val="0"/>
          <w:numId w:val="5"/>
        </w:numPr>
        <w:spacing w:before="240" w:after="240"/>
        <w:ind w:left="360" w:right="720"/>
      </w:pPr>
      <w:r w:rsidRPr="00FE5D24">
        <w:t>Bidder Certification Sheet</w:t>
      </w:r>
    </w:p>
    <w:p w14:paraId="3D8AD025" w14:textId="04C234D1" w:rsidR="00FE5D24" w:rsidRPr="00FE5D24" w:rsidRDefault="00FE5D24" w:rsidP="00DB77A8">
      <w:pPr>
        <w:numPr>
          <w:ilvl w:val="0"/>
          <w:numId w:val="5"/>
        </w:numPr>
        <w:spacing w:before="240" w:after="240"/>
        <w:ind w:left="360" w:right="720"/>
      </w:pPr>
      <w:r w:rsidRPr="00FE5D24">
        <w:t xml:space="preserve">Sample </w:t>
      </w:r>
      <w:r w:rsidR="00741821">
        <w:t xml:space="preserve">– </w:t>
      </w:r>
      <w:r w:rsidR="0086591D">
        <w:t>Technical Proposal</w:t>
      </w:r>
      <w:r w:rsidRPr="00FE5D24">
        <w:t xml:space="preserve"> Staffing Labor Hours Worksheet</w:t>
      </w:r>
      <w:r w:rsidR="00BF2B9B">
        <w:t>s</w:t>
      </w:r>
    </w:p>
    <w:p w14:paraId="3D8AD028" w14:textId="77777777" w:rsidR="00FE5D24" w:rsidRDefault="00FE5D24" w:rsidP="00DB77A8">
      <w:pPr>
        <w:numPr>
          <w:ilvl w:val="0"/>
          <w:numId w:val="5"/>
        </w:numPr>
        <w:spacing w:before="240" w:after="240"/>
        <w:ind w:left="360" w:right="720"/>
      </w:pPr>
      <w:r w:rsidRPr="00FE5D24">
        <w:t>Federal Certifications</w:t>
      </w:r>
    </w:p>
    <w:p w14:paraId="3D8AD029" w14:textId="2E32CD0A" w:rsidR="002E6367" w:rsidRPr="00FE5D24" w:rsidRDefault="002E6367" w:rsidP="00DB77A8">
      <w:pPr>
        <w:numPr>
          <w:ilvl w:val="0"/>
          <w:numId w:val="5"/>
        </w:numPr>
        <w:spacing w:before="240" w:after="240"/>
        <w:ind w:left="360" w:right="720"/>
      </w:pPr>
      <w:r w:rsidRPr="00FE5D24">
        <w:t>Darfur Contracting Act</w:t>
      </w:r>
      <w:r w:rsidR="00BF2B9B">
        <w:t xml:space="preserve"> Certification</w:t>
      </w:r>
      <w:r w:rsidR="00741821">
        <w:t xml:space="preserve">, and 6a </w:t>
      </w:r>
      <w:r w:rsidR="00735F0C">
        <w:t>Darfur Contracting Act Certification Supplemental</w:t>
      </w:r>
    </w:p>
    <w:p w14:paraId="3D8AD02A" w14:textId="77777777" w:rsidR="00A70613" w:rsidRPr="00FE5D24" w:rsidRDefault="00A70613" w:rsidP="00DB77A8">
      <w:pPr>
        <w:numPr>
          <w:ilvl w:val="0"/>
          <w:numId w:val="5"/>
        </w:numPr>
        <w:spacing w:before="240" w:after="240"/>
        <w:ind w:left="360" w:right="720"/>
      </w:pPr>
      <w:r>
        <w:t>California Civil Rights Laws Certification</w:t>
      </w:r>
    </w:p>
    <w:p w14:paraId="3D8AD02B" w14:textId="77777777" w:rsidR="00FE5D24" w:rsidRDefault="00FE5D24" w:rsidP="00DB77A8">
      <w:pPr>
        <w:numPr>
          <w:ilvl w:val="0"/>
          <w:numId w:val="5"/>
        </w:numPr>
        <w:spacing w:before="240" w:after="240"/>
        <w:ind w:left="360" w:right="720"/>
      </w:pPr>
      <w:r w:rsidRPr="00FE5D24">
        <w:t>Bidder References</w:t>
      </w:r>
    </w:p>
    <w:p w14:paraId="66DD0B8D" w14:textId="7BBD6F4A" w:rsidR="000F18CF" w:rsidRDefault="000F18CF" w:rsidP="00DB77A8">
      <w:pPr>
        <w:numPr>
          <w:ilvl w:val="0"/>
          <w:numId w:val="5"/>
        </w:numPr>
        <w:spacing w:before="240" w:after="240"/>
        <w:ind w:left="360" w:right="720"/>
      </w:pPr>
      <w:r w:rsidRPr="00FE5D24">
        <w:t xml:space="preserve">California Disabled Veteran Business Enterprise </w:t>
      </w:r>
      <w:r w:rsidR="00735F0C" w:rsidRPr="00FE5D24">
        <w:t>(DVBE)</w:t>
      </w:r>
      <w:r w:rsidR="00735F0C">
        <w:t xml:space="preserve"> </w:t>
      </w:r>
      <w:r w:rsidRPr="00FE5D24">
        <w:t xml:space="preserve">Program Requirements </w:t>
      </w:r>
    </w:p>
    <w:p w14:paraId="3D8AD02C" w14:textId="3AF1BC99" w:rsidR="00FE5D24" w:rsidRPr="00FE5D24" w:rsidRDefault="00FE5D24" w:rsidP="00DB77A8">
      <w:pPr>
        <w:numPr>
          <w:ilvl w:val="0"/>
          <w:numId w:val="5"/>
        </w:numPr>
        <w:spacing w:before="240" w:after="240"/>
        <w:ind w:left="360" w:right="720"/>
      </w:pPr>
      <w:r w:rsidRPr="00FE5D24">
        <w:t xml:space="preserve">Small Business </w:t>
      </w:r>
      <w:r w:rsidR="001C7324">
        <w:t>and Non-Small Business Subcontractor Preferences</w:t>
      </w:r>
    </w:p>
    <w:p w14:paraId="0DB1DA56" w14:textId="77777777" w:rsidR="005E7F9B" w:rsidRPr="00FE5D24" w:rsidRDefault="005E7F9B" w:rsidP="005E7F9B">
      <w:pPr>
        <w:numPr>
          <w:ilvl w:val="0"/>
          <w:numId w:val="5"/>
        </w:numPr>
        <w:spacing w:before="240" w:after="240"/>
        <w:ind w:left="360" w:right="720"/>
      </w:pPr>
      <w:r w:rsidRPr="00FE5D24">
        <w:t>California State Travel Program</w:t>
      </w:r>
    </w:p>
    <w:p w14:paraId="3D8AD02F" w14:textId="77777777" w:rsidR="00FE5D24" w:rsidRPr="00FE5D24" w:rsidRDefault="00FE5D24" w:rsidP="00DB77A8">
      <w:pPr>
        <w:numPr>
          <w:ilvl w:val="0"/>
          <w:numId w:val="5"/>
        </w:numPr>
        <w:spacing w:before="240" w:after="240"/>
        <w:ind w:left="360" w:right="720"/>
      </w:pPr>
      <w:r w:rsidRPr="00FE5D24">
        <w:t>Conflict of Interest and Confidentiality Statement</w:t>
      </w:r>
    </w:p>
    <w:p w14:paraId="3D8AD030" w14:textId="77777777" w:rsidR="00FE5D24" w:rsidRPr="00FE5D24" w:rsidRDefault="00FE5D24" w:rsidP="00DB77A8">
      <w:pPr>
        <w:numPr>
          <w:ilvl w:val="0"/>
          <w:numId w:val="5"/>
        </w:numPr>
        <w:spacing w:before="240" w:after="240"/>
        <w:ind w:left="360" w:right="720"/>
      </w:pPr>
      <w:r w:rsidRPr="00FE5D24">
        <w:t>California Department of Education Computer Security Policy</w:t>
      </w:r>
    </w:p>
    <w:p w14:paraId="3D8AD032" w14:textId="79E08C74" w:rsidR="00BF2B9B" w:rsidRDefault="00FE5D24" w:rsidP="00DB77A8">
      <w:pPr>
        <w:numPr>
          <w:ilvl w:val="0"/>
          <w:numId w:val="5"/>
        </w:numPr>
        <w:spacing w:before="240" w:after="240"/>
        <w:ind w:left="360" w:right="720"/>
      </w:pPr>
      <w:r w:rsidRPr="00FE5D24">
        <w:t xml:space="preserve">Evaluation Criteria </w:t>
      </w:r>
    </w:p>
    <w:p w14:paraId="3D8AD033" w14:textId="77777777" w:rsidR="00BF2B9B" w:rsidRDefault="00FE5D24" w:rsidP="00DB77A8">
      <w:pPr>
        <w:numPr>
          <w:ilvl w:val="1"/>
          <w:numId w:val="5"/>
        </w:numPr>
        <w:spacing w:before="240" w:after="240"/>
        <w:ind w:left="720" w:right="720"/>
      </w:pPr>
      <w:r w:rsidRPr="00FE5D24">
        <w:lastRenderedPageBreak/>
        <w:t>Phase I</w:t>
      </w:r>
      <w:r w:rsidR="00BF2B9B">
        <w:t xml:space="preserve"> Pre-Evaluation Review – Attachment Checklist,</w:t>
      </w:r>
    </w:p>
    <w:p w14:paraId="3D8AD034" w14:textId="36792A57" w:rsidR="008E39F4" w:rsidRDefault="00BF2B9B" w:rsidP="00DB77A8">
      <w:pPr>
        <w:numPr>
          <w:ilvl w:val="1"/>
          <w:numId w:val="5"/>
        </w:numPr>
        <w:spacing w:before="240" w:after="240"/>
        <w:ind w:left="720" w:right="720"/>
      </w:pPr>
      <w:r>
        <w:t xml:space="preserve">Phase II Technical Proposal Evaluation, </w:t>
      </w:r>
    </w:p>
    <w:p w14:paraId="615A0A2B" w14:textId="78FF5A1A" w:rsidR="004C0AF6" w:rsidRPr="00B86178" w:rsidRDefault="004C0AF6" w:rsidP="00DB77A8">
      <w:pPr>
        <w:numPr>
          <w:ilvl w:val="1"/>
          <w:numId w:val="5"/>
        </w:numPr>
        <w:spacing w:before="240" w:after="240"/>
        <w:ind w:left="720" w:right="720"/>
      </w:pPr>
      <w:r w:rsidRPr="00B86178">
        <w:t>Phase III Oral Interview</w:t>
      </w:r>
      <w:r w:rsidR="00FD70FB" w:rsidRPr="00B86178">
        <w:t>, and</w:t>
      </w:r>
    </w:p>
    <w:p w14:paraId="3D8AD035" w14:textId="77777777" w:rsidR="00BC514B" w:rsidRDefault="00BF2B9B" w:rsidP="00DB77A8">
      <w:pPr>
        <w:numPr>
          <w:ilvl w:val="1"/>
          <w:numId w:val="5"/>
        </w:numPr>
        <w:spacing w:before="240" w:after="240"/>
        <w:ind w:left="720" w:right="720"/>
      </w:pPr>
      <w:r>
        <w:t xml:space="preserve">Cost Proposal Evaluation </w:t>
      </w:r>
    </w:p>
    <w:p w14:paraId="3D8AD036" w14:textId="77777777" w:rsidR="001D3DF9" w:rsidRDefault="001D3DF9">
      <w:pPr>
        <w:rPr>
          <w:rFonts w:cs="Arial"/>
          <w:sz w:val="18"/>
          <w:szCs w:val="18"/>
        </w:rPr>
      </w:pPr>
      <w:r>
        <w:rPr>
          <w:rFonts w:cs="Arial"/>
          <w:sz w:val="18"/>
          <w:szCs w:val="18"/>
        </w:rPr>
        <w:br w:type="page"/>
      </w:r>
    </w:p>
    <w:p w14:paraId="3D8AD037" w14:textId="6F9901B5" w:rsidR="00951A77" w:rsidRPr="005A13BE" w:rsidRDefault="00FD70FB" w:rsidP="00974EA8">
      <w:pPr>
        <w:rPr>
          <w:b/>
          <w:sz w:val="40"/>
        </w:rPr>
      </w:pPr>
      <w:r w:rsidRPr="005A13BE">
        <w:rPr>
          <w:b/>
          <w:sz w:val="40"/>
        </w:rPr>
        <w:lastRenderedPageBreak/>
        <w:t>California Community Schools Partnership Program Formative Evaluations</w:t>
      </w:r>
      <w:r w:rsidRPr="005A13BE" w:rsidDel="001304A1">
        <w:rPr>
          <w:b/>
          <w:sz w:val="40"/>
        </w:rPr>
        <w:t xml:space="preserve"> </w:t>
      </w:r>
      <w:r w:rsidR="008E39F4" w:rsidRPr="005A13BE">
        <w:rPr>
          <w:b/>
          <w:sz w:val="40"/>
        </w:rPr>
        <w:t>Request for Proposals</w:t>
      </w:r>
    </w:p>
    <w:p w14:paraId="3D8AD038" w14:textId="3DC05A0C" w:rsidR="00756A5B" w:rsidRPr="005A13BE" w:rsidRDefault="00756A5B" w:rsidP="00DC35FD">
      <w:pPr>
        <w:pStyle w:val="Heading2"/>
        <w:rPr>
          <w:sz w:val="24"/>
        </w:rPr>
      </w:pPr>
      <w:bookmarkStart w:id="5" w:name="_Toc152757057"/>
      <w:r w:rsidRPr="005A13BE">
        <w:t>1. PURPOSE</w:t>
      </w:r>
      <w:r w:rsidR="00E80D18" w:rsidRPr="005A13BE">
        <w:t xml:space="preserve"> AND BACKGROUND</w:t>
      </w:r>
      <w:bookmarkEnd w:id="5"/>
    </w:p>
    <w:p w14:paraId="4A4D1DD2" w14:textId="62F9F345" w:rsidR="00E80D18" w:rsidRPr="005A13BE" w:rsidRDefault="00E80D18" w:rsidP="003E4C84">
      <w:pPr>
        <w:pStyle w:val="Heading3"/>
      </w:pPr>
      <w:r w:rsidRPr="005A13BE">
        <w:t>PURPOSE</w:t>
      </w:r>
    </w:p>
    <w:p w14:paraId="05391F45" w14:textId="6ABF61DD" w:rsidR="006641D9" w:rsidRPr="005A13BE" w:rsidRDefault="006641D9" w:rsidP="006641D9">
      <w:pPr>
        <w:spacing w:after="240"/>
      </w:pPr>
      <w:r w:rsidRPr="005A13BE">
        <w:t xml:space="preserve">The California Department of Education (CDE), Career and College Transition Division (CCTD), </w:t>
      </w:r>
      <w:r w:rsidR="00FD70FB" w:rsidRPr="005A13BE">
        <w:t>Community Schools Office (CSO)</w:t>
      </w:r>
      <w:r w:rsidRPr="005A13BE">
        <w:t xml:space="preserve"> is seeking proposals from eligible bidders </w:t>
      </w:r>
      <w:bookmarkStart w:id="6" w:name="_Hlk127545999"/>
      <w:r w:rsidR="00FD70FB" w:rsidRPr="005A13BE">
        <w:t>to design and administer a formative evaluation program for the California Community Schools Partnership Program (CCSPP).</w:t>
      </w:r>
      <w:bookmarkEnd w:id="6"/>
    </w:p>
    <w:p w14:paraId="00F9CFD5" w14:textId="3B2EDEEB" w:rsidR="00FD70FB" w:rsidRPr="005A13BE" w:rsidRDefault="006641D9" w:rsidP="00FD70FB">
      <w:pPr>
        <w:spacing w:after="240"/>
      </w:pPr>
      <w:r w:rsidRPr="005A13BE">
        <w:t>T</w:t>
      </w:r>
      <w:r w:rsidR="00FD70FB" w:rsidRPr="005A13BE">
        <w:t xml:space="preserve">he goal of the formative evaluation will be to assess the progress that is being made in implementing the CCSPP in terms of district and school-level practices and provision of services as outlined in the CCSPP statute and </w:t>
      </w:r>
      <w:r w:rsidR="00FD70FB" w:rsidRPr="005A13BE">
        <w:rPr>
          <w:rFonts w:cs="Arial"/>
        </w:rPr>
        <w:t>California Community Schools Framework (Framework)</w:t>
      </w:r>
      <w:r w:rsidR="00FD70FB" w:rsidRPr="005A13BE">
        <w:t xml:space="preserve">, </w:t>
      </w:r>
      <w:r w:rsidR="00B07D62">
        <w:t>and to</w:t>
      </w:r>
      <w:r w:rsidR="00B07D62" w:rsidRPr="005A13BE">
        <w:t xml:space="preserve"> assess the progress that is being made </w:t>
      </w:r>
      <w:r w:rsidR="00B07D62">
        <w:t>in</w:t>
      </w:r>
      <w:r w:rsidR="00FD70FB" w:rsidRPr="005A13BE">
        <w:t xml:space="preserve"> student outcomes (as described in the Framework and this document) in the schools receiving funding.</w:t>
      </w:r>
    </w:p>
    <w:p w14:paraId="20EBB498" w14:textId="37FD7EE0" w:rsidR="00FD70FB" w:rsidRPr="005A13BE" w:rsidRDefault="00FD70FB" w:rsidP="00FD70FB">
      <w:pPr>
        <w:spacing w:after="240"/>
      </w:pPr>
      <w:r w:rsidRPr="005A13BE">
        <w:t xml:space="preserve">The successful bidder will need to </w:t>
      </w:r>
      <w:r w:rsidR="00402495" w:rsidRPr="005A13BE">
        <w:t xml:space="preserve">utilize </w:t>
      </w:r>
      <w:r w:rsidR="00A446C6" w:rsidRPr="005A13BE">
        <w:t xml:space="preserve">publicly available data and </w:t>
      </w:r>
      <w:r w:rsidR="00402495" w:rsidRPr="005A13BE">
        <w:t>data collected from grantee reporting</w:t>
      </w:r>
      <w:r w:rsidRPr="005A13BE">
        <w:t xml:space="preserve">, </w:t>
      </w:r>
      <w:r w:rsidR="00402495" w:rsidRPr="005A13BE">
        <w:t>comply</w:t>
      </w:r>
      <w:r w:rsidR="00A446C6" w:rsidRPr="005A13BE">
        <w:t>ing</w:t>
      </w:r>
      <w:r w:rsidR="00402495" w:rsidRPr="005A13BE">
        <w:t xml:space="preserve"> with</w:t>
      </w:r>
      <w:r w:rsidRPr="005A13BE">
        <w:t xml:space="preserve"> data management requirements set out in Section 10.2; produce and publish extracts and reports of California’s data for state entities</w:t>
      </w:r>
      <w:r w:rsidR="00B07D62">
        <w:t>;</w:t>
      </w:r>
      <w:r w:rsidRPr="005A13BE">
        <w:t xml:space="preserve"> produce extracts and reports for use by locally funded agencies; and provide technical training and support as needed related to the evaluation process</w:t>
      </w:r>
      <w:r w:rsidR="00F75E43">
        <w:t xml:space="preserve"> to the State Transformative Assistance Center (S-TAC), and the Regional Technical Assistance Centers (R-TACs)</w:t>
      </w:r>
      <w:r w:rsidRPr="005A13BE">
        <w:t>.</w:t>
      </w:r>
    </w:p>
    <w:p w14:paraId="4A540371" w14:textId="77777777" w:rsidR="00E43B4A" w:rsidRPr="00A80331" w:rsidRDefault="00E43B4A" w:rsidP="00E43B4A">
      <w:pPr>
        <w:spacing w:after="240"/>
        <w:rPr>
          <w:rFonts w:cs="Arial"/>
          <w:szCs w:val="24"/>
        </w:rPr>
      </w:pPr>
      <w:r w:rsidRPr="00A80331">
        <w:rPr>
          <w:rFonts w:cs="Arial"/>
          <w:szCs w:val="24"/>
        </w:rPr>
        <w:t>In accordance with efforts by the State of California to reduce paper waste, information available on the internet will be referenced in this document and will not be appended. All documents referenced are hereby incorporated herein.</w:t>
      </w:r>
    </w:p>
    <w:p w14:paraId="2B123CD2" w14:textId="54B8473A" w:rsidR="00C426A0" w:rsidRDefault="00C426A0" w:rsidP="00C426A0">
      <w:pPr>
        <w:spacing w:after="240"/>
      </w:pPr>
      <w:r>
        <w:rPr>
          <w:rFonts w:cs="Arial"/>
          <w:color w:val="000000"/>
          <w:szCs w:val="24"/>
        </w:rPr>
        <w:t xml:space="preserve">It is anticipated that the contract start date will begin approximately </w:t>
      </w:r>
      <w:r w:rsidRPr="005A13BE">
        <w:rPr>
          <w:rFonts w:cs="Arial"/>
          <w:szCs w:val="24"/>
        </w:rPr>
        <w:t xml:space="preserve">on </w:t>
      </w:r>
      <w:r w:rsidR="005A13BE" w:rsidRPr="005A13BE">
        <w:rPr>
          <w:rFonts w:cs="Arial"/>
          <w:szCs w:val="24"/>
        </w:rPr>
        <w:t xml:space="preserve">July </w:t>
      </w:r>
      <w:r w:rsidR="00FD70FB" w:rsidRPr="005A13BE">
        <w:rPr>
          <w:rFonts w:cs="Arial"/>
          <w:szCs w:val="24"/>
        </w:rPr>
        <w:t>1, 2024</w:t>
      </w:r>
      <w:r w:rsidR="002B386C" w:rsidRPr="005A13BE">
        <w:rPr>
          <w:rFonts w:cs="Arial"/>
          <w:szCs w:val="24"/>
        </w:rPr>
        <w:t xml:space="preserve">. </w:t>
      </w:r>
      <w:r>
        <w:rPr>
          <w:rFonts w:cs="Arial"/>
          <w:color w:val="000000"/>
          <w:szCs w:val="24"/>
        </w:rPr>
        <w:t xml:space="preserve">The actual start date of the contract is contingent upon approval of the agreement by the </w:t>
      </w:r>
      <w:r w:rsidR="002B386C">
        <w:rPr>
          <w:rFonts w:cs="Arial"/>
          <w:color w:val="000000"/>
          <w:szCs w:val="24"/>
        </w:rPr>
        <w:t>Department of General Services (</w:t>
      </w:r>
      <w:r>
        <w:rPr>
          <w:rFonts w:cs="Arial"/>
          <w:color w:val="000000"/>
          <w:szCs w:val="24"/>
        </w:rPr>
        <w:t>DGS</w:t>
      </w:r>
      <w:r w:rsidR="002B386C">
        <w:rPr>
          <w:rFonts w:cs="Arial"/>
          <w:color w:val="000000"/>
          <w:szCs w:val="24"/>
        </w:rPr>
        <w:t>)</w:t>
      </w:r>
      <w:r>
        <w:rPr>
          <w:rFonts w:cs="Arial"/>
          <w:color w:val="000000"/>
          <w:szCs w:val="24"/>
        </w:rPr>
        <w:t>.</w:t>
      </w:r>
    </w:p>
    <w:p w14:paraId="47B5CF5F" w14:textId="256E8549" w:rsidR="006641D9" w:rsidRDefault="006641D9" w:rsidP="006641D9">
      <w:pPr>
        <w:spacing w:after="240"/>
      </w:pPr>
      <w:r w:rsidRPr="00EE2F9F">
        <w:t xml:space="preserve">Award of a contract </w:t>
      </w:r>
      <w:proofErr w:type="gramStart"/>
      <w:r w:rsidRPr="00EE2F9F">
        <w:t>as a result of</w:t>
      </w:r>
      <w:proofErr w:type="gramEnd"/>
      <w:r w:rsidRPr="00EE2F9F">
        <w:t xml:space="preserve"> the </w:t>
      </w:r>
      <w:r w:rsidR="00EA7CAF">
        <w:t>Request for Proposals (</w:t>
      </w:r>
      <w:r w:rsidRPr="00EE2F9F">
        <w:t>RFP</w:t>
      </w:r>
      <w:r w:rsidR="00EA7CAF">
        <w:t>)</w:t>
      </w:r>
      <w:r w:rsidRPr="00EE2F9F">
        <w:t xml:space="preserve"> shall be contingent on </w:t>
      </w:r>
      <w:r>
        <w:t xml:space="preserve">DGS </w:t>
      </w:r>
      <w:r w:rsidRPr="00EE2F9F">
        <w:t xml:space="preserve">approval, CDE executive approval, funding and program authorization provided to and by the CDE. </w:t>
      </w:r>
      <w:r>
        <w:t xml:space="preserve">Funding is described in Section </w:t>
      </w:r>
      <w:r w:rsidR="00E43B4A">
        <w:t>2.4</w:t>
      </w:r>
      <w:r>
        <w:t xml:space="preserve"> of this RFP. </w:t>
      </w:r>
      <w:r w:rsidRPr="00E80D18">
        <w:t>The successful bidder’s Technical and Cost Proposals for the contract will be incorporated into the final contract, which is a public document.</w:t>
      </w:r>
    </w:p>
    <w:p w14:paraId="29F68CE3" w14:textId="645A4883" w:rsidR="003E4C84" w:rsidRDefault="006641D9" w:rsidP="006641D9">
      <w:pPr>
        <w:spacing w:after="240"/>
      </w:pPr>
      <w:r>
        <w:t>All proposals and related documents submitted in response to this RFP shall become the property of the State of California. Pursuant to the Public Contract Code and all other applicable laws, all proposals and related documents will be made available in their entirety for public inspection and reproduction. Submission of a proposal constitutes acceptance of the terms</w:t>
      </w:r>
      <w:r w:rsidR="00E43B4A">
        <w:t xml:space="preserve"> outlined herein</w:t>
      </w:r>
      <w:r>
        <w:t>.</w:t>
      </w:r>
      <w:r w:rsidR="003E4C84">
        <w:br w:type="page"/>
      </w:r>
    </w:p>
    <w:p w14:paraId="75BF209E" w14:textId="77777777" w:rsidR="00FD70FB" w:rsidRPr="001B31F0" w:rsidRDefault="00FD70FB" w:rsidP="003E4C84">
      <w:pPr>
        <w:pStyle w:val="Heading3"/>
      </w:pPr>
      <w:r w:rsidRPr="001B31F0">
        <w:lastRenderedPageBreak/>
        <w:t>OVERVIEW</w:t>
      </w:r>
    </w:p>
    <w:p w14:paraId="4053388C" w14:textId="77777777" w:rsidR="00FD70FB" w:rsidRPr="001B31F0" w:rsidRDefault="00FD70FB" w:rsidP="00FD70FB">
      <w:pPr>
        <w:spacing w:after="240"/>
        <w:rPr>
          <w:rFonts w:cs="Arial"/>
        </w:rPr>
      </w:pPr>
      <w:r w:rsidRPr="001B31F0">
        <w:rPr>
          <w:rFonts w:cs="Arial"/>
        </w:rPr>
        <w:t xml:space="preserve">A community school is a “whole-child” school improvement strategy where the local educational agency (LEA) and school(s) work closely with teachers, students, and families to provide the wellbeing supports and educational practices students need to succeed academically and in life. With technical assistance, LEAs </w:t>
      </w:r>
      <w:proofErr w:type="gramStart"/>
      <w:r w:rsidRPr="001B31F0">
        <w:rPr>
          <w:rFonts w:cs="Arial"/>
        </w:rPr>
        <w:t>supporting</w:t>
      </w:r>
      <w:proofErr w:type="gramEnd"/>
      <w:r w:rsidRPr="001B31F0">
        <w:rPr>
          <w:rFonts w:cs="Arial"/>
        </w:rPr>
        <w:t xml:space="preserve"> community schools’ partner with community agencies and local government to align community resources to improve student outcomes. These partnerships “provide an integrated focus on academics, health and social services, youth and community development, and community engagement.”</w:t>
      </w:r>
      <w:r w:rsidRPr="001B31F0">
        <w:rPr>
          <w:rStyle w:val="FootnoteReference"/>
          <w:rFonts w:cs="Arial"/>
          <w:vertAlign w:val="superscript"/>
        </w:rPr>
        <w:footnoteReference w:id="1"/>
      </w:r>
      <w:r w:rsidRPr="001B31F0">
        <w:rPr>
          <w:rFonts w:cs="Arial"/>
        </w:rPr>
        <w:t xml:space="preserve"> Many community schools operate year-round, morning to evening, and serve children and adults. Community schools often serve neighborhoods where economic and social barriers to learning are prevalent.</w:t>
      </w:r>
      <w:r w:rsidRPr="001B31F0">
        <w:rPr>
          <w:rStyle w:val="FootnoteReference"/>
          <w:rFonts w:cs="Arial"/>
          <w:vertAlign w:val="superscript"/>
        </w:rPr>
        <w:footnoteReference w:id="2"/>
      </w:r>
    </w:p>
    <w:p w14:paraId="53AD231B" w14:textId="797643C9" w:rsidR="00FD70FB" w:rsidRPr="001B31F0" w:rsidRDefault="00FD70FB" w:rsidP="00FD70FB">
      <w:pPr>
        <w:spacing w:after="240"/>
        <w:rPr>
          <w:rFonts w:cs="Arial"/>
        </w:rPr>
      </w:pPr>
      <w:r w:rsidRPr="001B31F0">
        <w:rPr>
          <w:rFonts w:cs="Arial"/>
        </w:rPr>
        <w:t>Until recently, community school initiatives have been driven at the local level with the support of philanthropy or LEA budget investments. California Senate Bill 820, Chapter 110, and the Budget Act of 2020</w:t>
      </w:r>
      <w:r w:rsidRPr="001B31F0">
        <w:rPr>
          <w:rStyle w:val="FootnoteReference"/>
          <w:rFonts w:cs="Arial"/>
          <w:vertAlign w:val="superscript"/>
        </w:rPr>
        <w:footnoteReference w:id="3"/>
      </w:r>
      <w:r w:rsidRPr="001B31F0">
        <w:rPr>
          <w:rFonts w:cs="Arial"/>
        </w:rPr>
        <w:t xml:space="preserve"> marked the first time LEAs across the state received grant funding to support coordination of partners and administration of services for community school programs. With momentum growing around the efficacy of the community school approach, especially in communities disproportionately impacted by the COVID-19 pandemic, the Legislature passed the California Community Schools Partnership Act, followed by the Budget Act of 2021, that allocated funding for the goals presented in the legislation.</w:t>
      </w:r>
      <w:r w:rsidRPr="001B31F0">
        <w:rPr>
          <w:rStyle w:val="FootnoteReference"/>
          <w:rFonts w:cs="Arial"/>
          <w:vertAlign w:val="superscript"/>
        </w:rPr>
        <w:footnoteReference w:id="4"/>
      </w:r>
      <w:r w:rsidRPr="001B31F0">
        <w:rPr>
          <w:rFonts w:cs="Arial"/>
        </w:rPr>
        <w:t xml:space="preserve"> The CCSPP is an equity-driven initiative that prioritizes schools where high-need students exceed 80 percent of the overall enrolled student body. This investment marks the largest investment in school transformation through community schooling strategies in the nation. This investment also signals state leaders’ support for elevating the community schools’ model as an approach LEAs should consider for their own resource allocation.</w:t>
      </w:r>
    </w:p>
    <w:p w14:paraId="3428B141" w14:textId="3E367DE5" w:rsidR="00FD70FB" w:rsidRPr="001B31F0" w:rsidRDefault="00FD70FB" w:rsidP="00FD70FB">
      <w:pPr>
        <w:spacing w:after="240"/>
        <w:rPr>
          <w:rFonts w:cs="Arial"/>
        </w:rPr>
      </w:pPr>
      <w:r w:rsidRPr="001B31F0">
        <w:rPr>
          <w:rFonts w:cs="Arial"/>
        </w:rPr>
        <w:t xml:space="preserve">The CDE has been charged with implementing the CCSPP in consultation with the State Board of Education (SBE). Based on feedback obtained through a facilitated community input process, the CDE drafted the California Community Schools Framework which outlines California’s intentional approach to community schools as a school transformational approach rooted in equity and charged with changing outcomes for students most impacted by present and historical educational disparities. The SBE approved the proposed Framework at its January 2022 </w:t>
      </w:r>
      <w:r w:rsidRPr="001B31F0">
        <w:rPr>
          <w:rFonts w:cs="Arial"/>
        </w:rPr>
        <w:lastRenderedPageBreak/>
        <w:t>meeting.</w:t>
      </w:r>
      <w:r w:rsidRPr="001B31F0">
        <w:rPr>
          <w:rStyle w:val="FootnoteReference"/>
          <w:rFonts w:cs="Arial"/>
          <w:vertAlign w:val="superscript"/>
        </w:rPr>
        <w:footnoteReference w:id="5"/>
      </w:r>
      <w:r w:rsidRPr="001B31F0">
        <w:rPr>
          <w:rFonts w:cs="Arial"/>
        </w:rPr>
        <w:t xml:space="preserve"> While the legislation establishes the process and structure of this RFP, the Framework is the guiding document that informs the expected equity outcomes for all potential grantees.</w:t>
      </w:r>
    </w:p>
    <w:p w14:paraId="1824DA6A" w14:textId="77777777" w:rsidR="00FD70FB" w:rsidRPr="001B31F0" w:rsidRDefault="00FD70FB" w:rsidP="00FD70FB">
      <w:pPr>
        <w:spacing w:after="240"/>
        <w:rPr>
          <w:rFonts w:cs="Arial"/>
        </w:rPr>
      </w:pPr>
      <w:r w:rsidRPr="001B31F0">
        <w:rPr>
          <w:rFonts w:cs="Arial"/>
        </w:rPr>
        <w:t>Recent events have forced LEAs to rethink the direct connection between schools and families, and to examine the link between schools and community services, including ways in which these links can be strengthened. Community school strategies can be an effective approach to mitigate the academic and social impacts of emergencies that affect local communities, improve school responsiveness to student and family needs, and organize school and community resources to address barriers to learning. Community schools often include four evidence-informed programmatic features, which are aligned and integrated into high-quality, rigorous teaching and learning practices and environments. These “four pillars” are captured in state law, and included in the Framework:</w:t>
      </w:r>
    </w:p>
    <w:p w14:paraId="58DBD924" w14:textId="788EA9A9" w:rsidR="00FD70FB" w:rsidRPr="001B31F0" w:rsidRDefault="00FD70FB" w:rsidP="00FD70FB">
      <w:pPr>
        <w:pStyle w:val="ListParagraph"/>
        <w:numPr>
          <w:ilvl w:val="0"/>
          <w:numId w:val="56"/>
        </w:numPr>
        <w:spacing w:after="240"/>
        <w:ind w:left="1080"/>
        <w:rPr>
          <w:rFonts w:cs="Arial"/>
          <w:szCs w:val="24"/>
        </w:rPr>
      </w:pPr>
      <w:r w:rsidRPr="001B31F0">
        <w:rPr>
          <w:rFonts w:cs="Arial"/>
          <w:szCs w:val="24"/>
        </w:rPr>
        <w:t>Integrated support services,</w:t>
      </w:r>
    </w:p>
    <w:p w14:paraId="0526229B" w14:textId="74BEA6AF" w:rsidR="00FD70FB" w:rsidRPr="001B31F0" w:rsidRDefault="00FD70FB" w:rsidP="00FD70FB">
      <w:pPr>
        <w:pStyle w:val="ListParagraph"/>
        <w:numPr>
          <w:ilvl w:val="0"/>
          <w:numId w:val="56"/>
        </w:numPr>
        <w:spacing w:after="240"/>
        <w:ind w:left="1080"/>
        <w:rPr>
          <w:rFonts w:cs="Arial"/>
          <w:szCs w:val="24"/>
        </w:rPr>
      </w:pPr>
      <w:r w:rsidRPr="001B31F0">
        <w:rPr>
          <w:rFonts w:cs="Arial"/>
          <w:szCs w:val="24"/>
        </w:rPr>
        <w:t>Family and community engagement,</w:t>
      </w:r>
    </w:p>
    <w:p w14:paraId="230A56B2" w14:textId="06834A9D" w:rsidR="00FD70FB" w:rsidRPr="001B31F0" w:rsidRDefault="00FD70FB" w:rsidP="00FD70FB">
      <w:pPr>
        <w:pStyle w:val="ListParagraph"/>
        <w:numPr>
          <w:ilvl w:val="0"/>
          <w:numId w:val="56"/>
        </w:numPr>
        <w:spacing w:after="240"/>
        <w:ind w:left="1080"/>
        <w:rPr>
          <w:rFonts w:cs="Arial"/>
          <w:szCs w:val="24"/>
        </w:rPr>
      </w:pPr>
      <w:r w:rsidRPr="001B31F0">
        <w:rPr>
          <w:rFonts w:cs="Arial"/>
          <w:szCs w:val="24"/>
        </w:rPr>
        <w:t>Collaborative leadership and shared decision-making, and</w:t>
      </w:r>
    </w:p>
    <w:p w14:paraId="5EACC1F4" w14:textId="77777777" w:rsidR="00FD70FB" w:rsidRPr="001B31F0" w:rsidRDefault="00FD70FB" w:rsidP="00FD70FB">
      <w:pPr>
        <w:pStyle w:val="ListParagraph"/>
        <w:numPr>
          <w:ilvl w:val="0"/>
          <w:numId w:val="56"/>
        </w:numPr>
        <w:spacing w:after="240"/>
        <w:ind w:left="1080"/>
        <w:contextualSpacing w:val="0"/>
        <w:rPr>
          <w:rFonts w:cs="Arial"/>
          <w:szCs w:val="24"/>
        </w:rPr>
      </w:pPr>
      <w:r w:rsidRPr="001B31F0">
        <w:rPr>
          <w:rFonts w:cs="Arial"/>
          <w:szCs w:val="24"/>
        </w:rPr>
        <w:t>Extended/expanded learning time and opportunities.</w:t>
      </w:r>
    </w:p>
    <w:p w14:paraId="24999EEF" w14:textId="77777777" w:rsidR="00FD70FB" w:rsidRPr="001B31F0" w:rsidRDefault="00FD70FB" w:rsidP="00FD70FB">
      <w:pPr>
        <w:spacing w:after="240"/>
      </w:pPr>
      <w:r w:rsidRPr="001B31F0">
        <w:t xml:space="preserve">While aligning governmental and community resources is central to the community schooling approach, elevating the assets and </w:t>
      </w:r>
      <w:r w:rsidRPr="001B31F0">
        <w:rPr>
          <w:rFonts w:cstheme="minorHAnsi"/>
        </w:rPr>
        <w:t>meeting the needs of children by building a positive school climate through trusting relationships, combined with rich learning opportunities that prepare all students to succeed in life, are key to the foundation of the program.</w:t>
      </w:r>
    </w:p>
    <w:p w14:paraId="347302E1" w14:textId="77777777" w:rsidR="00FD70FB" w:rsidRPr="001B31F0" w:rsidRDefault="00FD70FB" w:rsidP="00FD70FB">
      <w:pPr>
        <w:spacing w:after="240"/>
        <w:rPr>
          <w:rFonts w:cs="Arial"/>
        </w:rPr>
      </w:pPr>
      <w:r w:rsidRPr="001B31F0">
        <w:t xml:space="preserve">To meet the current moment, it is important not to view community schools as one initiative among many that are currently being funded in California, but rather as an equity-enhancing strategy that aligns with and can help coordinate and extend a wide range of state, LEA, and school site initiatives. These initiatives include new state investments in youth-focused behavioral health, nutrition, universal prekindergarten, and expanded learning, as well as ongoing efforts involving Multi-Tiered System of Supports (MTSS), social-emotional learning, college and career readiness, and school improvement. With these investments, the Legislature has invested in community schools </w:t>
      </w:r>
      <w:proofErr w:type="gramStart"/>
      <w:r w:rsidRPr="001B31F0">
        <w:t>as a way to</w:t>
      </w:r>
      <w:proofErr w:type="gramEnd"/>
      <w:r w:rsidRPr="001B31F0">
        <w:t xml:space="preserve"> transform education in California.</w:t>
      </w:r>
    </w:p>
    <w:p w14:paraId="6B27F184" w14:textId="77777777" w:rsidR="00E80D18" w:rsidRDefault="00E80D18" w:rsidP="003E4C84">
      <w:pPr>
        <w:pStyle w:val="Heading3"/>
      </w:pPr>
      <w:r>
        <w:t>BACKGROUND</w:t>
      </w:r>
    </w:p>
    <w:p w14:paraId="39AF5647" w14:textId="42BD386C" w:rsidR="00FD70FB" w:rsidRPr="001B31F0" w:rsidRDefault="00FD70FB" w:rsidP="00FD70FB">
      <w:pPr>
        <w:spacing w:after="240"/>
      </w:pPr>
      <w:bookmarkStart w:id="7" w:name="_Hlk127546399"/>
      <w:r w:rsidRPr="001B31F0">
        <w:t>The CCSPP is the largest investment in community schools’ transformation in the nation. A total of $4.1 billion dollars has been allocated to the CDE to develop, design</w:t>
      </w:r>
      <w:r w:rsidR="0000221D">
        <w:t>,</w:t>
      </w:r>
      <w:r w:rsidRPr="001B31F0">
        <w:t xml:space="preserve"> and implement the CCSPP as a historic, equity-driven school transformation program that seeks to transform student academic outcomes at over 2,000 public school campuses across California that have 50% or more high-need students (and priority for funding going to schools with 80% or more high-need students).</w:t>
      </w:r>
    </w:p>
    <w:p w14:paraId="168DC05B" w14:textId="64865669" w:rsidR="00FD70FB" w:rsidRPr="001B31F0" w:rsidRDefault="00FD70FB" w:rsidP="00FD70FB">
      <w:pPr>
        <w:spacing w:after="240"/>
      </w:pPr>
      <w:r w:rsidRPr="001B31F0">
        <w:lastRenderedPageBreak/>
        <w:t>While the CCSPP is aligned with the national community schools’ movement, it is a California initiative that is directly tied to other key equity-driven school transformation efforts in the Golden State. This approach is captured in the Framework which was written by the CDE in consultation with dozens of practitioners, teachers, family members, community leaders and advocates from across the state.</w:t>
      </w:r>
    </w:p>
    <w:p w14:paraId="57191F60" w14:textId="3D291671" w:rsidR="00FD70FB" w:rsidRPr="001B31F0" w:rsidRDefault="00FD70FB" w:rsidP="00FD70FB">
      <w:pPr>
        <w:spacing w:after="240"/>
      </w:pPr>
      <w:r w:rsidRPr="001B31F0">
        <w:t xml:space="preserve">The State Superintendent of Public Instruction and the </w:t>
      </w:r>
      <w:r w:rsidR="001B31F0">
        <w:t>SBE</w:t>
      </w:r>
      <w:r w:rsidRPr="001B31F0">
        <w:t xml:space="preserve"> have identified the CCSPP as a school transformation initiative with the </w:t>
      </w:r>
      <w:proofErr w:type="gramStart"/>
      <w:r w:rsidRPr="001B31F0">
        <w:t>ultimate goal</w:t>
      </w:r>
      <w:proofErr w:type="gramEnd"/>
      <w:r w:rsidRPr="001B31F0">
        <w:t xml:space="preserve"> of improving academic outcomes for student groups who have endured the consequences of education inequity for generations. Recent scholarship has elevated four key impact areas for community schools and eight outcome areas that could indicate fidelity of community schools’ implementation (Oakes, Germain and Maier, 2023). The impact areas include transformed schools, engaged and empowered families, confident and well-prepared students and expanded local capacity for collaborative problem solving.</w:t>
      </w:r>
    </w:p>
    <w:p w14:paraId="79D5882D" w14:textId="70C0C274" w:rsidR="00FD70FB" w:rsidRPr="001B31F0" w:rsidRDefault="00FD70FB" w:rsidP="00FD70FB">
      <w:pPr>
        <w:spacing w:after="240"/>
      </w:pPr>
      <w:r w:rsidRPr="001B31F0">
        <w:t>The bidder will be expected to design an evaluation of the CCSPP that is aligned to the CCSPP Framework, measures the impact of the grant program in achieving the goals of the CCSPP and informs improvement in all areas of CCSPP implementation. Specifically, the bidder will design instruments that measure areas of progress and degrees of challenge in the many facets of CCSPP implementation including:</w:t>
      </w:r>
    </w:p>
    <w:p w14:paraId="0FD6328B" w14:textId="3C916366" w:rsidR="00FD70FB" w:rsidRPr="001B31F0" w:rsidRDefault="00FD70FB" w:rsidP="00FD70FB">
      <w:pPr>
        <w:pStyle w:val="ListParagraph"/>
        <w:numPr>
          <w:ilvl w:val="0"/>
          <w:numId w:val="57"/>
        </w:numPr>
        <w:spacing w:after="240"/>
      </w:pPr>
      <w:r w:rsidRPr="001B31F0">
        <w:t>Inputs at district and school levels, including integrated supports, expanded learning time, social-emotional supports, family engagement, community partnerships, community-connected and culturally relevant instruction, and collaborative decision-making practices.</w:t>
      </w:r>
    </w:p>
    <w:p w14:paraId="275DAC47" w14:textId="309F060A" w:rsidR="00FD70FB" w:rsidRPr="001B31F0" w:rsidRDefault="00FD70FB" w:rsidP="00FD70FB">
      <w:pPr>
        <w:pStyle w:val="ListParagraph"/>
        <w:numPr>
          <w:ilvl w:val="0"/>
          <w:numId w:val="57"/>
        </w:numPr>
        <w:spacing w:after="240"/>
      </w:pPr>
      <w:r w:rsidRPr="001B31F0">
        <w:t>Implementation supports at the state, county, and district level, including professional learning opportunities and technical assistance related to each pillar of the CCSPP</w:t>
      </w:r>
      <w:r w:rsidR="00EA7CAF">
        <w:t>.</w:t>
      </w:r>
    </w:p>
    <w:p w14:paraId="4FA6F8F5" w14:textId="4633AADC" w:rsidR="00FD70FB" w:rsidRPr="001B31F0" w:rsidRDefault="00FD70FB" w:rsidP="00FD70FB">
      <w:pPr>
        <w:pStyle w:val="ListParagraph"/>
        <w:numPr>
          <w:ilvl w:val="0"/>
          <w:numId w:val="57"/>
        </w:numPr>
        <w:spacing w:after="240"/>
        <w:rPr>
          <w:b/>
          <w:bCs/>
          <w:szCs w:val="24"/>
        </w:rPr>
      </w:pPr>
      <w:r w:rsidRPr="001B31F0">
        <w:rPr>
          <w:szCs w:val="24"/>
        </w:rPr>
        <w:t>The CCSPP has a robust technical assistance (TA) system comprised of a lead TA provider, the State Transformative Assistance Center (S-TAC), eight Regional Technical Assistance Centers (R-TACs) and dozens of County Offices of Education (COEs). The bidder will be expected to tap useful data from these sources, including analyses and evaluations of professional development offerings, schools’ and districts’ needs assessments and stated needs, and data from surveys the TACs may have conducted.</w:t>
      </w:r>
    </w:p>
    <w:p w14:paraId="53A9AEB0" w14:textId="7B609AA5" w:rsidR="00FD70FB" w:rsidRPr="001B31F0" w:rsidRDefault="00FD70FB" w:rsidP="00FD70FB">
      <w:pPr>
        <w:pStyle w:val="ListParagraph"/>
        <w:numPr>
          <w:ilvl w:val="0"/>
          <w:numId w:val="57"/>
        </w:numPr>
        <w:spacing w:after="240"/>
        <w:rPr>
          <w:b/>
          <w:bCs/>
          <w:szCs w:val="24"/>
        </w:rPr>
      </w:pPr>
      <w:r w:rsidRPr="001B31F0">
        <w:rPr>
          <w:bCs/>
        </w:rPr>
        <w:t>Outcome indicators, such as school climate and discipline, attendance, student and family engagement, stability in staffing and enrollment, academic</w:t>
      </w:r>
      <w:r w:rsidRPr="001B31F0">
        <w:t xml:space="preserve"> growth, graduation rates, and locally developed and tracked outcomes (Oakes et al). Each of these indicators can be studied longitudinally at the conclusion of the implementation period (summative evaluation) and ideally throughout the implementation timeline (formative evaluation). These outcomes and indicators should be reported, where possible, for each important subgroup, such as race, language, income status and disability, to determine the extent to which CCSPP outcomes meet the equity goals that are the foundation and purpose of this investment.</w:t>
      </w:r>
    </w:p>
    <w:p w14:paraId="2F9F6E0E" w14:textId="55F0B9E8" w:rsidR="00FD70FB" w:rsidRPr="001B31F0" w:rsidRDefault="00FD70FB" w:rsidP="00FD70FB">
      <w:pPr>
        <w:spacing w:after="240"/>
      </w:pPr>
      <w:r w:rsidRPr="001B31F0">
        <w:t xml:space="preserve">The bidder will have access to the annual reports filed by recipients of CCSPP grants regarding their activities and services provided, and to the </w:t>
      </w:r>
      <w:r w:rsidR="00B07D62">
        <w:t xml:space="preserve">publicly available </w:t>
      </w:r>
      <w:r w:rsidRPr="001B31F0">
        <w:t>state data regarding school characteristics and outcomes.</w:t>
      </w:r>
    </w:p>
    <w:p w14:paraId="3D8AD03B" w14:textId="267DE527" w:rsidR="00D22A88" w:rsidRPr="00FE53EB" w:rsidRDefault="00FD70FB" w:rsidP="001B31F0">
      <w:pPr>
        <w:spacing w:after="240"/>
      </w:pPr>
      <w:r w:rsidRPr="001B31F0">
        <w:t xml:space="preserve">The bidder will be expected to provide an annual formative evaluation report design and timeline for the annual formative evaluation report to be delivered to the CDE for the Superintendent to </w:t>
      </w:r>
      <w:r w:rsidRPr="001B31F0">
        <w:lastRenderedPageBreak/>
        <w:t>share the report with the Governor, the appropriate policy and fiscal committees of the Legislature, and the SBE by December 31 annually, and posted to the CDE’s CCSPP web page.</w:t>
      </w:r>
      <w:bookmarkEnd w:id="7"/>
    </w:p>
    <w:p w14:paraId="6E9BF238" w14:textId="77777777" w:rsidR="007E70A2" w:rsidRDefault="007E70A2">
      <w:pPr>
        <w:rPr>
          <w:rFonts w:eastAsia="Times New Roman" w:cs="Arial"/>
          <w:b/>
          <w:bCs/>
          <w:iCs/>
          <w:sz w:val="40"/>
          <w:szCs w:val="40"/>
        </w:rPr>
      </w:pPr>
      <w:r>
        <w:br w:type="page"/>
      </w:r>
    </w:p>
    <w:p w14:paraId="0F4739BF" w14:textId="6409FF81" w:rsidR="00537458" w:rsidRPr="00605C83" w:rsidRDefault="00C55645" w:rsidP="00DC35FD">
      <w:pPr>
        <w:pStyle w:val="Heading2"/>
      </w:pPr>
      <w:bookmarkStart w:id="8" w:name="_Toc152757058"/>
      <w:r>
        <w:lastRenderedPageBreak/>
        <w:t>2</w:t>
      </w:r>
      <w:r w:rsidR="00B32A0B">
        <w:t xml:space="preserve">. </w:t>
      </w:r>
      <w:r w:rsidR="00537458" w:rsidRPr="00605C83">
        <w:t>GENERAL PROPOSAL INFORMATION</w:t>
      </w:r>
      <w:bookmarkEnd w:id="8"/>
    </w:p>
    <w:p w14:paraId="3A7F0325" w14:textId="3226AF4B" w:rsidR="00537458" w:rsidRPr="00BC514B" w:rsidRDefault="00537458" w:rsidP="003E4C84">
      <w:pPr>
        <w:pStyle w:val="Heading3"/>
        <w:rPr>
          <w:sz w:val="24"/>
        </w:rPr>
      </w:pPr>
      <w:r>
        <w:t>2.1 Bidder Eligibility</w:t>
      </w:r>
    </w:p>
    <w:p w14:paraId="35A8631B" w14:textId="5D83E967" w:rsidR="00537458" w:rsidRPr="00A80331" w:rsidRDefault="00537458" w:rsidP="00537458">
      <w:pPr>
        <w:spacing w:after="240"/>
        <w:rPr>
          <w:rFonts w:cs="Arial"/>
          <w:color w:val="000000"/>
          <w:szCs w:val="24"/>
        </w:rPr>
      </w:pPr>
      <w:r w:rsidRPr="00D14CDD">
        <w:rPr>
          <w:rFonts w:cs="Arial"/>
          <w:color w:val="000000"/>
          <w:szCs w:val="24"/>
        </w:rPr>
        <w:t xml:space="preserve">Sole proprietorships, partnerships, public or private agencies, </w:t>
      </w:r>
      <w:proofErr w:type="gramStart"/>
      <w:r w:rsidRPr="00D14CDD">
        <w:rPr>
          <w:rFonts w:cs="Arial"/>
          <w:color w:val="000000"/>
          <w:szCs w:val="24"/>
        </w:rPr>
        <w:t>unincorporated</w:t>
      </w:r>
      <w:proofErr w:type="gramEnd"/>
      <w:r w:rsidRPr="00D14CDD">
        <w:rPr>
          <w:rFonts w:cs="Arial"/>
          <w:color w:val="000000"/>
          <w:szCs w:val="24"/>
        </w:rPr>
        <w:t xml:space="preserve"> organizations or associations</w:t>
      </w:r>
      <w:r w:rsidRPr="00A80331">
        <w:rPr>
          <w:rFonts w:cs="Arial"/>
          <w:color w:val="000000"/>
          <w:szCs w:val="24"/>
        </w:rPr>
        <w:t xml:space="preserve"> may submit proposals in response to this RFP. The bidder must be legally constituted and qualified to do business within the State of California. If required by law, any business entity required to be registered with the California Secretary of State must submit a current Certificate of Good Standing issued by the California Secretary of State. </w:t>
      </w:r>
      <w:r w:rsidRPr="00A80331">
        <w:rPr>
          <w:rFonts w:cs="Arial"/>
          <w:szCs w:val="24"/>
        </w:rPr>
        <w:t xml:space="preserve">The required document(s) may be obtained through </w:t>
      </w:r>
      <w:r>
        <w:rPr>
          <w:rFonts w:cs="Arial"/>
          <w:szCs w:val="24"/>
        </w:rPr>
        <w:t xml:space="preserve">the Certification Unit </w:t>
      </w:r>
      <w:r w:rsidR="004C1C79">
        <w:rPr>
          <w:rFonts w:cs="Arial"/>
          <w:szCs w:val="24"/>
        </w:rPr>
        <w:t>by phone at</w:t>
      </w:r>
      <w:r>
        <w:rPr>
          <w:rFonts w:cs="Arial"/>
          <w:szCs w:val="24"/>
        </w:rPr>
        <w:t xml:space="preserve"> 916-</w:t>
      </w:r>
      <w:r w:rsidRPr="00A80331">
        <w:rPr>
          <w:rFonts w:cs="Arial"/>
          <w:szCs w:val="24"/>
        </w:rPr>
        <w:t>657-</w:t>
      </w:r>
      <w:r w:rsidR="00364292">
        <w:rPr>
          <w:rFonts w:cs="Arial"/>
          <w:szCs w:val="24"/>
        </w:rPr>
        <w:t>5448</w:t>
      </w:r>
      <w:r w:rsidRPr="00A80331">
        <w:rPr>
          <w:rFonts w:cs="Arial"/>
          <w:szCs w:val="24"/>
        </w:rPr>
        <w:t xml:space="preserve"> or through the </w:t>
      </w:r>
      <w:r>
        <w:rPr>
          <w:rFonts w:cs="Arial"/>
          <w:szCs w:val="24"/>
        </w:rPr>
        <w:t>California Secretary of State</w:t>
      </w:r>
      <w:r w:rsidR="004C1C79">
        <w:rPr>
          <w:rFonts w:cs="Arial"/>
          <w:szCs w:val="24"/>
        </w:rPr>
        <w:t>, Business Entities Records Request</w:t>
      </w:r>
      <w:r w:rsidRPr="00A80331">
        <w:rPr>
          <w:rFonts w:cs="Arial"/>
          <w:szCs w:val="24"/>
        </w:rPr>
        <w:t xml:space="preserve"> web</w:t>
      </w:r>
      <w:r w:rsidR="004C1C79">
        <w:rPr>
          <w:rFonts w:cs="Arial"/>
          <w:szCs w:val="24"/>
        </w:rPr>
        <w:t xml:space="preserve"> page</w:t>
      </w:r>
      <w:r w:rsidRPr="00A80331">
        <w:rPr>
          <w:rFonts w:cs="Arial"/>
          <w:szCs w:val="24"/>
        </w:rPr>
        <w:t xml:space="preserve"> </w:t>
      </w:r>
      <w:hyperlink r:id="rId9" w:tooltip="California Secretary of State website" w:history="1">
        <w:r w:rsidRPr="00A80331">
          <w:rPr>
            <w:rStyle w:val="Hyperlink"/>
            <w:rFonts w:cs="Arial"/>
            <w:szCs w:val="24"/>
          </w:rPr>
          <w:t>https://www.sos.ca.gov/business-programs/business-entities/information-requests/</w:t>
        </w:r>
      </w:hyperlink>
      <w:r w:rsidRPr="00A80331">
        <w:rPr>
          <w:rFonts w:cs="Arial"/>
          <w:szCs w:val="24"/>
        </w:rPr>
        <w:t>.</w:t>
      </w:r>
    </w:p>
    <w:p w14:paraId="17EED349" w14:textId="4724769D" w:rsidR="00537458" w:rsidRPr="00A80331" w:rsidRDefault="00537458" w:rsidP="00537458">
      <w:pPr>
        <w:autoSpaceDE w:val="0"/>
        <w:autoSpaceDN w:val="0"/>
        <w:adjustRightInd w:val="0"/>
        <w:spacing w:after="240"/>
        <w:rPr>
          <w:rFonts w:cs="Arial"/>
          <w:color w:val="000000"/>
          <w:szCs w:val="24"/>
        </w:rPr>
      </w:pPr>
      <w:r w:rsidRPr="00A80331">
        <w:rPr>
          <w:rFonts w:cs="Arial"/>
          <w:color w:val="000000"/>
          <w:szCs w:val="24"/>
        </w:rPr>
        <w:t>Note: Allow sufficient time to obtain the certificate from the California Secretary of State.</w:t>
      </w:r>
    </w:p>
    <w:p w14:paraId="402C4E24" w14:textId="1C2B6092" w:rsidR="00537458" w:rsidRPr="00A80331" w:rsidRDefault="00537458" w:rsidP="00537458">
      <w:pPr>
        <w:tabs>
          <w:tab w:val="left" w:pos="720"/>
        </w:tabs>
        <w:spacing w:after="240"/>
        <w:rPr>
          <w:rFonts w:cs="Arial"/>
          <w:szCs w:val="24"/>
        </w:rPr>
      </w:pPr>
      <w:r w:rsidRPr="00A80331">
        <w:rPr>
          <w:rFonts w:cs="Arial"/>
          <w:color w:val="000000"/>
          <w:szCs w:val="24"/>
        </w:rPr>
        <w:t xml:space="preserve">If the bidder’s legal status does not require a filing or registration with the California Secretary of State, a separate paragraph in the Technical Proposal must clearly state the bidder’s legal status and evidence that it is legally constituted and qualified to do business with the State of California. </w:t>
      </w:r>
      <w:proofErr w:type="gramStart"/>
      <w:r w:rsidRPr="00A80331">
        <w:rPr>
          <w:rFonts w:cs="Arial"/>
          <w:color w:val="000000"/>
          <w:szCs w:val="24"/>
        </w:rPr>
        <w:t>With the exception of</w:t>
      </w:r>
      <w:proofErr w:type="gramEnd"/>
      <w:r w:rsidRPr="00A80331">
        <w:rPr>
          <w:rFonts w:cs="Arial"/>
          <w:color w:val="000000"/>
          <w:szCs w:val="24"/>
        </w:rPr>
        <w:t xml:space="preserve"> organizations whose legal status precludes incorporation (i.e., public agencies, sole proprietorships, partnerships) bidders that are not fully incorporated by the deadline for submitting proposals will be disqualified.</w:t>
      </w:r>
    </w:p>
    <w:p w14:paraId="7EBEA4E0" w14:textId="7517B422" w:rsidR="00537458" w:rsidRDefault="00537458" w:rsidP="00537458">
      <w:pPr>
        <w:tabs>
          <w:tab w:val="left" w:pos="720"/>
        </w:tabs>
        <w:spacing w:after="240"/>
      </w:pPr>
      <w:r w:rsidRPr="00A80331">
        <w:rPr>
          <w:rFonts w:cs="Arial"/>
          <w:szCs w:val="24"/>
        </w:rPr>
        <w:t xml:space="preserve">The bidder responding to this RFP must serve as the Prime Contractor and will be the responsible entity in ensuring that all tasks and activities are competently and successfully completed. In the event the bidder is subcontracting more than 25 percent to any one subcontractor, then that subcontractor must also meet the minimum qualifications listed in Section </w:t>
      </w:r>
      <w:r w:rsidR="00A40EF1">
        <w:rPr>
          <w:rFonts w:cs="Arial"/>
          <w:szCs w:val="24"/>
        </w:rPr>
        <w:t>2</w:t>
      </w:r>
      <w:r w:rsidRPr="00A80331">
        <w:rPr>
          <w:rFonts w:cs="Arial"/>
          <w:szCs w:val="24"/>
        </w:rPr>
        <w:t xml:space="preserve">.2 below. </w:t>
      </w:r>
      <w:r>
        <w:t>(Refer to RFP</w:t>
      </w:r>
      <w:r w:rsidRPr="00E85B4A">
        <w:t xml:space="preserve"> </w:t>
      </w:r>
      <w:r>
        <w:t xml:space="preserve">– Section </w:t>
      </w:r>
      <w:r w:rsidR="00A40EF1">
        <w:t>2</w:t>
      </w:r>
      <w:r>
        <w:t>.8 for the definition of “Prime Contractor”</w:t>
      </w:r>
      <w:r w:rsidRPr="004C3DC3">
        <w:t>.</w:t>
      </w:r>
      <w:r>
        <w:t>)</w:t>
      </w:r>
    </w:p>
    <w:p w14:paraId="29666720" w14:textId="67F4D6DA" w:rsidR="004C287D" w:rsidRDefault="004C287D" w:rsidP="001B373C">
      <w:pPr>
        <w:pStyle w:val="Heading4"/>
      </w:pPr>
      <w:bookmarkStart w:id="9" w:name="_Hlk115883852"/>
      <w:r>
        <w:t xml:space="preserve">2.1.1 </w:t>
      </w:r>
      <w:r w:rsidR="007813DC">
        <w:t xml:space="preserve">Targets of Economic Sanctions; </w:t>
      </w:r>
      <w:r>
        <w:t>Executive Order N-6-22 – Russia Sanctions</w:t>
      </w:r>
    </w:p>
    <w:p w14:paraId="77C00AB8" w14:textId="542281AD" w:rsidR="004C287D" w:rsidRPr="004C287D" w:rsidRDefault="004C287D" w:rsidP="004C287D">
      <w:pPr>
        <w:rPr>
          <w:sz w:val="28"/>
        </w:rPr>
      </w:pPr>
      <w:r w:rsidRPr="004C287D">
        <w:rPr>
          <w:szCs w:val="23"/>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w:t>
      </w:r>
      <w:bookmarkEnd w:id="9"/>
      <w:r w:rsidRPr="004C287D">
        <w:rPr>
          <w:szCs w:val="23"/>
        </w:rPr>
        <w:t>termination by the State.</w:t>
      </w:r>
    </w:p>
    <w:p w14:paraId="72C8117E" w14:textId="07E692FE" w:rsidR="00537458" w:rsidRPr="00BC514B" w:rsidRDefault="00537458" w:rsidP="003E4C84">
      <w:pPr>
        <w:pStyle w:val="Heading3"/>
        <w:rPr>
          <w:sz w:val="24"/>
        </w:rPr>
      </w:pPr>
      <w:r>
        <w:t xml:space="preserve">2.2 </w:t>
      </w:r>
      <w:r w:rsidRPr="00F02100">
        <w:t>Minimum Qualifications for Bidders</w:t>
      </w:r>
    </w:p>
    <w:p w14:paraId="0054132D" w14:textId="3B8527BD" w:rsidR="00537458" w:rsidRDefault="00537458" w:rsidP="00537458">
      <w:pPr>
        <w:spacing w:after="240"/>
        <w:rPr>
          <w:rFonts w:cs="Arial"/>
          <w:szCs w:val="24"/>
        </w:rPr>
      </w:pPr>
      <w:r>
        <w:rPr>
          <w:rFonts w:cs="Arial"/>
          <w:szCs w:val="24"/>
        </w:rPr>
        <w:t>The bidder responding to this RFP must serve as the Prime Contractor and therefore must meet the Minimum Qualification</w:t>
      </w:r>
      <w:r w:rsidR="00EA7CAF">
        <w:rPr>
          <w:rFonts w:cs="Arial"/>
          <w:szCs w:val="24"/>
        </w:rPr>
        <w:t>s</w:t>
      </w:r>
      <w:r>
        <w:rPr>
          <w:rFonts w:cs="Arial"/>
          <w:szCs w:val="24"/>
        </w:rPr>
        <w:t xml:space="preserve"> for Bidders as stated in this section. The Prime Contractor must have the experience and qualifications to provide oversight to all proposed subcontractors and review and approve work products created by all proposed subcontractors.</w:t>
      </w:r>
    </w:p>
    <w:p w14:paraId="34705753" w14:textId="4A780486" w:rsidR="00537458" w:rsidRPr="007953E8" w:rsidRDefault="00537458" w:rsidP="00537458">
      <w:pPr>
        <w:spacing w:after="240"/>
        <w:rPr>
          <w:rFonts w:cs="Arial"/>
          <w:szCs w:val="24"/>
        </w:rPr>
      </w:pPr>
      <w:bookmarkStart w:id="10" w:name="_Hlk148002999"/>
      <w:r w:rsidRPr="00A80331">
        <w:rPr>
          <w:rFonts w:cs="Arial"/>
          <w:szCs w:val="24"/>
        </w:rPr>
        <w:lastRenderedPageBreak/>
        <w:t xml:space="preserve">Bidders </w:t>
      </w:r>
      <w:r w:rsidRPr="007953E8">
        <w:rPr>
          <w:rFonts w:cs="Arial"/>
          <w:szCs w:val="24"/>
        </w:rPr>
        <w:t>must have a minimum of three years (within the last five years) of recent full-time experience in:</w:t>
      </w:r>
    </w:p>
    <w:p w14:paraId="30096057" w14:textId="77777777" w:rsidR="00E65B04" w:rsidRPr="007953E8" w:rsidRDefault="00E65B04" w:rsidP="00E65B04">
      <w:pPr>
        <w:pStyle w:val="ListParagraph"/>
        <w:numPr>
          <w:ilvl w:val="0"/>
          <w:numId w:val="58"/>
        </w:numPr>
        <w:spacing w:after="240"/>
        <w:ind w:left="810" w:hanging="450"/>
        <w:contextualSpacing w:val="0"/>
        <w:rPr>
          <w:rFonts w:cs="Arial"/>
        </w:rPr>
      </w:pPr>
      <w:r w:rsidRPr="007953E8">
        <w:rPr>
          <w:rFonts w:cs="Arial"/>
        </w:rPr>
        <w:t>The bidder must have experience in designing and implementing evaluation plans for TA centers, LEAs, and school sites:</w:t>
      </w:r>
    </w:p>
    <w:p w14:paraId="72C1ABFD" w14:textId="77777777" w:rsidR="00E65B04" w:rsidRPr="007953E8" w:rsidRDefault="00E65B04" w:rsidP="00E65B04">
      <w:pPr>
        <w:pStyle w:val="ListParagraph"/>
        <w:numPr>
          <w:ilvl w:val="1"/>
          <w:numId w:val="59"/>
        </w:numPr>
        <w:spacing w:after="240"/>
        <w:contextualSpacing w:val="0"/>
        <w:rPr>
          <w:rFonts w:cs="Arial"/>
        </w:rPr>
      </w:pPr>
      <w:r w:rsidRPr="007953E8">
        <w:rPr>
          <w:rFonts w:cs="Arial"/>
        </w:rPr>
        <w:t>Must have experience and history of designing and implementing comprehensive evaluation plans at State and Local levels.</w:t>
      </w:r>
    </w:p>
    <w:p w14:paraId="0AF00692" w14:textId="77777777" w:rsidR="00E65B04" w:rsidRPr="007953E8" w:rsidRDefault="00E65B04" w:rsidP="00E65B04">
      <w:pPr>
        <w:pStyle w:val="ListParagraph"/>
        <w:numPr>
          <w:ilvl w:val="1"/>
          <w:numId w:val="59"/>
        </w:numPr>
        <w:spacing w:after="240"/>
        <w:contextualSpacing w:val="0"/>
        <w:rPr>
          <w:rFonts w:cs="Arial"/>
        </w:rPr>
      </w:pPr>
      <w:r w:rsidRPr="007953E8">
        <w:rPr>
          <w:rFonts w:cs="Arial"/>
        </w:rPr>
        <w:t>Must have experience and history of designing evaluation tools or instruments that are effective and accessible for a diverse population of students.</w:t>
      </w:r>
    </w:p>
    <w:p w14:paraId="3538B3AE" w14:textId="77777777" w:rsidR="00E65B04" w:rsidRPr="007953E8" w:rsidRDefault="00E65B04" w:rsidP="00E65B04">
      <w:pPr>
        <w:pStyle w:val="ListParagraph"/>
        <w:numPr>
          <w:ilvl w:val="1"/>
          <w:numId w:val="59"/>
        </w:numPr>
        <w:spacing w:after="240"/>
        <w:contextualSpacing w:val="0"/>
        <w:rPr>
          <w:rFonts w:cs="Arial"/>
        </w:rPr>
      </w:pPr>
      <w:r w:rsidRPr="007953E8">
        <w:rPr>
          <w:rFonts w:cs="Arial"/>
        </w:rPr>
        <w:t>Must have experience in designing and implementing evaluation plans that include analysis of quantitative data sets, as well as surveys, interviews, and other measurement tools for school staff, students, family members, community members and other interest holders.</w:t>
      </w:r>
    </w:p>
    <w:p w14:paraId="5B51ED3B" w14:textId="77777777" w:rsidR="00E65B04" w:rsidRPr="007953E8" w:rsidRDefault="00E65B04" w:rsidP="00E65B04">
      <w:pPr>
        <w:pStyle w:val="ListParagraph"/>
        <w:numPr>
          <w:ilvl w:val="0"/>
          <w:numId w:val="58"/>
        </w:numPr>
        <w:spacing w:after="240"/>
        <w:ind w:left="810" w:hanging="450"/>
        <w:contextualSpacing w:val="0"/>
        <w:rPr>
          <w:rFonts w:cs="Arial"/>
        </w:rPr>
      </w:pPr>
      <w:r w:rsidRPr="007953E8">
        <w:rPr>
          <w:rFonts w:cs="Arial"/>
        </w:rPr>
        <w:t>The bidder must demonstrate an understanding of the formative evaluation process and its application to public education broadly and specifically to school transformation programs like the CCSPP.</w:t>
      </w:r>
    </w:p>
    <w:p w14:paraId="7106D429" w14:textId="77777777" w:rsidR="00E65B04" w:rsidRPr="007953E8" w:rsidRDefault="00E65B04" w:rsidP="00E65B04">
      <w:pPr>
        <w:pStyle w:val="ListParagraph"/>
        <w:numPr>
          <w:ilvl w:val="1"/>
          <w:numId w:val="60"/>
        </w:numPr>
        <w:spacing w:after="240"/>
        <w:contextualSpacing w:val="0"/>
        <w:rPr>
          <w:rFonts w:cs="Arial"/>
        </w:rPr>
      </w:pPr>
      <w:r w:rsidRPr="007953E8">
        <w:rPr>
          <w:rFonts w:cs="Arial"/>
        </w:rPr>
        <w:t>The bidder should demonstrate its understanding of current research on formative evaluation and how that research and scholarship informs their approach to the design proposal for the CCSPP.</w:t>
      </w:r>
    </w:p>
    <w:p w14:paraId="2E062008" w14:textId="06C74708" w:rsidR="00E65B04" w:rsidRPr="007953E8" w:rsidRDefault="00E65B04" w:rsidP="00E65B04">
      <w:pPr>
        <w:pStyle w:val="ListParagraph"/>
        <w:numPr>
          <w:ilvl w:val="1"/>
          <w:numId w:val="60"/>
        </w:numPr>
        <w:spacing w:after="240"/>
        <w:contextualSpacing w:val="0"/>
        <w:rPr>
          <w:rFonts w:cs="Arial"/>
        </w:rPr>
      </w:pPr>
      <w:r w:rsidRPr="007953E8">
        <w:rPr>
          <w:rFonts w:cs="Arial"/>
        </w:rPr>
        <w:t>The bidder’s program design should include data collection, curation and analysis that reflects an understanding of how existing data indicators could be used in a formative evaluation design that can support improvement in addition to summative findings.</w:t>
      </w:r>
    </w:p>
    <w:p w14:paraId="3C07A58D" w14:textId="77777777" w:rsidR="00E65B04" w:rsidRPr="007953E8" w:rsidRDefault="00E65B04" w:rsidP="00E65B04">
      <w:pPr>
        <w:pStyle w:val="ListParagraph"/>
        <w:numPr>
          <w:ilvl w:val="1"/>
          <w:numId w:val="60"/>
        </w:numPr>
        <w:spacing w:after="240"/>
        <w:contextualSpacing w:val="0"/>
        <w:rPr>
          <w:rFonts w:cs="Arial"/>
        </w:rPr>
      </w:pPr>
      <w:r w:rsidRPr="007953E8">
        <w:rPr>
          <w:rFonts w:cs="Arial"/>
        </w:rPr>
        <w:t>The bidder’s program design should include uses of process data and other process related evidence points that can be used, along with outcome data, to inform formative guidance that is supported by current research and scholarship.</w:t>
      </w:r>
    </w:p>
    <w:p w14:paraId="0C66F97A" w14:textId="4CAEC47A" w:rsidR="00E65B04" w:rsidRPr="007953E8" w:rsidRDefault="00E65B04" w:rsidP="00E65B04">
      <w:pPr>
        <w:pStyle w:val="ListParagraph"/>
        <w:numPr>
          <w:ilvl w:val="1"/>
          <w:numId w:val="60"/>
        </w:numPr>
        <w:spacing w:after="240"/>
        <w:contextualSpacing w:val="0"/>
        <w:rPr>
          <w:rFonts w:cs="Arial"/>
        </w:rPr>
      </w:pPr>
      <w:r w:rsidRPr="007953E8">
        <w:rPr>
          <w:rFonts w:cs="Arial"/>
        </w:rPr>
        <w:t xml:space="preserve">The new tools, surveys, instruments, approaches, and strategies included in the bidder’s overall CCSPP Formative Evaluation Plan should reflect an </w:t>
      </w:r>
      <w:r w:rsidR="00602E3D" w:rsidRPr="007953E8">
        <w:rPr>
          <w:rFonts w:cs="Arial"/>
        </w:rPr>
        <w:t>adaptation</w:t>
      </w:r>
      <w:r w:rsidRPr="007953E8">
        <w:rPr>
          <w:rFonts w:cs="Arial"/>
        </w:rPr>
        <w:t xml:space="preserve"> of best and recent research to the specific scope of evaluating CCSPP implementation.</w:t>
      </w:r>
    </w:p>
    <w:p w14:paraId="657D7C55" w14:textId="77777777" w:rsidR="00E65B04" w:rsidRPr="007953E8" w:rsidRDefault="00E65B04" w:rsidP="00E65B04">
      <w:pPr>
        <w:pStyle w:val="ListParagraph"/>
        <w:numPr>
          <w:ilvl w:val="0"/>
          <w:numId w:val="58"/>
        </w:numPr>
        <w:spacing w:after="240"/>
        <w:ind w:left="810" w:hanging="450"/>
        <w:contextualSpacing w:val="0"/>
        <w:rPr>
          <w:rFonts w:cs="Arial"/>
        </w:rPr>
      </w:pPr>
      <w:r w:rsidRPr="007953E8">
        <w:rPr>
          <w:rFonts w:cs="Arial"/>
        </w:rPr>
        <w:t>The bidder must have experience implementing evaluation or other technical assistance programs at the state level, preferably in California.</w:t>
      </w:r>
    </w:p>
    <w:p w14:paraId="1A17BFDE" w14:textId="77777777" w:rsidR="00E65B04" w:rsidRPr="007953E8" w:rsidRDefault="00E65B04" w:rsidP="00E65B04">
      <w:pPr>
        <w:pStyle w:val="ListParagraph"/>
        <w:numPr>
          <w:ilvl w:val="1"/>
          <w:numId w:val="61"/>
        </w:numPr>
        <w:spacing w:after="240"/>
        <w:contextualSpacing w:val="0"/>
        <w:rPr>
          <w:rFonts w:cs="Arial"/>
        </w:rPr>
      </w:pPr>
      <w:r w:rsidRPr="007953E8">
        <w:rPr>
          <w:rFonts w:cs="Arial"/>
        </w:rPr>
        <w:t xml:space="preserve">The bidder has provided training and technical support to the TA centers, COEs and LEAs on how to use data and process evaluation </w:t>
      </w:r>
      <w:proofErr w:type="gramStart"/>
      <w:r w:rsidRPr="007953E8">
        <w:rPr>
          <w:rFonts w:cs="Arial"/>
        </w:rPr>
        <w:t>in order to</w:t>
      </w:r>
      <w:proofErr w:type="gramEnd"/>
      <w:r w:rsidRPr="007953E8">
        <w:rPr>
          <w:rFonts w:cs="Arial"/>
        </w:rPr>
        <w:t xml:space="preserve"> accelerate equity driven improvements in academic outcomes and other critical growth areas.</w:t>
      </w:r>
    </w:p>
    <w:p w14:paraId="1C286C36" w14:textId="4C81C217" w:rsidR="00E65B04" w:rsidRPr="007953E8" w:rsidRDefault="00E65B04" w:rsidP="00E65B04">
      <w:pPr>
        <w:pStyle w:val="ListParagraph"/>
        <w:numPr>
          <w:ilvl w:val="1"/>
          <w:numId w:val="61"/>
        </w:numPr>
        <w:spacing w:after="240"/>
        <w:contextualSpacing w:val="0"/>
        <w:rPr>
          <w:rFonts w:cs="Arial"/>
        </w:rPr>
      </w:pPr>
      <w:r w:rsidRPr="007953E8">
        <w:rPr>
          <w:rFonts w:cs="Arial"/>
        </w:rPr>
        <w:t>The bidder has been a contractor, consultant and/or technical assistance provider for planning and/or implementation of a significant state-wide initiative in education or in a comparable field.</w:t>
      </w:r>
    </w:p>
    <w:p w14:paraId="55CC0ECF" w14:textId="77777777" w:rsidR="00E65B04" w:rsidRPr="007953E8" w:rsidRDefault="00E65B04" w:rsidP="00E65B04">
      <w:pPr>
        <w:pStyle w:val="ListParagraph"/>
        <w:numPr>
          <w:ilvl w:val="1"/>
          <w:numId w:val="61"/>
        </w:numPr>
        <w:spacing w:after="240"/>
        <w:contextualSpacing w:val="0"/>
        <w:rPr>
          <w:rFonts w:cs="Arial"/>
        </w:rPr>
      </w:pPr>
      <w:r w:rsidRPr="007953E8">
        <w:rPr>
          <w:rFonts w:cs="Arial"/>
        </w:rPr>
        <w:lastRenderedPageBreak/>
        <w:t>The bidder has experience leading cross sector collaboration in ways that promote understanding of the use of data and evaluation instruments across sectors and between the differing levels of state and local administration.</w:t>
      </w:r>
    </w:p>
    <w:p w14:paraId="3A0B7057" w14:textId="222AE2A5" w:rsidR="00537458" w:rsidRDefault="00537458" w:rsidP="00537458">
      <w:r w:rsidRPr="000D0658">
        <w:t xml:space="preserve">Refer to RFP Section </w:t>
      </w:r>
      <w:r w:rsidR="00A40EF1">
        <w:t>3</w:t>
      </w:r>
      <w:r w:rsidRPr="000D0658">
        <w:t>.1 Technical Proposal Requirements for additional information pertaining to personnel requirements.</w:t>
      </w:r>
    </w:p>
    <w:bookmarkEnd w:id="10"/>
    <w:p w14:paraId="63E19AC9" w14:textId="77777777" w:rsidR="00537458" w:rsidRPr="000D0658" w:rsidRDefault="00537458" w:rsidP="00537458">
      <w:r>
        <w:br w:type="page"/>
      </w:r>
    </w:p>
    <w:p w14:paraId="60FC0169" w14:textId="640571E6" w:rsidR="00537458" w:rsidRPr="00BC514B" w:rsidRDefault="00537458" w:rsidP="003E4C84">
      <w:pPr>
        <w:pStyle w:val="Heading3"/>
        <w:rPr>
          <w:sz w:val="24"/>
        </w:rPr>
      </w:pPr>
      <w:r>
        <w:lastRenderedPageBreak/>
        <w:t>2</w:t>
      </w:r>
      <w:r w:rsidRPr="00AA13FF">
        <w:t>.3 RFP Schedule of Events</w:t>
      </w:r>
    </w:p>
    <w:tbl>
      <w:tblPr>
        <w:tblStyle w:val="TableGrid"/>
        <w:tblW w:w="10710" w:type="dxa"/>
        <w:tblLook w:val="01E0" w:firstRow="1" w:lastRow="1" w:firstColumn="1" w:lastColumn="1" w:noHBand="0" w:noVBand="0"/>
        <w:tblCaption w:val="RFP Schedule of Events"/>
        <w:tblDescription w:val="2.3 RFP Schedule of Events Table.&#10;&#10;"/>
      </w:tblPr>
      <w:tblGrid>
        <w:gridCol w:w="5220"/>
        <w:gridCol w:w="5490"/>
      </w:tblGrid>
      <w:tr w:rsidR="00F67ED5" w:rsidRPr="006D49ED" w14:paraId="7675D62C" w14:textId="77777777" w:rsidTr="00385D7F">
        <w:trPr>
          <w:cantSplit/>
          <w:trHeight w:val="295"/>
          <w:tblHeader/>
        </w:trPr>
        <w:tc>
          <w:tcPr>
            <w:tcW w:w="5220" w:type="dxa"/>
          </w:tcPr>
          <w:p w14:paraId="4A840CA4" w14:textId="77777777" w:rsidR="00F67ED5" w:rsidRPr="006D49ED" w:rsidRDefault="00F67ED5" w:rsidP="00385D7F">
            <w:pPr>
              <w:keepNext/>
              <w:keepLines/>
              <w:spacing w:before="240" w:after="240"/>
              <w:rPr>
                <w:b/>
              </w:rPr>
            </w:pPr>
            <w:r w:rsidRPr="006D49ED">
              <w:rPr>
                <w:b/>
              </w:rPr>
              <w:t>Activity</w:t>
            </w:r>
          </w:p>
        </w:tc>
        <w:tc>
          <w:tcPr>
            <w:tcW w:w="5490" w:type="dxa"/>
          </w:tcPr>
          <w:p w14:paraId="46E5BC4E" w14:textId="77777777" w:rsidR="00F67ED5" w:rsidRPr="006D49ED" w:rsidRDefault="00F67ED5" w:rsidP="00385D7F">
            <w:pPr>
              <w:keepNext/>
              <w:keepLines/>
              <w:spacing w:before="240" w:after="240"/>
              <w:rPr>
                <w:b/>
              </w:rPr>
            </w:pPr>
            <w:r w:rsidRPr="006D49ED">
              <w:rPr>
                <w:b/>
              </w:rPr>
              <w:t>Action Date</w:t>
            </w:r>
          </w:p>
        </w:tc>
      </w:tr>
      <w:tr w:rsidR="007953E8" w:rsidRPr="007953E8" w14:paraId="58EA5238" w14:textId="77777777" w:rsidTr="00385D7F">
        <w:trPr>
          <w:cantSplit/>
          <w:trHeight w:val="279"/>
          <w:tblHeader/>
        </w:trPr>
        <w:tc>
          <w:tcPr>
            <w:tcW w:w="5220" w:type="dxa"/>
          </w:tcPr>
          <w:p w14:paraId="21A64E06" w14:textId="77777777" w:rsidR="00F67ED5" w:rsidRPr="007953E8" w:rsidRDefault="00F67ED5" w:rsidP="00385D7F">
            <w:pPr>
              <w:keepNext/>
              <w:keepLines/>
              <w:spacing w:before="240" w:after="240"/>
              <w:rPr>
                <w:b/>
              </w:rPr>
            </w:pPr>
            <w:r w:rsidRPr="007953E8">
              <w:t>Request for Proposal Released</w:t>
            </w:r>
          </w:p>
        </w:tc>
        <w:tc>
          <w:tcPr>
            <w:tcW w:w="5490" w:type="dxa"/>
          </w:tcPr>
          <w:p w14:paraId="040BEF5C" w14:textId="5BA65F8D" w:rsidR="00F67ED5" w:rsidRPr="007953E8" w:rsidRDefault="007953E8" w:rsidP="00385D7F">
            <w:pPr>
              <w:keepNext/>
              <w:keepLines/>
              <w:spacing w:before="240" w:after="240"/>
              <w:rPr>
                <w:highlight w:val="lightGray"/>
              </w:rPr>
            </w:pPr>
            <w:r>
              <w:rPr>
                <w:rFonts w:cs="Arial"/>
              </w:rPr>
              <w:t>December 20</w:t>
            </w:r>
            <w:r w:rsidR="00E65B04" w:rsidRPr="007953E8">
              <w:rPr>
                <w:rFonts w:cs="Arial"/>
              </w:rPr>
              <w:t>, 2023</w:t>
            </w:r>
          </w:p>
        </w:tc>
      </w:tr>
      <w:tr w:rsidR="007953E8" w:rsidRPr="007953E8" w14:paraId="29FC3161" w14:textId="77777777" w:rsidTr="00385D7F">
        <w:trPr>
          <w:cantSplit/>
          <w:trHeight w:val="295"/>
          <w:tblHeader/>
        </w:trPr>
        <w:tc>
          <w:tcPr>
            <w:tcW w:w="5220" w:type="dxa"/>
          </w:tcPr>
          <w:p w14:paraId="30611838" w14:textId="77777777" w:rsidR="00F67ED5" w:rsidRPr="007953E8" w:rsidRDefault="00F67ED5" w:rsidP="00385D7F">
            <w:pPr>
              <w:keepNext/>
              <w:keepLines/>
              <w:spacing w:before="240" w:after="240"/>
              <w:rPr>
                <w:b/>
              </w:rPr>
            </w:pPr>
            <w:r w:rsidRPr="007953E8">
              <w:t xml:space="preserve">Intent to Submit a Proposal </w:t>
            </w:r>
          </w:p>
        </w:tc>
        <w:tc>
          <w:tcPr>
            <w:tcW w:w="5490" w:type="dxa"/>
          </w:tcPr>
          <w:p w14:paraId="17EAE913" w14:textId="237E14C8" w:rsidR="00F67ED5" w:rsidRPr="007953E8" w:rsidRDefault="007953E8" w:rsidP="00385D7F">
            <w:pPr>
              <w:keepNext/>
              <w:keepLines/>
              <w:spacing w:before="240" w:after="240"/>
            </w:pPr>
            <w:r>
              <w:t>January 10, 2024</w:t>
            </w:r>
            <w:r w:rsidR="00E65B04" w:rsidRPr="007953E8">
              <w:t xml:space="preserve">, </w:t>
            </w:r>
            <w:r w:rsidR="00F67ED5" w:rsidRPr="007953E8">
              <w:t>at 5</w:t>
            </w:r>
            <w:r w:rsidR="00EA7CAF">
              <w:t xml:space="preserve">:00 </w:t>
            </w:r>
            <w:r w:rsidR="00F67ED5" w:rsidRPr="007953E8">
              <w:t>pm</w:t>
            </w:r>
            <w:r w:rsidR="0026317C">
              <w:t xml:space="preserve"> PST</w:t>
            </w:r>
          </w:p>
        </w:tc>
      </w:tr>
      <w:tr w:rsidR="007953E8" w:rsidRPr="007953E8" w14:paraId="6DA0FA7E" w14:textId="77777777" w:rsidTr="00385D7F">
        <w:trPr>
          <w:cantSplit/>
          <w:trHeight w:val="279"/>
          <w:tblHeader/>
        </w:trPr>
        <w:tc>
          <w:tcPr>
            <w:tcW w:w="5220" w:type="dxa"/>
          </w:tcPr>
          <w:p w14:paraId="4AFF27E9" w14:textId="77777777" w:rsidR="00F67ED5" w:rsidRPr="007953E8" w:rsidRDefault="00F67ED5" w:rsidP="00385D7F">
            <w:pPr>
              <w:keepNext/>
              <w:keepLines/>
              <w:spacing w:before="240" w:after="240"/>
              <w:rPr>
                <w:b/>
              </w:rPr>
            </w:pPr>
            <w:r w:rsidRPr="007953E8">
              <w:t>Receipt of Questions from Bidders Due</w:t>
            </w:r>
          </w:p>
        </w:tc>
        <w:tc>
          <w:tcPr>
            <w:tcW w:w="5490" w:type="dxa"/>
          </w:tcPr>
          <w:p w14:paraId="39AAEF09" w14:textId="2621CE38" w:rsidR="00F67ED5" w:rsidRPr="007953E8" w:rsidRDefault="007953E8" w:rsidP="00385D7F">
            <w:pPr>
              <w:keepNext/>
              <w:keepLines/>
              <w:spacing w:before="240" w:after="240"/>
            </w:pPr>
            <w:r>
              <w:t>January 10, 2024</w:t>
            </w:r>
            <w:r w:rsidR="00E65B04" w:rsidRPr="007953E8">
              <w:t xml:space="preserve">, </w:t>
            </w:r>
            <w:r w:rsidR="00F67ED5" w:rsidRPr="007953E8">
              <w:t>at 5</w:t>
            </w:r>
            <w:r w:rsidR="00EA7CAF">
              <w:t xml:space="preserve">:00 </w:t>
            </w:r>
            <w:r w:rsidR="00F67ED5" w:rsidRPr="007953E8">
              <w:t>pm</w:t>
            </w:r>
            <w:r w:rsidR="0026317C">
              <w:t xml:space="preserve"> PST</w:t>
            </w:r>
          </w:p>
        </w:tc>
      </w:tr>
      <w:tr w:rsidR="007953E8" w:rsidRPr="007953E8" w14:paraId="20FA8A97" w14:textId="77777777" w:rsidTr="00385D7F">
        <w:trPr>
          <w:cantSplit/>
          <w:trHeight w:val="295"/>
          <w:tblHeader/>
        </w:trPr>
        <w:tc>
          <w:tcPr>
            <w:tcW w:w="5220" w:type="dxa"/>
          </w:tcPr>
          <w:p w14:paraId="53B6A5E3" w14:textId="77777777" w:rsidR="00F67ED5" w:rsidRPr="007953E8" w:rsidRDefault="00F67ED5" w:rsidP="00385D7F">
            <w:pPr>
              <w:keepNext/>
              <w:keepLines/>
              <w:spacing w:before="240" w:after="240"/>
              <w:rPr>
                <w:b/>
              </w:rPr>
            </w:pPr>
            <w:r w:rsidRPr="007953E8">
              <w:t>CDE Response to Questions Received</w:t>
            </w:r>
          </w:p>
        </w:tc>
        <w:tc>
          <w:tcPr>
            <w:tcW w:w="5490" w:type="dxa"/>
          </w:tcPr>
          <w:p w14:paraId="2106E7E2" w14:textId="4FE2B1AD" w:rsidR="00F67ED5" w:rsidRPr="007953E8" w:rsidRDefault="007953E8" w:rsidP="00385D7F">
            <w:pPr>
              <w:keepNext/>
              <w:keepLines/>
              <w:spacing w:before="240" w:after="240"/>
            </w:pPr>
            <w:r>
              <w:t>January 24, 2024</w:t>
            </w:r>
            <w:r w:rsidR="00602E3D" w:rsidRPr="007953E8">
              <w:t>,</w:t>
            </w:r>
            <w:r w:rsidR="00E65B04" w:rsidRPr="007953E8">
              <w:t xml:space="preserve"> </w:t>
            </w:r>
            <w:r w:rsidR="00F67ED5" w:rsidRPr="007953E8">
              <w:t>(Tentative)</w:t>
            </w:r>
          </w:p>
        </w:tc>
      </w:tr>
      <w:tr w:rsidR="007953E8" w:rsidRPr="007953E8" w14:paraId="331FE069" w14:textId="77777777" w:rsidTr="00385D7F">
        <w:trPr>
          <w:cantSplit/>
          <w:trHeight w:val="295"/>
          <w:tblHeader/>
        </w:trPr>
        <w:tc>
          <w:tcPr>
            <w:tcW w:w="5220" w:type="dxa"/>
          </w:tcPr>
          <w:p w14:paraId="46A39341" w14:textId="77777777" w:rsidR="00F67ED5" w:rsidRPr="007953E8" w:rsidRDefault="00F67ED5" w:rsidP="00385D7F">
            <w:pPr>
              <w:keepNext/>
              <w:keepLines/>
              <w:spacing w:before="240" w:after="240"/>
              <w:rPr>
                <w:b/>
              </w:rPr>
            </w:pPr>
            <w:r w:rsidRPr="007953E8">
              <w:t>Proposals Due</w:t>
            </w:r>
            <w:r w:rsidRPr="007953E8">
              <w:tab/>
            </w:r>
          </w:p>
        </w:tc>
        <w:tc>
          <w:tcPr>
            <w:tcW w:w="5490" w:type="dxa"/>
          </w:tcPr>
          <w:p w14:paraId="0C54FAA2" w14:textId="2DF95D63" w:rsidR="00F67ED5" w:rsidRPr="007953E8" w:rsidRDefault="007953E8" w:rsidP="00385D7F">
            <w:pPr>
              <w:keepNext/>
              <w:keepLines/>
              <w:spacing w:before="240" w:after="240"/>
            </w:pPr>
            <w:r>
              <w:t>February 22, 2024</w:t>
            </w:r>
            <w:r w:rsidR="00602E3D" w:rsidRPr="007953E8">
              <w:t>,</w:t>
            </w:r>
            <w:r w:rsidR="00E65B04" w:rsidRPr="007953E8">
              <w:t xml:space="preserve"> </w:t>
            </w:r>
            <w:r w:rsidR="00F67ED5" w:rsidRPr="007953E8">
              <w:t>at 12</w:t>
            </w:r>
            <w:r w:rsidR="00EA7CAF">
              <w:t xml:space="preserve">:00 </w:t>
            </w:r>
            <w:r w:rsidR="00F67ED5" w:rsidRPr="007953E8">
              <w:t>pm</w:t>
            </w:r>
            <w:r w:rsidR="0026317C">
              <w:t xml:space="preserve"> PST</w:t>
            </w:r>
          </w:p>
        </w:tc>
      </w:tr>
      <w:tr w:rsidR="007953E8" w:rsidRPr="007953E8" w14:paraId="7A8DCF94" w14:textId="77777777" w:rsidTr="00385D7F">
        <w:trPr>
          <w:cantSplit/>
          <w:trHeight w:val="295"/>
          <w:tblHeader/>
        </w:trPr>
        <w:tc>
          <w:tcPr>
            <w:tcW w:w="5220" w:type="dxa"/>
          </w:tcPr>
          <w:p w14:paraId="68F0E187" w14:textId="77777777" w:rsidR="00F67ED5" w:rsidRPr="007953E8" w:rsidRDefault="00F67ED5" w:rsidP="00385D7F">
            <w:pPr>
              <w:keepNext/>
              <w:keepLines/>
              <w:spacing w:before="240" w:after="240"/>
              <w:rPr>
                <w:b/>
              </w:rPr>
            </w:pPr>
            <w:r w:rsidRPr="007953E8">
              <w:t>Review of the Proposals</w:t>
            </w:r>
            <w:r w:rsidRPr="007953E8">
              <w:tab/>
            </w:r>
          </w:p>
        </w:tc>
        <w:tc>
          <w:tcPr>
            <w:tcW w:w="5490" w:type="dxa"/>
          </w:tcPr>
          <w:p w14:paraId="7C08D985" w14:textId="081C76FD" w:rsidR="00F67ED5" w:rsidRPr="007953E8" w:rsidRDefault="007953E8" w:rsidP="00385D7F">
            <w:pPr>
              <w:keepNext/>
              <w:keepLines/>
              <w:spacing w:before="240" w:after="240"/>
            </w:pPr>
            <w:r>
              <w:t>March 11 – 15, 2024</w:t>
            </w:r>
            <w:r w:rsidR="00602E3D" w:rsidRPr="007953E8">
              <w:t>,</w:t>
            </w:r>
            <w:r w:rsidR="00E65B04" w:rsidRPr="007953E8">
              <w:t xml:space="preserve"> </w:t>
            </w:r>
            <w:r w:rsidR="00F67ED5" w:rsidRPr="007953E8">
              <w:t>(Tentative)</w:t>
            </w:r>
          </w:p>
        </w:tc>
      </w:tr>
      <w:tr w:rsidR="007953E8" w:rsidRPr="007953E8" w14:paraId="715245B6" w14:textId="77777777" w:rsidTr="00385D7F">
        <w:trPr>
          <w:cantSplit/>
          <w:trHeight w:val="295"/>
          <w:tblHeader/>
        </w:trPr>
        <w:tc>
          <w:tcPr>
            <w:tcW w:w="5220" w:type="dxa"/>
          </w:tcPr>
          <w:p w14:paraId="2D61622B" w14:textId="657BCB8C" w:rsidR="00F67ED5" w:rsidRPr="007953E8" w:rsidRDefault="00F67ED5" w:rsidP="00385D7F">
            <w:pPr>
              <w:keepNext/>
              <w:keepLines/>
              <w:spacing w:before="240" w:after="240"/>
            </w:pPr>
            <w:r w:rsidRPr="007953E8">
              <w:t>Oral Interview</w:t>
            </w:r>
          </w:p>
        </w:tc>
        <w:tc>
          <w:tcPr>
            <w:tcW w:w="5490" w:type="dxa"/>
          </w:tcPr>
          <w:p w14:paraId="0BFFD9C6" w14:textId="0959782E" w:rsidR="00F67ED5" w:rsidRPr="007953E8" w:rsidRDefault="0026317C" w:rsidP="00385D7F">
            <w:pPr>
              <w:keepNext/>
              <w:keepLines/>
              <w:spacing w:before="240" w:after="240"/>
            </w:pPr>
            <w:r>
              <w:t>April 1 – 3, 2024</w:t>
            </w:r>
            <w:r w:rsidR="007953E8">
              <w:t xml:space="preserve"> </w:t>
            </w:r>
            <w:r w:rsidR="00E65B04" w:rsidRPr="007953E8">
              <w:t>(Tentative)</w:t>
            </w:r>
          </w:p>
        </w:tc>
      </w:tr>
      <w:tr w:rsidR="007953E8" w:rsidRPr="007953E8" w14:paraId="5150C06A" w14:textId="77777777" w:rsidTr="00385D7F">
        <w:trPr>
          <w:cantSplit/>
          <w:trHeight w:val="279"/>
          <w:tblHeader/>
        </w:trPr>
        <w:tc>
          <w:tcPr>
            <w:tcW w:w="5220" w:type="dxa"/>
          </w:tcPr>
          <w:p w14:paraId="7C494D93" w14:textId="77777777" w:rsidR="00F67ED5" w:rsidRPr="007953E8" w:rsidRDefault="00F67ED5" w:rsidP="00385D7F">
            <w:pPr>
              <w:keepNext/>
              <w:keepLines/>
              <w:spacing w:before="240" w:after="240"/>
            </w:pPr>
            <w:r w:rsidRPr="007953E8">
              <w:t>Public Opening of Cost Proposal</w:t>
            </w:r>
          </w:p>
        </w:tc>
        <w:tc>
          <w:tcPr>
            <w:tcW w:w="5490" w:type="dxa"/>
          </w:tcPr>
          <w:p w14:paraId="2332075A" w14:textId="233E8BEA" w:rsidR="00F67ED5" w:rsidRPr="007953E8" w:rsidRDefault="007953E8" w:rsidP="00385D7F">
            <w:pPr>
              <w:keepNext/>
              <w:keepLines/>
              <w:spacing w:before="240" w:after="240"/>
            </w:pPr>
            <w:r>
              <w:t xml:space="preserve">April </w:t>
            </w:r>
            <w:r w:rsidR="0026317C">
              <w:t>11</w:t>
            </w:r>
            <w:r>
              <w:t>, 2024</w:t>
            </w:r>
            <w:r w:rsidR="00E65B04" w:rsidRPr="007953E8">
              <w:t xml:space="preserve">, </w:t>
            </w:r>
            <w:r w:rsidR="00F67ED5" w:rsidRPr="007953E8">
              <w:t>at 10</w:t>
            </w:r>
            <w:r w:rsidR="00EA7CAF">
              <w:t xml:space="preserve">:00 </w:t>
            </w:r>
            <w:r w:rsidR="00F67ED5" w:rsidRPr="007953E8">
              <w:t>am</w:t>
            </w:r>
            <w:r w:rsidR="0026317C">
              <w:t xml:space="preserve"> PDT</w:t>
            </w:r>
          </w:p>
        </w:tc>
      </w:tr>
      <w:tr w:rsidR="007953E8" w:rsidRPr="007953E8" w14:paraId="3B1D31A7" w14:textId="77777777" w:rsidTr="00385D7F">
        <w:trPr>
          <w:cantSplit/>
          <w:trHeight w:val="314"/>
          <w:tblHeader/>
        </w:trPr>
        <w:tc>
          <w:tcPr>
            <w:tcW w:w="5220" w:type="dxa"/>
          </w:tcPr>
          <w:p w14:paraId="21F28F9B" w14:textId="77777777" w:rsidR="00F67ED5" w:rsidRPr="007953E8" w:rsidRDefault="00F67ED5" w:rsidP="00385D7F">
            <w:pPr>
              <w:keepNext/>
              <w:keepLines/>
              <w:spacing w:before="240" w:after="240"/>
            </w:pPr>
            <w:r w:rsidRPr="007953E8">
              <w:t>Posting of Intent to Award (five business days)</w:t>
            </w:r>
          </w:p>
        </w:tc>
        <w:tc>
          <w:tcPr>
            <w:tcW w:w="5490" w:type="dxa"/>
          </w:tcPr>
          <w:p w14:paraId="717BF2C4" w14:textId="1A3097CD" w:rsidR="00F67ED5" w:rsidRPr="007953E8" w:rsidRDefault="007953E8" w:rsidP="00385D7F">
            <w:pPr>
              <w:keepNext/>
              <w:keepLines/>
              <w:spacing w:before="240" w:after="240"/>
            </w:pPr>
            <w:r>
              <w:t xml:space="preserve">April </w:t>
            </w:r>
            <w:r w:rsidR="0026317C">
              <w:t xml:space="preserve">22 – 26, </w:t>
            </w:r>
            <w:r>
              <w:t>2024</w:t>
            </w:r>
            <w:r w:rsidR="00602E3D" w:rsidRPr="007953E8">
              <w:t>,</w:t>
            </w:r>
            <w:r w:rsidR="00E65B04" w:rsidRPr="007953E8">
              <w:t xml:space="preserve"> </w:t>
            </w:r>
            <w:r w:rsidR="00F67ED5" w:rsidRPr="007953E8">
              <w:t>(Tentative)</w:t>
            </w:r>
          </w:p>
        </w:tc>
      </w:tr>
      <w:tr w:rsidR="007953E8" w:rsidRPr="007953E8" w14:paraId="1E34050A" w14:textId="77777777" w:rsidTr="00385D7F">
        <w:trPr>
          <w:cantSplit/>
          <w:trHeight w:val="602"/>
          <w:tblHeader/>
        </w:trPr>
        <w:tc>
          <w:tcPr>
            <w:tcW w:w="5220" w:type="dxa"/>
          </w:tcPr>
          <w:p w14:paraId="6A06B599" w14:textId="77777777" w:rsidR="00F67ED5" w:rsidRPr="007953E8" w:rsidRDefault="00F67ED5" w:rsidP="00385D7F">
            <w:pPr>
              <w:keepNext/>
              <w:keepLines/>
              <w:spacing w:before="240" w:after="240"/>
            </w:pPr>
            <w:r w:rsidRPr="007953E8">
              <w:t>Anticipated Contract Start Date</w:t>
            </w:r>
          </w:p>
        </w:tc>
        <w:tc>
          <w:tcPr>
            <w:tcW w:w="5490" w:type="dxa"/>
          </w:tcPr>
          <w:p w14:paraId="1E7197EF" w14:textId="06AE7C55" w:rsidR="00F67ED5" w:rsidRPr="007953E8" w:rsidRDefault="007953E8" w:rsidP="00385D7F">
            <w:pPr>
              <w:keepNext/>
              <w:keepLines/>
              <w:spacing w:before="240" w:after="240"/>
            </w:pPr>
            <w:r>
              <w:t>July</w:t>
            </w:r>
            <w:r w:rsidRPr="007953E8">
              <w:t xml:space="preserve"> </w:t>
            </w:r>
            <w:r w:rsidR="00E65B04" w:rsidRPr="007953E8">
              <w:t>1, 2024</w:t>
            </w:r>
            <w:r w:rsidR="00F67ED5" w:rsidRPr="007953E8">
              <w:t xml:space="preserve">, or </w:t>
            </w:r>
          </w:p>
          <w:p w14:paraId="06DE6E24" w14:textId="77777777" w:rsidR="00F67ED5" w:rsidRPr="007953E8" w:rsidRDefault="00F67ED5" w:rsidP="00385D7F">
            <w:pPr>
              <w:keepNext/>
              <w:keepLines/>
              <w:spacing w:before="240" w:after="240"/>
            </w:pPr>
            <w:r w:rsidRPr="007953E8">
              <w:t>upon DGS approval, whichever is later</w:t>
            </w:r>
          </w:p>
        </w:tc>
      </w:tr>
    </w:tbl>
    <w:p w14:paraId="54BF2154" w14:textId="60AE3034" w:rsidR="00537458" w:rsidRPr="00BC514B" w:rsidRDefault="00537458" w:rsidP="003E4C84">
      <w:pPr>
        <w:pStyle w:val="Heading3"/>
        <w:rPr>
          <w:sz w:val="24"/>
        </w:rPr>
      </w:pPr>
      <w:r>
        <w:t>2</w:t>
      </w:r>
      <w:r w:rsidRPr="005A4AF5">
        <w:t>.4</w:t>
      </w:r>
      <w:r>
        <w:t xml:space="preserve"> </w:t>
      </w:r>
      <w:r w:rsidRPr="002E09E1">
        <w:t>Contract Funding</w:t>
      </w:r>
      <w:r>
        <w:t>, and</w:t>
      </w:r>
      <w:r w:rsidRPr="002E09E1">
        <w:t xml:space="preserve"> </w:t>
      </w:r>
      <w:r>
        <w:t>Time Period</w:t>
      </w:r>
    </w:p>
    <w:p w14:paraId="436E8927" w14:textId="54061DAC" w:rsidR="00537458" w:rsidRPr="00B26A00" w:rsidRDefault="00537458" w:rsidP="001B373C">
      <w:pPr>
        <w:pStyle w:val="Heading4"/>
      </w:pPr>
      <w:r>
        <w:t>2</w:t>
      </w:r>
      <w:r w:rsidRPr="00B26A00">
        <w:t>.4.1 Funding</w:t>
      </w:r>
    </w:p>
    <w:p w14:paraId="13633D70" w14:textId="7AF6D943" w:rsidR="0026317C" w:rsidRDefault="00537458" w:rsidP="00160E7E">
      <w:pPr>
        <w:spacing w:after="240"/>
        <w:rPr>
          <w:rFonts w:eastAsia="Times New Roman" w:cs="Arial"/>
          <w:szCs w:val="24"/>
        </w:rPr>
      </w:pPr>
      <w:r w:rsidRPr="00152C31">
        <w:rPr>
          <w:rFonts w:eastAsia="Times New Roman" w:cs="Arial"/>
          <w:szCs w:val="24"/>
        </w:rPr>
        <w:t xml:space="preserve">Contract funding is contingent upon the availability of funds, including appropriation in the annual Budget Act. The total amount projected to be available for this project is </w:t>
      </w:r>
      <w:r w:rsidR="0026317C">
        <w:rPr>
          <w:rFonts w:eastAsia="Times New Roman" w:cs="Arial"/>
          <w:szCs w:val="24"/>
        </w:rPr>
        <w:t>estimated to be $</w:t>
      </w:r>
      <w:r w:rsidR="00ED7A24">
        <w:rPr>
          <w:rFonts w:eastAsia="Times New Roman" w:cs="Arial"/>
          <w:szCs w:val="24"/>
        </w:rPr>
        <w:t>2,162,630</w:t>
      </w:r>
      <w:r w:rsidR="0026317C">
        <w:rPr>
          <w:rFonts w:eastAsia="Times New Roman" w:cs="Arial"/>
          <w:szCs w:val="24"/>
        </w:rPr>
        <w:t>.00 broken down by fiscal year as follows:</w:t>
      </w:r>
    </w:p>
    <w:p w14:paraId="375486BF" w14:textId="776BD13B" w:rsidR="0026317C" w:rsidRPr="008443C4" w:rsidRDefault="0026317C" w:rsidP="0026317C">
      <w:pPr>
        <w:pStyle w:val="ListParagraph"/>
        <w:numPr>
          <w:ilvl w:val="0"/>
          <w:numId w:val="58"/>
        </w:numPr>
        <w:rPr>
          <w:rFonts w:eastAsia="Times New Roman" w:cs="Arial"/>
          <w:szCs w:val="24"/>
        </w:rPr>
      </w:pPr>
      <w:r>
        <w:rPr>
          <w:rFonts w:eastAsia="Times New Roman" w:cs="Arial"/>
          <w:szCs w:val="24"/>
        </w:rPr>
        <w:t xml:space="preserve">2024-2025: </w:t>
      </w:r>
      <w:r w:rsidRPr="008443C4">
        <w:rPr>
          <w:rFonts w:eastAsia="Times New Roman" w:cs="Arial"/>
          <w:szCs w:val="24"/>
        </w:rPr>
        <w:t>$</w:t>
      </w:r>
      <w:r w:rsidR="00ED7A24">
        <w:rPr>
          <w:rFonts w:eastAsia="Times New Roman" w:cs="Arial"/>
          <w:szCs w:val="24"/>
        </w:rPr>
        <w:t>287,000</w:t>
      </w:r>
      <w:r w:rsidR="00160E7E">
        <w:rPr>
          <w:rFonts w:eastAsia="Times New Roman" w:cs="Arial"/>
          <w:szCs w:val="24"/>
        </w:rPr>
        <w:t>.00</w:t>
      </w:r>
    </w:p>
    <w:p w14:paraId="5A85208C" w14:textId="085469BF" w:rsidR="0026317C" w:rsidRPr="008443C4" w:rsidRDefault="0026317C" w:rsidP="0026317C">
      <w:pPr>
        <w:pStyle w:val="ListParagraph"/>
        <w:numPr>
          <w:ilvl w:val="0"/>
          <w:numId w:val="58"/>
        </w:numPr>
        <w:rPr>
          <w:rFonts w:eastAsia="Times New Roman" w:cs="Arial"/>
          <w:szCs w:val="24"/>
        </w:rPr>
      </w:pPr>
      <w:r w:rsidRPr="008443C4">
        <w:rPr>
          <w:rFonts w:eastAsia="Times New Roman" w:cs="Arial"/>
          <w:szCs w:val="24"/>
        </w:rPr>
        <w:t>2025-2026: $</w:t>
      </w:r>
      <w:r w:rsidR="00ED7A24">
        <w:rPr>
          <w:rFonts w:eastAsia="Times New Roman" w:cs="Arial"/>
          <w:szCs w:val="24"/>
        </w:rPr>
        <w:t>287,000</w:t>
      </w:r>
      <w:r w:rsidR="00160E7E">
        <w:rPr>
          <w:rFonts w:eastAsia="Times New Roman" w:cs="Arial"/>
          <w:szCs w:val="24"/>
        </w:rPr>
        <w:t>.00</w:t>
      </w:r>
    </w:p>
    <w:p w14:paraId="3D533EB5" w14:textId="6A30A430" w:rsidR="0026317C" w:rsidRPr="008443C4" w:rsidRDefault="0026317C" w:rsidP="0026317C">
      <w:pPr>
        <w:pStyle w:val="ListParagraph"/>
        <w:numPr>
          <w:ilvl w:val="0"/>
          <w:numId w:val="58"/>
        </w:numPr>
        <w:rPr>
          <w:rFonts w:eastAsia="Times New Roman" w:cs="Arial"/>
          <w:szCs w:val="24"/>
        </w:rPr>
      </w:pPr>
      <w:r w:rsidRPr="008443C4">
        <w:rPr>
          <w:rFonts w:eastAsia="Times New Roman" w:cs="Arial"/>
          <w:szCs w:val="24"/>
        </w:rPr>
        <w:t>2026-2027: $</w:t>
      </w:r>
      <w:r w:rsidR="00ED7A24">
        <w:rPr>
          <w:rFonts w:eastAsia="Times New Roman" w:cs="Arial"/>
          <w:szCs w:val="24"/>
        </w:rPr>
        <w:t>287,000</w:t>
      </w:r>
      <w:r w:rsidR="00160E7E">
        <w:rPr>
          <w:rFonts w:eastAsia="Times New Roman" w:cs="Arial"/>
          <w:szCs w:val="24"/>
        </w:rPr>
        <w:t>.00</w:t>
      </w:r>
    </w:p>
    <w:p w14:paraId="569CD6F8" w14:textId="41ED3517" w:rsidR="0026317C" w:rsidRPr="008443C4" w:rsidRDefault="0026317C" w:rsidP="0026317C">
      <w:pPr>
        <w:pStyle w:val="ListParagraph"/>
        <w:numPr>
          <w:ilvl w:val="0"/>
          <w:numId w:val="58"/>
        </w:numPr>
        <w:rPr>
          <w:rFonts w:eastAsia="Times New Roman" w:cs="Arial"/>
          <w:szCs w:val="24"/>
        </w:rPr>
      </w:pPr>
      <w:r w:rsidRPr="008443C4">
        <w:rPr>
          <w:rFonts w:eastAsia="Times New Roman" w:cs="Arial"/>
          <w:szCs w:val="24"/>
        </w:rPr>
        <w:t>2027-2028: $</w:t>
      </w:r>
      <w:r w:rsidR="00ED7A24">
        <w:rPr>
          <w:rFonts w:eastAsia="Times New Roman" w:cs="Arial"/>
          <w:szCs w:val="24"/>
        </w:rPr>
        <w:t>287,000</w:t>
      </w:r>
      <w:r w:rsidR="00160E7E">
        <w:rPr>
          <w:rFonts w:eastAsia="Times New Roman" w:cs="Arial"/>
          <w:szCs w:val="24"/>
        </w:rPr>
        <w:t>.00</w:t>
      </w:r>
    </w:p>
    <w:p w14:paraId="78461326" w14:textId="431BE425" w:rsidR="0026317C" w:rsidRPr="008443C4" w:rsidRDefault="0026317C" w:rsidP="0026317C">
      <w:pPr>
        <w:pStyle w:val="ListParagraph"/>
        <w:numPr>
          <w:ilvl w:val="0"/>
          <w:numId w:val="58"/>
        </w:numPr>
        <w:rPr>
          <w:rFonts w:eastAsia="Times New Roman" w:cs="Arial"/>
          <w:szCs w:val="24"/>
        </w:rPr>
      </w:pPr>
      <w:r w:rsidRPr="008443C4">
        <w:rPr>
          <w:rFonts w:eastAsia="Times New Roman" w:cs="Arial"/>
          <w:szCs w:val="24"/>
        </w:rPr>
        <w:lastRenderedPageBreak/>
        <w:t>2028-2029: $</w:t>
      </w:r>
      <w:r w:rsidR="00ED7A24">
        <w:rPr>
          <w:rFonts w:eastAsia="Times New Roman" w:cs="Arial"/>
          <w:szCs w:val="24"/>
        </w:rPr>
        <w:t>287,000</w:t>
      </w:r>
      <w:r w:rsidR="00160E7E">
        <w:rPr>
          <w:rFonts w:eastAsia="Times New Roman" w:cs="Arial"/>
          <w:szCs w:val="24"/>
        </w:rPr>
        <w:t>.00</w:t>
      </w:r>
    </w:p>
    <w:p w14:paraId="1BADCADA" w14:textId="6DCC13C3" w:rsidR="0026317C" w:rsidRPr="008443C4" w:rsidRDefault="0026317C" w:rsidP="0026317C">
      <w:pPr>
        <w:pStyle w:val="ListParagraph"/>
        <w:numPr>
          <w:ilvl w:val="0"/>
          <w:numId w:val="58"/>
        </w:numPr>
        <w:rPr>
          <w:rFonts w:eastAsia="Times New Roman" w:cs="Arial"/>
          <w:szCs w:val="24"/>
        </w:rPr>
      </w:pPr>
      <w:r w:rsidRPr="008443C4">
        <w:rPr>
          <w:rFonts w:eastAsia="Times New Roman" w:cs="Arial"/>
          <w:szCs w:val="24"/>
        </w:rPr>
        <w:t>2029-2030: $</w:t>
      </w:r>
      <w:r w:rsidR="00ED7A24">
        <w:rPr>
          <w:rFonts w:eastAsia="Times New Roman" w:cs="Arial"/>
          <w:szCs w:val="24"/>
        </w:rPr>
        <w:t>287,000</w:t>
      </w:r>
      <w:r w:rsidR="00160E7E">
        <w:rPr>
          <w:rFonts w:eastAsia="Times New Roman" w:cs="Arial"/>
          <w:szCs w:val="24"/>
        </w:rPr>
        <w:t>.00</w:t>
      </w:r>
    </w:p>
    <w:p w14:paraId="1D19C615" w14:textId="5E8CE5F5" w:rsidR="0026317C" w:rsidRPr="008443C4" w:rsidRDefault="0026317C" w:rsidP="0026317C">
      <w:pPr>
        <w:pStyle w:val="ListParagraph"/>
        <w:numPr>
          <w:ilvl w:val="0"/>
          <w:numId w:val="58"/>
        </w:numPr>
        <w:rPr>
          <w:rFonts w:eastAsia="Times New Roman" w:cs="Arial"/>
          <w:szCs w:val="24"/>
        </w:rPr>
      </w:pPr>
      <w:r w:rsidRPr="008443C4">
        <w:rPr>
          <w:rFonts w:eastAsia="Times New Roman" w:cs="Arial"/>
          <w:szCs w:val="24"/>
        </w:rPr>
        <w:t>2030-2031: $</w:t>
      </w:r>
      <w:r w:rsidR="00ED7A24">
        <w:rPr>
          <w:rFonts w:eastAsia="Times New Roman" w:cs="Arial"/>
          <w:szCs w:val="24"/>
        </w:rPr>
        <w:t>287,000</w:t>
      </w:r>
      <w:r w:rsidR="00160E7E">
        <w:rPr>
          <w:rFonts w:eastAsia="Times New Roman" w:cs="Arial"/>
          <w:szCs w:val="24"/>
        </w:rPr>
        <w:t>.00</w:t>
      </w:r>
    </w:p>
    <w:p w14:paraId="015D7415" w14:textId="5A1DD692" w:rsidR="0026317C" w:rsidRPr="008443C4" w:rsidRDefault="0026317C" w:rsidP="0026317C">
      <w:pPr>
        <w:pStyle w:val="ListParagraph"/>
        <w:numPr>
          <w:ilvl w:val="0"/>
          <w:numId w:val="58"/>
        </w:numPr>
        <w:rPr>
          <w:rFonts w:eastAsia="Times New Roman" w:cs="Arial"/>
          <w:szCs w:val="24"/>
        </w:rPr>
      </w:pPr>
      <w:r w:rsidRPr="008443C4">
        <w:rPr>
          <w:rFonts w:eastAsia="Times New Roman" w:cs="Arial"/>
          <w:szCs w:val="24"/>
        </w:rPr>
        <w:t>2031-2032: $</w:t>
      </w:r>
      <w:r w:rsidR="00ED7A24">
        <w:rPr>
          <w:rFonts w:eastAsia="Times New Roman" w:cs="Arial"/>
          <w:szCs w:val="24"/>
        </w:rPr>
        <w:t>153,630</w:t>
      </w:r>
      <w:r w:rsidR="00160E7E">
        <w:rPr>
          <w:rFonts w:eastAsia="Times New Roman" w:cs="Arial"/>
          <w:szCs w:val="24"/>
        </w:rPr>
        <w:t>.00</w:t>
      </w:r>
    </w:p>
    <w:p w14:paraId="2873B8C5" w14:textId="0AC4953D" w:rsidR="00C10F90" w:rsidRDefault="00C10F90" w:rsidP="00537458">
      <w:pPr>
        <w:rPr>
          <w:rFonts w:eastAsia="Times New Roman" w:cs="Arial"/>
          <w:szCs w:val="24"/>
        </w:rPr>
      </w:pPr>
    </w:p>
    <w:p w14:paraId="1A5DB19C" w14:textId="1B0B3543" w:rsidR="00537458" w:rsidRPr="002C7460" w:rsidRDefault="00537458" w:rsidP="0026317C">
      <w:pPr>
        <w:spacing w:after="240"/>
        <w:rPr>
          <w:rFonts w:ascii="&amp;quot" w:eastAsia="Times New Roman" w:hAnsi="&amp;quot"/>
          <w:color w:val="212121"/>
          <w:sz w:val="23"/>
          <w:szCs w:val="23"/>
        </w:rPr>
      </w:pPr>
      <w:r w:rsidRPr="00152C31">
        <w:rPr>
          <w:rFonts w:eastAsia="Times New Roman" w:cs="Arial"/>
          <w:szCs w:val="24"/>
        </w:rPr>
        <w:t>If insufficient funds are appropriated in the annual Budget Act for any portion of the work in this contract, or if any other funds upon which this contract is contingent are reduced or no longer available, CDE may cancel the contract, or portion thereof, with no liability of any kind accruing to or against CDE, it</w:t>
      </w:r>
      <w:r w:rsidR="0026317C">
        <w:rPr>
          <w:rFonts w:eastAsia="Times New Roman" w:cs="Arial"/>
          <w:szCs w:val="24"/>
        </w:rPr>
        <w:t>s</w:t>
      </w:r>
      <w:r w:rsidRPr="00152C31">
        <w:rPr>
          <w:rFonts w:eastAsia="Times New Roman" w:cs="Arial"/>
          <w:szCs w:val="24"/>
        </w:rPr>
        <w:t xml:space="preserve"> employees</w:t>
      </w:r>
      <w:r w:rsidRPr="002C7460">
        <w:rPr>
          <w:rFonts w:eastAsia="Times New Roman" w:cs="Arial"/>
          <w:color w:val="212121"/>
          <w:szCs w:val="24"/>
        </w:rPr>
        <w:t>, agents, contractors</w:t>
      </w:r>
      <w:r w:rsidR="00ED7A24">
        <w:rPr>
          <w:rFonts w:eastAsia="Times New Roman" w:cs="Arial"/>
          <w:color w:val="212121"/>
          <w:szCs w:val="24"/>
        </w:rPr>
        <w:t>,</w:t>
      </w:r>
      <w:r w:rsidRPr="002C7460">
        <w:rPr>
          <w:rFonts w:eastAsia="Times New Roman" w:cs="Arial"/>
          <w:color w:val="212121"/>
          <w:szCs w:val="24"/>
        </w:rPr>
        <w:t xml:space="preserve"> or representatives. The bidder shall not be obligated to perform any work, or the </w:t>
      </w:r>
      <w:r w:rsidR="00EA7CAF">
        <w:rPr>
          <w:rFonts w:eastAsia="Times New Roman" w:cs="Arial"/>
          <w:color w:val="212121"/>
          <w:szCs w:val="24"/>
        </w:rPr>
        <w:t>c</w:t>
      </w:r>
      <w:r w:rsidRPr="002C7460">
        <w:rPr>
          <w:rFonts w:eastAsia="Times New Roman" w:cs="Arial"/>
          <w:color w:val="212121"/>
          <w:szCs w:val="24"/>
        </w:rPr>
        <w:t>ontract may be amended by CDE and the successful bidder to reflect a reduction of work and the reduced appropriation subject to appropriate government agency approval.</w:t>
      </w:r>
    </w:p>
    <w:p w14:paraId="177367E5" w14:textId="5727B802" w:rsidR="00537458" w:rsidRPr="00BC514B" w:rsidRDefault="00537458" w:rsidP="001B373C">
      <w:pPr>
        <w:pStyle w:val="Heading4"/>
      </w:pPr>
      <w:r>
        <w:t xml:space="preserve">2.4.2 </w:t>
      </w:r>
      <w:r w:rsidRPr="008D746E">
        <w:t>Time Period</w:t>
      </w:r>
    </w:p>
    <w:p w14:paraId="416574D6" w14:textId="1467F4F1" w:rsidR="00537458" w:rsidRPr="007953E8" w:rsidRDefault="00537458" w:rsidP="00537458">
      <w:pPr>
        <w:widowControl w:val="0"/>
        <w:tabs>
          <w:tab w:val="left" w:pos="-1440"/>
          <w:tab w:val="left" w:pos="1170"/>
        </w:tabs>
        <w:spacing w:before="240" w:after="240"/>
        <w:rPr>
          <w:rFonts w:cs="Arial"/>
          <w:szCs w:val="24"/>
        </w:rPr>
      </w:pPr>
      <w:bookmarkStart w:id="11" w:name="_Hlk148358886"/>
      <w:r w:rsidRPr="00117BF5">
        <w:rPr>
          <w:rFonts w:cs="Arial"/>
          <w:color w:val="000000"/>
          <w:szCs w:val="24"/>
        </w:rPr>
        <w:t xml:space="preserve">It is anticipated that the contract start date will begin approximately </w:t>
      </w:r>
      <w:r w:rsidRPr="007953E8">
        <w:rPr>
          <w:rFonts w:cs="Arial"/>
          <w:szCs w:val="24"/>
        </w:rPr>
        <w:t xml:space="preserve">on </w:t>
      </w:r>
      <w:r w:rsidR="007953E8" w:rsidRPr="007953E8">
        <w:rPr>
          <w:rFonts w:cs="Arial"/>
          <w:szCs w:val="24"/>
        </w:rPr>
        <w:t xml:space="preserve">July </w:t>
      </w:r>
      <w:r w:rsidR="00E65B04" w:rsidRPr="007953E8">
        <w:rPr>
          <w:rFonts w:cs="Arial"/>
          <w:szCs w:val="24"/>
        </w:rPr>
        <w:t xml:space="preserve">1, 2024, </w:t>
      </w:r>
      <w:r w:rsidRPr="007953E8">
        <w:rPr>
          <w:rFonts w:cs="Arial"/>
          <w:szCs w:val="24"/>
        </w:rPr>
        <w:t xml:space="preserve">or upon DGS approval (whichever is later) and </w:t>
      </w:r>
      <w:r w:rsidR="005F64AC" w:rsidRPr="007953E8">
        <w:rPr>
          <w:rFonts w:cs="Arial"/>
          <w:szCs w:val="24"/>
        </w:rPr>
        <w:t>contract end date will be</w:t>
      </w:r>
      <w:r w:rsidRPr="007953E8">
        <w:rPr>
          <w:rFonts w:cs="Arial"/>
          <w:szCs w:val="24"/>
        </w:rPr>
        <w:t xml:space="preserve"> on </w:t>
      </w:r>
      <w:r w:rsidR="0026317C">
        <w:rPr>
          <w:rFonts w:cs="Arial"/>
          <w:szCs w:val="24"/>
        </w:rPr>
        <w:t>December 31, 2031</w:t>
      </w:r>
      <w:r w:rsidRPr="007953E8">
        <w:rPr>
          <w:rFonts w:cs="Arial"/>
          <w:szCs w:val="24"/>
        </w:rPr>
        <w:t xml:space="preserve">. The actual start date of the contract is contingent upon approval of the agreement by </w:t>
      </w:r>
      <w:proofErr w:type="gramStart"/>
      <w:r w:rsidRPr="007953E8">
        <w:rPr>
          <w:rFonts w:cs="Arial"/>
          <w:szCs w:val="24"/>
        </w:rPr>
        <w:t>the DGS</w:t>
      </w:r>
      <w:proofErr w:type="gramEnd"/>
      <w:r w:rsidRPr="007953E8">
        <w:rPr>
          <w:rFonts w:cs="Arial"/>
          <w:szCs w:val="24"/>
        </w:rPr>
        <w:t>.</w:t>
      </w:r>
    </w:p>
    <w:p w14:paraId="6C401BDE" w14:textId="3FD52600" w:rsidR="00537458" w:rsidRPr="007953E8" w:rsidRDefault="00537458" w:rsidP="00537458">
      <w:pPr>
        <w:widowControl w:val="0"/>
        <w:tabs>
          <w:tab w:val="left" w:pos="-1440"/>
          <w:tab w:val="left" w:pos="1170"/>
        </w:tabs>
        <w:spacing w:before="240" w:after="240"/>
        <w:rPr>
          <w:rFonts w:cs="Arial"/>
          <w:szCs w:val="24"/>
        </w:rPr>
      </w:pPr>
      <w:r w:rsidRPr="007953E8">
        <w:rPr>
          <w:rFonts w:cs="Arial"/>
          <w:szCs w:val="24"/>
        </w:rPr>
        <w:t xml:space="preserve">The contract period covers </w:t>
      </w:r>
      <w:r w:rsidR="0026317C">
        <w:rPr>
          <w:rFonts w:cs="Arial"/>
          <w:szCs w:val="24"/>
        </w:rPr>
        <w:t>eight</w:t>
      </w:r>
      <w:r w:rsidR="007953E8" w:rsidRPr="007953E8">
        <w:rPr>
          <w:rFonts w:cs="Arial"/>
          <w:szCs w:val="24"/>
        </w:rPr>
        <w:t xml:space="preserve"> </w:t>
      </w:r>
      <w:r w:rsidRPr="007953E8">
        <w:rPr>
          <w:rFonts w:cs="Arial"/>
          <w:szCs w:val="24"/>
        </w:rPr>
        <w:t xml:space="preserve">fiscal years, for a total of </w:t>
      </w:r>
      <w:r w:rsidR="006428E9">
        <w:rPr>
          <w:rFonts w:cs="Arial"/>
          <w:szCs w:val="24"/>
        </w:rPr>
        <w:t>90</w:t>
      </w:r>
      <w:r w:rsidR="007953E8" w:rsidRPr="007953E8">
        <w:rPr>
          <w:rFonts w:cs="Arial"/>
          <w:szCs w:val="24"/>
        </w:rPr>
        <w:t xml:space="preserve"> </w:t>
      </w:r>
      <w:r w:rsidRPr="007953E8">
        <w:rPr>
          <w:rFonts w:cs="Arial"/>
          <w:szCs w:val="24"/>
        </w:rPr>
        <w:t xml:space="preserve">months (Refer to RFP, Section </w:t>
      </w:r>
      <w:r w:rsidR="00982288" w:rsidRPr="007953E8">
        <w:rPr>
          <w:rFonts w:cs="Arial"/>
          <w:szCs w:val="24"/>
        </w:rPr>
        <w:t>2</w:t>
      </w:r>
      <w:r w:rsidRPr="007953E8">
        <w:rPr>
          <w:rFonts w:cs="Arial"/>
          <w:szCs w:val="24"/>
        </w:rPr>
        <w:t>.8 for the definition of “fiscal year”):</w:t>
      </w:r>
    </w:p>
    <w:p w14:paraId="70521294" w14:textId="4EDC2203" w:rsidR="00537458" w:rsidRPr="007953E8" w:rsidRDefault="00537458" w:rsidP="005F64AC">
      <w:pPr>
        <w:pStyle w:val="ListParagraph"/>
        <w:numPr>
          <w:ilvl w:val="0"/>
          <w:numId w:val="36"/>
        </w:numPr>
        <w:spacing w:after="240"/>
        <w:ind w:left="360" w:hanging="360"/>
        <w:rPr>
          <w:rFonts w:eastAsia="Times New Roman" w:cs="Arial"/>
          <w:bCs/>
          <w:snapToGrid w:val="0"/>
          <w:szCs w:val="20"/>
        </w:rPr>
      </w:pPr>
      <w:r w:rsidRPr="007953E8">
        <w:rPr>
          <w:rFonts w:eastAsia="Times New Roman" w:cs="Arial"/>
          <w:bCs/>
          <w:snapToGrid w:val="0"/>
          <w:szCs w:val="20"/>
        </w:rPr>
        <w:t>202</w:t>
      </w:r>
      <w:r w:rsidR="007567D9" w:rsidRPr="007953E8">
        <w:rPr>
          <w:rFonts w:eastAsia="Times New Roman" w:cs="Arial"/>
          <w:bCs/>
          <w:snapToGrid w:val="0"/>
          <w:szCs w:val="20"/>
        </w:rPr>
        <w:t>4</w:t>
      </w:r>
      <w:r w:rsidRPr="007953E8">
        <w:rPr>
          <w:rFonts w:eastAsia="Times New Roman" w:cs="Arial"/>
          <w:bCs/>
          <w:snapToGrid w:val="0"/>
          <w:szCs w:val="20"/>
        </w:rPr>
        <w:t>–202</w:t>
      </w:r>
      <w:r w:rsidR="007567D9" w:rsidRPr="007953E8">
        <w:rPr>
          <w:rFonts w:eastAsia="Times New Roman" w:cs="Arial"/>
          <w:bCs/>
          <w:snapToGrid w:val="0"/>
          <w:szCs w:val="20"/>
        </w:rPr>
        <w:t>5</w:t>
      </w:r>
      <w:r w:rsidRPr="007953E8">
        <w:rPr>
          <w:rFonts w:eastAsia="Times New Roman" w:cs="Arial"/>
          <w:bCs/>
          <w:snapToGrid w:val="0"/>
          <w:szCs w:val="20"/>
        </w:rPr>
        <w:t>: July 1, 202</w:t>
      </w:r>
      <w:r w:rsidR="007567D9" w:rsidRPr="007953E8">
        <w:rPr>
          <w:rFonts w:eastAsia="Times New Roman" w:cs="Arial"/>
          <w:bCs/>
          <w:snapToGrid w:val="0"/>
          <w:szCs w:val="20"/>
        </w:rPr>
        <w:t>4</w:t>
      </w:r>
      <w:r w:rsidRPr="007953E8">
        <w:rPr>
          <w:rFonts w:eastAsia="Times New Roman" w:cs="Arial"/>
          <w:bCs/>
          <w:snapToGrid w:val="0"/>
          <w:szCs w:val="20"/>
        </w:rPr>
        <w:t xml:space="preserve"> – June 30, 202</w:t>
      </w:r>
      <w:r w:rsidR="007567D9" w:rsidRPr="007953E8">
        <w:rPr>
          <w:rFonts w:eastAsia="Times New Roman" w:cs="Arial"/>
          <w:bCs/>
          <w:snapToGrid w:val="0"/>
          <w:szCs w:val="20"/>
        </w:rPr>
        <w:t>5</w:t>
      </w:r>
      <w:r w:rsidR="005F64AC" w:rsidRPr="007953E8">
        <w:rPr>
          <w:rFonts w:eastAsia="Times New Roman" w:cs="Arial"/>
          <w:bCs/>
          <w:snapToGrid w:val="0"/>
          <w:szCs w:val="20"/>
        </w:rPr>
        <w:t xml:space="preserve"> (12 months)</w:t>
      </w:r>
    </w:p>
    <w:p w14:paraId="179FA683" w14:textId="24EDD345" w:rsidR="00537458" w:rsidRDefault="00537458" w:rsidP="005F64AC">
      <w:pPr>
        <w:pStyle w:val="ListParagraph"/>
        <w:numPr>
          <w:ilvl w:val="0"/>
          <w:numId w:val="36"/>
        </w:numPr>
        <w:spacing w:after="240"/>
        <w:ind w:left="360" w:hanging="360"/>
        <w:rPr>
          <w:rFonts w:eastAsia="Times New Roman" w:cs="Arial"/>
          <w:bCs/>
          <w:snapToGrid w:val="0"/>
          <w:szCs w:val="20"/>
        </w:rPr>
      </w:pPr>
      <w:r w:rsidRPr="00576DCB">
        <w:rPr>
          <w:rFonts w:eastAsia="Times New Roman" w:cs="Arial"/>
          <w:bCs/>
          <w:snapToGrid w:val="0"/>
          <w:szCs w:val="20"/>
        </w:rPr>
        <w:t>202</w:t>
      </w:r>
      <w:r w:rsidR="007567D9" w:rsidRPr="00576DCB">
        <w:rPr>
          <w:rFonts w:eastAsia="Times New Roman" w:cs="Arial"/>
          <w:bCs/>
          <w:snapToGrid w:val="0"/>
          <w:szCs w:val="20"/>
        </w:rPr>
        <w:t>5</w:t>
      </w:r>
      <w:r w:rsidRPr="00576DCB">
        <w:rPr>
          <w:rFonts w:eastAsia="Times New Roman" w:cs="Arial"/>
          <w:bCs/>
          <w:snapToGrid w:val="0"/>
          <w:szCs w:val="20"/>
        </w:rPr>
        <w:t>–202</w:t>
      </w:r>
      <w:r w:rsidR="007567D9" w:rsidRPr="00576DCB">
        <w:rPr>
          <w:rFonts w:eastAsia="Times New Roman" w:cs="Arial"/>
          <w:bCs/>
          <w:snapToGrid w:val="0"/>
          <w:szCs w:val="20"/>
        </w:rPr>
        <w:t>6</w:t>
      </w:r>
      <w:r w:rsidRPr="00576DCB">
        <w:rPr>
          <w:rFonts w:eastAsia="Times New Roman" w:cs="Arial"/>
          <w:bCs/>
          <w:snapToGrid w:val="0"/>
          <w:szCs w:val="20"/>
        </w:rPr>
        <w:t>: July 1, 202</w:t>
      </w:r>
      <w:r w:rsidR="007567D9" w:rsidRPr="00576DCB">
        <w:rPr>
          <w:rFonts w:eastAsia="Times New Roman" w:cs="Arial"/>
          <w:bCs/>
          <w:snapToGrid w:val="0"/>
          <w:szCs w:val="20"/>
        </w:rPr>
        <w:t>5</w:t>
      </w:r>
      <w:r w:rsidRPr="00576DCB">
        <w:rPr>
          <w:rFonts w:eastAsia="Times New Roman" w:cs="Arial"/>
          <w:bCs/>
          <w:snapToGrid w:val="0"/>
          <w:szCs w:val="20"/>
        </w:rPr>
        <w:t xml:space="preserve"> – </w:t>
      </w:r>
      <w:r w:rsidR="00C0772F" w:rsidRPr="00576DCB">
        <w:rPr>
          <w:rFonts w:eastAsia="Times New Roman" w:cs="Arial"/>
          <w:bCs/>
          <w:snapToGrid w:val="0"/>
          <w:szCs w:val="20"/>
        </w:rPr>
        <w:t>June 30</w:t>
      </w:r>
      <w:r w:rsidRPr="00576DCB">
        <w:rPr>
          <w:rFonts w:eastAsia="Times New Roman" w:cs="Arial"/>
          <w:bCs/>
          <w:snapToGrid w:val="0"/>
          <w:szCs w:val="20"/>
        </w:rPr>
        <w:t xml:space="preserve">, </w:t>
      </w:r>
      <w:r w:rsidR="00C0772F" w:rsidRPr="00576DCB">
        <w:rPr>
          <w:rFonts w:eastAsia="Times New Roman" w:cs="Arial"/>
          <w:bCs/>
          <w:snapToGrid w:val="0"/>
          <w:szCs w:val="20"/>
        </w:rPr>
        <w:t xml:space="preserve">2026 </w:t>
      </w:r>
      <w:r w:rsidR="005F64AC" w:rsidRPr="00576DCB">
        <w:rPr>
          <w:rFonts w:eastAsia="Times New Roman" w:cs="Arial"/>
          <w:bCs/>
          <w:snapToGrid w:val="0"/>
          <w:szCs w:val="20"/>
        </w:rPr>
        <w:t>(</w:t>
      </w:r>
      <w:r w:rsidR="00C0772F" w:rsidRPr="00576DCB">
        <w:rPr>
          <w:rFonts w:eastAsia="Times New Roman" w:cs="Arial"/>
          <w:bCs/>
          <w:snapToGrid w:val="0"/>
          <w:szCs w:val="20"/>
        </w:rPr>
        <w:t>1</w:t>
      </w:r>
      <w:r w:rsidR="005F64AC" w:rsidRPr="00576DCB">
        <w:rPr>
          <w:rFonts w:eastAsia="Times New Roman" w:cs="Arial"/>
          <w:bCs/>
          <w:snapToGrid w:val="0"/>
          <w:szCs w:val="20"/>
        </w:rPr>
        <w:t>2 months)</w:t>
      </w:r>
    </w:p>
    <w:p w14:paraId="72828855" w14:textId="2DB7458A" w:rsidR="0026317C" w:rsidRDefault="0026317C" w:rsidP="005F64AC">
      <w:pPr>
        <w:pStyle w:val="ListParagraph"/>
        <w:numPr>
          <w:ilvl w:val="0"/>
          <w:numId w:val="36"/>
        </w:numPr>
        <w:spacing w:after="240"/>
        <w:ind w:left="360" w:hanging="360"/>
        <w:rPr>
          <w:rFonts w:eastAsia="Times New Roman" w:cs="Arial"/>
          <w:bCs/>
          <w:snapToGrid w:val="0"/>
          <w:szCs w:val="20"/>
        </w:rPr>
      </w:pPr>
      <w:r>
        <w:rPr>
          <w:rFonts w:eastAsia="Times New Roman" w:cs="Arial"/>
          <w:bCs/>
          <w:snapToGrid w:val="0"/>
          <w:szCs w:val="20"/>
        </w:rPr>
        <w:t>2026</w:t>
      </w:r>
      <w:r w:rsidRPr="00576DCB">
        <w:rPr>
          <w:rFonts w:eastAsia="Times New Roman" w:cs="Arial"/>
          <w:bCs/>
          <w:snapToGrid w:val="0"/>
          <w:szCs w:val="20"/>
        </w:rPr>
        <w:t>–</w:t>
      </w:r>
      <w:r>
        <w:rPr>
          <w:rFonts w:eastAsia="Times New Roman" w:cs="Arial"/>
          <w:bCs/>
          <w:snapToGrid w:val="0"/>
          <w:szCs w:val="20"/>
        </w:rPr>
        <w:t>2027: July 1, 2026 – June 30, 2027</w:t>
      </w:r>
      <w:r w:rsidR="006428E9">
        <w:rPr>
          <w:rFonts w:eastAsia="Times New Roman" w:cs="Arial"/>
          <w:bCs/>
          <w:snapToGrid w:val="0"/>
          <w:szCs w:val="20"/>
        </w:rPr>
        <w:t xml:space="preserve"> </w:t>
      </w:r>
      <w:r w:rsidR="006428E9" w:rsidRPr="00576DCB">
        <w:rPr>
          <w:rFonts w:eastAsia="Times New Roman" w:cs="Arial"/>
          <w:bCs/>
          <w:snapToGrid w:val="0"/>
          <w:szCs w:val="20"/>
        </w:rPr>
        <w:t>(12 months)</w:t>
      </w:r>
    </w:p>
    <w:p w14:paraId="2410397F" w14:textId="790B1EC1" w:rsidR="0026317C" w:rsidRDefault="0026317C" w:rsidP="005F64AC">
      <w:pPr>
        <w:pStyle w:val="ListParagraph"/>
        <w:numPr>
          <w:ilvl w:val="0"/>
          <w:numId w:val="36"/>
        </w:numPr>
        <w:spacing w:after="240"/>
        <w:ind w:left="360" w:hanging="360"/>
        <w:rPr>
          <w:rFonts w:eastAsia="Times New Roman" w:cs="Arial"/>
          <w:bCs/>
          <w:snapToGrid w:val="0"/>
          <w:szCs w:val="20"/>
        </w:rPr>
      </w:pPr>
      <w:r>
        <w:rPr>
          <w:rFonts w:eastAsia="Times New Roman" w:cs="Arial"/>
          <w:bCs/>
          <w:snapToGrid w:val="0"/>
          <w:szCs w:val="20"/>
        </w:rPr>
        <w:t>2027</w:t>
      </w:r>
      <w:r w:rsidRPr="00576DCB">
        <w:rPr>
          <w:rFonts w:eastAsia="Times New Roman" w:cs="Arial"/>
          <w:bCs/>
          <w:snapToGrid w:val="0"/>
          <w:szCs w:val="20"/>
        </w:rPr>
        <w:t>–</w:t>
      </w:r>
      <w:r>
        <w:rPr>
          <w:rFonts w:eastAsia="Times New Roman" w:cs="Arial"/>
          <w:bCs/>
          <w:snapToGrid w:val="0"/>
          <w:szCs w:val="20"/>
        </w:rPr>
        <w:t>2028: July 1, 2027 – June 30, 2028</w:t>
      </w:r>
      <w:r w:rsidR="006428E9">
        <w:rPr>
          <w:rFonts w:eastAsia="Times New Roman" w:cs="Arial"/>
          <w:bCs/>
          <w:snapToGrid w:val="0"/>
          <w:szCs w:val="20"/>
        </w:rPr>
        <w:t xml:space="preserve"> </w:t>
      </w:r>
      <w:r w:rsidR="006428E9" w:rsidRPr="00576DCB">
        <w:rPr>
          <w:rFonts w:eastAsia="Times New Roman" w:cs="Arial"/>
          <w:bCs/>
          <w:snapToGrid w:val="0"/>
          <w:szCs w:val="20"/>
        </w:rPr>
        <w:t>(12 months)</w:t>
      </w:r>
    </w:p>
    <w:p w14:paraId="7CBD3208" w14:textId="1129420C" w:rsidR="0026317C" w:rsidRDefault="0026317C" w:rsidP="005F64AC">
      <w:pPr>
        <w:pStyle w:val="ListParagraph"/>
        <w:numPr>
          <w:ilvl w:val="0"/>
          <w:numId w:val="36"/>
        </w:numPr>
        <w:spacing w:after="240"/>
        <w:ind w:left="360" w:hanging="360"/>
        <w:rPr>
          <w:rFonts w:eastAsia="Times New Roman" w:cs="Arial"/>
          <w:bCs/>
          <w:snapToGrid w:val="0"/>
          <w:szCs w:val="20"/>
        </w:rPr>
      </w:pPr>
      <w:r>
        <w:rPr>
          <w:rFonts w:eastAsia="Times New Roman" w:cs="Arial"/>
          <w:bCs/>
          <w:snapToGrid w:val="0"/>
          <w:szCs w:val="20"/>
        </w:rPr>
        <w:t>2028</w:t>
      </w:r>
      <w:r w:rsidRPr="00576DCB">
        <w:rPr>
          <w:rFonts w:eastAsia="Times New Roman" w:cs="Arial"/>
          <w:bCs/>
          <w:snapToGrid w:val="0"/>
          <w:szCs w:val="20"/>
        </w:rPr>
        <w:t>–</w:t>
      </w:r>
      <w:r>
        <w:rPr>
          <w:rFonts w:eastAsia="Times New Roman" w:cs="Arial"/>
          <w:bCs/>
          <w:snapToGrid w:val="0"/>
          <w:szCs w:val="20"/>
        </w:rPr>
        <w:t>2029: July 1, 2028 – June 30, 2029</w:t>
      </w:r>
      <w:r w:rsidR="006428E9">
        <w:rPr>
          <w:rFonts w:eastAsia="Times New Roman" w:cs="Arial"/>
          <w:bCs/>
          <w:snapToGrid w:val="0"/>
          <w:szCs w:val="20"/>
        </w:rPr>
        <w:t xml:space="preserve"> </w:t>
      </w:r>
      <w:r w:rsidR="006428E9" w:rsidRPr="00576DCB">
        <w:rPr>
          <w:rFonts w:eastAsia="Times New Roman" w:cs="Arial"/>
          <w:bCs/>
          <w:snapToGrid w:val="0"/>
          <w:szCs w:val="20"/>
        </w:rPr>
        <w:t>(12 months)</w:t>
      </w:r>
    </w:p>
    <w:p w14:paraId="3DCBE3D2" w14:textId="02963F8D" w:rsidR="006428E9" w:rsidRDefault="006428E9" w:rsidP="005F64AC">
      <w:pPr>
        <w:pStyle w:val="ListParagraph"/>
        <w:numPr>
          <w:ilvl w:val="0"/>
          <w:numId w:val="36"/>
        </w:numPr>
        <w:spacing w:after="240"/>
        <w:ind w:left="360" w:hanging="360"/>
        <w:rPr>
          <w:rFonts w:eastAsia="Times New Roman" w:cs="Arial"/>
          <w:bCs/>
          <w:snapToGrid w:val="0"/>
          <w:szCs w:val="20"/>
        </w:rPr>
      </w:pPr>
      <w:r>
        <w:rPr>
          <w:rFonts w:eastAsia="Times New Roman" w:cs="Arial"/>
          <w:bCs/>
          <w:snapToGrid w:val="0"/>
          <w:szCs w:val="20"/>
        </w:rPr>
        <w:t>2029</w:t>
      </w:r>
      <w:r w:rsidRPr="00576DCB">
        <w:rPr>
          <w:rFonts w:eastAsia="Times New Roman" w:cs="Arial"/>
          <w:bCs/>
          <w:snapToGrid w:val="0"/>
          <w:szCs w:val="20"/>
        </w:rPr>
        <w:t>–</w:t>
      </w:r>
      <w:r>
        <w:rPr>
          <w:rFonts w:eastAsia="Times New Roman" w:cs="Arial"/>
          <w:bCs/>
          <w:snapToGrid w:val="0"/>
          <w:szCs w:val="20"/>
        </w:rPr>
        <w:t xml:space="preserve">2030: July 1, 2029 – June 30, 2030 </w:t>
      </w:r>
      <w:r w:rsidRPr="00576DCB">
        <w:rPr>
          <w:rFonts w:eastAsia="Times New Roman" w:cs="Arial"/>
          <w:bCs/>
          <w:snapToGrid w:val="0"/>
          <w:szCs w:val="20"/>
        </w:rPr>
        <w:t>(12 months)</w:t>
      </w:r>
    </w:p>
    <w:p w14:paraId="3E6A6E4C" w14:textId="167B8E49" w:rsidR="006428E9" w:rsidRDefault="006428E9" w:rsidP="005F64AC">
      <w:pPr>
        <w:pStyle w:val="ListParagraph"/>
        <w:numPr>
          <w:ilvl w:val="0"/>
          <w:numId w:val="36"/>
        </w:numPr>
        <w:spacing w:after="240"/>
        <w:ind w:left="360" w:hanging="360"/>
        <w:rPr>
          <w:rFonts w:eastAsia="Times New Roman" w:cs="Arial"/>
          <w:bCs/>
          <w:snapToGrid w:val="0"/>
          <w:szCs w:val="20"/>
        </w:rPr>
      </w:pPr>
      <w:r>
        <w:rPr>
          <w:rFonts w:eastAsia="Times New Roman" w:cs="Arial"/>
          <w:bCs/>
          <w:snapToGrid w:val="0"/>
          <w:szCs w:val="20"/>
        </w:rPr>
        <w:t>2030</w:t>
      </w:r>
      <w:r w:rsidRPr="00576DCB">
        <w:rPr>
          <w:rFonts w:eastAsia="Times New Roman" w:cs="Arial"/>
          <w:bCs/>
          <w:snapToGrid w:val="0"/>
          <w:szCs w:val="20"/>
        </w:rPr>
        <w:t>–</w:t>
      </w:r>
      <w:r>
        <w:rPr>
          <w:rFonts w:eastAsia="Times New Roman" w:cs="Arial"/>
          <w:bCs/>
          <w:snapToGrid w:val="0"/>
          <w:szCs w:val="20"/>
        </w:rPr>
        <w:t xml:space="preserve">2031: July 1, 2030 – June 30, 2031 </w:t>
      </w:r>
      <w:r w:rsidRPr="00576DCB">
        <w:rPr>
          <w:rFonts w:eastAsia="Times New Roman" w:cs="Arial"/>
          <w:bCs/>
          <w:snapToGrid w:val="0"/>
          <w:szCs w:val="20"/>
        </w:rPr>
        <w:t>(12 months)</w:t>
      </w:r>
    </w:p>
    <w:p w14:paraId="69009847" w14:textId="2DB4A5CA" w:rsidR="006428E9" w:rsidRPr="00576DCB" w:rsidRDefault="006428E9" w:rsidP="005F64AC">
      <w:pPr>
        <w:pStyle w:val="ListParagraph"/>
        <w:numPr>
          <w:ilvl w:val="0"/>
          <w:numId w:val="36"/>
        </w:numPr>
        <w:spacing w:after="240"/>
        <w:ind w:left="360" w:hanging="360"/>
        <w:rPr>
          <w:rFonts w:eastAsia="Times New Roman" w:cs="Arial"/>
          <w:bCs/>
          <w:snapToGrid w:val="0"/>
          <w:szCs w:val="20"/>
        </w:rPr>
      </w:pPr>
      <w:r>
        <w:rPr>
          <w:rFonts w:eastAsia="Times New Roman" w:cs="Arial"/>
          <w:bCs/>
          <w:snapToGrid w:val="0"/>
          <w:szCs w:val="20"/>
        </w:rPr>
        <w:t>2031</w:t>
      </w:r>
      <w:r w:rsidRPr="00576DCB">
        <w:rPr>
          <w:rFonts w:eastAsia="Times New Roman" w:cs="Arial"/>
          <w:bCs/>
          <w:snapToGrid w:val="0"/>
          <w:szCs w:val="20"/>
        </w:rPr>
        <w:t>–</w:t>
      </w:r>
      <w:r>
        <w:rPr>
          <w:rFonts w:eastAsia="Times New Roman" w:cs="Arial"/>
          <w:bCs/>
          <w:snapToGrid w:val="0"/>
          <w:szCs w:val="20"/>
        </w:rPr>
        <w:t xml:space="preserve">2032: July 1, 2031 – December 31, 2031 </w:t>
      </w:r>
      <w:r w:rsidRPr="00576DCB">
        <w:rPr>
          <w:rFonts w:eastAsia="Times New Roman" w:cs="Arial"/>
          <w:bCs/>
          <w:snapToGrid w:val="0"/>
          <w:szCs w:val="20"/>
        </w:rPr>
        <w:t>(</w:t>
      </w:r>
      <w:r>
        <w:rPr>
          <w:rFonts w:eastAsia="Times New Roman" w:cs="Arial"/>
          <w:bCs/>
          <w:snapToGrid w:val="0"/>
          <w:szCs w:val="20"/>
        </w:rPr>
        <w:t>6</w:t>
      </w:r>
      <w:r w:rsidRPr="00576DCB">
        <w:rPr>
          <w:rFonts w:eastAsia="Times New Roman" w:cs="Arial"/>
          <w:bCs/>
          <w:snapToGrid w:val="0"/>
          <w:szCs w:val="20"/>
        </w:rPr>
        <w:t xml:space="preserve"> months)</w:t>
      </w:r>
    </w:p>
    <w:bookmarkEnd w:id="11"/>
    <w:p w14:paraId="318567FB" w14:textId="0708C70E" w:rsidR="00537458" w:rsidRPr="00576DCB" w:rsidRDefault="00537458" w:rsidP="003E4C84">
      <w:pPr>
        <w:pStyle w:val="Heading3"/>
        <w:rPr>
          <w:sz w:val="24"/>
        </w:rPr>
      </w:pPr>
      <w:r w:rsidRPr="00576DCB">
        <w:t>2.5 Intent to Submit a Proposal</w:t>
      </w:r>
    </w:p>
    <w:p w14:paraId="65F2E398" w14:textId="4200FF9B" w:rsidR="00537458" w:rsidRPr="00576DCB" w:rsidRDefault="00537458" w:rsidP="00537458">
      <w:pPr>
        <w:spacing w:before="240" w:after="240"/>
      </w:pPr>
      <w:r w:rsidRPr="00576DCB">
        <w:t>Bidders are required to submit an Intent to Submit a Proposal (Attachment 1), mailed</w:t>
      </w:r>
      <w:r w:rsidR="00C0772F" w:rsidRPr="00576DCB">
        <w:t xml:space="preserve"> or</w:t>
      </w:r>
      <w:r w:rsidRPr="00576DCB">
        <w:t xml:space="preserve"> </w:t>
      </w:r>
      <w:r w:rsidR="00557BAC" w:rsidRPr="00576DCB">
        <w:t xml:space="preserve">emailed, </w:t>
      </w:r>
      <w:r w:rsidR="00557BAC">
        <w:t xml:space="preserve">that </w:t>
      </w:r>
      <w:r w:rsidRPr="00576DCB">
        <w:t xml:space="preserve">must be received by the time, day, and date specified in RFP Section </w:t>
      </w:r>
      <w:r w:rsidR="00A40EF1" w:rsidRPr="00576DCB">
        <w:t>2</w:t>
      </w:r>
      <w:r w:rsidRPr="00576DCB">
        <w:t>.3 (RFP Schedule of Events). The Intent to Submit a Proposal does not require an organization to submit a proposal</w:t>
      </w:r>
      <w:proofErr w:type="gramStart"/>
      <w:r w:rsidRPr="00576DCB">
        <w:t xml:space="preserve"> however</w:t>
      </w:r>
      <w:proofErr w:type="gramEnd"/>
      <w:r w:rsidRPr="00576DCB">
        <w:t>, a proposal will not be accepted unless an Intent to Submit a Proposal (Attachment 1) is submitted on time.</w:t>
      </w:r>
    </w:p>
    <w:p w14:paraId="32122F23" w14:textId="7AFD7B64" w:rsidR="00537458" w:rsidRPr="00576DCB" w:rsidRDefault="00537458" w:rsidP="00537458">
      <w:pPr>
        <w:spacing w:before="240" w:after="240"/>
      </w:pPr>
      <w:r w:rsidRPr="00576DCB">
        <w:t>The Intent to Submit a Proposal must be signed by the bidder or the bidder’s representative and include the title of the person signing the Intent to Submit a Proposal and show the date of submission. In the case of emailing an electronic signature must be affixed. Questions regarding this RFP may be included with the Intent to Submit a Proposal and must be mailed</w:t>
      </w:r>
      <w:r w:rsidR="00C0772F" w:rsidRPr="00576DCB">
        <w:t xml:space="preserve"> or</w:t>
      </w:r>
      <w:r w:rsidRPr="00576DCB">
        <w:t xml:space="preserve"> emailed by the time, day, and date specified in RFP Section </w:t>
      </w:r>
      <w:r w:rsidR="00A40EF1" w:rsidRPr="00576DCB">
        <w:t>2</w:t>
      </w:r>
      <w:r w:rsidRPr="00576DCB">
        <w:t>.3 (RFP Schedule of Events).</w:t>
      </w:r>
    </w:p>
    <w:p w14:paraId="7EA72149" w14:textId="19D2B360" w:rsidR="00537458" w:rsidRPr="00576DCB" w:rsidRDefault="00537458" w:rsidP="00537458">
      <w:pPr>
        <w:spacing w:before="240" w:after="240"/>
      </w:pPr>
      <w:r w:rsidRPr="00576DCB">
        <w:t>The Intent to Submit a Proposal and questions regarding the RFP must be mailed</w:t>
      </w:r>
      <w:r w:rsidR="00C0772F" w:rsidRPr="00576DCB">
        <w:t xml:space="preserve"> or</w:t>
      </w:r>
      <w:r w:rsidRPr="00576DCB">
        <w:t xml:space="preserve"> emailed to:</w:t>
      </w:r>
    </w:p>
    <w:p w14:paraId="6CB4E9F9" w14:textId="72186F61" w:rsidR="00537458" w:rsidRPr="00576DCB" w:rsidRDefault="00C0772F" w:rsidP="00537458">
      <w:pPr>
        <w:spacing w:before="240" w:after="240"/>
      </w:pPr>
      <w:r w:rsidRPr="00576DCB">
        <w:t xml:space="preserve">Lisa </w:t>
      </w:r>
      <w:r w:rsidR="00ED7A24">
        <w:t>Clark-Devine</w:t>
      </w:r>
      <w:r w:rsidR="00537458" w:rsidRPr="00576DCB">
        <w:br/>
        <w:t>California Department of Education</w:t>
      </w:r>
      <w:r w:rsidR="00537458" w:rsidRPr="00576DCB">
        <w:br/>
      </w:r>
      <w:r w:rsidRPr="00576DCB">
        <w:lastRenderedPageBreak/>
        <w:t>Career and College Transition Division</w:t>
      </w:r>
      <w:r w:rsidR="00A40EF1" w:rsidRPr="00576DCB">
        <w:br/>
      </w:r>
      <w:r w:rsidR="00537458" w:rsidRPr="00576DCB">
        <w:t xml:space="preserve">1430 N Street, Suite </w:t>
      </w:r>
      <w:r w:rsidRPr="00576DCB">
        <w:t>4202</w:t>
      </w:r>
      <w:r w:rsidR="00537458" w:rsidRPr="00576DCB">
        <w:br/>
        <w:t>Sacramento, CA 95814-5901</w:t>
      </w:r>
      <w:r w:rsidR="00537458" w:rsidRPr="00576DCB">
        <w:br/>
        <w:t>Email</w:t>
      </w:r>
      <w:r w:rsidR="00A40EF1" w:rsidRPr="00576DCB">
        <w:t xml:space="preserve">: </w:t>
      </w:r>
      <w:hyperlink r:id="rId10" w:history="1">
        <w:r w:rsidR="006428E9" w:rsidRPr="00E46745">
          <w:rPr>
            <w:rStyle w:val="Hyperlink"/>
          </w:rPr>
          <w:t>CCSPP@cde.ca.gov</w:t>
        </w:r>
      </w:hyperlink>
    </w:p>
    <w:p w14:paraId="7380EA6B" w14:textId="211E5AE3" w:rsidR="00537458" w:rsidRDefault="00537458" w:rsidP="00537458">
      <w:pPr>
        <w:spacing w:before="240" w:after="240"/>
      </w:pPr>
      <w:r>
        <w:t xml:space="preserve">It is the bidders’ responsibility to ensure that the Intent to Submit a Proposal reaches the </w:t>
      </w:r>
      <w:r w:rsidR="00C0772F" w:rsidRPr="00576DCB">
        <w:t xml:space="preserve">Career and College Transition </w:t>
      </w:r>
      <w:r>
        <w:t xml:space="preserve">Division no later than the time, day, and date specified in RFP Section </w:t>
      </w:r>
      <w:r w:rsidR="00A40EF1">
        <w:t>2</w:t>
      </w:r>
      <w:r>
        <w:t>.3 (RFP Schedule of Events). Proposals for which the Intent to Submit a Proposal (Attachment 1) has not been received by the date and time specified shall not be accepted.</w:t>
      </w:r>
    </w:p>
    <w:p w14:paraId="33ADF98B" w14:textId="1BD61E45" w:rsidR="00537458" w:rsidRPr="00BC514B" w:rsidRDefault="00537458" w:rsidP="003E4C84">
      <w:pPr>
        <w:pStyle w:val="Heading3"/>
        <w:rPr>
          <w:sz w:val="24"/>
        </w:rPr>
      </w:pPr>
      <w:r>
        <w:t>2</w:t>
      </w:r>
      <w:r w:rsidRPr="00AD344B">
        <w:t>.</w:t>
      </w:r>
      <w:r>
        <w:t>6</w:t>
      </w:r>
      <w:r w:rsidRPr="00AD344B">
        <w:t xml:space="preserve"> Questions and Clarifications</w:t>
      </w:r>
    </w:p>
    <w:p w14:paraId="344B07EA" w14:textId="2BE500F0" w:rsidR="00537458" w:rsidRDefault="00537458" w:rsidP="00537458">
      <w:pPr>
        <w:spacing w:before="240" w:after="240"/>
      </w:pPr>
      <w:r>
        <w:t xml:space="preserve">Bidders may submit questions, requests for clarification, concerns, and/or comments (hereinafter referred to collectively as “questions”) regarding this RFP. All questions must be submitted in writing and may be submitted with the Intent to Submit a Proposal (Refer to Section </w:t>
      </w:r>
      <w:r w:rsidR="00A40EF1">
        <w:t>2</w:t>
      </w:r>
      <w:r>
        <w:t xml:space="preserve">.5). The bidder must include its name, email address, and telephone number with its submission of questions. The bidder should specify the relevant section, task/subtask, and page number of the RFP for each question submitted. Questions must be received by the time, day, and date specified in RFP Section </w:t>
      </w:r>
      <w:r w:rsidR="00A40EF1">
        <w:t>2</w:t>
      </w:r>
      <w:r>
        <w:t xml:space="preserve">.3 (RFP Schedule of Events). </w:t>
      </w:r>
      <w:r w:rsidR="00557BAC">
        <w:t xml:space="preserve">The </w:t>
      </w:r>
      <w:r>
        <w:t xml:space="preserve">CDE will make every effort to email its responses to the questions to all who submitted an Intent to Submit a Proposal by the time, day, and date specified in RFP Section </w:t>
      </w:r>
      <w:r w:rsidR="00A40EF1">
        <w:t>2</w:t>
      </w:r>
      <w:r>
        <w:t>.3 (RFP Schedule of Events). At its discretion, the CDE may respond to questions that are submitted late or not in proper form. The CDE reserves the right to rephrase or not answer any question submitted.</w:t>
      </w:r>
    </w:p>
    <w:p w14:paraId="3D7B5B3F" w14:textId="1C650E32" w:rsidR="00537458" w:rsidRDefault="00537458" w:rsidP="00537458">
      <w:pPr>
        <w:spacing w:before="240" w:after="240"/>
      </w:pPr>
      <w:r>
        <w:t xml:space="preserve">Written questions regarding the RFP will be included in the response to questions posted on the CDE </w:t>
      </w:r>
      <w:r w:rsidR="0018588B">
        <w:t>w</w:t>
      </w:r>
      <w:r>
        <w:t xml:space="preserve">ebsite which will occur on the time, day, and date specified in RFP Section </w:t>
      </w:r>
      <w:r w:rsidR="00A40EF1">
        <w:t>2</w:t>
      </w:r>
      <w:r>
        <w:t>.3 (RFP Schedule of Events).</w:t>
      </w:r>
    </w:p>
    <w:p w14:paraId="4068656A" w14:textId="04A025E6" w:rsidR="00537458" w:rsidRDefault="00537458" w:rsidP="00537458">
      <w:pPr>
        <w:spacing w:before="240" w:after="240"/>
      </w:pPr>
      <w:r>
        <w:t xml:space="preserve">All questions must be submitted either by email or mail (express or standard). Address emails to the contact person identified in Section </w:t>
      </w:r>
      <w:r w:rsidR="00A40EF1">
        <w:t>2</w:t>
      </w:r>
      <w:r>
        <w:t>.5 of this RFP.</w:t>
      </w:r>
    </w:p>
    <w:p w14:paraId="00077212" w14:textId="27FD51C3" w:rsidR="00537458" w:rsidRPr="00BC514B" w:rsidRDefault="00537458" w:rsidP="003E4C84">
      <w:pPr>
        <w:pStyle w:val="Heading3"/>
        <w:rPr>
          <w:sz w:val="24"/>
        </w:rPr>
      </w:pPr>
      <w:r>
        <w:t>2</w:t>
      </w:r>
      <w:r w:rsidRPr="00AD344B">
        <w:t>.</w:t>
      </w:r>
      <w:r>
        <w:t>7</w:t>
      </w:r>
      <w:r w:rsidRPr="00AD344B">
        <w:t xml:space="preserve"> Cost of Preparing a Proposal</w:t>
      </w:r>
    </w:p>
    <w:p w14:paraId="38AFD8DB" w14:textId="77777777" w:rsidR="00537458" w:rsidRDefault="00537458" w:rsidP="00537458">
      <w:pPr>
        <w:spacing w:before="240" w:after="240"/>
      </w:pPr>
      <w:r>
        <w:t>The costs of preparing and delivering the proposal are the sole responsibility of the bidder. The State of California will not provide reimbursement for any costs incurred or related to the bidder’s involvement or participation in the RFP process.</w:t>
      </w:r>
    </w:p>
    <w:p w14:paraId="4D1F2BDE" w14:textId="0D691A74" w:rsidR="00537458" w:rsidRPr="00BC514B" w:rsidRDefault="00537458" w:rsidP="003E4C84">
      <w:pPr>
        <w:pStyle w:val="Heading3"/>
        <w:rPr>
          <w:sz w:val="24"/>
        </w:rPr>
      </w:pPr>
      <w:r>
        <w:t>2</w:t>
      </w:r>
      <w:r w:rsidRPr="00AD344B">
        <w:t>.</w:t>
      </w:r>
      <w:r>
        <w:t>8</w:t>
      </w:r>
      <w:r w:rsidRPr="00AD344B">
        <w:t xml:space="preserve"> Definitions</w:t>
      </w:r>
    </w:p>
    <w:p w14:paraId="3FE2B0C0" w14:textId="77777777" w:rsidR="00537458" w:rsidRDefault="00537458" w:rsidP="0073322E">
      <w:pPr>
        <w:pStyle w:val="ListParagraph"/>
        <w:widowControl w:val="0"/>
        <w:numPr>
          <w:ilvl w:val="0"/>
          <w:numId w:val="20"/>
        </w:numPr>
        <w:spacing w:before="240" w:after="240"/>
        <w:ind w:left="720"/>
        <w:contextualSpacing w:val="0"/>
        <w:jc w:val="both"/>
      </w:pPr>
      <w:r w:rsidRPr="00691400">
        <w:t xml:space="preserve">“Assessment” shall mean any systematic method of obtaining information from tests and other sources, used to draw inferences about characteristics of people, objects, or programs, as defined in </w:t>
      </w:r>
      <w:r w:rsidRPr="00DE7F70">
        <w:rPr>
          <w:i/>
        </w:rPr>
        <w:t>Standards for Educational and Psychological Testing</w:t>
      </w:r>
      <w:r w:rsidRPr="00691400">
        <w:t xml:space="preserve"> (</w:t>
      </w:r>
      <w:r>
        <w:t>2014).</w:t>
      </w:r>
    </w:p>
    <w:p w14:paraId="76A38C10" w14:textId="77777777" w:rsidR="00537458" w:rsidRDefault="00537458" w:rsidP="0073322E">
      <w:pPr>
        <w:pStyle w:val="ListParagraph"/>
        <w:numPr>
          <w:ilvl w:val="0"/>
          <w:numId w:val="20"/>
        </w:numPr>
        <w:spacing w:before="240" w:after="240"/>
        <w:ind w:left="720"/>
        <w:contextualSpacing w:val="0"/>
      </w:pPr>
      <w:r>
        <w:t xml:space="preserve">“Bidder” shall mean </w:t>
      </w:r>
      <w:proofErr w:type="gramStart"/>
      <w:r>
        <w:t>each and every</w:t>
      </w:r>
      <w:proofErr w:type="gramEnd"/>
      <w:r>
        <w:t xml:space="preserve"> business entity, sole proprietorship, partnership, public or private corporation, agency, organization, or association that submits a proposal in response to the RFP.</w:t>
      </w:r>
    </w:p>
    <w:p w14:paraId="7B414B9A" w14:textId="30443F1E" w:rsidR="00537458" w:rsidRDefault="00537458" w:rsidP="0073322E">
      <w:pPr>
        <w:pStyle w:val="ListParagraph"/>
        <w:numPr>
          <w:ilvl w:val="0"/>
          <w:numId w:val="20"/>
        </w:numPr>
        <w:spacing w:before="240" w:after="240"/>
        <w:ind w:left="720"/>
        <w:contextualSpacing w:val="0"/>
      </w:pPr>
      <w:r>
        <w:t>“CDE Business Hours” shall be from 8:00</w:t>
      </w:r>
      <w:r w:rsidR="00557BAC">
        <w:t xml:space="preserve"> </w:t>
      </w:r>
      <w:r>
        <w:t>am to 5:00</w:t>
      </w:r>
      <w:r w:rsidR="00557BAC">
        <w:t xml:space="preserve"> </w:t>
      </w:r>
      <w:r>
        <w:t>pm PST/PDT.</w:t>
      </w:r>
    </w:p>
    <w:p w14:paraId="12FE54A6" w14:textId="2C2FEE24" w:rsidR="00537458" w:rsidRPr="00AC587F" w:rsidRDefault="00537458" w:rsidP="0073322E">
      <w:pPr>
        <w:numPr>
          <w:ilvl w:val="0"/>
          <w:numId w:val="20"/>
        </w:numPr>
        <w:spacing w:after="240"/>
        <w:ind w:left="720"/>
        <w:rPr>
          <w:rFonts w:cs="Arial"/>
          <w:color w:val="000000"/>
        </w:rPr>
      </w:pPr>
      <w:r w:rsidRPr="00AC587F">
        <w:rPr>
          <w:rFonts w:cs="Arial"/>
        </w:rPr>
        <w:lastRenderedPageBreak/>
        <w:t xml:space="preserve">“Contract” shall mean the requirements set forth in this RFP and the technical and cost proposals submitted by the bidder and approved by the </w:t>
      </w:r>
      <w:r w:rsidR="0028389D">
        <w:rPr>
          <w:rFonts w:cs="Arial"/>
        </w:rPr>
        <w:t>DGS</w:t>
      </w:r>
      <w:r w:rsidRPr="00AC587F">
        <w:rPr>
          <w:rFonts w:cs="Arial"/>
        </w:rPr>
        <w:t>.</w:t>
      </w:r>
    </w:p>
    <w:p w14:paraId="420227F7" w14:textId="77777777" w:rsidR="00537458" w:rsidRDefault="00537458" w:rsidP="0073322E">
      <w:pPr>
        <w:pStyle w:val="ListParagraph"/>
        <w:numPr>
          <w:ilvl w:val="0"/>
          <w:numId w:val="20"/>
        </w:numPr>
        <w:spacing w:before="240" w:after="240"/>
        <w:ind w:left="720"/>
        <w:contextualSpacing w:val="0"/>
      </w:pPr>
      <w:r>
        <w:t>“Contractor” shall mean the successful bidder selected by the CDE as the business entity to administer its proposal and subsequent contract to support the accomplishment of any tasks described in this RFP.</w:t>
      </w:r>
    </w:p>
    <w:p w14:paraId="67C40964" w14:textId="77777777" w:rsidR="00537458" w:rsidRDefault="00537458" w:rsidP="0073322E">
      <w:pPr>
        <w:pStyle w:val="ListParagraph"/>
        <w:numPr>
          <w:ilvl w:val="0"/>
          <w:numId w:val="20"/>
        </w:numPr>
        <w:spacing w:before="240" w:after="240"/>
        <w:ind w:left="720"/>
        <w:contextualSpacing w:val="0"/>
      </w:pPr>
      <w:r>
        <w:t>“Cost reimbursement contract” provides for payment of allowable incurred costs related to services performed, to the extent prescribed in the contract. These contracts establish an estimate of total cost for the purpose of obligating funds and establishing a ceiling that the successful bidder may not exceed for each line item.</w:t>
      </w:r>
    </w:p>
    <w:p w14:paraId="1430C2DA" w14:textId="38E8EC93" w:rsidR="0073322E" w:rsidRDefault="0073322E" w:rsidP="0073322E">
      <w:pPr>
        <w:pStyle w:val="ListParagraph"/>
        <w:numPr>
          <w:ilvl w:val="0"/>
          <w:numId w:val="20"/>
        </w:numPr>
        <w:spacing w:before="240" w:after="240"/>
        <w:ind w:left="720"/>
        <w:contextualSpacing w:val="0"/>
      </w:pPr>
      <w:r>
        <w:t>“Department of General Services”</w:t>
      </w:r>
      <w:r w:rsidR="00B911A3">
        <w:t xml:space="preserve"> (DGS) is the California state agency that provides oversight of the state contracting process.</w:t>
      </w:r>
    </w:p>
    <w:p w14:paraId="66A93949" w14:textId="3FBB6C26" w:rsidR="00537458" w:rsidRDefault="00537458" w:rsidP="0073322E">
      <w:pPr>
        <w:pStyle w:val="ListParagraph"/>
        <w:numPr>
          <w:ilvl w:val="0"/>
          <w:numId w:val="20"/>
        </w:numPr>
        <w:spacing w:before="240" w:after="240"/>
        <w:ind w:left="720"/>
        <w:contextualSpacing w:val="0"/>
      </w:pPr>
      <w:r>
        <w:t>“Fiscal year” means the state fiscal year July 1 through and including the following June 30.</w:t>
      </w:r>
    </w:p>
    <w:p w14:paraId="05079E4F" w14:textId="114D0268" w:rsidR="00537458" w:rsidRPr="0036546A" w:rsidRDefault="00537458" w:rsidP="0073322E">
      <w:pPr>
        <w:pStyle w:val="ListParagraph"/>
        <w:widowControl w:val="0"/>
        <w:numPr>
          <w:ilvl w:val="0"/>
          <w:numId w:val="20"/>
        </w:numPr>
        <w:spacing w:before="240" w:after="240"/>
        <w:ind w:left="720"/>
        <w:contextualSpacing w:val="0"/>
        <w:rPr>
          <w:rFonts w:eastAsia="Times New Roman" w:cs="Arial"/>
          <w:snapToGrid w:val="0"/>
          <w:szCs w:val="24"/>
        </w:rPr>
      </w:pPr>
      <w:r>
        <w:rPr>
          <w:rFonts w:eastAsia="Times New Roman" w:cs="Arial"/>
          <w:snapToGrid w:val="0"/>
          <w:szCs w:val="24"/>
        </w:rPr>
        <w:t>“Key P</w:t>
      </w:r>
      <w:r w:rsidRPr="00E72CB1">
        <w:rPr>
          <w:rFonts w:eastAsia="Times New Roman" w:cs="Arial"/>
          <w:snapToGrid w:val="0"/>
          <w:szCs w:val="24"/>
        </w:rPr>
        <w:t>ersonnel</w:t>
      </w:r>
      <w:r>
        <w:rPr>
          <w:rFonts w:eastAsia="Times New Roman" w:cs="Arial"/>
          <w:snapToGrid w:val="0"/>
          <w:szCs w:val="24"/>
        </w:rPr>
        <w:t>”</w:t>
      </w:r>
      <w:r w:rsidRPr="00E72CB1">
        <w:rPr>
          <w:rFonts w:eastAsia="Times New Roman" w:cs="Arial"/>
          <w:snapToGrid w:val="0"/>
          <w:szCs w:val="24"/>
        </w:rPr>
        <w:t xml:space="preserve">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w:t>
      </w:r>
      <w:r w:rsidR="00021B70">
        <w:rPr>
          <w:rFonts w:eastAsia="Times New Roman" w:cs="Arial"/>
          <w:snapToGrid w:val="0"/>
          <w:szCs w:val="24"/>
        </w:rPr>
        <w:t xml:space="preserve">Key Personnel include the Project Manager and Fiscal Manager. </w:t>
      </w:r>
      <w:r w:rsidRPr="00E72CB1">
        <w:rPr>
          <w:rFonts w:eastAsia="Times New Roman" w:cs="Arial"/>
          <w:snapToGrid w:val="0"/>
          <w:szCs w:val="24"/>
        </w:rPr>
        <w:t xml:space="preserve">Key personnel </w:t>
      </w:r>
      <w:r w:rsidR="00557BAC" w:rsidRPr="00E72CB1">
        <w:rPr>
          <w:rFonts w:eastAsia="Times New Roman" w:cs="Arial"/>
          <w:snapToGrid w:val="0"/>
          <w:szCs w:val="24"/>
        </w:rPr>
        <w:t>d</w:t>
      </w:r>
      <w:r w:rsidR="00557BAC">
        <w:rPr>
          <w:rFonts w:eastAsia="Times New Roman" w:cs="Arial"/>
          <w:snapToGrid w:val="0"/>
          <w:szCs w:val="24"/>
        </w:rPr>
        <w:t>o</w:t>
      </w:r>
      <w:r>
        <w:rPr>
          <w:rFonts w:eastAsia="Times New Roman" w:cs="Arial"/>
          <w:snapToGrid w:val="0"/>
          <w:szCs w:val="24"/>
        </w:rPr>
        <w:t xml:space="preserve"> not include clerical staff.</w:t>
      </w:r>
    </w:p>
    <w:p w14:paraId="1050E8AF" w14:textId="77777777" w:rsidR="00537458" w:rsidRPr="00D22A88" w:rsidRDefault="00537458" w:rsidP="0073322E">
      <w:pPr>
        <w:pStyle w:val="ListParagraph"/>
        <w:numPr>
          <w:ilvl w:val="0"/>
          <w:numId w:val="20"/>
        </w:numPr>
        <w:tabs>
          <w:tab w:val="left" w:pos="720"/>
        </w:tabs>
        <w:spacing w:before="240" w:after="240"/>
        <w:ind w:left="720"/>
      </w:pPr>
      <w:r w:rsidRPr="0070133C">
        <w:rPr>
          <w:rFonts w:cs="Arial"/>
          <w:color w:val="000000"/>
          <w:szCs w:val="24"/>
        </w:rPr>
        <w:t xml:space="preserve">“Local educational agency (LEA)” means a county office of education, school district, state special school, or direct-funded charter school as described in </w:t>
      </w:r>
      <w:r w:rsidRPr="0070133C">
        <w:rPr>
          <w:rFonts w:cs="Arial"/>
          <w:i/>
          <w:color w:val="000000"/>
          <w:szCs w:val="24"/>
        </w:rPr>
        <w:t>EC</w:t>
      </w:r>
      <w:r w:rsidRPr="0070133C">
        <w:rPr>
          <w:rFonts w:cs="Arial"/>
          <w:color w:val="000000"/>
          <w:szCs w:val="24"/>
        </w:rPr>
        <w:t xml:space="preserve"> Section 47651.</w:t>
      </w:r>
    </w:p>
    <w:p w14:paraId="0AFB4CF5" w14:textId="77777777" w:rsidR="00537458" w:rsidRDefault="00537458" w:rsidP="00537458">
      <w:pPr>
        <w:pStyle w:val="ListParagraph"/>
        <w:tabs>
          <w:tab w:val="left" w:pos="720"/>
        </w:tabs>
        <w:spacing w:before="240" w:after="240"/>
      </w:pPr>
    </w:p>
    <w:p w14:paraId="43CB5F98" w14:textId="6C644B44" w:rsidR="00F67ED5" w:rsidRDefault="00F67ED5" w:rsidP="0073322E">
      <w:pPr>
        <w:pStyle w:val="ListParagraph"/>
        <w:numPr>
          <w:ilvl w:val="0"/>
          <w:numId w:val="20"/>
        </w:numPr>
        <w:spacing w:before="240" w:after="240"/>
        <w:ind w:left="720"/>
        <w:contextualSpacing w:val="0"/>
      </w:pPr>
      <w:r>
        <w:t>“Original Signature” shall mean a manual handwritten signature or mark in wet ink.</w:t>
      </w:r>
    </w:p>
    <w:p w14:paraId="65C3FC23" w14:textId="38417FAA" w:rsidR="00537458" w:rsidRDefault="00537458" w:rsidP="0073322E">
      <w:pPr>
        <w:pStyle w:val="ListParagraph"/>
        <w:numPr>
          <w:ilvl w:val="0"/>
          <w:numId w:val="20"/>
        </w:numPr>
        <w:spacing w:before="240" w:after="240"/>
        <w:ind w:left="720"/>
        <w:contextualSpacing w:val="0"/>
      </w:pPr>
      <w:r>
        <w:t xml:space="preserve">“Portions of work” shall be defined by the bidder for the purposes of compliance with Disabled Veterans Business Enterprise (DVBE) requirements. Public Contract Code Section 10115.12(a)(2) precludes the use of more than one subcontractor to perform a “portion of work” as defined by the bidder in </w:t>
      </w:r>
      <w:r w:rsidR="00B005A5">
        <w:t>their</w:t>
      </w:r>
      <w:r>
        <w:t xml:space="preserve"> proposal.</w:t>
      </w:r>
    </w:p>
    <w:p w14:paraId="2AACC034" w14:textId="77777777" w:rsidR="00537458" w:rsidRDefault="00537458" w:rsidP="0073322E">
      <w:pPr>
        <w:pStyle w:val="ListParagraph"/>
        <w:numPr>
          <w:ilvl w:val="0"/>
          <w:numId w:val="20"/>
        </w:numPr>
        <w:spacing w:before="240" w:after="240"/>
        <w:ind w:left="720"/>
        <w:contextualSpacing w:val="0"/>
      </w:pPr>
      <w:r>
        <w:t>“Prime Contractor” shall be defined as the entity who submits a proposal in response to this RFP and is</w:t>
      </w:r>
      <w:r w:rsidRPr="004C3DC3">
        <w:t xml:space="preserve"> the responsible entity in ensuring that all tasks and activities are competently and successfully completed.</w:t>
      </w:r>
      <w:r w:rsidRPr="006723AF">
        <w:rPr>
          <w:rFonts w:cs="Arial"/>
          <w:szCs w:val="24"/>
        </w:rPr>
        <w:t xml:space="preserve"> </w:t>
      </w:r>
      <w:r>
        <w:rPr>
          <w:rFonts w:cs="Arial"/>
          <w:szCs w:val="24"/>
        </w:rPr>
        <w:t>The Prime Contractor must have the experience and qualifications to provide oversight to all proposed subcontractors and review and approve work products created by all proposed subcontractors.</w:t>
      </w:r>
    </w:p>
    <w:p w14:paraId="40565D89" w14:textId="77777777" w:rsidR="00537458" w:rsidRDefault="00537458" w:rsidP="0073322E">
      <w:pPr>
        <w:pStyle w:val="ListParagraph"/>
        <w:numPr>
          <w:ilvl w:val="0"/>
          <w:numId w:val="20"/>
        </w:numPr>
        <w:spacing w:before="240" w:after="240"/>
        <w:ind w:left="720"/>
        <w:contextualSpacing w:val="0"/>
      </w:pPr>
      <w:r>
        <w:t>“Specifications” shall mean the minimum specifications required by the CDE for a task, subtask, or activity. Specifications provided in this RFP represent a comprehensive outline of the detail required in the bidder’s proposal for successful accomplishment of a task, subtask, or activity.</w:t>
      </w:r>
    </w:p>
    <w:p w14:paraId="4C4F3805" w14:textId="7411D5D6" w:rsidR="00537458" w:rsidRDefault="00537458" w:rsidP="0073322E">
      <w:pPr>
        <w:pStyle w:val="ListParagraph"/>
        <w:numPr>
          <w:ilvl w:val="0"/>
          <w:numId w:val="20"/>
        </w:numPr>
        <w:spacing w:before="240" w:after="240"/>
        <w:ind w:left="720"/>
        <w:contextualSpacing w:val="0"/>
      </w:pPr>
      <w:r>
        <w:t>“Subcontract” shall mean any and all agreement(s) between a bidder and another entity (including</w:t>
      </w:r>
      <w:r w:rsidR="00FF59F5">
        <w:t>,</w:t>
      </w:r>
      <w:r>
        <w:t xml:space="preserve"> but not limited to</w:t>
      </w:r>
      <w:r w:rsidR="00FF59F5">
        <w:t>,</w:t>
      </w:r>
      <w:r>
        <w:t xml:space="preserve"> an individual or business) for the accomplishment of any task, </w:t>
      </w:r>
      <w:r>
        <w:lastRenderedPageBreak/>
        <w:t>subtask or activity, in whole or in part, described in this RFP, or to provide goods or services in support of the work described in this RFP.</w:t>
      </w:r>
    </w:p>
    <w:p w14:paraId="1624FD32" w14:textId="608014DE" w:rsidR="00537458" w:rsidRDefault="00537458" w:rsidP="0073322E">
      <w:pPr>
        <w:pStyle w:val="ListParagraph"/>
        <w:numPr>
          <w:ilvl w:val="0"/>
          <w:numId w:val="20"/>
        </w:numPr>
        <w:spacing w:before="240" w:after="240"/>
        <w:ind w:left="720"/>
        <w:contextualSpacing w:val="0"/>
      </w:pPr>
      <w:r>
        <w:t>“Subcontractor” shall mean each and every entity (including</w:t>
      </w:r>
      <w:r w:rsidR="00FF59F5">
        <w:t>,</w:t>
      </w:r>
      <w:r>
        <w:t xml:space="preserve"> but not limited to</w:t>
      </w:r>
      <w:r w:rsidR="00FF59F5">
        <w:t>,</w:t>
      </w:r>
      <w:r>
        <w:t xml:space="preserve"> an individual or business) with whom a bidder enters into any agreement for the accomplishment of any task, subtask, or activity, in whole or in part, described in this RFP, or to provide goods or services in support of the work described in this RFP. All persons who are not employees of the bidder are to be considered subcontractors.</w:t>
      </w:r>
    </w:p>
    <w:p w14:paraId="241237CA" w14:textId="77777777" w:rsidR="00537458" w:rsidRDefault="00537458" w:rsidP="0073322E">
      <w:pPr>
        <w:pStyle w:val="ListParagraph"/>
        <w:numPr>
          <w:ilvl w:val="0"/>
          <w:numId w:val="20"/>
        </w:numPr>
        <w:spacing w:before="240" w:after="240"/>
        <w:ind w:left="720"/>
        <w:contextualSpacing w:val="0"/>
      </w:pPr>
      <w:r>
        <w:t>“Successful bidder” shall mean the business entity selected by the CDE as the business entity to administer its proposal and subsequent contract to support the accomplishment of any task(s) described in this RFP.</w:t>
      </w:r>
    </w:p>
    <w:p w14:paraId="69F304F1" w14:textId="77777777" w:rsidR="00537458" w:rsidRPr="00D22A88" w:rsidRDefault="00537458" w:rsidP="0073322E">
      <w:pPr>
        <w:pStyle w:val="ListParagraph"/>
        <w:numPr>
          <w:ilvl w:val="0"/>
          <w:numId w:val="20"/>
        </w:numPr>
        <w:spacing w:before="240" w:after="240"/>
        <w:ind w:left="720"/>
        <w:contextualSpacing w:val="0"/>
      </w:pPr>
      <w:r w:rsidRPr="00D22A88">
        <w:t>“Working day” shall mean days Monday through Friday, inclusive, but exclusive of the CDE-observed holidays.</w:t>
      </w:r>
    </w:p>
    <w:p w14:paraId="2B11731C" w14:textId="77777777" w:rsidR="00537458" w:rsidRDefault="00537458" w:rsidP="00537458">
      <w:pPr>
        <w:rPr>
          <w:rFonts w:eastAsia="Times New Roman" w:cs="Arial"/>
          <w:b/>
          <w:bCs/>
          <w:iCs/>
          <w:snapToGrid w:val="0"/>
          <w:sz w:val="32"/>
          <w:szCs w:val="28"/>
        </w:rPr>
      </w:pPr>
      <w:r>
        <w:rPr>
          <w:snapToGrid w:val="0"/>
        </w:rPr>
        <w:br w:type="page"/>
      </w:r>
    </w:p>
    <w:p w14:paraId="3E6DF750" w14:textId="65D753A3" w:rsidR="00537458" w:rsidRPr="009A4462" w:rsidRDefault="00537458" w:rsidP="00DC35FD">
      <w:pPr>
        <w:pStyle w:val="Heading2"/>
        <w:rPr>
          <w:rStyle w:val="Heading3Char"/>
          <w:b/>
        </w:rPr>
      </w:pPr>
      <w:bookmarkStart w:id="12" w:name="_Toc152757059"/>
      <w:r>
        <w:rPr>
          <w:snapToGrid w:val="0"/>
        </w:rPr>
        <w:lastRenderedPageBreak/>
        <w:t>3</w:t>
      </w:r>
      <w:r w:rsidRPr="00C40EFC">
        <w:rPr>
          <w:rStyle w:val="Heading2Char"/>
          <w:b/>
        </w:rPr>
        <w:t>. PROPOSAL SPECIFICATIONS</w:t>
      </w:r>
      <w:bookmarkEnd w:id="12"/>
    </w:p>
    <w:p w14:paraId="1BB59A5F" w14:textId="6068C7FB" w:rsidR="00537458" w:rsidRPr="00CA043A" w:rsidRDefault="00537458" w:rsidP="003E4C84">
      <w:pPr>
        <w:pStyle w:val="Heading3"/>
      </w:pPr>
      <w:r>
        <w:t>3</w:t>
      </w:r>
      <w:r w:rsidRPr="00CA043A">
        <w:t>.1 Technical Proposal Requirements</w:t>
      </w:r>
    </w:p>
    <w:p w14:paraId="20EFEDFA" w14:textId="26DB83A5" w:rsidR="00537458" w:rsidRDefault="00537458" w:rsidP="00537458">
      <w:pPr>
        <w:spacing w:before="240" w:after="240"/>
      </w:pPr>
      <w:r w:rsidRPr="006E44A4">
        <w:t xml:space="preserve">Each bidder must submit a </w:t>
      </w:r>
      <w:r>
        <w:t>Technical Proposal</w:t>
      </w:r>
      <w:r w:rsidRPr="006E44A4">
        <w:t xml:space="preserve"> that contains </w:t>
      </w:r>
      <w:proofErr w:type="gramStart"/>
      <w:r w:rsidRPr="006E44A4">
        <w:t>all of</w:t>
      </w:r>
      <w:proofErr w:type="gramEnd"/>
      <w:r w:rsidRPr="006E44A4">
        <w:t xml:space="preserve"> the required items listed below. One original</w:t>
      </w:r>
      <w:r w:rsidR="00B911A3">
        <w:t xml:space="preserve"> hardcopy</w:t>
      </w:r>
      <w:r w:rsidRPr="006E44A4">
        <w:t xml:space="preserve"> (clearly marked original) and </w:t>
      </w:r>
      <w:r w:rsidR="001B23D5">
        <w:t>three</w:t>
      </w:r>
      <w:r w:rsidRPr="006E44A4">
        <w:t xml:space="preserve"> (</w:t>
      </w:r>
      <w:r w:rsidR="001B23D5">
        <w:t>3</w:t>
      </w:r>
      <w:r w:rsidRPr="006E44A4">
        <w:t xml:space="preserve">) copies </w:t>
      </w:r>
      <w:r w:rsidR="00B911A3">
        <w:t xml:space="preserve">(hardcopy) </w:t>
      </w:r>
      <w:r w:rsidRPr="006E44A4">
        <w:t xml:space="preserve">of the </w:t>
      </w:r>
      <w:r>
        <w:t>Technical Proposal</w:t>
      </w:r>
      <w:r w:rsidRPr="006E44A4">
        <w:t xml:space="preserve">, </w:t>
      </w:r>
      <w:r w:rsidR="001B23D5">
        <w:t xml:space="preserve">and one electronic copy of the Technical Proposal’s complete submission on a portable </w:t>
      </w:r>
      <w:r w:rsidR="00B911A3">
        <w:t xml:space="preserve">USB </w:t>
      </w:r>
      <w:r w:rsidR="001B23D5">
        <w:t xml:space="preserve">drive, must be submitted </w:t>
      </w:r>
      <w:r w:rsidRPr="006E44A4">
        <w:t xml:space="preserve">along with all required attachments, </w:t>
      </w:r>
      <w:r w:rsidR="001B23D5">
        <w:t xml:space="preserve">and </w:t>
      </w:r>
      <w:r w:rsidRPr="006E44A4">
        <w:t xml:space="preserve">must be sealed, marked, and packaged separately from the </w:t>
      </w:r>
      <w:r>
        <w:t>C</w:t>
      </w:r>
      <w:r w:rsidRPr="006E44A4">
        <w:t xml:space="preserve">ost </w:t>
      </w:r>
      <w:r>
        <w:t>P</w:t>
      </w:r>
      <w:r w:rsidRPr="006E44A4">
        <w:t xml:space="preserve">roposal. Also refer to RFP Section </w:t>
      </w:r>
      <w:r w:rsidR="00A40EF1">
        <w:t>3</w:t>
      </w:r>
      <w:r w:rsidRPr="006E44A4">
        <w:t xml:space="preserve">.2 </w:t>
      </w:r>
      <w:r>
        <w:t>(</w:t>
      </w:r>
      <w:r w:rsidRPr="006E44A4">
        <w:t xml:space="preserve">Required </w:t>
      </w:r>
      <w:r>
        <w:t>Forms/</w:t>
      </w:r>
      <w:r w:rsidRPr="006E44A4">
        <w:t>Attachments</w:t>
      </w:r>
      <w:r>
        <w:t>)</w:t>
      </w:r>
      <w:r w:rsidRPr="006E44A4">
        <w:t xml:space="preserve"> for attachments that must accompany the </w:t>
      </w:r>
      <w:r>
        <w:t>Technical Proposal</w:t>
      </w:r>
      <w:r w:rsidRPr="006E44A4">
        <w:t xml:space="preserve"> and RFP Section </w:t>
      </w:r>
      <w:r w:rsidR="00A40EF1">
        <w:t>3</w:t>
      </w:r>
      <w:r w:rsidRPr="006E44A4">
        <w:t>.</w:t>
      </w:r>
      <w:r>
        <w:t>5 (</w:t>
      </w:r>
      <w:r w:rsidRPr="006E44A4">
        <w:t>Submission of Proposal</w:t>
      </w:r>
      <w:r>
        <w:t xml:space="preserve">) </w:t>
      </w:r>
      <w:r w:rsidRPr="006E44A4">
        <w:t>for submittal details.</w:t>
      </w:r>
      <w:r w:rsidR="00971DC4">
        <w:t xml:space="preserve"> </w:t>
      </w:r>
      <w:r w:rsidR="00971DC4" w:rsidRPr="00C75525">
        <w:rPr>
          <w:rFonts w:cs="Arial"/>
        </w:rPr>
        <w:t>The resulting contract will be a cost reimbursement contract</w:t>
      </w:r>
      <w:r w:rsidR="00971DC4">
        <w:rPr>
          <w:rFonts w:cs="Arial"/>
        </w:rPr>
        <w:t xml:space="preserve"> using the Technical Proposal as the contract scope of work</w:t>
      </w:r>
      <w:r w:rsidR="00971DC4" w:rsidRPr="00C75525">
        <w:rPr>
          <w:rFonts w:cs="Arial"/>
        </w:rPr>
        <w:t xml:space="preserve">. (Refer to RFP, Section </w:t>
      </w:r>
      <w:r w:rsidR="00971DC4">
        <w:rPr>
          <w:rFonts w:cs="Arial"/>
        </w:rPr>
        <w:t>2</w:t>
      </w:r>
      <w:r w:rsidR="00971DC4" w:rsidRPr="00C75525">
        <w:rPr>
          <w:rFonts w:cs="Arial"/>
        </w:rPr>
        <w:t>.</w:t>
      </w:r>
      <w:r w:rsidR="00971DC4">
        <w:rPr>
          <w:rFonts w:cs="Arial"/>
        </w:rPr>
        <w:t>8</w:t>
      </w:r>
      <w:r w:rsidR="00971DC4" w:rsidRPr="00C75525">
        <w:rPr>
          <w:rFonts w:cs="Arial"/>
        </w:rPr>
        <w:t xml:space="preserve"> for the definition of </w:t>
      </w:r>
      <w:r w:rsidR="00971DC4">
        <w:rPr>
          <w:rFonts w:cs="Arial"/>
        </w:rPr>
        <w:t>“</w:t>
      </w:r>
      <w:r w:rsidR="00971DC4" w:rsidRPr="00F96166">
        <w:rPr>
          <w:rFonts w:cs="Arial"/>
        </w:rPr>
        <w:t>cost reimbursement</w:t>
      </w:r>
      <w:r w:rsidR="00971DC4">
        <w:rPr>
          <w:rFonts w:cs="Arial"/>
        </w:rPr>
        <w:t>”</w:t>
      </w:r>
      <w:r w:rsidR="00971DC4" w:rsidRPr="00F96166">
        <w:rPr>
          <w:rFonts w:cs="Arial"/>
        </w:rPr>
        <w:t>).</w:t>
      </w:r>
    </w:p>
    <w:p w14:paraId="2F8963E4" w14:textId="78612EAF" w:rsidR="00537458" w:rsidRPr="006E44A4" w:rsidRDefault="00537458" w:rsidP="00537458">
      <w:pPr>
        <w:spacing w:before="240" w:after="240"/>
      </w:pPr>
      <w:r w:rsidRPr="006E44A4">
        <w:t xml:space="preserve">Separately, each bidder must submit a Cost Proposal that includes the costs for completing all tasks in the </w:t>
      </w:r>
      <w:r>
        <w:t>Technical Proposal</w:t>
      </w:r>
      <w:r w:rsidR="00B911A3">
        <w:t>. See RFP Section 3.3 Cost Proposal Requirements for submission requirements for the Cost Proposal</w:t>
      </w:r>
      <w:r w:rsidRPr="006E44A4">
        <w:t xml:space="preserve">. Do not submit any cost information with the </w:t>
      </w:r>
      <w:r>
        <w:t>Technical Proposal</w:t>
      </w:r>
      <w:r w:rsidRPr="006E44A4">
        <w:t>.</w:t>
      </w:r>
    </w:p>
    <w:p w14:paraId="44C9F406" w14:textId="77777777" w:rsidR="00537458" w:rsidRPr="00EA29E7" w:rsidRDefault="00537458" w:rsidP="00537458">
      <w:pPr>
        <w:spacing w:before="240" w:after="240"/>
      </w:pPr>
      <w:r w:rsidRPr="00EA29E7">
        <w:t>DO NOT include the "budget" or any financial or cost information with the Technical Proposal.</w:t>
      </w:r>
      <w:r w:rsidRPr="007A67BF">
        <w:rPr>
          <w:rFonts w:cs="Arial"/>
        </w:rPr>
        <w:t xml:space="preserve"> </w:t>
      </w:r>
      <w:r w:rsidRPr="00C75525">
        <w:rPr>
          <w:rFonts w:cs="Arial"/>
        </w:rPr>
        <w:t>IF ANY COSTS, RATES, OR DOLLAR AMOUNTS APPEAR IN THE TECHNICAL PROPOSAL, THE BIDDER’S PROPOSAL MAY BE DISQUALIFIED.</w:t>
      </w:r>
    </w:p>
    <w:p w14:paraId="12A36DFD" w14:textId="0501DAE4" w:rsidR="00537458" w:rsidRDefault="00537458" w:rsidP="001B373C">
      <w:pPr>
        <w:pStyle w:val="Heading4"/>
        <w:rPr>
          <w:rFonts w:eastAsia="Times New Roman"/>
          <w:snapToGrid w:val="0"/>
        </w:rPr>
      </w:pPr>
      <w:r>
        <w:rPr>
          <w:rFonts w:eastAsia="Times New Roman"/>
          <w:snapToGrid w:val="0"/>
        </w:rPr>
        <w:t xml:space="preserve">3.1.1 </w:t>
      </w:r>
      <w:r w:rsidRPr="00F5374E">
        <w:rPr>
          <w:rFonts w:eastAsia="Times New Roman"/>
          <w:snapToGrid w:val="0"/>
        </w:rPr>
        <w:t>Table of Contents</w:t>
      </w:r>
    </w:p>
    <w:p w14:paraId="22BF344A" w14:textId="77777777" w:rsidR="00537458" w:rsidRPr="00F5374E" w:rsidRDefault="00537458" w:rsidP="00537458">
      <w:pPr>
        <w:spacing w:after="240"/>
        <w:rPr>
          <w:snapToGrid w:val="0"/>
        </w:rPr>
      </w:pPr>
      <w:r w:rsidRPr="00F5374E">
        <w:rPr>
          <w:snapToGrid w:val="0"/>
        </w:rPr>
        <w:t>The Technical Proposal must include a Table of Contents which identifies by page number all section and subsection headings in the Technical Proposal.</w:t>
      </w:r>
    </w:p>
    <w:p w14:paraId="1C45C943" w14:textId="6464DBE4" w:rsidR="00537458" w:rsidRDefault="00537458" w:rsidP="001B373C">
      <w:pPr>
        <w:pStyle w:val="Heading4"/>
        <w:rPr>
          <w:rFonts w:eastAsia="Times New Roman"/>
          <w:snapToGrid w:val="0"/>
        </w:rPr>
      </w:pPr>
      <w:r>
        <w:rPr>
          <w:rFonts w:eastAsia="Times New Roman"/>
          <w:snapToGrid w:val="0"/>
        </w:rPr>
        <w:t>3.1.2 Scope of Project</w:t>
      </w:r>
    </w:p>
    <w:p w14:paraId="3C46C2AB" w14:textId="5B9DA3F7" w:rsidR="00537458" w:rsidRDefault="00537458" w:rsidP="00537458">
      <w:pPr>
        <w:spacing w:after="240"/>
        <w:rPr>
          <w:snapToGrid w:val="0"/>
        </w:rPr>
      </w:pPr>
      <w:r w:rsidRPr="00F5374E">
        <w:rPr>
          <w:snapToGrid w:val="0"/>
        </w:rPr>
        <w:t xml:space="preserve">The Technical Proposal must include a section that addresses all parts of Section </w:t>
      </w:r>
      <w:r w:rsidR="00DC395C">
        <w:rPr>
          <w:snapToGrid w:val="0"/>
        </w:rPr>
        <w:t>7</w:t>
      </w:r>
      <w:r w:rsidRPr="00F5374E">
        <w:rPr>
          <w:snapToGrid w:val="0"/>
        </w:rPr>
        <w:t xml:space="preserve"> of the RFP. All tasks and subtasks</w:t>
      </w:r>
      <w:r>
        <w:rPr>
          <w:snapToGrid w:val="0"/>
        </w:rPr>
        <w:t xml:space="preserve"> in Section </w:t>
      </w:r>
      <w:r w:rsidR="001B23D5">
        <w:rPr>
          <w:snapToGrid w:val="0"/>
        </w:rPr>
        <w:t>7</w:t>
      </w:r>
      <w:r w:rsidRPr="00F5374E">
        <w:rPr>
          <w:snapToGrid w:val="0"/>
        </w:rPr>
        <w:t xml:space="preserve"> must be addressed.</w:t>
      </w:r>
      <w:r w:rsidRPr="00646EE8">
        <w:t xml:space="preserve"> </w:t>
      </w:r>
      <w:r>
        <w:t xml:space="preserve">Any deviation from the tasks and subtasks described in Section </w:t>
      </w:r>
      <w:r w:rsidR="001B23D5">
        <w:t>7</w:t>
      </w:r>
      <w:r>
        <w:t xml:space="preserve"> (Scope of Project) will not be considered and will cause a proposal to be rejected.</w:t>
      </w:r>
    </w:p>
    <w:p w14:paraId="01A6DDDC" w14:textId="463A8AA0"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This </w:t>
      </w:r>
      <w:r>
        <w:rPr>
          <w:rFonts w:eastAsia="Times New Roman" w:cs="Arial"/>
          <w:bCs/>
          <w:snapToGrid w:val="0"/>
          <w:szCs w:val="20"/>
        </w:rPr>
        <w:t>Technical Proposal must address</w:t>
      </w:r>
      <w:r w:rsidRPr="002E0181">
        <w:rPr>
          <w:rFonts w:eastAsia="Times New Roman" w:cs="Arial"/>
          <w:bCs/>
          <w:snapToGrid w:val="0"/>
          <w:szCs w:val="20"/>
        </w:rPr>
        <w:t xml:space="preserve"> </w:t>
      </w:r>
      <w:r w:rsidRPr="00576DCB">
        <w:rPr>
          <w:rFonts w:eastAsia="Times New Roman" w:cs="Arial"/>
          <w:bCs/>
          <w:snapToGrid w:val="0"/>
          <w:szCs w:val="20"/>
        </w:rPr>
        <w:t>five</w:t>
      </w:r>
      <w:r w:rsidRPr="00402F89">
        <w:rPr>
          <w:rFonts w:eastAsia="Times New Roman" w:cs="Arial"/>
          <w:bCs/>
          <w:snapToGrid w:val="0"/>
          <w:color w:val="FF0000"/>
          <w:szCs w:val="20"/>
        </w:rPr>
        <w:t xml:space="preserve"> </w:t>
      </w:r>
      <w:r w:rsidRPr="002E0181">
        <w:rPr>
          <w:rFonts w:eastAsia="Times New Roman" w:cs="Arial"/>
          <w:bCs/>
          <w:snapToGrid w:val="0"/>
          <w:szCs w:val="20"/>
        </w:rPr>
        <w:t>main tasks:</w:t>
      </w:r>
    </w:p>
    <w:p w14:paraId="7999FC30"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236CB148"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1BD9CF21" w14:textId="77777777" w:rsidR="00537458" w:rsidRPr="00576DCB" w:rsidRDefault="00537458" w:rsidP="00537458">
      <w:pPr>
        <w:spacing w:after="240"/>
        <w:rPr>
          <w:rFonts w:eastAsia="Times New Roman" w:cs="Arial"/>
          <w:bCs/>
          <w:snapToGrid w:val="0"/>
          <w:szCs w:val="20"/>
        </w:rPr>
      </w:pPr>
      <w:r w:rsidRPr="00576DCB">
        <w:rPr>
          <w:rFonts w:eastAsia="Times New Roman" w:cs="Arial"/>
          <w:bCs/>
          <w:snapToGrid w:val="0"/>
          <w:szCs w:val="20"/>
        </w:rPr>
        <w:t>Task 3 – Comprehensive Plan and Schedule for Project Activities and Deliverables</w:t>
      </w:r>
    </w:p>
    <w:p w14:paraId="1E831AD4" w14:textId="77777777" w:rsidR="00C0772F" w:rsidRPr="00576DCB" w:rsidRDefault="00C0772F" w:rsidP="00C0772F">
      <w:pPr>
        <w:spacing w:after="240"/>
        <w:ind w:left="990" w:hanging="990"/>
        <w:rPr>
          <w:rFonts w:eastAsia="Times New Roman" w:cs="Arial"/>
          <w:bCs/>
          <w:snapToGrid w:val="0"/>
          <w:szCs w:val="20"/>
        </w:rPr>
      </w:pPr>
      <w:r w:rsidRPr="00576DCB">
        <w:rPr>
          <w:rFonts w:eastAsia="Times New Roman" w:cs="Arial"/>
          <w:bCs/>
          <w:snapToGrid w:val="0"/>
          <w:szCs w:val="20"/>
        </w:rPr>
        <w:t>Task 4 – Design and Implement a Formative Evaluation for the CCSPP</w:t>
      </w:r>
    </w:p>
    <w:p w14:paraId="3CCDC332" w14:textId="1B641CA2" w:rsidR="00C0772F" w:rsidRPr="00EC58E1" w:rsidRDefault="00C0772F" w:rsidP="00C0772F">
      <w:pPr>
        <w:spacing w:after="240"/>
        <w:ind w:left="990" w:hanging="990"/>
        <w:rPr>
          <w:rFonts w:eastAsia="Times New Roman" w:cs="Arial"/>
          <w:bCs/>
          <w:snapToGrid w:val="0"/>
          <w:color w:val="FF0000"/>
          <w:szCs w:val="20"/>
        </w:rPr>
      </w:pPr>
      <w:r w:rsidRPr="00576DCB">
        <w:rPr>
          <w:rFonts w:eastAsia="Times New Roman" w:cs="Arial"/>
          <w:bCs/>
          <w:snapToGrid w:val="0"/>
          <w:szCs w:val="20"/>
        </w:rPr>
        <w:t xml:space="preserve">Task </w:t>
      </w:r>
      <w:r w:rsidR="00FB05B2" w:rsidRPr="00576DCB">
        <w:rPr>
          <w:rFonts w:eastAsia="Times New Roman" w:cs="Arial"/>
          <w:bCs/>
          <w:snapToGrid w:val="0"/>
          <w:szCs w:val="20"/>
        </w:rPr>
        <w:t>5</w:t>
      </w:r>
      <w:r w:rsidRPr="00576DCB">
        <w:rPr>
          <w:rFonts w:eastAsia="Times New Roman" w:cs="Arial"/>
          <w:bCs/>
          <w:snapToGrid w:val="0"/>
          <w:szCs w:val="20"/>
        </w:rPr>
        <w:t xml:space="preserve"> – Develop and Distribute a Set of Formative Evaluation Tools</w:t>
      </w:r>
    </w:p>
    <w:p w14:paraId="69258CEE" w14:textId="27410FCC" w:rsidR="00537458" w:rsidRDefault="00537458" w:rsidP="001B373C">
      <w:pPr>
        <w:pStyle w:val="Heading4"/>
        <w:rPr>
          <w:rFonts w:eastAsia="Times New Roman"/>
          <w:snapToGrid w:val="0"/>
        </w:rPr>
      </w:pPr>
      <w:r>
        <w:rPr>
          <w:rFonts w:eastAsia="Times New Roman"/>
          <w:snapToGrid w:val="0"/>
        </w:rPr>
        <w:lastRenderedPageBreak/>
        <w:t xml:space="preserve">3.1.3 </w:t>
      </w:r>
      <w:r w:rsidRPr="00F5374E">
        <w:rPr>
          <w:rFonts w:eastAsia="Times New Roman"/>
          <w:snapToGrid w:val="0"/>
        </w:rPr>
        <w:t>Organization Structure and Personnel Resources</w:t>
      </w:r>
    </w:p>
    <w:p w14:paraId="609C6518" w14:textId="3B2759E3" w:rsidR="00537458" w:rsidRPr="00F5374E" w:rsidRDefault="00537458" w:rsidP="00537458">
      <w:pPr>
        <w:widowControl w:val="0"/>
        <w:spacing w:before="240" w:after="240"/>
        <w:rPr>
          <w:rFonts w:eastAsia="Times New Roman" w:cs="Arial"/>
          <w:snapToGrid w:val="0"/>
          <w:szCs w:val="20"/>
        </w:rPr>
      </w:pPr>
      <w:r w:rsidRPr="00F5374E">
        <w:rPr>
          <w:rFonts w:eastAsia="Times New Roman" w:cs="Arial"/>
          <w:snapToGrid w:val="0"/>
          <w:szCs w:val="20"/>
        </w:rPr>
        <w:t xml:space="preserve">The content of this section must describe how the bidder proposes to organize </w:t>
      </w:r>
      <w:proofErr w:type="gramStart"/>
      <w:r w:rsidRPr="00F5374E">
        <w:rPr>
          <w:rFonts w:eastAsia="Times New Roman" w:cs="Arial"/>
          <w:snapToGrid w:val="0"/>
          <w:szCs w:val="20"/>
        </w:rPr>
        <w:t>its</w:t>
      </w:r>
      <w:proofErr w:type="gramEnd"/>
      <w:r w:rsidRPr="00F5374E">
        <w:rPr>
          <w:rFonts w:eastAsia="Times New Roman" w:cs="Arial"/>
          <w:snapToGrid w:val="0"/>
          <w:szCs w:val="20"/>
        </w:rPr>
        <w:t xml:space="preserve"> resources necessary to complete the tasks and deliverables contained in RFP Section </w:t>
      </w:r>
      <w:r w:rsidR="001B23D5">
        <w:rPr>
          <w:rFonts w:eastAsia="Times New Roman" w:cs="Arial"/>
          <w:snapToGrid w:val="0"/>
          <w:szCs w:val="20"/>
        </w:rPr>
        <w:t>7</w:t>
      </w:r>
      <w:r w:rsidRPr="00F5374E">
        <w:rPr>
          <w:rFonts w:eastAsia="Times New Roman" w:cs="Arial"/>
          <w:snapToGrid w:val="0"/>
          <w:szCs w:val="20"/>
        </w:rPr>
        <w:t xml:space="preserve"> Scope of Project. The content must demonstrate the bidder’s ability to provide the services set forth in this RFP. This section of the Technical Proposal must address the following:</w:t>
      </w:r>
    </w:p>
    <w:p w14:paraId="6ADF335E" w14:textId="77777777" w:rsidR="00537458" w:rsidRDefault="00537458" w:rsidP="00EC58E1">
      <w:pPr>
        <w:pStyle w:val="ListParagraph"/>
        <w:widowControl w:val="0"/>
        <w:numPr>
          <w:ilvl w:val="0"/>
          <w:numId w:val="23"/>
        </w:numPr>
        <w:spacing w:before="240" w:after="240"/>
        <w:ind w:hanging="720"/>
        <w:contextualSpacing w:val="0"/>
        <w:rPr>
          <w:rFonts w:eastAsia="Times New Roman" w:cs="Arial"/>
          <w:snapToGrid w:val="0"/>
          <w:szCs w:val="20"/>
        </w:rPr>
      </w:pPr>
      <w:r w:rsidRPr="00F5374E">
        <w:rPr>
          <w:rFonts w:eastAsia="Times New Roman" w:cs="Arial"/>
          <w:snapToGrid w:val="0"/>
          <w:szCs w:val="20"/>
        </w:rPr>
        <w:t>Ser</w:t>
      </w:r>
      <w:r>
        <w:rPr>
          <w:rFonts w:eastAsia="Times New Roman" w:cs="Arial"/>
          <w:snapToGrid w:val="0"/>
          <w:szCs w:val="20"/>
        </w:rPr>
        <w:t>vices and A</w:t>
      </w:r>
      <w:r w:rsidRPr="00F5374E">
        <w:rPr>
          <w:rFonts w:eastAsia="Times New Roman" w:cs="Arial"/>
          <w:snapToGrid w:val="0"/>
          <w:szCs w:val="20"/>
        </w:rPr>
        <w:t>ctivities</w:t>
      </w:r>
    </w:p>
    <w:p w14:paraId="0FC27B56" w14:textId="77777777" w:rsidR="00537458" w:rsidRPr="00F5374E" w:rsidRDefault="00537458" w:rsidP="00537458">
      <w:pPr>
        <w:widowControl w:val="0"/>
        <w:spacing w:before="240" w:after="240"/>
        <w:ind w:left="720"/>
        <w:rPr>
          <w:rFonts w:eastAsia="Times New Roman" w:cs="Arial"/>
          <w:snapToGrid w:val="0"/>
          <w:szCs w:val="20"/>
        </w:rPr>
      </w:pPr>
      <w:r w:rsidRPr="00F5374E">
        <w:rPr>
          <w:rFonts w:eastAsia="Times New Roman" w:cs="Arial"/>
          <w:snapToGrid w:val="0"/>
          <w:szCs w:val="20"/>
        </w:rPr>
        <w:t>Provide a description of the nature of the bidder’s services and activities. Indicate when the bidder, if a business, was established; its brief history; and location. List the location(s) of the office(s) from which the primary work of this project will be conducted.</w:t>
      </w:r>
    </w:p>
    <w:p w14:paraId="33025228" w14:textId="77777777" w:rsidR="00537458" w:rsidRPr="00576DCB" w:rsidRDefault="00537458" w:rsidP="00EC58E1">
      <w:pPr>
        <w:pStyle w:val="ListParagraph"/>
        <w:widowControl w:val="0"/>
        <w:numPr>
          <w:ilvl w:val="0"/>
          <w:numId w:val="23"/>
        </w:numPr>
        <w:spacing w:before="240" w:after="240"/>
        <w:ind w:hanging="720"/>
        <w:contextualSpacing w:val="0"/>
        <w:rPr>
          <w:rFonts w:eastAsia="Times New Roman" w:cs="Arial"/>
          <w:snapToGrid w:val="0"/>
          <w:szCs w:val="20"/>
        </w:rPr>
      </w:pPr>
      <w:r w:rsidRPr="00576DCB">
        <w:rPr>
          <w:rFonts w:eastAsia="Times New Roman" w:cs="Arial"/>
          <w:snapToGrid w:val="0"/>
          <w:szCs w:val="20"/>
        </w:rPr>
        <w:t>Project Manager</w:t>
      </w:r>
    </w:p>
    <w:p w14:paraId="7B16A00B" w14:textId="46BF2DFB" w:rsidR="00537458" w:rsidRPr="00576DCB" w:rsidRDefault="00537458" w:rsidP="00537458">
      <w:pPr>
        <w:pStyle w:val="ListParagraph"/>
        <w:widowControl w:val="0"/>
        <w:spacing w:before="240" w:after="240"/>
        <w:contextualSpacing w:val="0"/>
        <w:rPr>
          <w:rFonts w:eastAsia="Times New Roman" w:cs="Arial"/>
          <w:snapToGrid w:val="0"/>
          <w:szCs w:val="20"/>
        </w:rPr>
      </w:pPr>
      <w:r w:rsidRPr="00576DCB">
        <w:rPr>
          <w:rFonts w:eastAsia="Times New Roman" w:cs="Arial"/>
          <w:snapToGrid w:val="0"/>
          <w:szCs w:val="20"/>
        </w:rPr>
        <w:t>Identify by name the Project Manager to be employed by the Prime Contractor and describe how the proposed Project Manager meets the minimum qualifications stated below. The Technical Proposal must describe how the bidder’s Project Manager will effectively coordinate, manage, and monitor the efforts of the assigned staff, including subcontractors and/or consultants, to ensure that all tasks/subtasks, activities, and functions are completed effectively and in a timely manner. The Project Manager identified in the Technical Proposal will be listed as the successful bidder’s Contract Monitor of the contract.</w:t>
      </w:r>
    </w:p>
    <w:p w14:paraId="2E06CC32" w14:textId="06C4422D" w:rsidR="00537458" w:rsidRPr="00576DCB" w:rsidRDefault="00537458" w:rsidP="00537458">
      <w:pPr>
        <w:pStyle w:val="ListParagraph"/>
        <w:widowControl w:val="0"/>
        <w:spacing w:before="240" w:after="240"/>
        <w:contextualSpacing w:val="0"/>
        <w:rPr>
          <w:rFonts w:eastAsia="Times New Roman" w:cs="Arial"/>
          <w:snapToGrid w:val="0"/>
          <w:szCs w:val="20"/>
        </w:rPr>
      </w:pPr>
      <w:r w:rsidRPr="00576DCB">
        <w:rPr>
          <w:rFonts w:eastAsia="Times New Roman" w:cs="Arial"/>
          <w:snapToGrid w:val="0"/>
          <w:szCs w:val="20"/>
        </w:rPr>
        <w:t xml:space="preserve">The Project Manager is the bidder’s primary person assigned to oversee the project. The Project Manager must be an employee of the </w:t>
      </w:r>
      <w:r w:rsidR="00557BAC">
        <w:rPr>
          <w:rFonts w:eastAsia="Times New Roman" w:cs="Arial"/>
          <w:snapToGrid w:val="0"/>
          <w:szCs w:val="20"/>
        </w:rPr>
        <w:t>P</w:t>
      </w:r>
      <w:r w:rsidRPr="00576DCB">
        <w:rPr>
          <w:rFonts w:eastAsia="Times New Roman" w:cs="Arial"/>
          <w:snapToGrid w:val="0"/>
          <w:szCs w:val="20"/>
        </w:rPr>
        <w:t xml:space="preserve">rime </w:t>
      </w:r>
      <w:r w:rsidR="00557BAC">
        <w:rPr>
          <w:rFonts w:eastAsia="Times New Roman" w:cs="Arial"/>
          <w:snapToGrid w:val="0"/>
          <w:szCs w:val="20"/>
        </w:rPr>
        <w:t>Contractor</w:t>
      </w:r>
      <w:r w:rsidR="00557BAC" w:rsidRPr="00576DCB">
        <w:rPr>
          <w:rFonts w:eastAsia="Times New Roman" w:cs="Arial"/>
          <w:snapToGrid w:val="0"/>
          <w:szCs w:val="20"/>
        </w:rPr>
        <w:t xml:space="preserve"> </w:t>
      </w:r>
      <w:r w:rsidRPr="00576DCB">
        <w:rPr>
          <w:rFonts w:eastAsia="Times New Roman" w:cs="Arial"/>
          <w:snapToGrid w:val="0"/>
          <w:szCs w:val="20"/>
        </w:rPr>
        <w:t>and will act as the liaison between the CDE and all other project staff. The Project Manager is responsible for ensuring completion of all project deliverables, tasks, and subtasks.</w:t>
      </w:r>
    </w:p>
    <w:p w14:paraId="55D459ED" w14:textId="2AAA64A3" w:rsidR="00537458" w:rsidRPr="00576DCB" w:rsidRDefault="00557BAC" w:rsidP="00537458">
      <w:pPr>
        <w:pStyle w:val="ListParagraph"/>
        <w:widowControl w:val="0"/>
        <w:spacing w:before="240" w:after="240"/>
        <w:contextualSpacing w:val="0"/>
        <w:rPr>
          <w:rFonts w:eastAsia="Times New Roman" w:cs="Arial"/>
          <w:snapToGrid w:val="0"/>
          <w:szCs w:val="20"/>
        </w:rPr>
      </w:pPr>
      <w:r>
        <w:rPr>
          <w:rFonts w:eastAsia="Times New Roman" w:cs="Arial"/>
          <w:snapToGrid w:val="0"/>
          <w:szCs w:val="20"/>
        </w:rPr>
        <w:t xml:space="preserve">The </w:t>
      </w:r>
      <w:r w:rsidR="00537458" w:rsidRPr="00576DCB">
        <w:rPr>
          <w:rFonts w:eastAsia="Times New Roman" w:cs="Arial"/>
          <w:snapToGrid w:val="0"/>
          <w:szCs w:val="20"/>
        </w:rPr>
        <w:t xml:space="preserve">Project Manager must have, at a minimum, a Master’s </w:t>
      </w:r>
      <w:r w:rsidR="00C0772F" w:rsidRPr="00576DCB">
        <w:rPr>
          <w:rFonts w:eastAsia="Times New Roman" w:cs="Arial"/>
          <w:snapToGrid w:val="0"/>
          <w:szCs w:val="20"/>
        </w:rPr>
        <w:t xml:space="preserve">or Doctorate </w:t>
      </w:r>
      <w:r w:rsidR="00537458" w:rsidRPr="00576DCB">
        <w:rPr>
          <w:rFonts w:eastAsia="Times New Roman" w:cs="Arial"/>
          <w:snapToGrid w:val="0"/>
          <w:szCs w:val="20"/>
        </w:rPr>
        <w:t xml:space="preserve">degree in Education, </w:t>
      </w:r>
      <w:r w:rsidR="00C0772F" w:rsidRPr="00576DCB">
        <w:rPr>
          <w:rFonts w:eastAsia="Times New Roman" w:cs="Arial"/>
          <w:snapToGrid w:val="0"/>
          <w:szCs w:val="20"/>
        </w:rPr>
        <w:t>Education Research, or a related area</w:t>
      </w:r>
      <w:r w:rsidR="00537458" w:rsidRPr="00576DCB">
        <w:rPr>
          <w:rFonts w:eastAsia="Times New Roman" w:cs="Arial"/>
          <w:snapToGrid w:val="0"/>
          <w:szCs w:val="20"/>
        </w:rPr>
        <w:t>. Additionally, the Project Manager must have three years of recent experience (within the last five years) in managing a project comparable to the size and scope of the services described in this RFP.</w:t>
      </w:r>
    </w:p>
    <w:p w14:paraId="4E8AC90A" w14:textId="34A6899A" w:rsidR="00537458" w:rsidRPr="009350B3" w:rsidRDefault="00537458" w:rsidP="00537458">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The Project Manager must be accessible to the CDE Contract Monitor at all times during normal CDE business hours</w:t>
      </w:r>
      <w:r>
        <w:rPr>
          <w:rFonts w:eastAsia="Times New Roman" w:cs="Arial"/>
          <w:snapToGrid w:val="0"/>
          <w:szCs w:val="20"/>
        </w:rPr>
        <w:t xml:space="preserve"> (See RFP, Section </w:t>
      </w:r>
      <w:r w:rsidR="009F49B9">
        <w:rPr>
          <w:rFonts w:eastAsia="Times New Roman" w:cs="Arial"/>
          <w:snapToGrid w:val="0"/>
          <w:szCs w:val="20"/>
        </w:rPr>
        <w:t>2</w:t>
      </w:r>
      <w:r>
        <w:rPr>
          <w:rFonts w:eastAsia="Times New Roman" w:cs="Arial"/>
          <w:snapToGrid w:val="0"/>
          <w:szCs w:val="20"/>
        </w:rPr>
        <w:t>.8 for the definition of “CDE business hours”)</w:t>
      </w:r>
      <w:r w:rsidRPr="009350B3">
        <w:rPr>
          <w:rFonts w:eastAsia="Times New Roman" w:cs="Arial"/>
          <w:snapToGrid w:val="0"/>
          <w:szCs w:val="20"/>
        </w:rPr>
        <w:t>. In addition to other specified responsibilities, the Project Manager will be responsible for all matters related to the bidder’s project staff/personnel including, but not limited to:</w:t>
      </w:r>
    </w:p>
    <w:p w14:paraId="3D4F6CB5" w14:textId="77777777" w:rsidR="00537458" w:rsidRPr="00EA29E7" w:rsidRDefault="00537458" w:rsidP="00EC58E1">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Supervising, reviewing, monitoring, training, and directing all project staff/personnel.</w:t>
      </w:r>
    </w:p>
    <w:p w14:paraId="2B0A410F" w14:textId="77777777" w:rsidR="00537458" w:rsidRPr="00EA29E7" w:rsidRDefault="00537458" w:rsidP="00EC58E1">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Overseeing personnel assigned to complete the required work as specified.</w:t>
      </w:r>
    </w:p>
    <w:p w14:paraId="436EA61B" w14:textId="77777777" w:rsidR="00537458" w:rsidRPr="00EA29E7" w:rsidRDefault="00537458" w:rsidP="00EC58E1">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Maintaining project files.</w:t>
      </w:r>
    </w:p>
    <w:p w14:paraId="06E7227E" w14:textId="77777777" w:rsidR="00537458" w:rsidRPr="00EA29E7" w:rsidRDefault="00537458" w:rsidP="00EC58E1">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Implementing and maintaining quality control procedures to manage conflicts, ensure product accuracy, identify critical reviews and milestones.</w:t>
      </w:r>
    </w:p>
    <w:p w14:paraId="6C22F697" w14:textId="77777777" w:rsidR="00537458" w:rsidRPr="00D15B08" w:rsidRDefault="00537458" w:rsidP="00EC58E1">
      <w:pPr>
        <w:pStyle w:val="ListParagraph"/>
        <w:numPr>
          <w:ilvl w:val="1"/>
          <w:numId w:val="24"/>
        </w:numPr>
        <w:spacing w:before="240" w:after="240"/>
        <w:contextualSpacing w:val="0"/>
        <w:rPr>
          <w:rFonts w:eastAsia="Times New Roman"/>
          <w:snapToGrid w:val="0"/>
          <w:szCs w:val="20"/>
        </w:rPr>
      </w:pPr>
      <w:r w:rsidRPr="00EA29E7">
        <w:rPr>
          <w:rFonts w:eastAsia="Times New Roman" w:cs="Arial"/>
          <w:snapToGrid w:val="0"/>
          <w:szCs w:val="20"/>
        </w:rPr>
        <w:t>Submitting monthly progress reports and invoices in a timely matter.</w:t>
      </w:r>
    </w:p>
    <w:p w14:paraId="145AEF40" w14:textId="77777777" w:rsidR="00537458" w:rsidRDefault="00537458" w:rsidP="00EC58E1">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lastRenderedPageBreak/>
        <w:t>F</w:t>
      </w:r>
      <w:r>
        <w:rPr>
          <w:rFonts w:eastAsia="Times New Roman" w:cs="Arial"/>
          <w:snapToGrid w:val="0"/>
          <w:szCs w:val="20"/>
        </w:rPr>
        <w:t>iscal Manager</w:t>
      </w:r>
    </w:p>
    <w:p w14:paraId="7F992F68" w14:textId="5A1348B5" w:rsidR="00537458" w:rsidRPr="00CF40F0" w:rsidRDefault="00537458" w:rsidP="00537458">
      <w:pPr>
        <w:pStyle w:val="ListParagraph"/>
        <w:widowControl w:val="0"/>
        <w:spacing w:before="240" w:after="240"/>
        <w:contextualSpacing w:val="0"/>
        <w:rPr>
          <w:rFonts w:eastAsia="Times New Roman" w:cs="Arial"/>
          <w:snapToGrid w:val="0"/>
          <w:szCs w:val="20"/>
        </w:rPr>
      </w:pPr>
      <w:r w:rsidRPr="00CF40F0">
        <w:rPr>
          <w:rFonts w:eastAsia="Times New Roman" w:cs="Arial"/>
          <w:snapToGrid w:val="0"/>
          <w:szCs w:val="20"/>
        </w:rPr>
        <w:t xml:space="preserve">Identify by name the Fiscal Manager to be employed </w:t>
      </w:r>
      <w:r>
        <w:rPr>
          <w:rFonts w:eastAsia="Times New Roman" w:cs="Arial"/>
          <w:snapToGrid w:val="0"/>
          <w:szCs w:val="20"/>
        </w:rPr>
        <w:t xml:space="preserve">by the Prime Contractor </w:t>
      </w:r>
      <w:r w:rsidRPr="00CF40F0">
        <w:rPr>
          <w:rFonts w:eastAsia="Times New Roman" w:cs="Arial"/>
          <w:snapToGrid w:val="0"/>
          <w:szCs w:val="20"/>
        </w:rPr>
        <w:t xml:space="preserve">and describe how the proposed Fiscal Manager meets the minimum qualifications stated </w:t>
      </w:r>
      <w:r>
        <w:rPr>
          <w:rFonts w:eastAsia="Times New Roman" w:cs="Arial"/>
          <w:snapToGrid w:val="0"/>
          <w:szCs w:val="20"/>
        </w:rPr>
        <w:t>herein</w:t>
      </w:r>
      <w:r w:rsidRPr="00CF40F0">
        <w:rPr>
          <w:rFonts w:eastAsia="Times New Roman" w:cs="Arial"/>
          <w:snapToGrid w:val="0"/>
          <w:szCs w:val="20"/>
        </w:rPr>
        <w:t>. The Technical Proposal must describe the fiscal accounting processes and budgetary controls that will be employed to ensure the responsible use and management of contract funds and accurate invoicing.</w:t>
      </w:r>
    </w:p>
    <w:p w14:paraId="32BC9BB9" w14:textId="6FEADBD4" w:rsidR="00537458" w:rsidRDefault="00537458" w:rsidP="00537458">
      <w:pPr>
        <w:spacing w:before="240" w:after="240"/>
        <w:ind w:left="720"/>
        <w:rPr>
          <w:rFonts w:eastAsia="Times New Roman"/>
          <w:snapToGrid w:val="0"/>
          <w:szCs w:val="20"/>
        </w:rPr>
      </w:pPr>
      <w:r>
        <w:rPr>
          <w:rFonts w:eastAsia="Times New Roman"/>
          <w:snapToGrid w:val="0"/>
          <w:szCs w:val="20"/>
        </w:rPr>
        <w:t xml:space="preserve">The Fiscal Manager </w:t>
      </w:r>
      <w:r w:rsidRPr="001200DC">
        <w:rPr>
          <w:rFonts w:eastAsia="Times New Roman"/>
          <w:snapToGrid w:val="0"/>
          <w:szCs w:val="20"/>
        </w:rPr>
        <w:t>is the bidder’s fiscal person responsible for the fiscal oversight and management, invoicing and accounting for this entire project.</w:t>
      </w:r>
      <w:r w:rsidR="001633DA">
        <w:rPr>
          <w:rFonts w:eastAsia="Times New Roman"/>
          <w:snapToGrid w:val="0"/>
          <w:szCs w:val="20"/>
        </w:rPr>
        <w:t xml:space="preserve"> The Fiscal Manager must be an employee of the </w:t>
      </w:r>
      <w:r w:rsidR="00557BAC">
        <w:rPr>
          <w:rFonts w:eastAsia="Times New Roman"/>
          <w:snapToGrid w:val="0"/>
          <w:szCs w:val="20"/>
        </w:rPr>
        <w:t>Prime Contractor</w:t>
      </w:r>
      <w:r w:rsidR="001633DA">
        <w:rPr>
          <w:rFonts w:eastAsia="Times New Roman"/>
          <w:snapToGrid w:val="0"/>
          <w:szCs w:val="20"/>
        </w:rPr>
        <w:t>.</w:t>
      </w:r>
    </w:p>
    <w:p w14:paraId="08AED443" w14:textId="7815CA7E" w:rsidR="00537458" w:rsidRDefault="00557BAC" w:rsidP="00537458">
      <w:pPr>
        <w:spacing w:before="240" w:after="240"/>
        <w:ind w:left="720"/>
        <w:rPr>
          <w:rFonts w:eastAsia="Times New Roman" w:cs="Arial"/>
          <w:snapToGrid w:val="0"/>
          <w:szCs w:val="24"/>
        </w:rPr>
      </w:pPr>
      <w:r>
        <w:rPr>
          <w:rFonts w:eastAsia="Times New Roman"/>
          <w:snapToGrid w:val="0"/>
          <w:szCs w:val="20"/>
        </w:rPr>
        <w:t xml:space="preserve">The </w:t>
      </w:r>
      <w:r w:rsidR="00537458">
        <w:rPr>
          <w:rFonts w:eastAsia="Times New Roman"/>
          <w:snapToGrid w:val="0"/>
          <w:szCs w:val="20"/>
        </w:rPr>
        <w:t>Fiscal Manager must possess, at a minimum</w:t>
      </w:r>
      <w:r w:rsidR="00537458" w:rsidRPr="003B1376">
        <w:rPr>
          <w:rFonts w:eastAsia="Times New Roman"/>
          <w:snapToGrid w:val="0"/>
          <w:szCs w:val="20"/>
        </w:rPr>
        <w:t xml:space="preserve">, a degree in </w:t>
      </w:r>
      <w:proofErr w:type="gramStart"/>
      <w:r w:rsidR="00537458" w:rsidRPr="003B1376">
        <w:rPr>
          <w:rFonts w:eastAsia="Times New Roman"/>
          <w:snapToGrid w:val="0"/>
          <w:szCs w:val="20"/>
        </w:rPr>
        <w:t>Accounting</w:t>
      </w:r>
      <w:proofErr w:type="gramEnd"/>
      <w:r w:rsidR="00537458" w:rsidRPr="003B1376">
        <w:rPr>
          <w:rFonts w:eastAsia="Times New Roman"/>
          <w:snapToGrid w:val="0"/>
          <w:szCs w:val="20"/>
        </w:rPr>
        <w:t xml:space="preserve"> or related field, and have at least three years of recent experience (within the last five years) </w:t>
      </w:r>
      <w:r w:rsidR="00537458" w:rsidRPr="001200DC">
        <w:rPr>
          <w:rFonts w:eastAsia="Times New Roman"/>
          <w:snapToGrid w:val="0"/>
          <w:szCs w:val="20"/>
        </w:rPr>
        <w:t>providing fiscal oversight and management of large complex contracts comparable to the size and scope of the services described in this RFP.</w:t>
      </w:r>
    </w:p>
    <w:p w14:paraId="3611CFD4" w14:textId="77777777" w:rsidR="00537458" w:rsidRPr="0004146B" w:rsidRDefault="00537458" w:rsidP="00EC58E1">
      <w:pPr>
        <w:pStyle w:val="ListParagraph"/>
        <w:widowControl w:val="0"/>
        <w:numPr>
          <w:ilvl w:val="0"/>
          <w:numId w:val="23"/>
        </w:numPr>
        <w:spacing w:before="240" w:after="240"/>
        <w:ind w:hanging="720"/>
        <w:contextualSpacing w:val="0"/>
        <w:rPr>
          <w:rFonts w:eastAsia="Times New Roman" w:cs="Arial"/>
          <w:snapToGrid w:val="0"/>
          <w:szCs w:val="24"/>
        </w:rPr>
      </w:pPr>
      <w:r w:rsidRPr="00CF40F0">
        <w:rPr>
          <w:rFonts w:eastAsia="Times New Roman" w:cs="Arial"/>
          <w:snapToGrid w:val="0"/>
          <w:szCs w:val="20"/>
        </w:rPr>
        <w:t>Key Personnel</w:t>
      </w:r>
    </w:p>
    <w:p w14:paraId="645EC869" w14:textId="401F2121" w:rsidR="00537458" w:rsidRDefault="00537458" w:rsidP="00537458">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 xml:space="preserve">Identify by </w:t>
      </w:r>
      <w:r>
        <w:rPr>
          <w:rFonts w:eastAsia="Times New Roman" w:cs="Arial"/>
          <w:snapToGrid w:val="0"/>
          <w:szCs w:val="24"/>
        </w:rPr>
        <w:t xml:space="preserve">name and position title all key </w:t>
      </w:r>
      <w:r w:rsidRPr="00E72CB1">
        <w:rPr>
          <w:rFonts w:eastAsia="Times New Roman" w:cs="Arial"/>
          <w:snapToGrid w:val="0"/>
          <w:szCs w:val="24"/>
        </w:rPr>
        <w:t>personnel who will exercise a major management, oversight and/or administrative role (including, but not limited to, attorneys, consultants, and advisors</w:t>
      </w:r>
      <w:r>
        <w:rPr>
          <w:rFonts w:eastAsia="Times New Roman" w:cs="Arial"/>
          <w:snapToGrid w:val="0"/>
          <w:szCs w:val="24"/>
        </w:rPr>
        <w:t xml:space="preserve"> who will exercise a major management, oversight and/or administrative role</w:t>
      </w:r>
      <w:r w:rsidRPr="00E72CB1">
        <w:rPr>
          <w:rFonts w:eastAsia="Times New Roman" w:cs="Arial"/>
          <w:snapToGrid w:val="0"/>
          <w:szCs w:val="24"/>
        </w:rPr>
        <w:t xml:space="preserve">) on behalf of the bidder or who will have significant responsibility for completing or assisting with the completion of tasks described in </w:t>
      </w:r>
      <w:r>
        <w:rPr>
          <w:rFonts w:eastAsia="Times New Roman" w:cs="Arial"/>
          <w:snapToGrid w:val="0"/>
          <w:szCs w:val="24"/>
        </w:rPr>
        <w:t xml:space="preserve">RFP Section </w:t>
      </w:r>
      <w:r w:rsidR="00DC395C">
        <w:rPr>
          <w:rFonts w:eastAsia="Times New Roman" w:cs="Arial"/>
          <w:snapToGrid w:val="0"/>
          <w:szCs w:val="24"/>
        </w:rPr>
        <w:t>7</w:t>
      </w:r>
      <w:r>
        <w:rPr>
          <w:rFonts w:eastAsia="Times New Roman" w:cs="Arial"/>
          <w:snapToGrid w:val="0"/>
          <w:szCs w:val="24"/>
        </w:rPr>
        <w:t xml:space="preserve"> Scope of Project. </w:t>
      </w:r>
      <w:r w:rsidR="002408FB">
        <w:rPr>
          <w:rFonts w:eastAsia="Times New Roman" w:cs="Arial"/>
          <w:snapToGrid w:val="0"/>
          <w:szCs w:val="24"/>
        </w:rPr>
        <w:t xml:space="preserve">This includes the Project Manager and Fiscal Manager positions. </w:t>
      </w:r>
      <w:r>
        <w:rPr>
          <w:rFonts w:eastAsia="Times New Roman" w:cs="Arial"/>
          <w:snapToGrid w:val="0"/>
          <w:szCs w:val="24"/>
        </w:rPr>
        <w:t xml:space="preserve">(See RFP, Section </w:t>
      </w:r>
      <w:r w:rsidR="009F49B9">
        <w:rPr>
          <w:rFonts w:eastAsia="Times New Roman" w:cs="Arial"/>
          <w:snapToGrid w:val="0"/>
          <w:szCs w:val="24"/>
        </w:rPr>
        <w:t>2</w:t>
      </w:r>
      <w:r>
        <w:rPr>
          <w:rFonts w:eastAsia="Times New Roman" w:cs="Arial"/>
          <w:snapToGrid w:val="0"/>
          <w:szCs w:val="24"/>
        </w:rPr>
        <w:t>.8 for the definition of “key personnel.”)</w:t>
      </w:r>
    </w:p>
    <w:p w14:paraId="233B6087" w14:textId="77777777" w:rsidR="00537458" w:rsidRDefault="00537458" w:rsidP="00537458">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Key personnel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Key personnel d</w:t>
      </w:r>
      <w:r>
        <w:rPr>
          <w:rFonts w:eastAsia="Times New Roman" w:cs="Arial"/>
          <w:snapToGrid w:val="0"/>
          <w:szCs w:val="24"/>
        </w:rPr>
        <w:t>o not include clerical staff.</w:t>
      </w:r>
    </w:p>
    <w:p w14:paraId="37F2E29A" w14:textId="77777777" w:rsidR="00537458" w:rsidRDefault="00537458" w:rsidP="00EC58E1">
      <w:pPr>
        <w:pStyle w:val="ListParagraph"/>
        <w:widowControl w:val="0"/>
        <w:numPr>
          <w:ilvl w:val="1"/>
          <w:numId w:val="29"/>
        </w:numPr>
        <w:tabs>
          <w:tab w:val="clear" w:pos="1800"/>
        </w:tabs>
        <w:spacing w:before="240" w:after="240"/>
        <w:ind w:left="1080"/>
        <w:contextualSpacing w:val="0"/>
        <w:rPr>
          <w:rFonts w:eastAsia="Times New Roman" w:cs="Arial"/>
          <w:snapToGrid w:val="0"/>
          <w:szCs w:val="20"/>
        </w:rPr>
      </w:pPr>
      <w:r>
        <w:rPr>
          <w:rFonts w:eastAsia="Times New Roman" w:cs="Arial"/>
          <w:snapToGrid w:val="0"/>
          <w:szCs w:val="20"/>
        </w:rPr>
        <w:t>Key Personnel Qualifications</w:t>
      </w:r>
    </w:p>
    <w:p w14:paraId="7BEBF353" w14:textId="77777777" w:rsidR="00537458" w:rsidRPr="00A80331" w:rsidRDefault="00537458" w:rsidP="00537458">
      <w:pPr>
        <w:widowControl w:val="0"/>
        <w:ind w:left="1080"/>
        <w:rPr>
          <w:rFonts w:cs="Arial"/>
          <w:szCs w:val="24"/>
        </w:rPr>
      </w:pPr>
      <w:r w:rsidRPr="00A80331">
        <w:rPr>
          <w:rFonts w:cs="Arial"/>
          <w:szCs w:val="24"/>
        </w:rPr>
        <w:t>Describe in detail how the proposed Key Personnel identified above meet the minimum qualifications stated below. The Technical Proposal must describe the expertise and professional quali</w:t>
      </w:r>
      <w:r>
        <w:rPr>
          <w:rFonts w:cs="Arial"/>
          <w:szCs w:val="24"/>
        </w:rPr>
        <w:t>fications of all Key Personnel.</w:t>
      </w:r>
    </w:p>
    <w:p w14:paraId="25E2BF00" w14:textId="7D364B14" w:rsidR="00537458" w:rsidRPr="00576DCB" w:rsidRDefault="00557BAC" w:rsidP="00537458">
      <w:pPr>
        <w:pStyle w:val="ListParagraph"/>
        <w:widowControl w:val="0"/>
        <w:spacing w:before="240" w:after="240"/>
        <w:ind w:left="1080"/>
        <w:contextualSpacing w:val="0"/>
        <w:rPr>
          <w:rFonts w:eastAsia="Times New Roman" w:cs="Arial"/>
          <w:snapToGrid w:val="0"/>
          <w:szCs w:val="24"/>
        </w:rPr>
      </w:pPr>
      <w:r>
        <w:rPr>
          <w:rFonts w:eastAsia="Times New Roman" w:cs="Arial"/>
          <w:snapToGrid w:val="0"/>
          <w:szCs w:val="24"/>
        </w:rPr>
        <w:t xml:space="preserve">The </w:t>
      </w:r>
      <w:r w:rsidR="00537458" w:rsidRPr="00E72CB1">
        <w:rPr>
          <w:rFonts w:eastAsia="Times New Roman" w:cs="Arial"/>
          <w:snapToGrid w:val="0"/>
          <w:szCs w:val="24"/>
        </w:rPr>
        <w:t xml:space="preserve">Technical </w:t>
      </w:r>
      <w:r w:rsidR="00537458" w:rsidRPr="00576DCB">
        <w:rPr>
          <w:rFonts w:eastAsia="Times New Roman" w:cs="Arial"/>
          <w:snapToGrid w:val="0"/>
          <w:szCs w:val="24"/>
        </w:rPr>
        <w:t>Proposal must describe the expertise and professional qualifications of all Key Personnel. Key Personnel identified must possess the following qualifications:</w:t>
      </w:r>
    </w:p>
    <w:p w14:paraId="06C6229E" w14:textId="77777777" w:rsidR="00537458" w:rsidRPr="00576DCB" w:rsidRDefault="00537458" w:rsidP="00537458">
      <w:pPr>
        <w:widowControl w:val="0"/>
        <w:spacing w:before="240" w:after="240"/>
        <w:ind w:left="1080"/>
        <w:rPr>
          <w:rFonts w:cs="Arial"/>
          <w:szCs w:val="24"/>
        </w:rPr>
      </w:pPr>
      <w:r w:rsidRPr="00576DCB">
        <w:rPr>
          <w:rFonts w:cs="Arial"/>
          <w:szCs w:val="24"/>
        </w:rPr>
        <w:t xml:space="preserve">i. </w:t>
      </w:r>
      <w:r w:rsidRPr="00576DCB">
        <w:rPr>
          <w:rFonts w:cs="Arial"/>
          <w:szCs w:val="24"/>
        </w:rPr>
        <w:tab/>
        <w:t>A Master’s or Doctorate degree in education, education research, or a related area.</w:t>
      </w:r>
    </w:p>
    <w:p w14:paraId="7A2AC30A" w14:textId="77777777" w:rsidR="00537458" w:rsidRPr="00576DCB" w:rsidRDefault="00537458" w:rsidP="00537458">
      <w:pPr>
        <w:widowControl w:val="0"/>
        <w:spacing w:before="240" w:after="240"/>
        <w:ind w:left="1440" w:hanging="360"/>
        <w:rPr>
          <w:rFonts w:cs="Arial"/>
          <w:szCs w:val="24"/>
        </w:rPr>
      </w:pPr>
      <w:r w:rsidRPr="00576DCB">
        <w:rPr>
          <w:rFonts w:cs="Arial"/>
          <w:szCs w:val="24"/>
        </w:rPr>
        <w:t xml:space="preserve">ii. </w:t>
      </w:r>
      <w:r w:rsidRPr="00576DCB">
        <w:rPr>
          <w:rFonts w:cs="Arial"/>
          <w:szCs w:val="24"/>
        </w:rPr>
        <w:tab/>
        <w:t>A minimum of three years of experience and demonstrated work history conducting the tasks as described in this RFP.</w:t>
      </w:r>
    </w:p>
    <w:p w14:paraId="558946F3" w14:textId="2E4B4101" w:rsidR="00537458" w:rsidRPr="00660FEE" w:rsidRDefault="00537458" w:rsidP="00537458">
      <w:pPr>
        <w:pStyle w:val="ListParagraph"/>
        <w:spacing w:before="240" w:after="240"/>
        <w:ind w:left="1080"/>
        <w:contextualSpacing w:val="0"/>
        <w:rPr>
          <w:rFonts w:cs="Arial"/>
          <w:szCs w:val="24"/>
        </w:rPr>
      </w:pPr>
      <w:r w:rsidRPr="00576DCB">
        <w:rPr>
          <w:rFonts w:eastAsia="Times New Roman" w:cs="Arial"/>
          <w:snapToGrid w:val="0"/>
          <w:szCs w:val="20"/>
        </w:rPr>
        <w:t xml:space="preserve">Assigned </w:t>
      </w:r>
      <w:r w:rsidR="00557BAC">
        <w:rPr>
          <w:rFonts w:eastAsia="Times New Roman" w:cs="Arial"/>
          <w:snapToGrid w:val="0"/>
          <w:szCs w:val="20"/>
        </w:rPr>
        <w:t>K</w:t>
      </w:r>
      <w:r w:rsidRPr="00576DCB">
        <w:rPr>
          <w:rFonts w:eastAsia="Times New Roman" w:cs="Arial"/>
          <w:snapToGrid w:val="0"/>
          <w:szCs w:val="20"/>
        </w:rPr>
        <w:t xml:space="preserve">ey </w:t>
      </w:r>
      <w:r w:rsidR="00557BAC">
        <w:rPr>
          <w:rFonts w:eastAsia="Times New Roman" w:cs="Arial"/>
          <w:snapToGrid w:val="0"/>
          <w:szCs w:val="20"/>
        </w:rPr>
        <w:t>P</w:t>
      </w:r>
      <w:r w:rsidRPr="00576DCB">
        <w:rPr>
          <w:rFonts w:eastAsia="Times New Roman" w:cs="Arial"/>
          <w:snapToGrid w:val="0"/>
          <w:szCs w:val="20"/>
        </w:rPr>
        <w:t xml:space="preserve">ersonnel must be capable of assisting </w:t>
      </w:r>
      <w:r w:rsidRPr="00660FEE">
        <w:rPr>
          <w:rFonts w:eastAsia="Times New Roman" w:cs="Arial"/>
          <w:snapToGrid w:val="0"/>
          <w:szCs w:val="20"/>
        </w:rPr>
        <w:t>the Project Manager in all aspects of project work.</w:t>
      </w:r>
    </w:p>
    <w:p w14:paraId="0E73BCE9" w14:textId="38BC087C" w:rsidR="00537458" w:rsidRPr="00AF096C" w:rsidRDefault="00537458" w:rsidP="00537458">
      <w:pPr>
        <w:widowControl w:val="0"/>
        <w:tabs>
          <w:tab w:val="left" w:pos="720"/>
          <w:tab w:val="left" w:pos="1080"/>
          <w:tab w:val="left" w:pos="1440"/>
          <w:tab w:val="left" w:pos="1620"/>
        </w:tabs>
        <w:spacing w:before="240" w:after="240"/>
        <w:ind w:left="1080"/>
        <w:rPr>
          <w:rFonts w:eastAsia="Times New Roman" w:cs="Arial"/>
          <w:snapToGrid w:val="0"/>
          <w:szCs w:val="20"/>
        </w:rPr>
      </w:pPr>
      <w:r w:rsidRPr="00AF096C">
        <w:rPr>
          <w:rFonts w:eastAsia="Times New Roman" w:cs="Arial"/>
          <w:snapToGrid w:val="0"/>
          <w:szCs w:val="20"/>
        </w:rPr>
        <w:lastRenderedPageBreak/>
        <w:t xml:space="preserve">The bidder shall identify </w:t>
      </w:r>
      <w:r>
        <w:rPr>
          <w:rFonts w:eastAsia="Times New Roman" w:cs="Arial"/>
          <w:snapToGrid w:val="0"/>
          <w:szCs w:val="20"/>
        </w:rPr>
        <w:t>all key personnel</w:t>
      </w:r>
      <w:r w:rsidRPr="00AF096C">
        <w:rPr>
          <w:rFonts w:eastAsia="Times New Roman" w:cs="Arial"/>
          <w:snapToGrid w:val="0"/>
          <w:szCs w:val="20"/>
        </w:rPr>
        <w:t xml:space="preserve"> proposed for each t</w:t>
      </w:r>
      <w:r>
        <w:rPr>
          <w:rFonts w:eastAsia="Times New Roman" w:cs="Arial"/>
          <w:snapToGrid w:val="0"/>
          <w:szCs w:val="20"/>
        </w:rPr>
        <w:t xml:space="preserve">ask by name, job position title, and the </w:t>
      </w:r>
      <w:r w:rsidRPr="00AF096C">
        <w:rPr>
          <w:rFonts w:eastAsia="Times New Roman" w:cs="Arial"/>
          <w:snapToGrid w:val="0"/>
          <w:szCs w:val="20"/>
        </w:rPr>
        <w:t>specific responsibilities assigned</w:t>
      </w:r>
      <w:r w:rsidR="00602E3D">
        <w:rPr>
          <w:rFonts w:eastAsia="Times New Roman" w:cs="Arial"/>
          <w:snapToGrid w:val="0"/>
          <w:szCs w:val="20"/>
        </w:rPr>
        <w:t xml:space="preserve"> to</w:t>
      </w:r>
      <w:r w:rsidRPr="00AF096C">
        <w:rPr>
          <w:rFonts w:eastAsia="Times New Roman" w:cs="Arial"/>
          <w:snapToGrid w:val="0"/>
          <w:szCs w:val="20"/>
        </w:rPr>
        <w:t xml:space="preserve"> </w:t>
      </w:r>
      <w:proofErr w:type="gramStart"/>
      <w:r>
        <w:rPr>
          <w:rFonts w:eastAsia="Times New Roman" w:cs="Arial"/>
          <w:snapToGrid w:val="0"/>
          <w:szCs w:val="20"/>
        </w:rPr>
        <w:t>each individual</w:t>
      </w:r>
      <w:proofErr w:type="gramEnd"/>
      <w:r>
        <w:rPr>
          <w:rFonts w:eastAsia="Times New Roman" w:cs="Arial"/>
          <w:snapToGrid w:val="0"/>
          <w:szCs w:val="20"/>
        </w:rPr>
        <w:t>.</w:t>
      </w:r>
    </w:p>
    <w:p w14:paraId="0922E7F3" w14:textId="77777777" w:rsidR="00537458" w:rsidRDefault="00537458" w:rsidP="00EC58E1">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Changes to Key Personnel</w:t>
      </w:r>
      <w:r>
        <w:rPr>
          <w:rFonts w:eastAsia="Times New Roman" w:cs="Arial"/>
          <w:snapToGrid w:val="0"/>
          <w:szCs w:val="20"/>
        </w:rPr>
        <w:t xml:space="preserve"> Requirements</w:t>
      </w:r>
    </w:p>
    <w:p w14:paraId="1B291CB0" w14:textId="09043616" w:rsidR="00537458" w:rsidRPr="001200DC" w:rsidRDefault="00537458" w:rsidP="00537458">
      <w:pPr>
        <w:spacing w:before="240" w:after="240"/>
        <w:ind w:left="720"/>
        <w:rPr>
          <w:rFonts w:cs="Arial"/>
          <w:szCs w:val="24"/>
        </w:rPr>
      </w:pPr>
      <w:r w:rsidRPr="00A80331">
        <w:rPr>
          <w:rFonts w:cs="Arial"/>
          <w:szCs w:val="24"/>
        </w:rPr>
        <w:t xml:space="preserve">The </w:t>
      </w:r>
      <w:r>
        <w:rPr>
          <w:rFonts w:cs="Arial"/>
          <w:szCs w:val="24"/>
        </w:rPr>
        <w:t xml:space="preserve">Technical Proposal must acknowledge and ensure that the successful bidder </w:t>
      </w:r>
      <w:r w:rsidRPr="00A80331">
        <w:rPr>
          <w:rFonts w:cs="Arial"/>
          <w:szCs w:val="24"/>
        </w:rPr>
        <w:t>cannot change or substitute the assigned Project Manager, Fiscal Manager, Key Personnel</w:t>
      </w:r>
      <w:r>
        <w:rPr>
          <w:rFonts w:cs="Arial"/>
          <w:szCs w:val="24"/>
        </w:rPr>
        <w:t xml:space="preserve"> (including</w:t>
      </w:r>
      <w:r w:rsidRPr="00A80331">
        <w:rPr>
          <w:rFonts w:cs="Arial"/>
          <w:szCs w:val="24"/>
        </w:rPr>
        <w:t>, subcontractors or independent consultants</w:t>
      </w:r>
      <w:r>
        <w:rPr>
          <w:rFonts w:cs="Arial"/>
          <w:szCs w:val="24"/>
        </w:rPr>
        <w:t>, if identified as Key Personnel)</w:t>
      </w:r>
      <w:r w:rsidRPr="00A80331">
        <w:rPr>
          <w:rFonts w:cs="Arial"/>
          <w:szCs w:val="24"/>
        </w:rPr>
        <w:t xml:space="preserve"> without the CDE Contract Monitor’s prior approval and formal amendment approved by the </w:t>
      </w:r>
      <w:r w:rsidR="007E71B9">
        <w:rPr>
          <w:rFonts w:cs="Arial"/>
          <w:szCs w:val="24"/>
        </w:rPr>
        <w:t>DGS</w:t>
      </w:r>
      <w:r w:rsidRPr="00A80331">
        <w:rPr>
          <w:rFonts w:cs="Arial"/>
          <w:szCs w:val="24"/>
        </w:rPr>
        <w:t>. The substitute Project Manager, Fiscal Manager and Key Personnel shall meet or exceed the qualifications and experience level of the previously assigned Project Manager, Fiscal Manager, and Key Personnel. The Technical Proposal must specify that the bidder will comply with the Changes to Key Personnel Requirements.</w:t>
      </w:r>
    </w:p>
    <w:p w14:paraId="133E4363" w14:textId="77777777" w:rsidR="00537458" w:rsidRDefault="00537458" w:rsidP="00EC58E1">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 xml:space="preserve">Current </w:t>
      </w:r>
      <w:r>
        <w:rPr>
          <w:rFonts w:eastAsia="Times New Roman" w:cs="Arial"/>
          <w:snapToGrid w:val="0"/>
          <w:szCs w:val="20"/>
        </w:rPr>
        <w:t>Résumés</w:t>
      </w:r>
    </w:p>
    <w:p w14:paraId="56ABF053" w14:textId="77777777" w:rsidR="00537458" w:rsidRPr="00D15B08"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 xml:space="preserve">Provide résumés for all Key Personnel </w:t>
      </w:r>
      <w:r>
        <w:rPr>
          <w:rFonts w:eastAsia="Times New Roman" w:cs="Arial"/>
          <w:snapToGrid w:val="0"/>
          <w:szCs w:val="20"/>
        </w:rPr>
        <w:t>(</w:t>
      </w:r>
      <w:r w:rsidRPr="00A80331">
        <w:rPr>
          <w:rFonts w:cs="Arial"/>
          <w:szCs w:val="24"/>
        </w:rPr>
        <w:t>Project Manager, Fiscal Manager, Key Personnel, subcontractors or independent consultants</w:t>
      </w:r>
      <w:r>
        <w:rPr>
          <w:rFonts w:eastAsia="Times New Roman" w:cs="Arial"/>
          <w:snapToGrid w:val="0"/>
          <w:szCs w:val="20"/>
        </w:rPr>
        <w:t xml:space="preserve">) </w:t>
      </w:r>
      <w:r w:rsidRPr="00D15B08">
        <w:rPr>
          <w:rFonts w:eastAsia="Times New Roman" w:cs="Arial"/>
          <w:snapToGrid w:val="0"/>
          <w:szCs w:val="20"/>
        </w:rPr>
        <w:t>identified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w:t>
      </w:r>
      <w:r>
        <w:rPr>
          <w:rFonts w:eastAsia="Times New Roman" w:cs="Arial"/>
          <w:snapToGrid w:val="0"/>
          <w:szCs w:val="20"/>
        </w:rPr>
        <w:t>.</w:t>
      </w:r>
    </w:p>
    <w:p w14:paraId="1D2F854F" w14:textId="77777777" w:rsidR="00537458" w:rsidRDefault="00537458" w:rsidP="00537458">
      <w:pPr>
        <w:widowControl w:val="0"/>
        <w:spacing w:before="240" w:after="240"/>
        <w:ind w:left="720"/>
        <w:rPr>
          <w:rFonts w:eastAsia="Times New Roman" w:cs="Arial"/>
          <w:snapToGrid w:val="0"/>
          <w:szCs w:val="20"/>
        </w:rPr>
      </w:pPr>
      <w:r>
        <w:rPr>
          <w:rFonts w:eastAsia="Times New Roman" w:cs="Arial"/>
          <w:snapToGrid w:val="0"/>
          <w:szCs w:val="20"/>
        </w:rPr>
        <w:t>Résumés</w:t>
      </w:r>
      <w:r w:rsidDel="0001088D">
        <w:rPr>
          <w:rFonts w:eastAsia="Times New Roman" w:cs="Arial"/>
          <w:snapToGrid w:val="0"/>
          <w:szCs w:val="20"/>
        </w:rPr>
        <w:t xml:space="preserve"> </w:t>
      </w:r>
      <w:r>
        <w:rPr>
          <w:rFonts w:eastAsia="Times New Roman" w:cs="Arial"/>
          <w:snapToGrid w:val="0"/>
          <w:szCs w:val="20"/>
        </w:rPr>
        <w:t xml:space="preserve">must be provided for the following, </w:t>
      </w:r>
      <w:r w:rsidRPr="00E67354">
        <w:rPr>
          <w:rFonts w:eastAsia="Times New Roman" w:cs="Arial"/>
          <w:snapToGrid w:val="0"/>
          <w:szCs w:val="20"/>
        </w:rPr>
        <w:t>including but not limited to</w:t>
      </w:r>
      <w:r>
        <w:rPr>
          <w:rFonts w:eastAsia="Times New Roman" w:cs="Arial"/>
          <w:snapToGrid w:val="0"/>
          <w:szCs w:val="20"/>
        </w:rPr>
        <w:t>, the</w:t>
      </w:r>
      <w:r w:rsidRPr="00E67354">
        <w:rPr>
          <w:rFonts w:eastAsia="Times New Roman" w:cs="Arial"/>
          <w:snapToGrid w:val="0"/>
          <w:szCs w:val="20"/>
        </w:rPr>
        <w:t xml:space="preserve"> Project Manager</w:t>
      </w:r>
      <w:r>
        <w:rPr>
          <w:rFonts w:eastAsia="Times New Roman" w:cs="Arial"/>
          <w:snapToGrid w:val="0"/>
          <w:szCs w:val="20"/>
        </w:rPr>
        <w:t xml:space="preserve">, the </w:t>
      </w:r>
      <w:r w:rsidRPr="00E67354">
        <w:rPr>
          <w:rFonts w:eastAsia="Times New Roman" w:cs="Arial"/>
          <w:snapToGrid w:val="0"/>
          <w:szCs w:val="20"/>
        </w:rPr>
        <w:t xml:space="preserve">Fiscal Manager, </w:t>
      </w:r>
      <w:r>
        <w:rPr>
          <w:rFonts w:eastAsia="Times New Roman" w:cs="Arial"/>
          <w:snapToGrid w:val="0"/>
          <w:szCs w:val="20"/>
        </w:rPr>
        <w:t xml:space="preserve">any subcontractors or </w:t>
      </w:r>
      <w:r w:rsidRPr="00E67354">
        <w:rPr>
          <w:rFonts w:eastAsia="Times New Roman" w:cs="Arial"/>
          <w:snapToGrid w:val="0"/>
          <w:szCs w:val="20"/>
        </w:rPr>
        <w:t>independent consultants, manage</w:t>
      </w:r>
      <w:r>
        <w:rPr>
          <w:rFonts w:eastAsia="Times New Roman" w:cs="Arial"/>
          <w:snapToGrid w:val="0"/>
          <w:szCs w:val="20"/>
        </w:rPr>
        <w:t xml:space="preserve">rs, supervisors, and all other </w:t>
      </w:r>
      <w:r w:rsidRPr="00E67354">
        <w:rPr>
          <w:rFonts w:eastAsia="Times New Roman" w:cs="Arial"/>
          <w:snapToGrid w:val="0"/>
          <w:szCs w:val="20"/>
        </w:rPr>
        <w:t>Key Personnel</w:t>
      </w:r>
      <w:r>
        <w:rPr>
          <w:rFonts w:eastAsia="Times New Roman" w:cs="Arial"/>
          <w:snapToGrid w:val="0"/>
          <w:szCs w:val="20"/>
        </w:rPr>
        <w:t xml:space="preserve"> identified by the bidder.</w:t>
      </w:r>
    </w:p>
    <w:p w14:paraId="4319E36B" w14:textId="77777777" w:rsidR="00537458" w:rsidRPr="00E67354" w:rsidRDefault="00537458" w:rsidP="00537458">
      <w:pPr>
        <w:widowControl w:val="0"/>
        <w:spacing w:before="240" w:after="240"/>
        <w:ind w:left="720"/>
        <w:rPr>
          <w:rFonts w:eastAsia="Times New Roman" w:cs="Arial"/>
          <w:snapToGrid w:val="0"/>
          <w:szCs w:val="20"/>
        </w:rPr>
      </w:pPr>
      <w:r w:rsidRPr="00E67354">
        <w:rPr>
          <w:rFonts w:eastAsia="Times New Roman" w:cs="Arial"/>
          <w:snapToGrid w:val="0"/>
          <w:szCs w:val="20"/>
        </w:rPr>
        <w:t>To the extent possible, r</w:t>
      </w:r>
      <w:r>
        <w:rPr>
          <w:rFonts w:eastAsia="Times New Roman" w:cs="Arial"/>
          <w:snapToGrid w:val="0"/>
          <w:szCs w:val="20"/>
        </w:rPr>
        <w:t>é</w:t>
      </w:r>
      <w:r w:rsidRPr="00E67354">
        <w:rPr>
          <w:rFonts w:eastAsia="Times New Roman" w:cs="Arial"/>
          <w:snapToGrid w:val="0"/>
          <w:szCs w:val="20"/>
        </w:rPr>
        <w:t>sum</w:t>
      </w:r>
      <w:r>
        <w:rPr>
          <w:rFonts w:eastAsia="Times New Roman" w:cs="Arial"/>
          <w:snapToGrid w:val="0"/>
          <w:szCs w:val="20"/>
        </w:rPr>
        <w:t>é</w:t>
      </w:r>
      <w:r w:rsidRPr="00E67354">
        <w:rPr>
          <w:rFonts w:eastAsia="Times New Roman" w:cs="Arial"/>
          <w:snapToGrid w:val="0"/>
          <w:szCs w:val="20"/>
        </w:rPr>
        <w:t>s should not include personal information such as social security number, home address, home telephone number, marital status, sex, birth date, etc.</w:t>
      </w:r>
    </w:p>
    <w:p w14:paraId="533650CB" w14:textId="77777777" w:rsidR="00537458" w:rsidRDefault="00537458" w:rsidP="00EC58E1">
      <w:pPr>
        <w:pStyle w:val="ListParagraph"/>
        <w:widowControl w:val="0"/>
        <w:numPr>
          <w:ilvl w:val="0"/>
          <w:numId w:val="23"/>
        </w:numPr>
        <w:spacing w:before="240" w:after="240"/>
        <w:ind w:hanging="720"/>
        <w:contextualSpacing w:val="0"/>
        <w:rPr>
          <w:rFonts w:eastAsia="Times New Roman" w:cs="Arial"/>
          <w:snapToGrid w:val="0"/>
          <w:szCs w:val="20"/>
        </w:rPr>
      </w:pPr>
      <w:r w:rsidRPr="008F2F1B">
        <w:rPr>
          <w:rFonts w:eastAsia="Times New Roman" w:cs="Arial"/>
          <w:snapToGrid w:val="0"/>
          <w:szCs w:val="20"/>
        </w:rPr>
        <w:t>Subcontractors</w:t>
      </w:r>
    </w:p>
    <w:p w14:paraId="65C65C2D" w14:textId="4D7D9752" w:rsidR="00537458" w:rsidRPr="00D15B08"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Provide the full legal names of all proposed subcontractors (see RFP</w:t>
      </w:r>
      <w:r>
        <w:rPr>
          <w:rFonts w:eastAsia="Times New Roman" w:cs="Arial"/>
          <w:snapToGrid w:val="0"/>
          <w:szCs w:val="20"/>
        </w:rPr>
        <w:t>,</w:t>
      </w:r>
      <w:r w:rsidRPr="00D15B08">
        <w:rPr>
          <w:rFonts w:eastAsia="Times New Roman" w:cs="Arial"/>
          <w:snapToGrid w:val="0"/>
          <w:szCs w:val="20"/>
        </w:rPr>
        <w:t xml:space="preserve"> Section </w:t>
      </w:r>
      <w:r w:rsidR="009F49B9">
        <w:rPr>
          <w:rFonts w:eastAsia="Times New Roman" w:cs="Arial"/>
          <w:snapToGrid w:val="0"/>
          <w:szCs w:val="20"/>
        </w:rPr>
        <w:t>2</w:t>
      </w:r>
      <w:r w:rsidRPr="00D15B08">
        <w:rPr>
          <w:rFonts w:eastAsia="Times New Roman" w:cs="Arial"/>
          <w:snapToGrid w:val="0"/>
          <w:szCs w:val="20"/>
        </w:rPr>
        <w:t>.</w:t>
      </w:r>
      <w:r>
        <w:rPr>
          <w:rFonts w:eastAsia="Times New Roman" w:cs="Arial"/>
          <w:snapToGrid w:val="0"/>
          <w:szCs w:val="20"/>
        </w:rPr>
        <w:t>8</w:t>
      </w:r>
      <w:r w:rsidRPr="00D15B08">
        <w:rPr>
          <w:rFonts w:eastAsia="Times New Roman" w:cs="Arial"/>
          <w:snapToGrid w:val="0"/>
          <w:szCs w:val="20"/>
        </w:rPr>
        <w:t xml:space="preserve"> for definition of </w:t>
      </w:r>
      <w:r>
        <w:rPr>
          <w:rFonts w:eastAsia="Times New Roman" w:cs="Arial"/>
          <w:snapToGrid w:val="0"/>
          <w:szCs w:val="20"/>
        </w:rPr>
        <w:t>“</w:t>
      </w:r>
      <w:r w:rsidRPr="006A1F25">
        <w:rPr>
          <w:rFonts w:eastAsia="Times New Roman" w:cs="Arial"/>
          <w:snapToGrid w:val="0"/>
          <w:szCs w:val="20"/>
        </w:rPr>
        <w:t>subcontractor</w:t>
      </w:r>
      <w:r>
        <w:rPr>
          <w:rFonts w:eastAsia="Times New Roman" w:cs="Arial"/>
          <w:snapToGrid w:val="0"/>
          <w:szCs w:val="20"/>
        </w:rPr>
        <w:t>”</w:t>
      </w:r>
      <w:r w:rsidRPr="00D15B08">
        <w:rPr>
          <w:rFonts w:eastAsia="Times New Roman" w:cs="Arial"/>
          <w:snapToGrid w:val="0"/>
          <w:szCs w:val="20"/>
        </w:rPr>
        <w:t>) that will be used to perform services. For each subcontractor, include:</w:t>
      </w:r>
    </w:p>
    <w:p w14:paraId="05CB21CA" w14:textId="77777777" w:rsidR="00537458" w:rsidRPr="008F2F1B" w:rsidRDefault="00537458" w:rsidP="00537458">
      <w:pPr>
        <w:widowControl w:val="0"/>
        <w:numPr>
          <w:ilvl w:val="1"/>
          <w:numId w:val="6"/>
        </w:numPr>
        <w:spacing w:before="240" w:after="240"/>
        <w:ind w:left="1080"/>
        <w:rPr>
          <w:rFonts w:eastAsia="Times New Roman" w:cs="Arial"/>
          <w:snapToGrid w:val="0"/>
          <w:szCs w:val="20"/>
        </w:rPr>
      </w:pPr>
      <w:r w:rsidRPr="008F2F1B">
        <w:rPr>
          <w:rFonts w:eastAsia="Times New Roman" w:cs="Arial"/>
          <w:snapToGrid w:val="0"/>
          <w:szCs w:val="20"/>
        </w:rPr>
        <w:t xml:space="preserve">A clear description of the functions, activities, and responsibilities that will be performed by each subcontractor </w:t>
      </w:r>
      <w:r>
        <w:rPr>
          <w:rFonts w:eastAsia="Times New Roman" w:cs="Arial"/>
          <w:snapToGrid w:val="0"/>
          <w:szCs w:val="20"/>
        </w:rPr>
        <w:t>and/or independent consultants.</w:t>
      </w:r>
    </w:p>
    <w:p w14:paraId="5CDBE406" w14:textId="77777777" w:rsidR="00537458" w:rsidRPr="008F2F1B" w:rsidRDefault="00537458" w:rsidP="00537458">
      <w:pPr>
        <w:widowControl w:val="0"/>
        <w:numPr>
          <w:ilvl w:val="1"/>
          <w:numId w:val="6"/>
        </w:numPr>
        <w:tabs>
          <w:tab w:val="left" w:pos="1080"/>
          <w:tab w:val="left" w:pos="1620"/>
        </w:tabs>
        <w:spacing w:before="240" w:after="240"/>
        <w:ind w:left="1080"/>
        <w:rPr>
          <w:rFonts w:eastAsia="Times New Roman" w:cs="Arial"/>
          <w:snapToGrid w:val="0"/>
          <w:szCs w:val="20"/>
        </w:rPr>
      </w:pPr>
      <w:r w:rsidRPr="008F2F1B">
        <w:rPr>
          <w:rFonts w:eastAsia="Times New Roman" w:cs="Arial"/>
          <w:snapToGrid w:val="0"/>
          <w:szCs w:val="20"/>
        </w:rPr>
        <w:t>A brief explanation as to why the subcontractor or independent consultant was selected including expertise, knowledge, sp</w:t>
      </w:r>
      <w:r>
        <w:rPr>
          <w:rFonts w:eastAsia="Times New Roman" w:cs="Arial"/>
          <w:snapToGrid w:val="0"/>
          <w:szCs w:val="20"/>
        </w:rPr>
        <w:t xml:space="preserve">ecialty, </w:t>
      </w:r>
      <w:proofErr w:type="gramStart"/>
      <w:r>
        <w:rPr>
          <w:rFonts w:eastAsia="Times New Roman" w:cs="Arial"/>
          <w:snapToGrid w:val="0"/>
          <w:szCs w:val="20"/>
        </w:rPr>
        <w:t>past experience</w:t>
      </w:r>
      <w:proofErr w:type="gramEnd"/>
      <w:r>
        <w:rPr>
          <w:rFonts w:eastAsia="Times New Roman" w:cs="Arial"/>
          <w:snapToGrid w:val="0"/>
          <w:szCs w:val="20"/>
        </w:rPr>
        <w:t>, etc.</w:t>
      </w:r>
    </w:p>
    <w:p w14:paraId="7AC7A95F" w14:textId="3C2E8711" w:rsidR="00537458" w:rsidRDefault="00537458" w:rsidP="00537458">
      <w:pPr>
        <w:widowControl w:val="0"/>
        <w:numPr>
          <w:ilvl w:val="1"/>
          <w:numId w:val="6"/>
        </w:numPr>
        <w:tabs>
          <w:tab w:val="left" w:pos="1080"/>
          <w:tab w:val="left" w:pos="1620"/>
        </w:tabs>
        <w:spacing w:before="240" w:after="240"/>
        <w:ind w:left="1080"/>
        <w:rPr>
          <w:rFonts w:eastAsia="Times New Roman" w:cs="Arial"/>
          <w:snapToGrid w:val="0"/>
          <w:szCs w:val="20"/>
        </w:rPr>
      </w:pPr>
      <w:r w:rsidRPr="001200DC">
        <w:rPr>
          <w:rFonts w:eastAsia="Times New Roman" w:cs="Arial"/>
          <w:snapToGrid w:val="0"/>
          <w:szCs w:val="20"/>
        </w:rPr>
        <w:t>A r</w:t>
      </w:r>
      <w:r>
        <w:rPr>
          <w:rFonts w:eastAsia="Times New Roman" w:cs="Arial"/>
          <w:snapToGrid w:val="0"/>
          <w:szCs w:val="20"/>
        </w:rPr>
        <w:t>é</w:t>
      </w:r>
      <w:r w:rsidRPr="001200DC">
        <w:rPr>
          <w:rFonts w:eastAsia="Times New Roman" w:cs="Arial"/>
          <w:snapToGrid w:val="0"/>
          <w:szCs w:val="20"/>
        </w:rPr>
        <w:t>sum</w:t>
      </w:r>
      <w:r>
        <w:rPr>
          <w:rFonts w:eastAsia="Times New Roman" w:cs="Arial"/>
          <w:snapToGrid w:val="0"/>
          <w:szCs w:val="20"/>
        </w:rPr>
        <w:t>é</w:t>
      </w:r>
      <w:r w:rsidRPr="001200DC">
        <w:rPr>
          <w:rFonts w:eastAsia="Times New Roman" w:cs="Arial"/>
          <w:snapToGrid w:val="0"/>
          <w:szCs w:val="20"/>
        </w:rPr>
        <w:t xml:space="preserve"> for each subcontractor’s Key Personnel and independent consultants. To the extent possible, </w:t>
      </w:r>
      <w:r w:rsidRPr="00E67354">
        <w:rPr>
          <w:rFonts w:eastAsia="Times New Roman" w:cs="Arial"/>
          <w:snapToGrid w:val="0"/>
          <w:szCs w:val="20"/>
        </w:rPr>
        <w:t>r</w:t>
      </w:r>
      <w:r>
        <w:rPr>
          <w:rFonts w:eastAsia="Times New Roman" w:cs="Arial"/>
          <w:snapToGrid w:val="0"/>
          <w:szCs w:val="20"/>
        </w:rPr>
        <w:t>é</w:t>
      </w:r>
      <w:r w:rsidRPr="00E67354">
        <w:rPr>
          <w:rFonts w:eastAsia="Times New Roman" w:cs="Arial"/>
          <w:snapToGrid w:val="0"/>
          <w:szCs w:val="20"/>
        </w:rPr>
        <w:t>sum</w:t>
      </w:r>
      <w:r>
        <w:rPr>
          <w:rFonts w:eastAsia="Times New Roman" w:cs="Arial"/>
          <w:snapToGrid w:val="0"/>
          <w:szCs w:val="20"/>
        </w:rPr>
        <w:t>é</w:t>
      </w:r>
      <w:r w:rsidRPr="00E67354">
        <w:rPr>
          <w:rFonts w:eastAsia="Times New Roman" w:cs="Arial"/>
          <w:snapToGrid w:val="0"/>
          <w:szCs w:val="20"/>
        </w:rPr>
        <w:t xml:space="preserve">s </w:t>
      </w:r>
      <w:r w:rsidRPr="001200DC">
        <w:rPr>
          <w:rFonts w:eastAsia="Times New Roman" w:cs="Arial"/>
          <w:snapToGrid w:val="0"/>
          <w:szCs w:val="20"/>
        </w:rPr>
        <w:t>should not include personal information such as social security number, home address, home telephone number, marital status, sex, birthdate, etc. All subcontractors must conform to all requirements of this RFP. (Refer to RFP</w:t>
      </w:r>
      <w:r>
        <w:rPr>
          <w:rFonts w:eastAsia="Times New Roman" w:cs="Arial"/>
          <w:snapToGrid w:val="0"/>
          <w:szCs w:val="20"/>
        </w:rPr>
        <w:t>,</w:t>
      </w:r>
      <w:r w:rsidRPr="001200DC">
        <w:rPr>
          <w:rFonts w:eastAsia="Times New Roman" w:cs="Arial"/>
          <w:snapToGrid w:val="0"/>
          <w:szCs w:val="20"/>
        </w:rPr>
        <w:t xml:space="preserve"> Section </w:t>
      </w:r>
      <w:r w:rsidR="009F49B9">
        <w:rPr>
          <w:rFonts w:eastAsia="Times New Roman" w:cs="Arial"/>
          <w:snapToGrid w:val="0"/>
          <w:szCs w:val="20"/>
        </w:rPr>
        <w:t>2</w:t>
      </w:r>
      <w:r w:rsidRPr="001200DC">
        <w:rPr>
          <w:rFonts w:eastAsia="Times New Roman" w:cs="Arial"/>
          <w:snapToGrid w:val="0"/>
          <w:szCs w:val="20"/>
        </w:rPr>
        <w:t>.</w:t>
      </w:r>
      <w:r>
        <w:rPr>
          <w:rFonts w:eastAsia="Times New Roman" w:cs="Arial"/>
          <w:snapToGrid w:val="0"/>
          <w:szCs w:val="20"/>
        </w:rPr>
        <w:t>8</w:t>
      </w:r>
      <w:r w:rsidRPr="001200DC">
        <w:rPr>
          <w:rFonts w:eastAsia="Times New Roman" w:cs="Arial"/>
          <w:snapToGrid w:val="0"/>
          <w:szCs w:val="20"/>
        </w:rPr>
        <w:t xml:space="preserve"> for the definition of </w:t>
      </w:r>
      <w:r>
        <w:rPr>
          <w:rFonts w:eastAsia="Times New Roman" w:cs="Arial"/>
          <w:snapToGrid w:val="0"/>
          <w:szCs w:val="20"/>
        </w:rPr>
        <w:t>“</w:t>
      </w:r>
      <w:r w:rsidRPr="006A1F25">
        <w:rPr>
          <w:rFonts w:eastAsia="Times New Roman" w:cs="Arial"/>
          <w:snapToGrid w:val="0"/>
          <w:szCs w:val="20"/>
        </w:rPr>
        <w:t>subcontractor</w:t>
      </w:r>
      <w:r>
        <w:rPr>
          <w:rFonts w:eastAsia="Times New Roman" w:cs="Arial"/>
          <w:snapToGrid w:val="0"/>
          <w:szCs w:val="20"/>
        </w:rPr>
        <w:t>”</w:t>
      </w:r>
      <w:r w:rsidRPr="001200DC">
        <w:rPr>
          <w:rFonts w:eastAsia="Times New Roman" w:cs="Arial"/>
          <w:snapToGrid w:val="0"/>
          <w:szCs w:val="20"/>
        </w:rPr>
        <w:t>)</w:t>
      </w:r>
      <w:r w:rsidR="00557BAC">
        <w:rPr>
          <w:rFonts w:eastAsia="Times New Roman" w:cs="Arial"/>
          <w:snapToGrid w:val="0"/>
          <w:szCs w:val="20"/>
        </w:rPr>
        <w:t>.</w:t>
      </w:r>
    </w:p>
    <w:p w14:paraId="58B990A1" w14:textId="35C999B3" w:rsidR="00537458" w:rsidRPr="008F2F1B" w:rsidRDefault="00537458" w:rsidP="00537458">
      <w:pPr>
        <w:widowControl w:val="0"/>
        <w:numPr>
          <w:ilvl w:val="1"/>
          <w:numId w:val="6"/>
        </w:numPr>
        <w:tabs>
          <w:tab w:val="left" w:pos="1080"/>
        </w:tabs>
        <w:spacing w:before="240" w:after="240"/>
        <w:ind w:left="1080"/>
        <w:rPr>
          <w:rFonts w:eastAsia="Times New Roman" w:cs="Arial"/>
          <w:snapToGrid w:val="0"/>
          <w:szCs w:val="20"/>
        </w:rPr>
      </w:pPr>
      <w:r w:rsidRPr="008F2F1B">
        <w:rPr>
          <w:rFonts w:eastAsia="Times New Roman" w:cs="Arial"/>
          <w:snapToGrid w:val="0"/>
          <w:szCs w:val="20"/>
        </w:rPr>
        <w:t xml:space="preserve">A commitment letter, signed by an official representative of each subcontractor or </w:t>
      </w:r>
      <w:r w:rsidRPr="008F2F1B">
        <w:rPr>
          <w:rFonts w:eastAsia="Times New Roman" w:cs="Arial"/>
          <w:snapToGrid w:val="0"/>
          <w:szCs w:val="20"/>
        </w:rPr>
        <w:lastRenderedPageBreak/>
        <w:t xml:space="preserve">independent consultant, acknowledging their intended participation/availability and confirmation that they have been made aware of the terms and conditions of the proposed contract. </w:t>
      </w:r>
      <w:r w:rsidRPr="008F2F1B">
        <w:rPr>
          <w:rFonts w:cs="Arial"/>
        </w:rPr>
        <w:t>A commitment letter is required for all subcontractors. No cost should be inc</w:t>
      </w:r>
      <w:r>
        <w:rPr>
          <w:rFonts w:cs="Arial"/>
        </w:rPr>
        <w:t xml:space="preserve">luded in the commitment letter (Refer to RFP, Section </w:t>
      </w:r>
      <w:r w:rsidR="009F49B9">
        <w:rPr>
          <w:rFonts w:cs="Arial"/>
        </w:rPr>
        <w:t>3</w:t>
      </w:r>
      <w:r>
        <w:rPr>
          <w:rFonts w:cs="Arial"/>
        </w:rPr>
        <w:t>.2</w:t>
      </w:r>
      <w:r w:rsidR="00D6522A">
        <w:rPr>
          <w:rFonts w:cs="Arial"/>
        </w:rPr>
        <w:t>.9</w:t>
      </w:r>
      <w:r>
        <w:rPr>
          <w:rFonts w:cs="Arial"/>
        </w:rPr>
        <w:t>)</w:t>
      </w:r>
      <w:r w:rsidR="00D6522A">
        <w:rPr>
          <w:rFonts w:cs="Arial"/>
        </w:rPr>
        <w:t>.</w:t>
      </w:r>
    </w:p>
    <w:p w14:paraId="61EE58B6" w14:textId="293D8A31" w:rsidR="00537458" w:rsidRPr="008F2F1B" w:rsidRDefault="00537458" w:rsidP="00537458">
      <w:pPr>
        <w:widowControl w:val="0"/>
        <w:numPr>
          <w:ilvl w:val="1"/>
          <w:numId w:val="6"/>
        </w:numPr>
        <w:tabs>
          <w:tab w:val="left" w:pos="1080"/>
          <w:tab w:val="left" w:pos="1440"/>
        </w:tabs>
        <w:spacing w:before="240" w:after="240"/>
        <w:ind w:left="1080"/>
        <w:rPr>
          <w:rFonts w:cs="Arial"/>
        </w:rPr>
      </w:pPr>
      <w:r w:rsidRPr="008F2F1B">
        <w:rPr>
          <w:rFonts w:cs="Arial"/>
        </w:rPr>
        <w:t xml:space="preserve">All proposed subcontractors must be listed on the GSPD-05-105 form. </w:t>
      </w:r>
      <w:r w:rsidRPr="008F2F1B">
        <w:rPr>
          <w:rFonts w:eastAsia="Times New Roman" w:cs="Arial"/>
          <w:snapToGrid w:val="0"/>
          <w:szCs w:val="20"/>
        </w:rPr>
        <w:t xml:space="preserve">The full legal names of all proposed subcontractors (including independent consultants) that will be used to perform services on the Bidder Declaration (GSPD-05-105) in accordance with the instructions stated on the form (Refer to </w:t>
      </w:r>
      <w:r>
        <w:rPr>
          <w:rFonts w:eastAsia="Times New Roman" w:cs="Arial"/>
          <w:snapToGrid w:val="0"/>
          <w:szCs w:val="20"/>
        </w:rPr>
        <w:t xml:space="preserve">RFP, </w:t>
      </w:r>
      <w:r w:rsidRPr="008F2F1B">
        <w:rPr>
          <w:rFonts w:eastAsia="Times New Roman" w:cs="Arial"/>
          <w:snapToGrid w:val="0"/>
          <w:szCs w:val="20"/>
        </w:rPr>
        <w:t xml:space="preserve">Section </w:t>
      </w:r>
      <w:r w:rsidR="009F49B9">
        <w:rPr>
          <w:rFonts w:eastAsia="Times New Roman" w:cs="Arial"/>
          <w:snapToGrid w:val="0"/>
          <w:szCs w:val="20"/>
        </w:rPr>
        <w:t>3</w:t>
      </w:r>
      <w:r w:rsidRPr="008F2F1B">
        <w:rPr>
          <w:rFonts w:eastAsia="Times New Roman" w:cs="Arial"/>
          <w:snapToGrid w:val="0"/>
          <w:szCs w:val="20"/>
        </w:rPr>
        <w:t>.2</w:t>
      </w:r>
      <w:r w:rsidR="00D6522A">
        <w:rPr>
          <w:rFonts w:eastAsia="Times New Roman" w:cs="Arial"/>
          <w:snapToGrid w:val="0"/>
          <w:szCs w:val="20"/>
        </w:rPr>
        <w:t>.8</w:t>
      </w:r>
      <w:r w:rsidRPr="008F2F1B">
        <w:rPr>
          <w:rFonts w:eastAsia="Times New Roman" w:cs="Arial"/>
          <w:snapToGrid w:val="0"/>
          <w:szCs w:val="20"/>
        </w:rPr>
        <w:t>).</w:t>
      </w:r>
    </w:p>
    <w:p w14:paraId="0FCE315C" w14:textId="77777777" w:rsidR="00537458" w:rsidRDefault="00537458" w:rsidP="00EC58E1">
      <w:pPr>
        <w:pStyle w:val="ListParagraph"/>
        <w:widowControl w:val="0"/>
        <w:numPr>
          <w:ilvl w:val="0"/>
          <w:numId w:val="23"/>
        </w:numPr>
        <w:spacing w:before="240" w:after="240"/>
        <w:ind w:hanging="720"/>
        <w:contextualSpacing w:val="0"/>
        <w:rPr>
          <w:rFonts w:eastAsia="Times New Roman" w:cs="Arial"/>
          <w:snapToGrid w:val="0"/>
          <w:szCs w:val="20"/>
        </w:rPr>
      </w:pPr>
      <w:r w:rsidRPr="008F2F1B">
        <w:rPr>
          <w:rFonts w:eastAsia="Times New Roman" w:cs="Arial"/>
          <w:snapToGrid w:val="0"/>
          <w:szCs w:val="20"/>
        </w:rPr>
        <w:t>Organization Chart</w:t>
      </w:r>
    </w:p>
    <w:p w14:paraId="744857D5" w14:textId="77777777" w:rsidR="00537458" w:rsidRPr="00632F4F" w:rsidRDefault="00537458" w:rsidP="00537458">
      <w:pPr>
        <w:pStyle w:val="ListParagraph"/>
        <w:widowControl w:val="0"/>
        <w:rPr>
          <w:rFonts w:cs="Arial"/>
          <w:strike/>
          <w:szCs w:val="24"/>
        </w:rPr>
      </w:pPr>
      <w:r w:rsidRPr="00D448B6">
        <w:rPr>
          <w:rFonts w:cs="Arial"/>
          <w:szCs w:val="24"/>
        </w:rPr>
        <w:t>Include an organization chart showing the hierarchy of Key Personnel working on this project. The organization chart must show the relationship between the bidders’ Project Manager</w:t>
      </w:r>
      <w:r>
        <w:rPr>
          <w:rFonts w:cs="Arial"/>
          <w:szCs w:val="24"/>
        </w:rPr>
        <w:t>, Fiscal Manager,</w:t>
      </w:r>
      <w:r w:rsidRPr="00D448B6">
        <w:rPr>
          <w:rFonts w:cs="Arial"/>
          <w:szCs w:val="24"/>
        </w:rPr>
        <w:t xml:space="preserve"> and all Key Personnel of the bidder’s organization and all other parties (subcontractors and/or independent consultants) that will have primary responsibility for managing, directing, overseeing and/or conducting the work of the project.</w:t>
      </w:r>
    </w:p>
    <w:p w14:paraId="165E762D" w14:textId="09F308F8" w:rsidR="00537458" w:rsidRDefault="00537458" w:rsidP="00537458">
      <w:pPr>
        <w:pStyle w:val="ListParagraph"/>
        <w:widowControl w:val="0"/>
        <w:spacing w:before="240" w:after="240"/>
        <w:contextualSpacing w:val="0"/>
        <w:rPr>
          <w:rFonts w:cs="Arial"/>
          <w:szCs w:val="24"/>
        </w:rPr>
      </w:pPr>
      <w:r w:rsidRPr="00A80331">
        <w:rPr>
          <w:rFonts w:cs="Arial"/>
          <w:szCs w:val="24"/>
        </w:rPr>
        <w:t>Additionally, the organization chart must include for the prime contractor, the job position title and name of Key Personnel, subcontractors and/or independent consultants identified above</w:t>
      </w:r>
      <w:r w:rsidR="00602E3D">
        <w:rPr>
          <w:rFonts w:cs="Arial"/>
          <w:szCs w:val="24"/>
        </w:rPr>
        <w:t>;</w:t>
      </w:r>
      <w:r w:rsidRPr="00A80331">
        <w:rPr>
          <w:rFonts w:cs="Arial"/>
          <w:szCs w:val="24"/>
        </w:rPr>
        <w:t xml:space="preserve"> as well as, the job position title and name of each supervisor who has approval authority over Key Personnel, subcontractors and/or independent consultants and the relationship of the individuals to the bidder, i.e., bidder, bidder’s employee, subcontractor, or subcontractor’s employee. In addition, the subcontractor must identify the supervisor who has approval authority over their Key Personnel.</w:t>
      </w:r>
    </w:p>
    <w:p w14:paraId="40E85020" w14:textId="77777777" w:rsidR="00537458" w:rsidRDefault="00537458" w:rsidP="00EC58E1">
      <w:pPr>
        <w:pStyle w:val="ListParagraph"/>
        <w:widowControl w:val="0"/>
        <w:numPr>
          <w:ilvl w:val="0"/>
          <w:numId w:val="23"/>
        </w:numPr>
        <w:spacing w:before="240" w:after="240"/>
        <w:ind w:hanging="720"/>
        <w:contextualSpacing w:val="0"/>
        <w:rPr>
          <w:rFonts w:cs="Arial"/>
        </w:rPr>
      </w:pPr>
      <w:r w:rsidRPr="008F2F1B">
        <w:rPr>
          <w:rFonts w:cs="Arial"/>
        </w:rPr>
        <w:t>Staffing Labor Hours by Task</w:t>
      </w:r>
      <w:r>
        <w:rPr>
          <w:rFonts w:cs="Arial"/>
        </w:rPr>
        <w:t xml:space="preserve"> and Subtask</w:t>
      </w:r>
    </w:p>
    <w:p w14:paraId="2B56A2CF" w14:textId="06557E22" w:rsidR="00537458" w:rsidRDefault="00537458" w:rsidP="00537458">
      <w:pPr>
        <w:pStyle w:val="ListParagraph"/>
        <w:widowControl w:val="0"/>
        <w:spacing w:before="240" w:after="240"/>
        <w:contextualSpacing w:val="0"/>
        <w:rPr>
          <w:rFonts w:cs="Arial"/>
        </w:rPr>
      </w:pPr>
      <w:r w:rsidRPr="00D15B08">
        <w:rPr>
          <w:rFonts w:cs="Arial"/>
        </w:rPr>
        <w:t>For each individual and job position title, include the specific tasks</w:t>
      </w:r>
      <w:r>
        <w:rPr>
          <w:rFonts w:cs="Arial"/>
        </w:rPr>
        <w:t xml:space="preserve"> and </w:t>
      </w:r>
      <w:r w:rsidRPr="00D15B08">
        <w:rPr>
          <w:rFonts w:cs="Arial"/>
        </w:rPr>
        <w:t>subtasks each individual/job position title that will perform services</w:t>
      </w:r>
      <w:r w:rsidR="001F7561">
        <w:rPr>
          <w:rFonts w:cs="Arial"/>
        </w:rPr>
        <w:t>,</w:t>
      </w:r>
      <w:r w:rsidRPr="00D15B08">
        <w:rPr>
          <w:rFonts w:cs="Arial"/>
        </w:rPr>
        <w:t xml:space="preserve"> and the specific number of labor hours the individual/job position title will devote to each task</w:t>
      </w:r>
      <w:r>
        <w:rPr>
          <w:rFonts w:cs="Arial"/>
        </w:rPr>
        <w:t xml:space="preserve"> and </w:t>
      </w:r>
      <w:r w:rsidRPr="00D15B08">
        <w:rPr>
          <w:rFonts w:cs="Arial"/>
        </w:rPr>
        <w:t xml:space="preserve">subtask contained in Section </w:t>
      </w:r>
      <w:r w:rsidR="00DC395C">
        <w:rPr>
          <w:rFonts w:cs="Arial"/>
        </w:rPr>
        <w:t>7</w:t>
      </w:r>
      <w:r w:rsidRPr="00D15B08">
        <w:rPr>
          <w:rFonts w:cs="Arial"/>
        </w:rPr>
        <w:t xml:space="preserve"> Scope of Project. Please refer to </w:t>
      </w:r>
      <w:r w:rsidR="00177E8B">
        <w:rPr>
          <w:rFonts w:cs="Arial"/>
        </w:rPr>
        <w:t>RFP Section 3.2</w:t>
      </w:r>
      <w:r w:rsidR="00D6522A">
        <w:rPr>
          <w:rFonts w:cs="Arial"/>
        </w:rPr>
        <w:t>.</w:t>
      </w:r>
      <w:r w:rsidR="005E7F9B">
        <w:rPr>
          <w:rFonts w:cs="Arial"/>
        </w:rPr>
        <w:t>3</w:t>
      </w:r>
      <w:r w:rsidR="00177E8B">
        <w:rPr>
          <w:rFonts w:cs="Arial"/>
        </w:rPr>
        <w:t xml:space="preserve"> and </w:t>
      </w:r>
      <w:r w:rsidRPr="00D15B08">
        <w:rPr>
          <w:rFonts w:cs="Arial"/>
        </w:rPr>
        <w:t xml:space="preserve">Attachment </w:t>
      </w:r>
      <w:r w:rsidR="005E7F9B">
        <w:rPr>
          <w:rFonts w:cs="Arial"/>
        </w:rPr>
        <w:t>4</w:t>
      </w:r>
      <w:r w:rsidRPr="00D15B08">
        <w:rPr>
          <w:rFonts w:cs="Arial"/>
        </w:rPr>
        <w:t xml:space="preserve">, Sample Technical Proposal Staffing Labor Hours Worksheets. A Staffing Labor Hours Worksheet (Attachment </w:t>
      </w:r>
      <w:r w:rsidR="005E7F9B">
        <w:rPr>
          <w:rFonts w:cs="Arial"/>
        </w:rPr>
        <w:t>4</w:t>
      </w:r>
      <w:r w:rsidRPr="00D15B08">
        <w:rPr>
          <w:rFonts w:cs="Arial"/>
        </w:rPr>
        <w:t xml:space="preserve">) must be completed for each fiscal year covered under this contract or part thereof. The labor hours specified in the Staffing Labor Hours Worksheet (Attachment </w:t>
      </w:r>
      <w:r w:rsidR="005E7F9B">
        <w:rPr>
          <w:rFonts w:cs="Arial"/>
        </w:rPr>
        <w:t>4</w:t>
      </w:r>
      <w:r w:rsidRPr="00D15B08">
        <w:rPr>
          <w:rFonts w:cs="Arial"/>
        </w:rPr>
        <w:t>) must correlate with the labor hours contained in the Cost Proposal.</w:t>
      </w:r>
    </w:p>
    <w:p w14:paraId="35B0A81B" w14:textId="072EA344" w:rsidR="00537458" w:rsidRPr="00326FB2" w:rsidRDefault="00537458" w:rsidP="00537458">
      <w:pPr>
        <w:pStyle w:val="ListParagraph"/>
        <w:widowControl w:val="0"/>
        <w:spacing w:before="240" w:after="240"/>
        <w:contextualSpacing w:val="0"/>
        <w:rPr>
          <w:rFonts w:cs="Arial"/>
        </w:rPr>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552DE388" w14:textId="77777777" w:rsidR="00537458" w:rsidRDefault="00537458" w:rsidP="00EC58E1">
      <w:pPr>
        <w:pStyle w:val="ListParagraph"/>
        <w:numPr>
          <w:ilvl w:val="0"/>
          <w:numId w:val="23"/>
        </w:numPr>
        <w:spacing w:before="240" w:after="240"/>
        <w:ind w:hanging="720"/>
        <w:contextualSpacing w:val="0"/>
        <w:rPr>
          <w:rFonts w:cs="Arial"/>
        </w:rPr>
      </w:pPr>
      <w:r w:rsidRPr="008F2F1B">
        <w:rPr>
          <w:rFonts w:cs="Arial"/>
        </w:rPr>
        <w:t>Subcontractor Labor Hours by Task</w:t>
      </w:r>
      <w:r>
        <w:rPr>
          <w:rFonts w:cs="Arial"/>
        </w:rPr>
        <w:t xml:space="preserve"> and Subtask</w:t>
      </w:r>
    </w:p>
    <w:p w14:paraId="5C7EBC6F" w14:textId="65AB015A" w:rsidR="00537458" w:rsidRDefault="00537458" w:rsidP="00537458">
      <w:pPr>
        <w:pStyle w:val="ListParagraph"/>
        <w:tabs>
          <w:tab w:val="left" w:pos="720"/>
          <w:tab w:val="left" w:pos="1080"/>
        </w:tabs>
        <w:spacing w:before="240" w:after="240"/>
        <w:contextualSpacing w:val="0"/>
        <w:rPr>
          <w:rFonts w:cs="Arial"/>
        </w:rPr>
      </w:pPr>
      <w:r w:rsidRPr="008F2F1B">
        <w:rPr>
          <w:rFonts w:cs="Arial"/>
        </w:rPr>
        <w:t>If subcontractors (See RFP</w:t>
      </w:r>
      <w:r>
        <w:rPr>
          <w:rFonts w:cs="Arial"/>
        </w:rPr>
        <w:t>,</w:t>
      </w:r>
      <w:r w:rsidRPr="008F2F1B">
        <w:rPr>
          <w:rFonts w:cs="Arial"/>
        </w:rPr>
        <w:t xml:space="preserve"> Section </w:t>
      </w:r>
      <w:r w:rsidR="00F94052">
        <w:rPr>
          <w:rFonts w:cs="Arial"/>
        </w:rPr>
        <w:t>2</w:t>
      </w:r>
      <w:r w:rsidRPr="008F2F1B">
        <w:rPr>
          <w:rFonts w:cs="Arial"/>
        </w:rPr>
        <w:t xml:space="preserve">.8 for definition of </w:t>
      </w:r>
      <w:r>
        <w:rPr>
          <w:rFonts w:cs="Arial"/>
        </w:rPr>
        <w:t>“</w:t>
      </w:r>
      <w:r w:rsidRPr="00326FB2">
        <w:rPr>
          <w:rFonts w:cs="Arial"/>
        </w:rPr>
        <w:t>subcontractors</w:t>
      </w:r>
      <w:r>
        <w:rPr>
          <w:rFonts w:cs="Arial"/>
        </w:rPr>
        <w:t>”</w:t>
      </w:r>
      <w:r w:rsidRPr="008F2F1B">
        <w:rPr>
          <w:rFonts w:cs="Arial"/>
        </w:rPr>
        <w:t xml:space="preserve">) are being used, separate Technical Proposal Staffing Labor Hours Worksheets (Attachment </w:t>
      </w:r>
      <w:r w:rsidR="005E7F9B">
        <w:rPr>
          <w:rFonts w:cs="Arial"/>
        </w:rPr>
        <w:t>4</w:t>
      </w:r>
      <w:r w:rsidRPr="008F2F1B">
        <w:rPr>
          <w:rFonts w:cs="Arial"/>
        </w:rPr>
        <w:t>) must be completed for each subcontractor. For each subcontractor identify each individual and job position ti</w:t>
      </w:r>
      <w:r>
        <w:rPr>
          <w:rFonts w:cs="Arial"/>
        </w:rPr>
        <w:t xml:space="preserve">tle, include the specific tasks and </w:t>
      </w:r>
      <w:r w:rsidRPr="008F2F1B">
        <w:rPr>
          <w:rFonts w:cs="Arial"/>
        </w:rPr>
        <w:t>subtasks each individual/job position title that will perform services</w:t>
      </w:r>
      <w:r w:rsidR="00616DA2">
        <w:rPr>
          <w:rFonts w:cs="Arial"/>
        </w:rPr>
        <w:t>,</w:t>
      </w:r>
      <w:r w:rsidRPr="008F2F1B">
        <w:rPr>
          <w:rFonts w:cs="Arial"/>
        </w:rPr>
        <w:t xml:space="preserve"> and the specific number of labor hours the individual/job position</w:t>
      </w:r>
      <w:r>
        <w:rPr>
          <w:rFonts w:cs="Arial"/>
        </w:rPr>
        <w:t xml:space="preserve"> title </w:t>
      </w:r>
      <w:r>
        <w:rPr>
          <w:rFonts w:cs="Arial"/>
        </w:rPr>
        <w:lastRenderedPageBreak/>
        <w:t xml:space="preserve">will devote to each task and </w:t>
      </w:r>
      <w:r w:rsidRPr="008F2F1B">
        <w:rPr>
          <w:rFonts w:cs="Arial"/>
        </w:rPr>
        <w:t xml:space="preserve">subtask contained in Section </w:t>
      </w:r>
      <w:r w:rsidR="00DC395C">
        <w:rPr>
          <w:rFonts w:cs="Arial"/>
        </w:rPr>
        <w:t>7</w:t>
      </w:r>
      <w:r w:rsidRPr="008F2F1B">
        <w:rPr>
          <w:rFonts w:cs="Arial"/>
        </w:rPr>
        <w:t xml:space="preserve"> Scope of Project. A Staffing Labor Hours Worksheet must be completed for each fiscal year contained in this contract or part thereof. The labor hours specified in the Technical Proposal Staffing Labor Hours Worksheet (Attachment </w:t>
      </w:r>
      <w:r w:rsidR="005E7F9B">
        <w:rPr>
          <w:rFonts w:cs="Arial"/>
        </w:rPr>
        <w:t>4</w:t>
      </w:r>
      <w:r w:rsidRPr="008F2F1B">
        <w:rPr>
          <w:rFonts w:cs="Arial"/>
        </w:rPr>
        <w:t>) must correlate with the labor hours contained in the Cost Proposal.</w:t>
      </w:r>
    </w:p>
    <w:p w14:paraId="050FDAF9" w14:textId="335F87ED" w:rsidR="00537458" w:rsidRDefault="00537458" w:rsidP="00537458">
      <w:pPr>
        <w:spacing w:before="240" w:after="240"/>
        <w:ind w:left="720"/>
        <w:rPr>
          <w:rFonts w:cs="Arial"/>
        </w:rPr>
      </w:pPr>
      <w:proofErr w:type="gramStart"/>
      <w:r w:rsidRPr="00E86039">
        <w:rPr>
          <w:rFonts w:cs="Arial"/>
        </w:rPr>
        <w:t>In the event that</w:t>
      </w:r>
      <w:proofErr w:type="gramEnd"/>
      <w:r w:rsidRPr="00E86039">
        <w:rPr>
          <w:rFonts w:cs="Arial"/>
        </w:rPr>
        <w:t xml:space="preserve"> a specific subcontractor does not perform a task by hours (for example a printer) but rather they charge by the job, then the bidder may list “0” hours and make a notation on Attachment </w:t>
      </w:r>
      <w:r w:rsidR="005E7F9B">
        <w:rPr>
          <w:rFonts w:cs="Arial"/>
        </w:rPr>
        <w:t>4</w:t>
      </w:r>
      <w:r w:rsidRPr="00E86039">
        <w:rPr>
          <w:rFonts w:cs="Arial"/>
        </w:rPr>
        <w:t xml:space="preserve"> to that effect without including any costs.</w:t>
      </w:r>
    </w:p>
    <w:p w14:paraId="4C504478" w14:textId="77777777" w:rsidR="00537458" w:rsidRPr="000F47E3" w:rsidRDefault="00537458" w:rsidP="00B92667">
      <w:pPr>
        <w:spacing w:before="240"/>
        <w:ind w:left="720"/>
        <w:rPr>
          <w:rFonts w:cs="Arial"/>
          <w:i/>
        </w:rPr>
      </w:pPr>
      <w:r>
        <w:rPr>
          <w:rFonts w:cs="Arial"/>
        </w:rPr>
        <w:t>For example:</w:t>
      </w:r>
    </w:p>
    <w:p w14:paraId="3E5F8A68" w14:textId="77777777" w:rsidR="00537458" w:rsidRPr="000F47E3" w:rsidRDefault="00537458" w:rsidP="00B92667">
      <w:pPr>
        <w:ind w:left="720"/>
        <w:rPr>
          <w:rFonts w:cs="Arial"/>
          <w:i/>
        </w:rPr>
      </w:pPr>
      <w:r w:rsidRPr="000F47E3">
        <w:rPr>
          <w:rFonts w:cs="Arial"/>
          <w:i/>
        </w:rPr>
        <w:t>“Printer company name</w:t>
      </w:r>
      <w:r>
        <w:rPr>
          <w:rFonts w:cs="Arial"/>
          <w:i/>
        </w:rPr>
        <w:t>*: Task 2, 0</w:t>
      </w:r>
      <w:r w:rsidRPr="000F47E3">
        <w:rPr>
          <w:rFonts w:cs="Arial"/>
          <w:i/>
        </w:rPr>
        <w:t xml:space="preserve"> hours</w:t>
      </w:r>
    </w:p>
    <w:p w14:paraId="724D9750" w14:textId="77777777" w:rsidR="00537458" w:rsidRPr="001200DC" w:rsidRDefault="00537458" w:rsidP="00B92667">
      <w:pPr>
        <w:spacing w:after="240"/>
        <w:ind w:left="720"/>
        <w:rPr>
          <w:rFonts w:eastAsia="Times New Roman" w:cs="Arial"/>
          <w:snapToGrid w:val="0"/>
          <w:szCs w:val="20"/>
        </w:rPr>
      </w:pPr>
      <w:r>
        <w:rPr>
          <w:rFonts w:cs="Arial"/>
          <w:i/>
        </w:rPr>
        <w:t>*</w:t>
      </w:r>
      <w:r w:rsidRPr="000F47E3">
        <w:rPr>
          <w:rFonts w:cs="Arial"/>
          <w:i/>
        </w:rPr>
        <w:t>Printer will not charge hourly</w:t>
      </w:r>
      <w:r>
        <w:rPr>
          <w:rFonts w:cs="Arial"/>
          <w:i/>
        </w:rPr>
        <w:t>,</w:t>
      </w:r>
      <w:r w:rsidRPr="000F47E3">
        <w:rPr>
          <w:rFonts w:cs="Arial"/>
          <w:i/>
        </w:rPr>
        <w:t xml:space="preserve"> but by print job.</w:t>
      </w:r>
      <w:r>
        <w:rPr>
          <w:rFonts w:cs="Arial"/>
          <w:i/>
        </w:rPr>
        <w:t>”</w:t>
      </w:r>
    </w:p>
    <w:p w14:paraId="25B2C89B" w14:textId="64268ACF" w:rsidR="00537458" w:rsidRPr="00326FB2" w:rsidRDefault="00537458" w:rsidP="00537458">
      <w:pPr>
        <w:pStyle w:val="ListParagraph"/>
        <w:widowControl w:val="0"/>
        <w:spacing w:before="240" w:after="240"/>
        <w:contextualSpacing w:val="0"/>
        <w:rPr>
          <w:rFonts w:eastAsia="Times New Roman" w:cs="Arial"/>
          <w:snapToGrid w:val="0"/>
          <w:szCs w:val="20"/>
        </w:rPr>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56C6B58E" w14:textId="76A20637" w:rsidR="00537458" w:rsidRDefault="00537458" w:rsidP="001B373C">
      <w:pPr>
        <w:pStyle w:val="Heading4"/>
        <w:rPr>
          <w:rFonts w:eastAsia="Times New Roman"/>
          <w:snapToGrid w:val="0"/>
        </w:rPr>
      </w:pPr>
      <w:r>
        <w:rPr>
          <w:rFonts w:eastAsia="Times New Roman"/>
          <w:snapToGrid w:val="0"/>
        </w:rPr>
        <w:t xml:space="preserve">3.1.4 </w:t>
      </w:r>
      <w:r w:rsidRPr="0052068A">
        <w:rPr>
          <w:rFonts w:eastAsia="Times New Roman"/>
          <w:snapToGrid w:val="0"/>
        </w:rPr>
        <w:t>Capacity</w:t>
      </w:r>
    </w:p>
    <w:p w14:paraId="202FDADC" w14:textId="77777777" w:rsidR="00537458" w:rsidRDefault="00537458" w:rsidP="00537458">
      <w:pPr>
        <w:widowControl w:val="0"/>
        <w:spacing w:before="240" w:after="240"/>
        <w:rPr>
          <w:rFonts w:eastAsia="Times New Roman" w:cs="Arial"/>
          <w:snapToGrid w:val="0"/>
          <w:szCs w:val="20"/>
        </w:rPr>
      </w:pPr>
      <w:r w:rsidRPr="0052068A">
        <w:rPr>
          <w:rFonts w:eastAsia="Times New Roman" w:cs="Arial"/>
          <w:snapToGrid w:val="0"/>
          <w:szCs w:val="20"/>
        </w:rPr>
        <w:t>The Technical Proposal must describe and demonstrate in detail the bidder’s capacity and ability to perform and administer all tasks related to this project. If the bidder will be subcontracting a portion of the work, the Technical Proposal must describe and demonstrate in detail the subcontractor’s capacity and ability to perform the portion of the work in which the subcontractor will be involved.</w:t>
      </w:r>
    </w:p>
    <w:p w14:paraId="14D6493A" w14:textId="6DD87F2B" w:rsidR="00C0772F" w:rsidRPr="008443C4" w:rsidRDefault="00537458" w:rsidP="00C0772F">
      <w:pPr>
        <w:spacing w:after="240"/>
      </w:pPr>
      <w:r w:rsidRPr="00E043D1">
        <w:t xml:space="preserve">As outlined in Section </w:t>
      </w:r>
      <w:r w:rsidR="00F94052">
        <w:t>2</w:t>
      </w:r>
      <w:r w:rsidRPr="00E043D1">
        <w:t xml:space="preserve">.2, Minimum Qualifications for Bidders, the </w:t>
      </w:r>
      <w:r w:rsidRPr="008443C4">
        <w:t xml:space="preserve">successful bidder must have the capacity and experience to conduct the work outlined in Section </w:t>
      </w:r>
      <w:r w:rsidR="001B23D5" w:rsidRPr="008443C4">
        <w:t>7</w:t>
      </w:r>
      <w:r w:rsidRPr="008443C4">
        <w:t xml:space="preserve"> of this RFP. The Technical Proposal must describe the bidder’s capacity and experience with respect to conducting the following types of activities</w:t>
      </w:r>
      <w:r w:rsidR="00A50F53" w:rsidRPr="008443C4">
        <w:t xml:space="preserve">, additionally bidders must have a minimum of </w:t>
      </w:r>
      <w:r w:rsidR="00C0772F" w:rsidRPr="008443C4">
        <w:t xml:space="preserve">three years </w:t>
      </w:r>
      <w:r w:rsidR="00A50F53" w:rsidRPr="008443C4">
        <w:t xml:space="preserve">(within the last five years) </w:t>
      </w:r>
      <w:r w:rsidR="00C0772F" w:rsidRPr="008443C4">
        <w:t xml:space="preserve">of </w:t>
      </w:r>
      <w:r w:rsidR="00A50F53" w:rsidRPr="008443C4">
        <w:t xml:space="preserve">recent full-time </w:t>
      </w:r>
      <w:r w:rsidR="00C0772F" w:rsidRPr="008443C4">
        <w:t>experience in:</w:t>
      </w:r>
    </w:p>
    <w:p w14:paraId="35A0D507" w14:textId="77777777" w:rsidR="00A50F53" w:rsidRPr="007953E8" w:rsidRDefault="00A50F53" w:rsidP="00A50F53">
      <w:pPr>
        <w:pStyle w:val="ListParagraph"/>
        <w:numPr>
          <w:ilvl w:val="0"/>
          <w:numId w:val="58"/>
        </w:numPr>
        <w:spacing w:after="240"/>
        <w:ind w:left="810" w:hanging="450"/>
        <w:contextualSpacing w:val="0"/>
        <w:rPr>
          <w:rFonts w:cs="Arial"/>
        </w:rPr>
      </w:pPr>
      <w:r w:rsidRPr="007953E8">
        <w:rPr>
          <w:rFonts w:cs="Arial"/>
        </w:rPr>
        <w:t>The bidder must have experience in designing and implementing evaluation plans for TA centers, LEAs, and school sites:</w:t>
      </w:r>
    </w:p>
    <w:p w14:paraId="76193300" w14:textId="77777777" w:rsidR="00A50F53" w:rsidRPr="007953E8" w:rsidRDefault="00A50F53" w:rsidP="00A50F53">
      <w:pPr>
        <w:pStyle w:val="ListParagraph"/>
        <w:numPr>
          <w:ilvl w:val="1"/>
          <w:numId w:val="59"/>
        </w:numPr>
        <w:spacing w:after="240"/>
        <w:contextualSpacing w:val="0"/>
        <w:rPr>
          <w:rFonts w:cs="Arial"/>
        </w:rPr>
      </w:pPr>
      <w:r w:rsidRPr="007953E8">
        <w:rPr>
          <w:rFonts w:cs="Arial"/>
        </w:rPr>
        <w:t>Must have experience and history of designing and implementing comprehensive evaluation plans at State and Local levels.</w:t>
      </w:r>
    </w:p>
    <w:p w14:paraId="3FC66F73" w14:textId="77777777" w:rsidR="00A50F53" w:rsidRPr="007953E8" w:rsidRDefault="00A50F53" w:rsidP="00A50F53">
      <w:pPr>
        <w:pStyle w:val="ListParagraph"/>
        <w:numPr>
          <w:ilvl w:val="1"/>
          <w:numId w:val="59"/>
        </w:numPr>
        <w:spacing w:after="240"/>
        <w:contextualSpacing w:val="0"/>
        <w:rPr>
          <w:rFonts w:cs="Arial"/>
        </w:rPr>
      </w:pPr>
      <w:r w:rsidRPr="007953E8">
        <w:rPr>
          <w:rFonts w:cs="Arial"/>
        </w:rPr>
        <w:t>Must have experience and history of designing evaluation tools or instruments that are effective and accessible for a diverse population of students.</w:t>
      </w:r>
    </w:p>
    <w:p w14:paraId="3AAE70B6" w14:textId="77777777" w:rsidR="00A50F53" w:rsidRPr="007953E8" w:rsidRDefault="00A50F53" w:rsidP="00A50F53">
      <w:pPr>
        <w:pStyle w:val="ListParagraph"/>
        <w:numPr>
          <w:ilvl w:val="1"/>
          <w:numId w:val="59"/>
        </w:numPr>
        <w:spacing w:after="240"/>
        <w:contextualSpacing w:val="0"/>
        <w:rPr>
          <w:rFonts w:cs="Arial"/>
        </w:rPr>
      </w:pPr>
      <w:r w:rsidRPr="007953E8">
        <w:rPr>
          <w:rFonts w:cs="Arial"/>
        </w:rPr>
        <w:t>Must have experience in designing and implementing evaluation plans that include analysis of quantitative data sets, as well as surveys, interviews, and other measurement tools for school staff, students, family members, community members and other interest holders.</w:t>
      </w:r>
    </w:p>
    <w:p w14:paraId="5126B91A" w14:textId="77777777" w:rsidR="00A50F53" w:rsidRPr="007953E8" w:rsidRDefault="00A50F53" w:rsidP="00A50F53">
      <w:pPr>
        <w:pStyle w:val="ListParagraph"/>
        <w:numPr>
          <w:ilvl w:val="0"/>
          <w:numId w:val="58"/>
        </w:numPr>
        <w:spacing w:after="240"/>
        <w:ind w:left="810" w:hanging="450"/>
        <w:contextualSpacing w:val="0"/>
        <w:rPr>
          <w:rFonts w:cs="Arial"/>
        </w:rPr>
      </w:pPr>
      <w:r w:rsidRPr="007953E8">
        <w:rPr>
          <w:rFonts w:cs="Arial"/>
        </w:rPr>
        <w:t>The bidder must demonstrate an understanding of the formative evaluation process and its application to public education broadly and specifically to school transformation programs like the CCSPP.</w:t>
      </w:r>
    </w:p>
    <w:p w14:paraId="5598031F" w14:textId="77777777" w:rsidR="00A50F53" w:rsidRPr="007953E8" w:rsidRDefault="00A50F53" w:rsidP="00A50F53">
      <w:pPr>
        <w:pStyle w:val="ListParagraph"/>
        <w:numPr>
          <w:ilvl w:val="1"/>
          <w:numId w:val="60"/>
        </w:numPr>
        <w:spacing w:after="240"/>
        <w:contextualSpacing w:val="0"/>
        <w:rPr>
          <w:rFonts w:cs="Arial"/>
        </w:rPr>
      </w:pPr>
      <w:r w:rsidRPr="007953E8">
        <w:rPr>
          <w:rFonts w:cs="Arial"/>
        </w:rPr>
        <w:lastRenderedPageBreak/>
        <w:t>The bidder should demonstrate its understanding of current research on formative evaluation and how that research and scholarship informs their approach to the design proposal for the CCSPP.</w:t>
      </w:r>
    </w:p>
    <w:p w14:paraId="43BC8C96" w14:textId="128D17BD" w:rsidR="00A50F53" w:rsidRPr="007953E8" w:rsidRDefault="00A50F53" w:rsidP="00A50F53">
      <w:pPr>
        <w:pStyle w:val="ListParagraph"/>
        <w:numPr>
          <w:ilvl w:val="1"/>
          <w:numId w:val="60"/>
        </w:numPr>
        <w:spacing w:after="240"/>
        <w:contextualSpacing w:val="0"/>
        <w:rPr>
          <w:rFonts w:cs="Arial"/>
        </w:rPr>
      </w:pPr>
      <w:r w:rsidRPr="007953E8">
        <w:rPr>
          <w:rFonts w:cs="Arial"/>
        </w:rPr>
        <w:t>The bidder’s program design should include data collection, curation and analysis that reflects an understanding of how existing data indicators could be used in a formative evaluation design that can support improvement in addition to summative findings.</w:t>
      </w:r>
    </w:p>
    <w:p w14:paraId="336A258B" w14:textId="77777777" w:rsidR="00A50F53" w:rsidRPr="007953E8" w:rsidRDefault="00A50F53" w:rsidP="00A50F53">
      <w:pPr>
        <w:pStyle w:val="ListParagraph"/>
        <w:numPr>
          <w:ilvl w:val="1"/>
          <w:numId w:val="60"/>
        </w:numPr>
        <w:spacing w:after="240"/>
        <w:contextualSpacing w:val="0"/>
        <w:rPr>
          <w:rFonts w:cs="Arial"/>
        </w:rPr>
      </w:pPr>
      <w:r w:rsidRPr="007953E8">
        <w:rPr>
          <w:rFonts w:cs="Arial"/>
        </w:rPr>
        <w:t>The bidder’s program design should include uses of process data and other process related evidence points that can be used, along with outcome data, to inform formative guidance that is supported by current research and scholarship.</w:t>
      </w:r>
    </w:p>
    <w:p w14:paraId="0A2F112D" w14:textId="77777777" w:rsidR="00A50F53" w:rsidRPr="007953E8" w:rsidRDefault="00A50F53" w:rsidP="00A50F53">
      <w:pPr>
        <w:pStyle w:val="ListParagraph"/>
        <w:numPr>
          <w:ilvl w:val="1"/>
          <w:numId w:val="60"/>
        </w:numPr>
        <w:spacing w:after="240"/>
        <w:contextualSpacing w:val="0"/>
        <w:rPr>
          <w:rFonts w:cs="Arial"/>
        </w:rPr>
      </w:pPr>
      <w:r w:rsidRPr="007953E8">
        <w:rPr>
          <w:rFonts w:cs="Arial"/>
        </w:rPr>
        <w:t>The new tools, surveys, instruments, approaches, and strategies included in the bidder’s overall CCSPP Formative Evaluation Plan should reflect an adaptation of best and recent research to the specific scope of evaluating CCSPP implementation.</w:t>
      </w:r>
    </w:p>
    <w:p w14:paraId="4AB2B05B" w14:textId="77777777" w:rsidR="00A50F53" w:rsidRPr="007953E8" w:rsidRDefault="00A50F53" w:rsidP="00A50F53">
      <w:pPr>
        <w:pStyle w:val="ListParagraph"/>
        <w:numPr>
          <w:ilvl w:val="0"/>
          <w:numId w:val="58"/>
        </w:numPr>
        <w:spacing w:after="240"/>
        <w:ind w:left="810" w:hanging="450"/>
        <w:contextualSpacing w:val="0"/>
        <w:rPr>
          <w:rFonts w:cs="Arial"/>
        </w:rPr>
      </w:pPr>
      <w:r w:rsidRPr="007953E8">
        <w:rPr>
          <w:rFonts w:cs="Arial"/>
        </w:rPr>
        <w:t>The bidder must have experience implementing evaluation or other technical assistance programs at the state level, preferably in California.</w:t>
      </w:r>
    </w:p>
    <w:p w14:paraId="44247810" w14:textId="77777777" w:rsidR="00A50F53" w:rsidRPr="007953E8" w:rsidRDefault="00A50F53" w:rsidP="00A50F53">
      <w:pPr>
        <w:pStyle w:val="ListParagraph"/>
        <w:numPr>
          <w:ilvl w:val="1"/>
          <w:numId w:val="61"/>
        </w:numPr>
        <w:spacing w:after="240"/>
        <w:contextualSpacing w:val="0"/>
        <w:rPr>
          <w:rFonts w:cs="Arial"/>
        </w:rPr>
      </w:pPr>
      <w:r w:rsidRPr="007953E8">
        <w:rPr>
          <w:rFonts w:cs="Arial"/>
        </w:rPr>
        <w:t xml:space="preserve">The bidder has provided training and technical support to the TA centers, COEs and LEAs on how to use data and process evaluation </w:t>
      </w:r>
      <w:proofErr w:type="gramStart"/>
      <w:r w:rsidRPr="007953E8">
        <w:rPr>
          <w:rFonts w:cs="Arial"/>
        </w:rPr>
        <w:t>in order to</w:t>
      </w:r>
      <w:proofErr w:type="gramEnd"/>
      <w:r w:rsidRPr="007953E8">
        <w:rPr>
          <w:rFonts w:cs="Arial"/>
        </w:rPr>
        <w:t xml:space="preserve"> accelerate equity driven improvements in academic outcomes and other critical growth areas.</w:t>
      </w:r>
    </w:p>
    <w:p w14:paraId="461ED1F5" w14:textId="3C629B70" w:rsidR="00A50F53" w:rsidRPr="007953E8" w:rsidRDefault="00A50F53" w:rsidP="00A50F53">
      <w:pPr>
        <w:pStyle w:val="ListParagraph"/>
        <w:numPr>
          <w:ilvl w:val="1"/>
          <w:numId w:val="61"/>
        </w:numPr>
        <w:spacing w:after="240"/>
        <w:contextualSpacing w:val="0"/>
        <w:rPr>
          <w:rFonts w:cs="Arial"/>
        </w:rPr>
      </w:pPr>
      <w:r w:rsidRPr="007953E8">
        <w:rPr>
          <w:rFonts w:cs="Arial"/>
        </w:rPr>
        <w:t>The bidder has been a contractor, consultant and/or technical assistance provider for planning and/or implementation of a significant state-wide initiative in education or in a comparable field.</w:t>
      </w:r>
    </w:p>
    <w:p w14:paraId="00588361" w14:textId="2D1BCA15" w:rsidR="00C0772F" w:rsidRPr="00587A6D" w:rsidRDefault="00A50F53" w:rsidP="00C0772F">
      <w:pPr>
        <w:pStyle w:val="ListParagraph"/>
        <w:numPr>
          <w:ilvl w:val="1"/>
          <w:numId w:val="61"/>
        </w:numPr>
        <w:spacing w:after="240"/>
        <w:contextualSpacing w:val="0"/>
        <w:rPr>
          <w:rFonts w:cs="Arial"/>
          <w:color w:val="FF0000"/>
        </w:rPr>
      </w:pPr>
      <w:r w:rsidRPr="007953E8">
        <w:rPr>
          <w:rFonts w:cs="Arial"/>
        </w:rPr>
        <w:t>The bidder has experience leading cross sector collaboration in ways that promote understanding of the use of data and evaluation instruments across sectors and between the differing levels of state and local administration.</w:t>
      </w:r>
    </w:p>
    <w:p w14:paraId="457FB9A9" w14:textId="53F517A7" w:rsidR="00537458" w:rsidRDefault="00537458" w:rsidP="001B373C">
      <w:pPr>
        <w:pStyle w:val="Heading4"/>
        <w:rPr>
          <w:rFonts w:eastAsia="Times New Roman"/>
          <w:snapToGrid w:val="0"/>
        </w:rPr>
      </w:pPr>
      <w:r>
        <w:rPr>
          <w:rFonts w:eastAsia="Times New Roman"/>
          <w:snapToGrid w:val="0"/>
        </w:rPr>
        <w:t xml:space="preserve">3.1.5 </w:t>
      </w:r>
      <w:r w:rsidRPr="00317C89">
        <w:rPr>
          <w:rFonts w:eastAsia="Times New Roman"/>
          <w:snapToGrid w:val="0"/>
        </w:rPr>
        <w:t>Facilities and Resources</w:t>
      </w:r>
      <w:r>
        <w:rPr>
          <w:rFonts w:eastAsia="Times New Roman"/>
          <w:snapToGrid w:val="0"/>
        </w:rPr>
        <w:t xml:space="preserve"> </w:t>
      </w:r>
    </w:p>
    <w:p w14:paraId="50025A24" w14:textId="6202306F" w:rsidR="00537458" w:rsidRPr="00317C89" w:rsidRDefault="00537458" w:rsidP="00537458">
      <w:pPr>
        <w:widowControl w:val="0"/>
        <w:spacing w:before="240" w:after="240"/>
        <w:rPr>
          <w:rFonts w:eastAsia="Times New Roman" w:cs="Arial"/>
          <w:snapToGrid w:val="0"/>
          <w:szCs w:val="20"/>
        </w:rPr>
      </w:pPr>
      <w:r w:rsidRPr="00317C89">
        <w:rPr>
          <w:rFonts w:eastAsia="Times New Roman" w:cs="Arial"/>
          <w:snapToGrid w:val="0"/>
          <w:szCs w:val="20"/>
        </w:rPr>
        <w:t>The Technical Proposal must describe in detail the prime bidder’s company/business and its ownership structure. The Technical Proposal must describe in detail a description of the prime bidder’s and, the subcontractor’s (if any), facilities and equipment</w:t>
      </w:r>
      <w:r>
        <w:rPr>
          <w:rFonts w:eastAsia="Times New Roman" w:cs="Arial"/>
          <w:snapToGrid w:val="0"/>
          <w:szCs w:val="20"/>
        </w:rPr>
        <w:t xml:space="preserve"> that supports the work outlined in Section </w:t>
      </w:r>
      <w:r w:rsidR="001B23D5">
        <w:rPr>
          <w:rFonts w:eastAsia="Times New Roman" w:cs="Arial"/>
          <w:snapToGrid w:val="0"/>
          <w:szCs w:val="20"/>
        </w:rPr>
        <w:t>7</w:t>
      </w:r>
      <w:r>
        <w:rPr>
          <w:rFonts w:eastAsia="Times New Roman" w:cs="Arial"/>
          <w:snapToGrid w:val="0"/>
          <w:szCs w:val="20"/>
        </w:rPr>
        <w:t xml:space="preserve"> of the RFP</w:t>
      </w:r>
      <w:r w:rsidRPr="00317C89">
        <w:rPr>
          <w:rFonts w:eastAsia="Times New Roman" w:cs="Arial"/>
          <w:snapToGrid w:val="0"/>
          <w:szCs w:val="20"/>
        </w:rPr>
        <w:t>. The Technical Proposal must state the location(s) of the office(s) from which the primary work on this contract is to be performed.</w:t>
      </w:r>
    </w:p>
    <w:p w14:paraId="0548F771" w14:textId="215B300F" w:rsidR="00537458" w:rsidRDefault="00537458" w:rsidP="001B373C">
      <w:pPr>
        <w:pStyle w:val="Heading4"/>
        <w:rPr>
          <w:rFonts w:eastAsia="Times New Roman"/>
          <w:snapToGrid w:val="0"/>
        </w:rPr>
      </w:pPr>
      <w:r>
        <w:rPr>
          <w:rFonts w:eastAsia="Times New Roman"/>
          <w:snapToGrid w:val="0"/>
        </w:rPr>
        <w:t xml:space="preserve">3.1.6 </w:t>
      </w:r>
      <w:r w:rsidRPr="00317C89">
        <w:rPr>
          <w:rFonts w:eastAsia="Times New Roman"/>
          <w:snapToGrid w:val="0"/>
        </w:rPr>
        <w:t>Bidder References</w:t>
      </w:r>
    </w:p>
    <w:p w14:paraId="5B494DCA" w14:textId="61D427F0" w:rsidR="00537458" w:rsidRDefault="00537458" w:rsidP="00537458">
      <w:pPr>
        <w:spacing w:before="240" w:after="240"/>
        <w:rPr>
          <w:rFonts w:eastAsia="Times New Roman"/>
          <w:snapToGrid w:val="0"/>
          <w:szCs w:val="20"/>
        </w:rPr>
      </w:pPr>
      <w:r w:rsidRPr="00317C89">
        <w:rPr>
          <w:rFonts w:eastAsia="Times New Roman"/>
          <w:snapToGrid w:val="0"/>
          <w:szCs w:val="20"/>
        </w:rPr>
        <w:t xml:space="preserve">Provide three (3) references using the Bidder Reference Form included in this RFP as Attachment 8. </w:t>
      </w:r>
      <w:r>
        <w:rPr>
          <w:rFonts w:eastAsia="Times New Roman"/>
          <w:snapToGrid w:val="0"/>
          <w:szCs w:val="20"/>
        </w:rPr>
        <w:t xml:space="preserve">See </w:t>
      </w:r>
      <w:r w:rsidR="00500391">
        <w:rPr>
          <w:rFonts w:eastAsia="Times New Roman"/>
          <w:snapToGrid w:val="0"/>
          <w:szCs w:val="20"/>
        </w:rPr>
        <w:t xml:space="preserve">RFP </w:t>
      </w:r>
      <w:r>
        <w:rPr>
          <w:rFonts w:eastAsia="Times New Roman"/>
          <w:snapToGrid w:val="0"/>
          <w:szCs w:val="20"/>
        </w:rPr>
        <w:t xml:space="preserve">Section </w:t>
      </w:r>
      <w:r w:rsidR="00F94052">
        <w:rPr>
          <w:rFonts w:eastAsia="Times New Roman"/>
          <w:snapToGrid w:val="0"/>
          <w:szCs w:val="20"/>
        </w:rPr>
        <w:t>3</w:t>
      </w:r>
      <w:r>
        <w:rPr>
          <w:rFonts w:eastAsia="Times New Roman"/>
          <w:snapToGrid w:val="0"/>
          <w:szCs w:val="20"/>
        </w:rPr>
        <w:t xml:space="preserve">.2.7. </w:t>
      </w:r>
      <w:r w:rsidRPr="00317C89">
        <w:rPr>
          <w:rFonts w:eastAsia="Times New Roman"/>
          <w:snapToGrid w:val="0"/>
          <w:szCs w:val="20"/>
        </w:rPr>
        <w:t xml:space="preserve">References may be contacted to verify the information provided on the form. </w:t>
      </w:r>
      <w:r>
        <w:t>References</w:t>
      </w:r>
      <w:r w:rsidRPr="00DC4A42">
        <w:t xml:space="preserve"> that contain false or misleading statements</w:t>
      </w:r>
      <w:r>
        <w:t xml:space="preserve"> </w:t>
      </w:r>
      <w:r w:rsidRPr="00DC4A42">
        <w:t>shall be rejected.</w:t>
      </w:r>
      <w:r>
        <w:t xml:space="preserve"> </w:t>
      </w:r>
      <w:r w:rsidRPr="00317C89">
        <w:rPr>
          <w:rFonts w:eastAsia="Times New Roman"/>
          <w:snapToGrid w:val="0"/>
          <w:szCs w:val="20"/>
        </w:rPr>
        <w:t>Failure to complete and include the form with the Technical Proposal may cause your proposal to be rejected and deemed non-responsive.</w:t>
      </w:r>
    </w:p>
    <w:p w14:paraId="263A30E0" w14:textId="7DE009BF" w:rsidR="00537458" w:rsidRDefault="00537458" w:rsidP="001B373C">
      <w:pPr>
        <w:pStyle w:val="Heading4"/>
        <w:rPr>
          <w:rFonts w:eastAsia="Times New Roman"/>
          <w:snapToGrid w:val="0"/>
        </w:rPr>
      </w:pPr>
      <w:r>
        <w:rPr>
          <w:rFonts w:eastAsia="Times New Roman"/>
          <w:snapToGrid w:val="0"/>
        </w:rPr>
        <w:lastRenderedPageBreak/>
        <w:t>3.1.7 Disabled Veteran Business Enterprise (DVBE) Program Requirements</w:t>
      </w:r>
    </w:p>
    <w:p w14:paraId="2171C9D5" w14:textId="3EA07C1B" w:rsidR="00537458" w:rsidRPr="00C85B2A" w:rsidRDefault="00537458" w:rsidP="00537458">
      <w:pPr>
        <w:spacing w:before="240" w:after="240"/>
        <w:rPr>
          <w:rFonts w:cs="Arial"/>
        </w:rPr>
      </w:pPr>
      <w:r>
        <w:rPr>
          <w:rFonts w:cs="Arial"/>
        </w:rPr>
        <w:t xml:space="preserve">In accordance with Public Contract Code section 10115 et. seq., and California Military and Veterans Code section 999, et. seq., every bidder must comply with the Disabled Veteran Business Enterprise (DVBE) program participation requirements. </w:t>
      </w:r>
      <w:r w:rsidRPr="00C85B2A">
        <w:rPr>
          <w:rFonts w:cs="Arial"/>
        </w:rPr>
        <w:t xml:space="preserve">These requirements apply whether conducting business as a public agency, profit or non-profit individual, partnership or corporation. </w:t>
      </w:r>
      <w:proofErr w:type="gramStart"/>
      <w:r w:rsidRPr="00C85B2A">
        <w:rPr>
          <w:rFonts w:cs="Arial"/>
        </w:rPr>
        <w:t>In order to</w:t>
      </w:r>
      <w:proofErr w:type="gramEnd"/>
      <w:r w:rsidRPr="00C85B2A">
        <w:rPr>
          <w:rFonts w:cs="Arial"/>
        </w:rPr>
        <w:t xml:space="preserve"> be deemed responsive and eligible for award of the contract, the </w:t>
      </w:r>
      <w:r>
        <w:rPr>
          <w:rFonts w:cs="Arial"/>
        </w:rPr>
        <w:t xml:space="preserve">Technical Proposal must ensure that the </w:t>
      </w:r>
      <w:r w:rsidRPr="00C85B2A">
        <w:rPr>
          <w:rFonts w:cs="Arial"/>
        </w:rPr>
        <w:t xml:space="preserve">bidder </w:t>
      </w:r>
      <w:r>
        <w:rPr>
          <w:rFonts w:cs="Arial"/>
        </w:rPr>
        <w:t xml:space="preserve">will adhere to </w:t>
      </w:r>
      <w:r w:rsidRPr="00C85B2A">
        <w:rPr>
          <w:rFonts w:cs="Arial"/>
        </w:rPr>
        <w:t xml:space="preserve">the prescribed </w:t>
      </w:r>
      <w:r>
        <w:rPr>
          <w:rFonts w:cs="Arial"/>
        </w:rPr>
        <w:t>participation requirements</w:t>
      </w:r>
      <w:r w:rsidRPr="00C85B2A">
        <w:rPr>
          <w:rFonts w:cs="Arial"/>
        </w:rPr>
        <w:t>.</w:t>
      </w:r>
      <w:r>
        <w:rPr>
          <w:rFonts w:cs="Arial"/>
        </w:rPr>
        <w:t xml:space="preserve"> See RFP, Section </w:t>
      </w:r>
      <w:r w:rsidR="00F94052">
        <w:rPr>
          <w:rFonts w:cs="Arial"/>
        </w:rPr>
        <w:t>3</w:t>
      </w:r>
      <w:r>
        <w:rPr>
          <w:rFonts w:cs="Arial"/>
        </w:rPr>
        <w:t>.2</w:t>
      </w:r>
      <w:r w:rsidR="00063F5C">
        <w:rPr>
          <w:rFonts w:cs="Arial"/>
        </w:rPr>
        <w:t>.14</w:t>
      </w:r>
      <w:r>
        <w:rPr>
          <w:rFonts w:cs="Arial"/>
        </w:rPr>
        <w:t xml:space="preserve"> for forms and attachments required to comply with DVBE Program Requirements.</w:t>
      </w:r>
    </w:p>
    <w:p w14:paraId="2558BCA8" w14:textId="2C7AD372" w:rsidR="00537458" w:rsidRPr="00EA3E30" w:rsidRDefault="00537458" w:rsidP="00537458">
      <w:pPr>
        <w:spacing w:after="240"/>
        <w:rPr>
          <w:rFonts w:cs="Arial"/>
          <w:bCs/>
          <w:color w:val="000000"/>
          <w:szCs w:val="24"/>
        </w:rPr>
      </w:pPr>
      <w:r w:rsidRPr="00EA3E30">
        <w:rPr>
          <w:rFonts w:cs="Arial"/>
          <w:bCs/>
          <w:color w:val="000000"/>
          <w:szCs w:val="24"/>
        </w:rPr>
        <w:t xml:space="preserve">This solicitation requires a </w:t>
      </w:r>
      <w:proofErr w:type="gramStart"/>
      <w:r w:rsidRPr="00EA3E30">
        <w:rPr>
          <w:rFonts w:cs="Arial"/>
          <w:bCs/>
          <w:color w:val="000000"/>
          <w:szCs w:val="24"/>
        </w:rPr>
        <w:t>minimum</w:t>
      </w:r>
      <w:proofErr w:type="gramEnd"/>
      <w:r w:rsidRPr="00EA3E30">
        <w:rPr>
          <w:rFonts w:cs="Arial"/>
          <w:bCs/>
          <w:color w:val="000000"/>
          <w:szCs w:val="24"/>
        </w:rPr>
        <w:t xml:space="preserve">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w:t>
      </w:r>
    </w:p>
    <w:p w14:paraId="584A4F6C" w14:textId="77777777" w:rsidR="00537458" w:rsidRDefault="00537458" w:rsidP="00537458">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35D5CCA2" w14:textId="77777777" w:rsidR="00537458" w:rsidRPr="00663853" w:rsidRDefault="00537458" w:rsidP="00537458">
      <w:pPr>
        <w:spacing w:after="240"/>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661839FE" w14:textId="15FE6DEC" w:rsidR="00537458" w:rsidRPr="006A0010" w:rsidRDefault="00537458" w:rsidP="003E4C84">
      <w:pPr>
        <w:pStyle w:val="Heading3"/>
        <w:rPr>
          <w:sz w:val="24"/>
        </w:rPr>
      </w:pPr>
      <w:r>
        <w:t xml:space="preserve">3.2 Technical Proposal </w:t>
      </w:r>
      <w:r w:rsidRPr="00A91542">
        <w:t xml:space="preserve">Required </w:t>
      </w:r>
      <w:r>
        <w:t>Forms/</w:t>
      </w:r>
      <w:r w:rsidRPr="00A91542">
        <w:t>Attachments</w:t>
      </w:r>
    </w:p>
    <w:p w14:paraId="4A75A8A1" w14:textId="47D12508" w:rsidR="00537458" w:rsidRPr="0097472E" w:rsidRDefault="00537458" w:rsidP="00537458">
      <w:pPr>
        <w:tabs>
          <w:tab w:val="left" w:pos="0"/>
        </w:tabs>
        <w:spacing w:before="240" w:after="240"/>
        <w:rPr>
          <w:rFonts w:cs="Arial"/>
        </w:rPr>
      </w:pPr>
      <w:r>
        <w:t xml:space="preserve">The bidder’s Technical Proposal must be submitted as specified in Section </w:t>
      </w:r>
      <w:r w:rsidR="00F94052">
        <w:t>3</w:t>
      </w:r>
      <w:r>
        <w:t xml:space="preserve">.5 Submission of Proposal and must include the following correctly completed attachments. </w:t>
      </w:r>
      <w:r>
        <w:rPr>
          <w:rFonts w:cs="Arial"/>
        </w:rPr>
        <w:t>Failure to complete the attachments correctly or missing attachments may cause your proposal to be deemed non-responsive and therefore rejected.</w:t>
      </w:r>
    </w:p>
    <w:p w14:paraId="3F818DC2" w14:textId="21374134" w:rsidR="005E7F9B" w:rsidRDefault="005E7F9B" w:rsidP="001B373C">
      <w:pPr>
        <w:pStyle w:val="Heading4"/>
      </w:pPr>
      <w:r>
        <w:t>3.2.1 Attachment Checklist (RFP Attachment 2)</w:t>
      </w:r>
    </w:p>
    <w:p w14:paraId="5E122F1E" w14:textId="0FF2B885" w:rsidR="008A7671" w:rsidRDefault="00456AC2" w:rsidP="008A7671">
      <w:pPr>
        <w:spacing w:before="240" w:after="240"/>
      </w:pPr>
      <w:r>
        <w:t xml:space="preserve">The </w:t>
      </w:r>
      <w:r w:rsidR="008A7671" w:rsidRPr="000F01DF">
        <w:t xml:space="preserve">Attachment Checklist (RFP Attachment </w:t>
      </w:r>
      <w:r w:rsidR="008A7671">
        <w:t>2</w:t>
      </w:r>
      <w:r w:rsidR="008A7671" w:rsidRPr="000F01DF">
        <w:t>)</w:t>
      </w:r>
      <w:r w:rsidR="008A7671">
        <w:t xml:space="preserve"> must be completed and submitted with the original Technical Proposal, along with originals of all correctly completed required forms/attachments. A copy of the form and required forms/attachments must be included with each copy of the Technical Proposal. The CDE will review the contents of the Attachment Checklist for the presence and completion of all required forms/attachments (See Section 4 Evaluation Process). Proposals that do not provide </w:t>
      </w:r>
      <w:proofErr w:type="gramStart"/>
      <w:r w:rsidR="008A7671">
        <w:t>all of</w:t>
      </w:r>
      <w:proofErr w:type="gramEnd"/>
      <w:r w:rsidR="008A7671">
        <w:t xml:space="preserve"> the correctly completed forms/attachments as required by the RFP may be rejected as non-responsive.</w:t>
      </w:r>
    </w:p>
    <w:p w14:paraId="1ED2FCC9" w14:textId="5DF2FD82" w:rsidR="00537458" w:rsidRDefault="00537458" w:rsidP="001B373C">
      <w:pPr>
        <w:pStyle w:val="Heading4"/>
      </w:pPr>
      <w:r>
        <w:t>3.2.</w:t>
      </w:r>
      <w:r w:rsidR="005E7F9B">
        <w:t>2</w:t>
      </w:r>
      <w:r>
        <w:t xml:space="preserve"> </w:t>
      </w:r>
      <w:r w:rsidRPr="00D93C4D">
        <w:t>Bidder Certification Sheet</w:t>
      </w:r>
      <w:r>
        <w:t xml:space="preserve"> (RFP Attachment </w:t>
      </w:r>
      <w:r w:rsidR="005E7F9B">
        <w:t>3</w:t>
      </w:r>
      <w:r>
        <w:t>)</w:t>
      </w:r>
    </w:p>
    <w:p w14:paraId="1F386BC3" w14:textId="31443E03" w:rsidR="00537458" w:rsidRDefault="00537458" w:rsidP="00537458">
      <w:pPr>
        <w:spacing w:before="240" w:after="240"/>
      </w:pPr>
      <w:r>
        <w:t xml:space="preserve">The Bidder Certification Sheet (RFP Attachment </w:t>
      </w:r>
      <w:r w:rsidR="005E7F9B">
        <w:t>3</w:t>
      </w:r>
      <w:r>
        <w:t>) must be completed and signed by an individual who is authorized to bind the bidder contractually. The Bidder Certification Sheet must be completed and submitted with the original Technical Proposal and a copy of the form included with each copy of the Technical Proposal.</w:t>
      </w:r>
    </w:p>
    <w:p w14:paraId="528AC8EB" w14:textId="2D3D1CAC" w:rsidR="00537458" w:rsidRDefault="00537458" w:rsidP="00537458">
      <w:pPr>
        <w:spacing w:before="240" w:after="240"/>
      </w:pPr>
      <w:r>
        <w:t xml:space="preserve">Only an individual who is authorized to contractually bind the Bidder shall sign the Bidder Certification Sheet (RFP Attachment </w:t>
      </w:r>
      <w:r w:rsidR="005E7F9B">
        <w:t>3</w:t>
      </w:r>
      <w:r>
        <w:t xml:space="preserve">). The individual signing the Bidder Certification Sheet must indicate </w:t>
      </w:r>
      <w:r w:rsidR="00456AC2">
        <w:t>their</w:t>
      </w:r>
      <w:r>
        <w:t xml:space="preserve"> position title. The mailing address, telephone number, and </w:t>
      </w:r>
      <w:r w:rsidR="00456AC2">
        <w:t>email address</w:t>
      </w:r>
      <w:r>
        <w:t xml:space="preserve"> of the authorized representative who signed the Bidder Certification Sheet must be included.</w:t>
      </w:r>
    </w:p>
    <w:p w14:paraId="314AB83D" w14:textId="16375800" w:rsidR="00537458" w:rsidRDefault="00537458" w:rsidP="001B373C">
      <w:pPr>
        <w:pStyle w:val="Heading4"/>
      </w:pPr>
      <w:r>
        <w:lastRenderedPageBreak/>
        <w:t>3.2.</w:t>
      </w:r>
      <w:r w:rsidR="005E7F9B">
        <w:t>3</w:t>
      </w:r>
      <w:r>
        <w:t xml:space="preserve"> Technical Proposal Staffing Labor Hours Worksheets (RFP Attachment </w:t>
      </w:r>
      <w:r w:rsidR="005E7F9B">
        <w:t>4</w:t>
      </w:r>
      <w:r>
        <w:t>)</w:t>
      </w:r>
    </w:p>
    <w:p w14:paraId="1A8ABFF9" w14:textId="06A2C04F" w:rsidR="00537458" w:rsidRDefault="00537458" w:rsidP="00537458">
      <w:pPr>
        <w:spacing w:before="240" w:after="240"/>
      </w:pPr>
      <w:r w:rsidRPr="00D93C4D">
        <w:t>Technical Proposal Staffing Labor Hours Worksheets</w:t>
      </w:r>
      <w:r>
        <w:t xml:space="preserve"> (RFP Attachment </w:t>
      </w:r>
      <w:r w:rsidR="005E7F9B">
        <w:t>4</w:t>
      </w:r>
      <w:r>
        <w:t xml:space="preserve">) must be completed for each fiscal year, or part thereof. If subcontractors are being used, separate Staffing Labor Hours Worksheets (RFP Attachment </w:t>
      </w:r>
      <w:r w:rsidR="00500228">
        <w:t>4</w:t>
      </w:r>
      <w:r>
        <w:t xml:space="preserve">) must be submitted for each subcontractor. See RFP Section </w:t>
      </w:r>
      <w:r w:rsidR="006663E8">
        <w:t>3</w:t>
      </w:r>
      <w:r>
        <w:t>.1.3 (</w:t>
      </w:r>
      <w:r w:rsidR="006663E8">
        <w:t>3</w:t>
      </w:r>
      <w:r>
        <w:t xml:space="preserve">.1.3.9 and </w:t>
      </w:r>
      <w:r w:rsidR="006663E8">
        <w:t>3</w:t>
      </w:r>
      <w:r>
        <w:t>.1.3.10</w:t>
      </w:r>
      <w:r w:rsidR="00063F5C">
        <w:t>)</w:t>
      </w:r>
      <w:r>
        <w:t>.</w:t>
      </w:r>
    </w:p>
    <w:p w14:paraId="0E345470" w14:textId="4C6A0BF9" w:rsidR="006663E8" w:rsidRPr="00326FB2" w:rsidRDefault="006663E8" w:rsidP="00132985">
      <w:pPr>
        <w:pStyle w:val="ListParagraph"/>
        <w:widowControl w:val="0"/>
        <w:numPr>
          <w:ilvl w:val="0"/>
          <w:numId w:val="45"/>
        </w:numPr>
        <w:spacing w:before="240" w:after="240"/>
        <w:contextualSpacing w:val="0"/>
        <w:rPr>
          <w:rFonts w:cs="Arial"/>
        </w:rPr>
      </w:pPr>
      <w:r w:rsidRPr="00D15B08">
        <w:rPr>
          <w:rFonts w:cs="Arial"/>
        </w:rPr>
        <w:t>For each individual and job position title, include the specific tasks</w:t>
      </w:r>
      <w:r>
        <w:rPr>
          <w:rFonts w:cs="Arial"/>
        </w:rPr>
        <w:t xml:space="preserve"> and </w:t>
      </w:r>
      <w:r w:rsidRPr="00D15B08">
        <w:rPr>
          <w:rFonts w:cs="Arial"/>
        </w:rPr>
        <w:t>subtasks each individual/job position title that will perform services and the specific number of labor hours the individual/job position title will devote to each task</w:t>
      </w:r>
      <w:r>
        <w:rPr>
          <w:rFonts w:cs="Arial"/>
        </w:rPr>
        <w:t xml:space="preserve"> and </w:t>
      </w:r>
      <w:r w:rsidRPr="00D15B08">
        <w:rPr>
          <w:rFonts w:cs="Arial"/>
        </w:rPr>
        <w:t xml:space="preserve">subtask contained in Section </w:t>
      </w:r>
      <w:r>
        <w:rPr>
          <w:rFonts w:cs="Arial"/>
        </w:rPr>
        <w:t>7</w:t>
      </w:r>
      <w:r w:rsidRPr="00D15B08">
        <w:rPr>
          <w:rFonts w:cs="Arial"/>
        </w:rPr>
        <w:t xml:space="preserve"> Scope of Project. A Staffing Labor Hours Worksheet (Attachment </w:t>
      </w:r>
      <w:r w:rsidR="00500228">
        <w:rPr>
          <w:rFonts w:cs="Arial"/>
        </w:rPr>
        <w:t>4</w:t>
      </w:r>
      <w:r w:rsidRPr="00D15B08">
        <w:rPr>
          <w:rFonts w:cs="Arial"/>
        </w:rPr>
        <w:t xml:space="preserve">) must be completed for each fiscal year covered under this contract or part thereof. The labor hours specified in the Staffing Labor Hours Worksheet (Attachment </w:t>
      </w:r>
      <w:r w:rsidR="00500228">
        <w:rPr>
          <w:rFonts w:cs="Arial"/>
        </w:rPr>
        <w:t>4</w:t>
      </w:r>
      <w:r w:rsidRPr="00D15B08">
        <w:rPr>
          <w:rFonts w:cs="Arial"/>
        </w:rPr>
        <w:t>) must correlate with the labor hours contained in the Cost Proposal</w:t>
      </w:r>
      <w:r>
        <w:rPr>
          <w:rFonts w:cs="Arial"/>
        </w:rPr>
        <w:t xml:space="preserve">. </w:t>
      </w: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48F22C73" w14:textId="6C5F60BF" w:rsidR="006663E8" w:rsidRDefault="006663E8" w:rsidP="00132985">
      <w:pPr>
        <w:pStyle w:val="ListParagraph"/>
        <w:numPr>
          <w:ilvl w:val="0"/>
          <w:numId w:val="45"/>
        </w:numPr>
        <w:tabs>
          <w:tab w:val="left" w:pos="720"/>
          <w:tab w:val="left" w:pos="1080"/>
        </w:tabs>
        <w:spacing w:before="240" w:after="240"/>
        <w:contextualSpacing w:val="0"/>
        <w:rPr>
          <w:rFonts w:cs="Arial"/>
        </w:rPr>
      </w:pPr>
      <w:r w:rsidRPr="008F2F1B">
        <w:rPr>
          <w:rFonts w:cs="Arial"/>
        </w:rPr>
        <w:t>If subcontractors (See RFP</w:t>
      </w:r>
      <w:r>
        <w:rPr>
          <w:rFonts w:cs="Arial"/>
        </w:rPr>
        <w:t>,</w:t>
      </w:r>
      <w:r w:rsidRPr="008F2F1B">
        <w:rPr>
          <w:rFonts w:cs="Arial"/>
        </w:rPr>
        <w:t xml:space="preserve"> Section </w:t>
      </w:r>
      <w:r>
        <w:rPr>
          <w:rFonts w:cs="Arial"/>
        </w:rPr>
        <w:t>2</w:t>
      </w:r>
      <w:r w:rsidRPr="008F2F1B">
        <w:rPr>
          <w:rFonts w:cs="Arial"/>
        </w:rPr>
        <w:t xml:space="preserve">.8 for definition of </w:t>
      </w:r>
      <w:r>
        <w:rPr>
          <w:rFonts w:cs="Arial"/>
        </w:rPr>
        <w:t>“</w:t>
      </w:r>
      <w:r w:rsidRPr="00326FB2">
        <w:rPr>
          <w:rFonts w:cs="Arial"/>
        </w:rPr>
        <w:t>subcontractors</w:t>
      </w:r>
      <w:r>
        <w:rPr>
          <w:rFonts w:cs="Arial"/>
        </w:rPr>
        <w:t>”</w:t>
      </w:r>
      <w:r w:rsidRPr="008F2F1B">
        <w:rPr>
          <w:rFonts w:cs="Arial"/>
        </w:rPr>
        <w:t xml:space="preserve">) are being used, separate Technical Proposal Staffing Labor Hours Worksheets (Attachment </w:t>
      </w:r>
      <w:r w:rsidR="00500228">
        <w:rPr>
          <w:rFonts w:cs="Arial"/>
        </w:rPr>
        <w:t>4</w:t>
      </w:r>
      <w:r w:rsidRPr="008F2F1B">
        <w:rPr>
          <w:rFonts w:cs="Arial"/>
        </w:rPr>
        <w:t>) must be completed for each subcontractor.</w:t>
      </w:r>
    </w:p>
    <w:p w14:paraId="0DA00CF9" w14:textId="43EFC005" w:rsidR="006663E8" w:rsidRPr="006663E8" w:rsidRDefault="006663E8" w:rsidP="00132985">
      <w:pPr>
        <w:pStyle w:val="ListParagraph"/>
        <w:numPr>
          <w:ilvl w:val="0"/>
          <w:numId w:val="45"/>
        </w:numPr>
        <w:spacing w:before="240" w:after="240"/>
        <w:contextualSpacing w:val="0"/>
        <w:rPr>
          <w:rFonts w:cs="Arial"/>
        </w:rPr>
      </w:pPr>
      <w:proofErr w:type="gramStart"/>
      <w:r w:rsidRPr="006663E8">
        <w:rPr>
          <w:rFonts w:cs="Arial"/>
        </w:rPr>
        <w:t>In the event that</w:t>
      </w:r>
      <w:proofErr w:type="gramEnd"/>
      <w:r w:rsidRPr="006663E8">
        <w:rPr>
          <w:rFonts w:cs="Arial"/>
        </w:rPr>
        <w:t xml:space="preserve"> a specific subcontractor does not perform a task by hours (for example a printer) but rather they charge by the job, then the bidder may list “0” hours and make a notation on Attachment </w:t>
      </w:r>
      <w:r w:rsidR="00500228">
        <w:rPr>
          <w:rFonts w:cs="Arial"/>
        </w:rPr>
        <w:t>4</w:t>
      </w:r>
      <w:r w:rsidRPr="006663E8">
        <w:rPr>
          <w:rFonts w:cs="Arial"/>
        </w:rPr>
        <w:t xml:space="preserve"> to that effect without including any costs.</w:t>
      </w:r>
    </w:p>
    <w:p w14:paraId="501E7416" w14:textId="77777777" w:rsidR="006663E8" w:rsidRPr="006663E8" w:rsidRDefault="006663E8" w:rsidP="006663E8">
      <w:pPr>
        <w:pStyle w:val="ListParagraph"/>
        <w:spacing w:before="240" w:after="240"/>
        <w:rPr>
          <w:rFonts w:cs="Arial"/>
          <w:i/>
        </w:rPr>
      </w:pPr>
      <w:r w:rsidRPr="006663E8">
        <w:rPr>
          <w:rFonts w:cs="Arial"/>
        </w:rPr>
        <w:t>For example:</w:t>
      </w:r>
    </w:p>
    <w:p w14:paraId="3B5862B5" w14:textId="77777777" w:rsidR="006663E8" w:rsidRPr="006663E8" w:rsidRDefault="006663E8" w:rsidP="006663E8">
      <w:pPr>
        <w:pStyle w:val="ListParagraph"/>
        <w:spacing w:before="240" w:after="240"/>
        <w:rPr>
          <w:rFonts w:cs="Arial"/>
          <w:i/>
        </w:rPr>
      </w:pPr>
      <w:r w:rsidRPr="006663E8">
        <w:rPr>
          <w:rFonts w:cs="Arial"/>
          <w:i/>
        </w:rPr>
        <w:t>“Printer company name*: Task 2, 0 hours</w:t>
      </w:r>
    </w:p>
    <w:p w14:paraId="48CF971D" w14:textId="77777777" w:rsidR="006663E8" w:rsidRPr="006663E8" w:rsidRDefault="006663E8" w:rsidP="006663E8">
      <w:pPr>
        <w:pStyle w:val="ListParagraph"/>
        <w:spacing w:before="240" w:after="240"/>
        <w:rPr>
          <w:rFonts w:eastAsia="Times New Roman" w:cs="Arial"/>
          <w:snapToGrid w:val="0"/>
          <w:szCs w:val="20"/>
        </w:rPr>
      </w:pPr>
      <w:r w:rsidRPr="006663E8">
        <w:rPr>
          <w:rFonts w:cs="Arial"/>
          <w:i/>
        </w:rPr>
        <w:t>*Printer will not charge hourly, but by print job.”</w:t>
      </w:r>
    </w:p>
    <w:p w14:paraId="6A6F4DFC" w14:textId="5E262E0F" w:rsidR="00537458" w:rsidRDefault="00537458" w:rsidP="001B373C">
      <w:pPr>
        <w:pStyle w:val="Heading4"/>
      </w:pPr>
      <w:r>
        <w:t>3.2.</w:t>
      </w:r>
      <w:r w:rsidR="008A7671">
        <w:t>4</w:t>
      </w:r>
      <w:r>
        <w:t xml:space="preserve"> Federal Certifications (RFP Attachment 5)</w:t>
      </w:r>
    </w:p>
    <w:p w14:paraId="4B0FAE36" w14:textId="77777777" w:rsidR="00537458" w:rsidRDefault="00537458" w:rsidP="00537458">
      <w:pPr>
        <w:spacing w:before="240" w:after="240"/>
      </w:pPr>
      <w:r w:rsidRPr="00D93C4D">
        <w:t>Federal Certifications</w:t>
      </w:r>
      <w:r>
        <w:t xml:space="preserve"> (RFP Attachment 5) must be completed, signed and dated with an original signature on the form and included in the original Technical Proposal and a copy of the form included with each copy of the Technical Proposal.</w:t>
      </w:r>
    </w:p>
    <w:p w14:paraId="339B3C83" w14:textId="0C591A00" w:rsidR="00537458" w:rsidRDefault="00537458" w:rsidP="001B373C">
      <w:pPr>
        <w:pStyle w:val="Heading4"/>
      </w:pPr>
      <w:r>
        <w:t>3.2.</w:t>
      </w:r>
      <w:r w:rsidR="008A7671">
        <w:t>5</w:t>
      </w:r>
      <w:r>
        <w:t xml:space="preserve"> Darfur Contracting Act Certification (RFP Attachment 6</w:t>
      </w:r>
      <w:r w:rsidR="00866745">
        <w:t xml:space="preserve"> or 6a</w:t>
      </w:r>
      <w:r>
        <w:t>)</w:t>
      </w:r>
    </w:p>
    <w:p w14:paraId="656D40D5" w14:textId="77777777" w:rsidR="00537458" w:rsidRDefault="00537458" w:rsidP="00537458">
      <w:pPr>
        <w:spacing w:before="240" w:after="240"/>
      </w:pPr>
      <w:r w:rsidRPr="00D93C4D">
        <w:t>Darfur Contracting Act Certification</w:t>
      </w:r>
      <w:r>
        <w:t xml:space="preserve"> (RFP Attachment 6) must be completed if the business entity (bidder) currently or within the previous three years has had business activities or other operations outside the United States. Or, if the business entity (bidder) has not within the previous three years had business activities or other operations outside the United States, then the </w:t>
      </w:r>
      <w:r w:rsidRPr="00D93C4D">
        <w:t>Darfur Contracting Act Certification Supplemental</w:t>
      </w:r>
      <w:r>
        <w:t xml:space="preserve"> (RFP Attachment 6a) form must be completed. The completed form must be signed and dated with an original signature and included in the original Technical Proposal and a copy of the form included with each copy of the Technical Proposal.</w:t>
      </w:r>
    </w:p>
    <w:p w14:paraId="2B5D2404" w14:textId="47DDAC9E" w:rsidR="00537458" w:rsidRDefault="00537458" w:rsidP="001B373C">
      <w:pPr>
        <w:pStyle w:val="Heading4"/>
      </w:pPr>
      <w:r>
        <w:lastRenderedPageBreak/>
        <w:t>3.2.</w:t>
      </w:r>
      <w:r w:rsidR="008A7671">
        <w:t>6</w:t>
      </w:r>
      <w:r>
        <w:t xml:space="preserve"> California Civil Rights Laws Certification (RFP Attachment 7)</w:t>
      </w:r>
    </w:p>
    <w:p w14:paraId="2F3B71DD" w14:textId="77777777" w:rsidR="00537458" w:rsidRDefault="00537458" w:rsidP="00537458">
      <w:pPr>
        <w:spacing w:before="240" w:after="240"/>
      </w:pPr>
      <w:r w:rsidRPr="00D93C4D">
        <w:t>California Civil Rights Laws Certification</w:t>
      </w:r>
      <w:r>
        <w:t xml:space="preserve"> (RFP Attachment 7) must be completed, signed and dated with an original signature on the form included in the original Technical Proposal and a copy of the form included with each copy of the Technical Proposal.</w:t>
      </w:r>
    </w:p>
    <w:p w14:paraId="168BFEE8" w14:textId="4BE8D2C8" w:rsidR="00537458" w:rsidRDefault="00537458" w:rsidP="001B373C">
      <w:pPr>
        <w:pStyle w:val="Heading4"/>
      </w:pPr>
      <w:r>
        <w:t>3.2.</w:t>
      </w:r>
      <w:r w:rsidR="008A7671">
        <w:t>7</w:t>
      </w:r>
      <w:r>
        <w:t xml:space="preserve"> Bidder References (RFP Attachment 8)</w:t>
      </w:r>
    </w:p>
    <w:p w14:paraId="13BED909" w14:textId="16D35AE6" w:rsidR="00537458" w:rsidRDefault="00537458" w:rsidP="00537458">
      <w:pPr>
        <w:spacing w:before="240" w:after="240"/>
      </w:pPr>
      <w:r>
        <w:t xml:space="preserve">Bidders must provide three (3) references using the Bidder Reference Form included in this RFP (Attachment 8). See </w:t>
      </w:r>
      <w:r w:rsidR="00522D63">
        <w:t xml:space="preserve">RFP </w:t>
      </w:r>
      <w:r>
        <w:t xml:space="preserve">Section </w:t>
      </w:r>
      <w:r w:rsidR="00522D63">
        <w:t>3</w:t>
      </w:r>
      <w:r>
        <w:t>.1.6. References may be contacted by CDE to verify the information provided on the form. References</w:t>
      </w:r>
      <w:r w:rsidRPr="00DC4A42">
        <w:t xml:space="preserve"> that contain false or misleading statements</w:t>
      </w:r>
      <w:r>
        <w:t xml:space="preserve"> </w:t>
      </w:r>
      <w:r w:rsidRPr="00DC4A42">
        <w:t>shall be rejected.</w:t>
      </w:r>
      <w:r>
        <w:t xml:space="preserve"> Failure to complete and include the form with the Technical Proposal will cause your proposal to be rejected and deemed non-responsive.</w:t>
      </w:r>
    </w:p>
    <w:p w14:paraId="1B98DE14" w14:textId="7F498A76" w:rsidR="00537458" w:rsidRDefault="00537458" w:rsidP="001B373C">
      <w:pPr>
        <w:pStyle w:val="Heading4"/>
      </w:pPr>
      <w:r>
        <w:t>3.2.</w:t>
      </w:r>
      <w:r w:rsidR="008A7671">
        <w:t>8</w:t>
      </w:r>
      <w:r>
        <w:t xml:space="preserve"> Bidder Declaration (GSPD-05-105)</w:t>
      </w:r>
    </w:p>
    <w:p w14:paraId="528C5465" w14:textId="346E0D48" w:rsidR="00537458" w:rsidRDefault="00537458" w:rsidP="00537458">
      <w:pPr>
        <w:spacing w:before="240" w:after="240"/>
      </w:pPr>
      <w:r>
        <w:t xml:space="preserve">The </w:t>
      </w:r>
      <w:r w:rsidRPr="004157A8">
        <w:t xml:space="preserve">Bidder Declaration form </w:t>
      </w:r>
      <w:r w:rsidR="00EE05EB">
        <w:t>(</w:t>
      </w:r>
      <w:r w:rsidRPr="004157A8">
        <w:t>GSPD-05-105</w:t>
      </w:r>
      <w:r w:rsidR="00753B68">
        <w:t xml:space="preserve">) </w:t>
      </w:r>
      <w:r>
        <w:t xml:space="preserve">must be completed in accordance with the instructions provided on the form. All subcontractors (see Section </w:t>
      </w:r>
      <w:r w:rsidR="00522D63">
        <w:t>2</w:t>
      </w:r>
      <w:r>
        <w:t xml:space="preserve">.8 for definition of a </w:t>
      </w:r>
      <w:r w:rsidR="00522D63">
        <w:t>“</w:t>
      </w:r>
      <w:r>
        <w:t>subcontractor</w:t>
      </w:r>
      <w:r w:rsidR="00522D63">
        <w:t>”</w:t>
      </w:r>
      <w:r>
        <w:t>) and/or independent consultants proposed to be used for this project must be identified on the Bidder Declaration form</w:t>
      </w:r>
      <w:r w:rsidR="00522D63">
        <w:t>. Subcontractors listed on the Bidder Declaration form must match the subcontractors and/or independent consultants named in response to</w:t>
      </w:r>
      <w:r>
        <w:t xml:space="preserve"> RFP Section </w:t>
      </w:r>
      <w:r w:rsidR="00522D63">
        <w:t>3</w:t>
      </w:r>
      <w:r>
        <w:t>.1.3</w:t>
      </w:r>
      <w:r w:rsidR="00522D63">
        <w:t xml:space="preserve"> (Organization Structure and Personnel Resources</w:t>
      </w:r>
      <w:r>
        <w:t xml:space="preserve">). The Bidder Declaration form can be found at </w:t>
      </w:r>
      <w:hyperlink r:id="rId11" w:tooltip="Bidder Declaration Form " w:history="1">
        <w:r w:rsidRPr="008328D9">
          <w:rPr>
            <w:rStyle w:val="Hyperlink"/>
          </w:rPr>
          <w:t>https://www.documents.dgs.ca.gov/dgs/fmc/gs/pd/gspd05-105.pdf</w:t>
        </w:r>
      </w:hyperlink>
      <w:r>
        <w:t>.</w:t>
      </w:r>
    </w:p>
    <w:p w14:paraId="6C8E8A32" w14:textId="739CB652" w:rsidR="00537458" w:rsidRDefault="00537458" w:rsidP="00537458">
      <w:pPr>
        <w:spacing w:before="240" w:after="240"/>
        <w:rPr>
          <w:rStyle w:val="Hyperlink"/>
          <w:color w:val="auto"/>
          <w:u w:val="none"/>
        </w:rPr>
      </w:pPr>
      <w:r>
        <w:t xml:space="preserve">The Bidder Declaration form will be used to determine compliance with DVBE participation requirements as specified in RFP Section </w:t>
      </w:r>
      <w:r w:rsidR="008D2E5B">
        <w:t>3.1.7, 3</w:t>
      </w:r>
      <w:r>
        <w:t xml:space="preserve">.2.14 and Attachment </w:t>
      </w:r>
      <w:r w:rsidR="008D3596">
        <w:t>9</w:t>
      </w:r>
      <w:r>
        <w:t xml:space="preserve">. The form must be completed, signed and dated with an original signature on the form included in the original Technical Proposal and a copy of the form included with each copy of the Technical Proposal. A printout of the Supplier Profile for each participating DVBE must also be included with each copy of the Technical Proposal. The Supplier Profile can be found on the DGS </w:t>
      </w:r>
      <w:r w:rsidR="0018588B">
        <w:t>w</w:t>
      </w:r>
      <w:r>
        <w:t xml:space="preserve">ebsite, </w:t>
      </w:r>
      <w:hyperlink r:id="rId12" w:tooltip="Cal eProcure website" w:history="1">
        <w:r>
          <w:rPr>
            <w:rStyle w:val="Hyperlink"/>
          </w:rPr>
          <w:t>https://caleprocure.ca.gov/pages/PublicSearch/supplier-search.aspx</w:t>
        </w:r>
      </w:hyperlink>
      <w:r>
        <w:rPr>
          <w:rStyle w:val="Hyperlink"/>
          <w:color w:val="auto"/>
          <w:u w:val="none"/>
        </w:rPr>
        <w:t>.</w:t>
      </w:r>
    </w:p>
    <w:p w14:paraId="33588265" w14:textId="33F9BADB" w:rsidR="00537458" w:rsidRDefault="00537458" w:rsidP="001B373C">
      <w:pPr>
        <w:pStyle w:val="Heading4"/>
      </w:pPr>
      <w:r>
        <w:t>3.2.</w:t>
      </w:r>
      <w:r w:rsidR="008A7671">
        <w:t>9</w:t>
      </w:r>
      <w:r>
        <w:t xml:space="preserve"> Subcontractor Commitment Letter(s)</w:t>
      </w:r>
    </w:p>
    <w:p w14:paraId="658F3BA0" w14:textId="384BF2F2" w:rsidR="00537458" w:rsidRPr="00EE02A1" w:rsidRDefault="00537458" w:rsidP="00537458">
      <w:pPr>
        <w:spacing w:before="240" w:after="240"/>
      </w:pPr>
      <w:r w:rsidRPr="00EE02A1">
        <w:rPr>
          <w:rFonts w:eastAsia="Times New Roman" w:cs="Arial"/>
          <w:snapToGrid w:val="0"/>
          <w:szCs w:val="20"/>
        </w:rPr>
        <w:t xml:space="preserve">A </w:t>
      </w:r>
      <w:r>
        <w:rPr>
          <w:rFonts w:eastAsia="Times New Roman" w:cs="Arial"/>
          <w:snapToGrid w:val="0"/>
          <w:szCs w:val="20"/>
        </w:rPr>
        <w:t xml:space="preserve">subcontractor </w:t>
      </w:r>
      <w:r w:rsidRPr="00EE02A1">
        <w:rPr>
          <w:rFonts w:eastAsia="Times New Roman" w:cs="Arial"/>
          <w:snapToGrid w:val="0"/>
          <w:szCs w:val="20"/>
        </w:rPr>
        <w:t>commitment letter, signed by an official representative of each subcontractor or independent consultant</w:t>
      </w:r>
      <w:r>
        <w:rPr>
          <w:rFonts w:eastAsia="Times New Roman" w:cs="Arial"/>
          <w:snapToGrid w:val="0"/>
          <w:szCs w:val="20"/>
        </w:rPr>
        <w:t xml:space="preserve"> (see</w:t>
      </w:r>
      <w:r w:rsidR="0066101C">
        <w:rPr>
          <w:rFonts w:eastAsia="Times New Roman" w:cs="Arial"/>
          <w:snapToGrid w:val="0"/>
          <w:szCs w:val="20"/>
        </w:rPr>
        <w:t xml:space="preserve"> RFP</w:t>
      </w:r>
      <w:r>
        <w:rPr>
          <w:rFonts w:eastAsia="Times New Roman" w:cs="Arial"/>
          <w:snapToGrid w:val="0"/>
          <w:szCs w:val="20"/>
        </w:rPr>
        <w:t xml:space="preserve"> Section </w:t>
      </w:r>
      <w:r w:rsidR="0066101C">
        <w:rPr>
          <w:rFonts w:eastAsia="Times New Roman" w:cs="Arial"/>
          <w:snapToGrid w:val="0"/>
          <w:szCs w:val="20"/>
        </w:rPr>
        <w:t>2</w:t>
      </w:r>
      <w:r>
        <w:rPr>
          <w:rFonts w:eastAsia="Times New Roman" w:cs="Arial"/>
          <w:snapToGrid w:val="0"/>
          <w:szCs w:val="20"/>
        </w:rPr>
        <w:t>.8 for definition of subcontractor)</w:t>
      </w:r>
      <w:r w:rsidRPr="00EE02A1">
        <w:rPr>
          <w:rFonts w:eastAsia="Times New Roman" w:cs="Arial"/>
          <w:snapToGrid w:val="0"/>
          <w:szCs w:val="20"/>
        </w:rPr>
        <w:t>, acknowledging their intended participation/availability and confirmation that they have been made aware of the terms and conditions of the proposed contract</w:t>
      </w:r>
      <w:r>
        <w:rPr>
          <w:rFonts w:eastAsia="Times New Roman" w:cs="Arial"/>
          <w:snapToGrid w:val="0"/>
          <w:szCs w:val="20"/>
        </w:rPr>
        <w:t xml:space="preserve"> is required for each subcontractor who will provide services in the bidder’s Technical Proposal</w:t>
      </w:r>
      <w:r w:rsidRPr="00EE02A1">
        <w:rPr>
          <w:rFonts w:eastAsia="Times New Roman" w:cs="Arial"/>
          <w:snapToGrid w:val="0"/>
          <w:szCs w:val="20"/>
        </w:rPr>
        <w:t xml:space="preserve">. </w:t>
      </w:r>
      <w:r w:rsidRPr="00EE02A1">
        <w:rPr>
          <w:rFonts w:cs="Arial"/>
        </w:rPr>
        <w:t>A commitment letter is required for all subcontractors</w:t>
      </w:r>
      <w:r w:rsidR="0066101C">
        <w:rPr>
          <w:rFonts w:cs="Arial"/>
        </w:rPr>
        <w:t xml:space="preserve"> and/or independent consultants, which are also </w:t>
      </w:r>
      <w:r w:rsidR="001F7F80">
        <w:rPr>
          <w:rFonts w:cs="Arial"/>
        </w:rPr>
        <w:t xml:space="preserve">required to be </w:t>
      </w:r>
      <w:r w:rsidR="0066101C">
        <w:rPr>
          <w:rFonts w:cs="Arial"/>
        </w:rPr>
        <w:t>named in response to RFP Section 3.1.3</w:t>
      </w:r>
      <w:r w:rsidRPr="00EE02A1">
        <w:rPr>
          <w:rFonts w:cs="Arial"/>
        </w:rPr>
        <w:t>. No cost should be included in the commitment letter</w:t>
      </w:r>
      <w:r w:rsidR="008E6812" w:rsidRPr="00326FB2">
        <w:rPr>
          <w:rFonts w:cs="Arial"/>
        </w:rPr>
        <w:t>. Cost information included in any section or in any required attachment to the Technical Proposal may result in disqualification and removal of the proposal from further review at the sole discretion of the CDE.</w:t>
      </w:r>
      <w:r w:rsidRPr="00EE02A1">
        <w:rPr>
          <w:rFonts w:cs="Arial"/>
        </w:rPr>
        <w:t xml:space="preserve"> </w:t>
      </w:r>
      <w:r>
        <w:t>Each letter must be completed, signed and dated with an original signature included in the original Technical Proposal and a copy of the letter included with each copy of the Technical Proposal.</w:t>
      </w:r>
    </w:p>
    <w:p w14:paraId="5617A3B8" w14:textId="754C4B4A" w:rsidR="000F18CF" w:rsidRDefault="000F18CF" w:rsidP="001B373C">
      <w:pPr>
        <w:pStyle w:val="Heading4"/>
      </w:pPr>
      <w:r>
        <w:lastRenderedPageBreak/>
        <w:t>3.2.</w:t>
      </w:r>
      <w:r w:rsidR="008A7671">
        <w:t>10</w:t>
      </w:r>
      <w:r>
        <w:t xml:space="preserve"> Contractor Certification Clauses CCC 04/2017 </w:t>
      </w:r>
    </w:p>
    <w:p w14:paraId="63F09FB6" w14:textId="2F12380D" w:rsidR="000F18CF" w:rsidRDefault="000F18CF" w:rsidP="000F18CF">
      <w:pPr>
        <w:spacing w:before="240" w:after="240"/>
      </w:pPr>
      <w:r w:rsidRPr="00D93C4D">
        <w:t>Contractor Certification Clauses CCC 04/2017</w:t>
      </w:r>
      <w:r>
        <w:t xml:space="preserve">. The CCC 04/2017 must be completed, signed and dated with an original signature on the form and included in the original Technical Proposal and a copy of the form included with each copy of the Technical Proposal. The CCC 04/2017 can be found at </w:t>
      </w:r>
      <w:hyperlink r:id="rId13" w:tooltip="CCC 04/2017 " w:history="1">
        <w:r w:rsidRPr="000105A3">
          <w:rPr>
            <w:rStyle w:val="Hyperlink"/>
          </w:rPr>
          <w:t>https://www.dgs.ca.gov/OLS/Resources/Page-Content/Office-of-Legal-Services-Resources-List-Folder/Standard-Contract-Language</w:t>
        </w:r>
      </w:hyperlink>
      <w:r>
        <w:rPr>
          <w:rStyle w:val="Hyperlink"/>
          <w:color w:val="auto"/>
          <w:u w:val="none"/>
        </w:rPr>
        <w:t>.</w:t>
      </w:r>
    </w:p>
    <w:p w14:paraId="42EF4849" w14:textId="7B41A7F4" w:rsidR="00537458" w:rsidRDefault="004564C9" w:rsidP="001B373C">
      <w:pPr>
        <w:pStyle w:val="Heading4"/>
      </w:pPr>
      <w:r>
        <w:t>3</w:t>
      </w:r>
      <w:r w:rsidR="00537458">
        <w:t>.2.1</w:t>
      </w:r>
      <w:r w:rsidR="008A7671">
        <w:t>1</w:t>
      </w:r>
      <w:r w:rsidR="00537458">
        <w:t xml:space="preserve"> Payee Data Record (STD.</w:t>
      </w:r>
      <w:r w:rsidR="00456AC2">
        <w:t xml:space="preserve"> </w:t>
      </w:r>
      <w:r w:rsidR="00537458">
        <w:t>204)</w:t>
      </w:r>
    </w:p>
    <w:p w14:paraId="70B4E638" w14:textId="4B517BF0" w:rsidR="00537458" w:rsidRDefault="00537458" w:rsidP="00537458">
      <w:pPr>
        <w:spacing w:before="240" w:after="240"/>
        <w:rPr>
          <w:rStyle w:val="Hyperlink"/>
          <w:color w:val="auto"/>
          <w:u w:val="none"/>
        </w:rPr>
      </w:pPr>
      <w:r>
        <w:t>The Payee Data Record (STD</w:t>
      </w:r>
      <w:r w:rsidRPr="003D6B53">
        <w:t>.</w:t>
      </w:r>
      <w:r>
        <w:t xml:space="preserve"> </w:t>
      </w:r>
      <w:r w:rsidRPr="003D6B53">
        <w:t>204</w:t>
      </w:r>
      <w:r>
        <w:t xml:space="preserve">) must be fully completed, signed and dated with an original signature on the form included with the original Technical Proposal and a copy of the form included with each copy of the Technical Proposal. The Payee Data Record STD. 204 can be found at </w:t>
      </w:r>
      <w:hyperlink r:id="rId14" w:tooltip="Payee Data Record" w:history="1">
        <w:r w:rsidRPr="00C87236">
          <w:rPr>
            <w:rStyle w:val="Hyperlink"/>
          </w:rPr>
          <w:t>http://www.documents.dgs.ca.gov/dgs/fmc/pdf/std204.pdf</w:t>
        </w:r>
      </w:hyperlink>
      <w:r>
        <w:rPr>
          <w:rStyle w:val="Hyperlink"/>
          <w:color w:val="auto"/>
          <w:u w:val="none"/>
        </w:rPr>
        <w:t>.</w:t>
      </w:r>
    </w:p>
    <w:p w14:paraId="497BCB05" w14:textId="62BDAEFC" w:rsidR="0066101C" w:rsidRDefault="0066101C" w:rsidP="0066101C">
      <w:pPr>
        <w:spacing w:before="240" w:after="240"/>
      </w:pPr>
      <w:r>
        <w:t xml:space="preserve">The Payee Data Record Supplement (STD. 205) may be completed, signed and dated with an original signature and included with the original Technical Proposal and a copy of the form included with each copy of the Technical Proposal if the bidding firm must identify a remittance address if different from the mailing address identified on the STD. 204. The Payee Data Record Supplemental STD. 205 can be found at </w:t>
      </w:r>
      <w:hyperlink r:id="rId15" w:tooltip="Payee Data Record Supplemental STD. 205 " w:history="1">
        <w:r w:rsidRPr="005A0F69">
          <w:rPr>
            <w:rStyle w:val="Hyperlink"/>
          </w:rPr>
          <w:t>https://www.documents.dgs.ca.gov/dgs/fmc/pdf/std205.pdf</w:t>
        </w:r>
      </w:hyperlink>
      <w:r>
        <w:t>.</w:t>
      </w:r>
    </w:p>
    <w:p w14:paraId="66F0DA0B" w14:textId="58A41A85" w:rsidR="00537458" w:rsidRDefault="004564C9" w:rsidP="001B373C">
      <w:pPr>
        <w:pStyle w:val="Heading4"/>
      </w:pPr>
      <w:r>
        <w:t>3</w:t>
      </w:r>
      <w:r w:rsidR="00537458">
        <w:t>.2.1</w:t>
      </w:r>
      <w:r w:rsidR="008A7671">
        <w:t>2</w:t>
      </w:r>
      <w:r w:rsidR="00537458">
        <w:t xml:space="preserve"> Certificate of Good Standing </w:t>
      </w:r>
    </w:p>
    <w:p w14:paraId="40E9C0D2" w14:textId="30C2269C" w:rsidR="00537458" w:rsidRPr="0015076D" w:rsidRDefault="00537458" w:rsidP="00537458">
      <w:pPr>
        <w:spacing w:before="240" w:after="240"/>
        <w:rPr>
          <w:szCs w:val="24"/>
        </w:rPr>
      </w:pPr>
      <w:r w:rsidRPr="0015076D">
        <w:rPr>
          <w:szCs w:val="24"/>
        </w:rPr>
        <w:t xml:space="preserve">A copy of the </w:t>
      </w:r>
      <w:r w:rsidRPr="0015076D">
        <w:rPr>
          <w:rFonts w:cs="Arial"/>
          <w:bCs/>
          <w:szCs w:val="24"/>
        </w:rPr>
        <w:t>bidding firm’s most current Certificate of Good Standing issued by the California Secretary of State, or a separate paragraph that clearly states the bidder’s legal status and evidence that it is legally constituted and qualified to do business with the State of California (see RFP</w:t>
      </w:r>
      <w:r>
        <w:rPr>
          <w:rFonts w:cs="Arial"/>
          <w:bCs/>
          <w:szCs w:val="24"/>
        </w:rPr>
        <w:t>,</w:t>
      </w:r>
      <w:r w:rsidRPr="0015076D">
        <w:rPr>
          <w:rFonts w:cs="Arial"/>
          <w:bCs/>
          <w:szCs w:val="24"/>
        </w:rPr>
        <w:t xml:space="preserve"> S</w:t>
      </w:r>
      <w:r>
        <w:rPr>
          <w:rFonts w:cs="Arial"/>
          <w:bCs/>
          <w:szCs w:val="24"/>
        </w:rPr>
        <w:t xml:space="preserve">ection </w:t>
      </w:r>
      <w:r w:rsidR="006C2173">
        <w:rPr>
          <w:rFonts w:cs="Arial"/>
          <w:bCs/>
          <w:szCs w:val="24"/>
        </w:rPr>
        <w:t>2</w:t>
      </w:r>
      <w:r>
        <w:rPr>
          <w:rFonts w:cs="Arial"/>
          <w:bCs/>
          <w:szCs w:val="24"/>
        </w:rPr>
        <w:t>.1 Bidder Eligibility).</w:t>
      </w:r>
    </w:p>
    <w:p w14:paraId="5CAD8D55" w14:textId="42AA1AF1" w:rsidR="00537458" w:rsidRPr="006A0010" w:rsidRDefault="004564C9" w:rsidP="001B373C">
      <w:pPr>
        <w:pStyle w:val="Heading4"/>
      </w:pPr>
      <w:r>
        <w:t>3</w:t>
      </w:r>
      <w:r w:rsidR="00537458">
        <w:t xml:space="preserve">.2.13 </w:t>
      </w:r>
      <w:r w:rsidR="00537458" w:rsidRPr="00CD6CE2">
        <w:t>Conditional Attachments</w:t>
      </w:r>
    </w:p>
    <w:p w14:paraId="0913DA36" w14:textId="55F48AB2" w:rsidR="00537458" w:rsidRPr="0009408F" w:rsidRDefault="00537458" w:rsidP="00537458">
      <w:pPr>
        <w:pStyle w:val="ListParagraph"/>
        <w:tabs>
          <w:tab w:val="left" w:pos="0"/>
          <w:tab w:val="left" w:pos="630"/>
          <w:tab w:val="left" w:pos="1350"/>
        </w:tabs>
        <w:spacing w:before="240" w:after="240"/>
        <w:ind w:left="0"/>
        <w:contextualSpacing w:val="0"/>
      </w:pPr>
      <w:r w:rsidRPr="0009408F">
        <w:t xml:space="preserve">The following two (2) </w:t>
      </w:r>
      <w:r w:rsidR="008D3596">
        <w:t>a</w:t>
      </w:r>
      <w:r w:rsidRPr="0009408F">
        <w:t xml:space="preserve">ttachments are required by the successful bidder of this RFP, upon award of the contract, and do not need to be included with the bidders </w:t>
      </w:r>
      <w:r>
        <w:t>Technical Proposal</w:t>
      </w:r>
      <w:r w:rsidRPr="0009408F">
        <w:t>. However, bidders’ are required to certify on the Bidder Certif</w:t>
      </w:r>
      <w:r>
        <w:t xml:space="preserve">ication </w:t>
      </w:r>
      <w:r w:rsidR="00456AC2">
        <w:t xml:space="preserve">Sheet </w:t>
      </w:r>
      <w:r>
        <w:t xml:space="preserve">(RFP Attachment </w:t>
      </w:r>
      <w:r w:rsidR="008D3596">
        <w:t>3</w:t>
      </w:r>
      <w:r>
        <w:t>)</w:t>
      </w:r>
      <w:r w:rsidRPr="0009408F">
        <w:t xml:space="preserve"> that Attachment 12 and Attachment 13 will be completed and signed in accordance with the instructions indicated below:</w:t>
      </w:r>
    </w:p>
    <w:p w14:paraId="59A70569" w14:textId="77777777" w:rsidR="00537458" w:rsidRPr="00663853" w:rsidRDefault="00537458" w:rsidP="00132985">
      <w:pPr>
        <w:pStyle w:val="List4"/>
        <w:numPr>
          <w:ilvl w:val="0"/>
          <w:numId w:val="12"/>
        </w:numPr>
        <w:tabs>
          <w:tab w:val="left" w:pos="360"/>
        </w:tabs>
        <w:spacing w:before="240" w:after="240"/>
        <w:ind w:left="360"/>
        <w:rPr>
          <w:rFonts w:ascii="Arial" w:hAnsi="Arial" w:cs="Arial"/>
        </w:rPr>
      </w:pPr>
      <w:r w:rsidRPr="000F01DF">
        <w:rPr>
          <w:rFonts w:ascii="Arial" w:hAnsi="Arial" w:cs="Arial"/>
          <w:szCs w:val="24"/>
        </w:rPr>
        <w:t>Conflict of Interest and Confidential</w:t>
      </w:r>
      <w:r>
        <w:rPr>
          <w:rFonts w:ascii="Arial" w:hAnsi="Arial" w:cs="Arial"/>
          <w:szCs w:val="24"/>
        </w:rPr>
        <w:t>ity</w:t>
      </w:r>
      <w:r w:rsidRPr="000F01DF">
        <w:rPr>
          <w:rFonts w:ascii="Arial" w:hAnsi="Arial" w:cs="Arial"/>
          <w:szCs w:val="24"/>
        </w:rPr>
        <w:t xml:space="preserve"> Statement (RFP Attachment 12)</w:t>
      </w:r>
      <w:r w:rsidRPr="007E21F1">
        <w:rPr>
          <w:rFonts w:ascii="Arial" w:hAnsi="Arial" w:cs="Arial"/>
          <w:szCs w:val="24"/>
        </w:rPr>
        <w:t xml:space="preserve"> </w:t>
      </w:r>
    </w:p>
    <w:p w14:paraId="77876508" w14:textId="54CA483F" w:rsidR="00537458" w:rsidRPr="00C276B4" w:rsidRDefault="00537458" w:rsidP="00537458">
      <w:pPr>
        <w:pStyle w:val="List4"/>
        <w:tabs>
          <w:tab w:val="left" w:pos="360"/>
        </w:tabs>
        <w:spacing w:before="240" w:after="240"/>
        <w:ind w:left="360" w:firstLine="0"/>
        <w:rPr>
          <w:rFonts w:ascii="Arial" w:hAnsi="Arial" w:cs="Arial"/>
        </w:rPr>
      </w:pPr>
      <w:r>
        <w:rPr>
          <w:rFonts w:ascii="Arial" w:hAnsi="Arial" w:cs="Arial"/>
          <w:szCs w:val="24"/>
        </w:rPr>
        <w:t xml:space="preserve">The Conflict of Interest and Confidentiality Statement (RFP Attachment 12) </w:t>
      </w:r>
      <w:r w:rsidRPr="007E21F1">
        <w:rPr>
          <w:rFonts w:ascii="Arial" w:hAnsi="Arial" w:cs="Arial"/>
          <w:szCs w:val="24"/>
        </w:rPr>
        <w:t xml:space="preserve">must be completed, signed and dated by the successful bidder, and all subcontractors, as a condition of receipt of the contract. By signing the Bidder Certification Sheet (RFP Attachment </w:t>
      </w:r>
      <w:r w:rsidR="008D3596">
        <w:rPr>
          <w:rFonts w:ascii="Arial" w:hAnsi="Arial" w:cs="Arial"/>
          <w:szCs w:val="24"/>
        </w:rPr>
        <w:t>3</w:t>
      </w:r>
      <w:r w:rsidRPr="007E21F1">
        <w:rPr>
          <w:rFonts w:ascii="Arial" w:hAnsi="Arial" w:cs="Arial"/>
          <w:szCs w:val="24"/>
        </w:rPr>
        <w:t>), the bidder agrees to comply with this requirement.</w:t>
      </w:r>
    </w:p>
    <w:p w14:paraId="203BE695" w14:textId="77777777" w:rsidR="00537458" w:rsidRPr="00663853" w:rsidRDefault="00537458" w:rsidP="00132985">
      <w:pPr>
        <w:pStyle w:val="List4"/>
        <w:numPr>
          <w:ilvl w:val="0"/>
          <w:numId w:val="12"/>
        </w:numPr>
        <w:tabs>
          <w:tab w:val="left" w:pos="360"/>
        </w:tabs>
        <w:spacing w:before="240" w:after="240"/>
        <w:ind w:left="360"/>
        <w:rPr>
          <w:snapToGrid w:val="0"/>
        </w:rPr>
      </w:pPr>
      <w:r w:rsidRPr="000F01DF">
        <w:rPr>
          <w:rFonts w:ascii="Arial" w:hAnsi="Arial" w:cs="Arial"/>
        </w:rPr>
        <w:t xml:space="preserve">California Department of Education Computer Security </w:t>
      </w:r>
      <w:r w:rsidRPr="00240400">
        <w:rPr>
          <w:rFonts w:ascii="Arial" w:hAnsi="Arial" w:cs="Arial"/>
        </w:rPr>
        <w:t>Policy (RFP Attachment 13)</w:t>
      </w:r>
      <w:r w:rsidRPr="007E21F1">
        <w:rPr>
          <w:rFonts w:ascii="Arial" w:hAnsi="Arial" w:cs="Arial"/>
        </w:rPr>
        <w:t xml:space="preserve"> </w:t>
      </w:r>
    </w:p>
    <w:p w14:paraId="3509B394" w14:textId="6257E554" w:rsidR="00537458" w:rsidRPr="00380CA7" w:rsidRDefault="00537458" w:rsidP="00537458">
      <w:pPr>
        <w:pStyle w:val="List4"/>
        <w:tabs>
          <w:tab w:val="left" w:pos="360"/>
        </w:tabs>
        <w:spacing w:before="240" w:after="240"/>
        <w:ind w:left="360" w:firstLine="0"/>
        <w:rPr>
          <w:snapToGrid w:val="0"/>
        </w:rPr>
      </w:pPr>
      <w:r>
        <w:rPr>
          <w:rFonts w:ascii="Arial" w:hAnsi="Arial" w:cs="Arial"/>
        </w:rPr>
        <w:t xml:space="preserve">The California Department of Education Computer Security Policy (RFP Attachment 13) </w:t>
      </w:r>
      <w:r w:rsidRPr="007E21F1">
        <w:rPr>
          <w:rFonts w:ascii="Arial" w:hAnsi="Arial" w:cs="Arial"/>
        </w:rPr>
        <w:t xml:space="preserve">must be completed, signed and dated by the bidder, subcontractors and each of their employees engaging in services to CDE related to this RFP and the resulting contract and kept on file by the bidder and made available to the CDE upon request, as a condition of receipt of the </w:t>
      </w:r>
      <w:r w:rsidRPr="007E21F1">
        <w:rPr>
          <w:rFonts w:ascii="Arial" w:hAnsi="Arial" w:cs="Arial"/>
        </w:rPr>
        <w:lastRenderedPageBreak/>
        <w:t xml:space="preserve">contract. By signing the Bidder Certification Sheet (RFP Attachment </w:t>
      </w:r>
      <w:r w:rsidR="008D3596">
        <w:rPr>
          <w:rFonts w:ascii="Arial" w:hAnsi="Arial" w:cs="Arial"/>
        </w:rPr>
        <w:t>3</w:t>
      </w:r>
      <w:r w:rsidRPr="007E21F1">
        <w:rPr>
          <w:rFonts w:ascii="Arial" w:hAnsi="Arial" w:cs="Arial"/>
        </w:rPr>
        <w:t>) the bidder agrees to comply with this requirement.</w:t>
      </w:r>
    </w:p>
    <w:p w14:paraId="503AF940" w14:textId="79774EFE" w:rsidR="00537458" w:rsidRPr="009A4462" w:rsidRDefault="004564C9" w:rsidP="001B373C">
      <w:pPr>
        <w:pStyle w:val="Heading4"/>
      </w:pPr>
      <w:r>
        <w:t>3</w:t>
      </w:r>
      <w:r w:rsidR="00537458">
        <w:t>.2.14</w:t>
      </w:r>
      <w:r w:rsidR="00537458" w:rsidRPr="009A4462">
        <w:t xml:space="preserve"> </w:t>
      </w:r>
      <w:r w:rsidR="00866745">
        <w:t xml:space="preserve">California </w:t>
      </w:r>
      <w:r w:rsidR="00537458" w:rsidRPr="009A4462">
        <w:t>Disabled Veteran Business Enterprise (DVBE) Program Requirements</w:t>
      </w:r>
    </w:p>
    <w:p w14:paraId="0178E6D8" w14:textId="6C7E9961" w:rsidR="00537458" w:rsidRPr="00C85B2A" w:rsidRDefault="00537458" w:rsidP="00537458">
      <w:pPr>
        <w:spacing w:before="240" w:after="240"/>
        <w:rPr>
          <w:rFonts w:cs="Arial"/>
        </w:rPr>
      </w:pPr>
      <w:r>
        <w:rPr>
          <w:rFonts w:cs="Arial"/>
        </w:rPr>
        <w:t xml:space="preserve">In accordance with Public Contract Code section 10115 et. seq., and California Military and Veterans Code section 999, et. seq., every bidder must comply with the DVBE program participation requirements. </w:t>
      </w:r>
      <w:r w:rsidRPr="00C85B2A">
        <w:rPr>
          <w:rFonts w:cs="Arial"/>
        </w:rPr>
        <w:t xml:space="preserve">These requirements apply whether conducting business as a public agency, profit or non-profit individual, partnership or corporation. </w:t>
      </w:r>
      <w:proofErr w:type="gramStart"/>
      <w:r w:rsidRPr="00C85B2A">
        <w:rPr>
          <w:rFonts w:cs="Arial"/>
        </w:rPr>
        <w:t>In order to</w:t>
      </w:r>
      <w:proofErr w:type="gramEnd"/>
      <w:r w:rsidRPr="00C85B2A">
        <w:rPr>
          <w:rFonts w:cs="Arial"/>
        </w:rPr>
        <w:t xml:space="preserve"> be deemed responsive and eligible for award of the contract, the bidder must attain the prescribed </w:t>
      </w:r>
      <w:r>
        <w:rPr>
          <w:rFonts w:cs="Arial"/>
        </w:rPr>
        <w:t>participation requirement</w:t>
      </w:r>
      <w:r w:rsidRPr="00C85B2A">
        <w:rPr>
          <w:rFonts w:cs="Arial"/>
        </w:rPr>
        <w:t>.</w:t>
      </w:r>
    </w:p>
    <w:p w14:paraId="163C90BD" w14:textId="6300675C" w:rsidR="00537458" w:rsidRPr="00EA3E30" w:rsidRDefault="00537458" w:rsidP="00537458">
      <w:pPr>
        <w:spacing w:after="240"/>
        <w:rPr>
          <w:rFonts w:cs="Arial"/>
          <w:bCs/>
          <w:color w:val="000000"/>
          <w:szCs w:val="24"/>
        </w:rPr>
      </w:pPr>
      <w:r w:rsidRPr="00EA3E30">
        <w:rPr>
          <w:rFonts w:cs="Arial"/>
          <w:bCs/>
          <w:color w:val="000000"/>
          <w:szCs w:val="24"/>
        </w:rPr>
        <w:t xml:space="preserve">This solicitation requires a </w:t>
      </w:r>
      <w:proofErr w:type="gramStart"/>
      <w:r w:rsidRPr="00EA3E30">
        <w:rPr>
          <w:rFonts w:cs="Arial"/>
          <w:bCs/>
          <w:color w:val="000000"/>
          <w:szCs w:val="24"/>
        </w:rPr>
        <w:t>minimum</w:t>
      </w:r>
      <w:proofErr w:type="gramEnd"/>
      <w:r w:rsidRPr="00EA3E30">
        <w:rPr>
          <w:rFonts w:cs="Arial"/>
          <w:bCs/>
          <w:color w:val="000000"/>
          <w:szCs w:val="24"/>
        </w:rPr>
        <w:t xml:space="preserve">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w:t>
      </w:r>
    </w:p>
    <w:p w14:paraId="2C8952D7" w14:textId="77777777" w:rsidR="00537458" w:rsidRDefault="00537458" w:rsidP="00537458">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2B3BDF95" w14:textId="3228596B" w:rsidR="00537458" w:rsidRDefault="00537458" w:rsidP="00537458">
      <w:pPr>
        <w:autoSpaceDE w:val="0"/>
        <w:autoSpaceDN w:val="0"/>
        <w:adjustRightInd w:val="0"/>
        <w:spacing w:before="240" w:after="240"/>
        <w:rPr>
          <w:rFonts w:cs="Arial"/>
        </w:rPr>
      </w:pPr>
      <w:r>
        <w:rPr>
          <w:rFonts w:cs="Arial"/>
        </w:rPr>
        <w:t xml:space="preserve">RFP Attachment </w:t>
      </w:r>
      <w:r w:rsidR="008D3596">
        <w:rPr>
          <w:rFonts w:cs="Arial"/>
        </w:rPr>
        <w:t>9</w:t>
      </w:r>
      <w:r>
        <w:rPr>
          <w:rFonts w:cs="Arial"/>
        </w:rPr>
        <w:t xml:space="preserve"> contains information and instructions in which each bidder must comply with </w:t>
      </w:r>
      <w:proofErr w:type="gramStart"/>
      <w:r>
        <w:rPr>
          <w:rFonts w:cs="Arial"/>
        </w:rPr>
        <w:t>in order to</w:t>
      </w:r>
      <w:proofErr w:type="gramEnd"/>
      <w:r>
        <w:rPr>
          <w:rFonts w:cs="Arial"/>
        </w:rPr>
        <w:t xml:space="preserve"> achieve the required participation percentage.</w:t>
      </w:r>
    </w:p>
    <w:p w14:paraId="32FD0E51" w14:textId="5ECCEBEC" w:rsidR="00537458" w:rsidRDefault="00537458" w:rsidP="00537458">
      <w:pPr>
        <w:autoSpaceDE w:val="0"/>
        <w:autoSpaceDN w:val="0"/>
        <w:adjustRightInd w:val="0"/>
        <w:spacing w:before="240" w:after="240"/>
        <w:rPr>
          <w:rFonts w:cs="Arial"/>
        </w:rPr>
      </w:pPr>
      <w:r>
        <w:rPr>
          <w:rFonts w:cs="Arial"/>
        </w:rPr>
        <w:t>All bidders must document DVBE participation commitment by completing and submitting the following forms with the Technical Proposal:</w:t>
      </w:r>
    </w:p>
    <w:p w14:paraId="311AF794" w14:textId="5B37946B" w:rsidR="00537458" w:rsidRDefault="00537458" w:rsidP="00132985">
      <w:pPr>
        <w:pStyle w:val="ListParagraph"/>
        <w:numPr>
          <w:ilvl w:val="0"/>
          <w:numId w:val="25"/>
        </w:numPr>
        <w:autoSpaceDE w:val="0"/>
        <w:autoSpaceDN w:val="0"/>
        <w:adjustRightInd w:val="0"/>
        <w:spacing w:before="240" w:after="240"/>
        <w:ind w:hanging="720"/>
        <w:contextualSpacing w:val="0"/>
      </w:pPr>
      <w:r>
        <w:t>The Bidder Declaration F</w:t>
      </w:r>
      <w:r w:rsidRPr="00C87236">
        <w:t xml:space="preserve">orm </w:t>
      </w:r>
      <w:r>
        <w:t>(</w:t>
      </w:r>
      <w:r w:rsidRPr="00C87236">
        <w:t>GSPD-05-105</w:t>
      </w:r>
      <w:r>
        <w:t>)</w:t>
      </w:r>
    </w:p>
    <w:p w14:paraId="7298C928" w14:textId="6897E133" w:rsidR="00537458" w:rsidRDefault="00537458" w:rsidP="00537458">
      <w:pPr>
        <w:pStyle w:val="ListParagraph"/>
        <w:autoSpaceDE w:val="0"/>
        <w:autoSpaceDN w:val="0"/>
        <w:adjustRightInd w:val="0"/>
        <w:spacing w:before="240" w:after="240"/>
        <w:contextualSpacing w:val="0"/>
        <w:rPr>
          <w:color w:val="000000"/>
          <w:szCs w:val="24"/>
        </w:rPr>
      </w:pPr>
      <w:r>
        <w:t xml:space="preserve">The Bidder Declaration Form (GSPD-05-105) must be completed in accordance with the instructions provided on the form. </w:t>
      </w:r>
      <w:r w:rsidRPr="006B523D">
        <w:rPr>
          <w:color w:val="000000"/>
          <w:szCs w:val="24"/>
        </w:rPr>
        <w:t xml:space="preserve">When completing the </w:t>
      </w:r>
      <w:r>
        <w:rPr>
          <w:color w:val="000000"/>
          <w:szCs w:val="24"/>
        </w:rPr>
        <w:t>Bidder D</w:t>
      </w:r>
      <w:r w:rsidRPr="006B523D">
        <w:rPr>
          <w:color w:val="000000"/>
          <w:szCs w:val="24"/>
        </w:rPr>
        <w:t xml:space="preserve">eclaration, bidders must identify </w:t>
      </w:r>
      <w:r w:rsidRPr="00E30BE8">
        <w:rPr>
          <w:color w:val="000000"/>
          <w:szCs w:val="24"/>
        </w:rPr>
        <w:t xml:space="preserve">all </w:t>
      </w:r>
      <w:r w:rsidRPr="006B523D">
        <w:rPr>
          <w:color w:val="000000"/>
          <w:szCs w:val="24"/>
        </w:rPr>
        <w:t>subcontractors proposed for participation in the contract</w:t>
      </w:r>
      <w:r>
        <w:rPr>
          <w:color w:val="000000"/>
          <w:szCs w:val="24"/>
        </w:rPr>
        <w:t xml:space="preserve"> (See RFP Section </w:t>
      </w:r>
      <w:r w:rsidR="00756EC6">
        <w:rPr>
          <w:color w:val="000000"/>
          <w:szCs w:val="24"/>
        </w:rPr>
        <w:t>3</w:t>
      </w:r>
      <w:r>
        <w:rPr>
          <w:color w:val="000000"/>
          <w:szCs w:val="24"/>
        </w:rPr>
        <w:t>.2.8)</w:t>
      </w:r>
      <w:r w:rsidRPr="006B523D">
        <w:rPr>
          <w:color w:val="000000"/>
          <w:szCs w:val="24"/>
        </w:rPr>
        <w:t xml:space="preserve">. Bidders </w:t>
      </w:r>
      <w:r>
        <w:rPr>
          <w:color w:val="000000"/>
          <w:szCs w:val="24"/>
        </w:rPr>
        <w:t>must</w:t>
      </w:r>
      <w:r w:rsidRPr="006B523D">
        <w:rPr>
          <w:color w:val="000000"/>
          <w:szCs w:val="24"/>
        </w:rPr>
        <w:t xml:space="preserve"> identify the percentage figure representing the </w:t>
      </w:r>
      <w:r w:rsidR="006844F1">
        <w:rPr>
          <w:color w:val="000000"/>
          <w:szCs w:val="24"/>
        </w:rPr>
        <w:t>percentage</w:t>
      </w:r>
      <w:r w:rsidR="006844F1" w:rsidRPr="006B523D">
        <w:rPr>
          <w:color w:val="000000"/>
          <w:szCs w:val="24"/>
        </w:rPr>
        <w:t xml:space="preserve"> </w:t>
      </w:r>
      <w:r w:rsidRPr="006B523D">
        <w:rPr>
          <w:color w:val="000000"/>
          <w:szCs w:val="24"/>
        </w:rPr>
        <w:t xml:space="preserve">of participation for each </w:t>
      </w:r>
      <w:r>
        <w:rPr>
          <w:color w:val="000000"/>
          <w:szCs w:val="24"/>
        </w:rPr>
        <w:t xml:space="preserve">subcontractor, including the DVBE </w:t>
      </w:r>
      <w:r w:rsidRPr="006B523D">
        <w:rPr>
          <w:color w:val="000000"/>
          <w:szCs w:val="24"/>
        </w:rPr>
        <w:t>subcontractor</w:t>
      </w:r>
      <w:r>
        <w:rPr>
          <w:color w:val="000000"/>
          <w:szCs w:val="24"/>
        </w:rPr>
        <w:t>,</w:t>
      </w:r>
      <w:r w:rsidRPr="006B523D">
        <w:rPr>
          <w:color w:val="000000"/>
          <w:szCs w:val="24"/>
        </w:rPr>
        <w:t xml:space="preserve"> rather than an actual dollar figure. </w:t>
      </w:r>
      <w:r w:rsidR="008D0B80">
        <w:rPr>
          <w:color w:val="000000"/>
          <w:szCs w:val="24"/>
        </w:rPr>
        <w:t xml:space="preserve">The percentages must total three percent or more. </w:t>
      </w:r>
      <w:r w:rsidRPr="006B523D">
        <w:rPr>
          <w:color w:val="000000"/>
          <w:szCs w:val="24"/>
        </w:rPr>
        <w:t xml:space="preserve">No actual dollar figures should appear on the </w:t>
      </w:r>
      <w:r>
        <w:rPr>
          <w:color w:val="000000"/>
          <w:szCs w:val="24"/>
        </w:rPr>
        <w:t>Bidder Declaration</w:t>
      </w:r>
      <w:r w:rsidRPr="006B523D">
        <w:rPr>
          <w:color w:val="000000"/>
          <w:szCs w:val="24"/>
        </w:rPr>
        <w:t>.</w:t>
      </w:r>
      <w:r>
        <w:rPr>
          <w:color w:val="000000"/>
          <w:szCs w:val="24"/>
        </w:rPr>
        <w:t xml:space="preserve"> This solicitation requires a minimum of three percent total DVBE participation.</w:t>
      </w:r>
    </w:p>
    <w:p w14:paraId="6A6A0AAA" w14:textId="272D4113" w:rsidR="00537458" w:rsidRDefault="00537458" w:rsidP="00537458">
      <w:pPr>
        <w:pStyle w:val="ListParagraph"/>
        <w:autoSpaceDE w:val="0"/>
        <w:autoSpaceDN w:val="0"/>
        <w:adjustRightInd w:val="0"/>
        <w:spacing w:before="240" w:after="240"/>
        <w:contextualSpacing w:val="0"/>
      </w:pPr>
      <w:r>
        <w:rPr>
          <w:color w:val="000000"/>
          <w:szCs w:val="24"/>
        </w:rPr>
        <w:t xml:space="preserve">The Bidder Declaration form can be found at </w:t>
      </w:r>
      <w:hyperlink r:id="rId16" w:tooltip="Bidder Declaration Form" w:history="1">
        <w:r w:rsidRPr="008328D9">
          <w:rPr>
            <w:rStyle w:val="Hyperlink"/>
          </w:rPr>
          <w:t>https://www.documents.dgs.ca.gov/dgs/fmc/gs/pd/gspd05-105.pdf</w:t>
        </w:r>
      </w:hyperlink>
      <w:r>
        <w:t>.</w:t>
      </w:r>
    </w:p>
    <w:p w14:paraId="0127F90C" w14:textId="77777777" w:rsidR="00537458" w:rsidRDefault="00537458" w:rsidP="00132985">
      <w:pPr>
        <w:pStyle w:val="ListParagraph"/>
        <w:numPr>
          <w:ilvl w:val="0"/>
          <w:numId w:val="25"/>
        </w:numPr>
        <w:spacing w:before="240" w:after="240"/>
        <w:ind w:hanging="720"/>
        <w:contextualSpacing w:val="0"/>
      </w:pPr>
      <w:r>
        <w:t>DVBE Subcontractor Commitment Letter</w:t>
      </w:r>
    </w:p>
    <w:p w14:paraId="7589FA4D" w14:textId="53D4F230" w:rsidR="00137D0D" w:rsidRDefault="00537458" w:rsidP="00537458">
      <w:pPr>
        <w:pStyle w:val="ListParagraph"/>
        <w:spacing w:before="240" w:after="240"/>
        <w:contextualSpacing w:val="0"/>
      </w:pPr>
      <w:bookmarkStart w:id="13" w:name="_Hlk90634279"/>
      <w:r>
        <w:t xml:space="preserve">The Technical Proposal must include a subcontractor commitment letter from each DVBE subcontractor </w:t>
      </w:r>
      <w:r w:rsidRPr="00E30BE8">
        <w:rPr>
          <w:rFonts w:eastAsia="Times New Roman" w:cs="Arial"/>
          <w:snapToGrid w:val="0"/>
          <w:szCs w:val="20"/>
        </w:rPr>
        <w:t>signed by an official representative of each subcontractor or independent consultant, acknowledging their intended participation/availability and confirmation that they have been made aware of the terms and conditions of the proposed contract</w:t>
      </w:r>
      <w:r>
        <w:rPr>
          <w:rFonts w:eastAsia="Times New Roman" w:cs="Arial"/>
          <w:snapToGrid w:val="0"/>
          <w:szCs w:val="20"/>
        </w:rPr>
        <w:t>.</w:t>
      </w:r>
      <w:r w:rsidRPr="00E30BE8">
        <w:rPr>
          <w:rFonts w:cs="Arial"/>
        </w:rPr>
        <w:t xml:space="preserve"> No cost should be included in the commitment letter. </w:t>
      </w:r>
      <w:r>
        <w:t>Each letter must include the solicitation number and be signed and dated with an original signature included in the original Technical Proposal and a copy of the letter included with each copy of the Technical Proposal.</w:t>
      </w:r>
      <w:bookmarkEnd w:id="13"/>
      <w:r w:rsidR="00137D0D">
        <w:br w:type="page"/>
      </w:r>
    </w:p>
    <w:p w14:paraId="49545DF9" w14:textId="77777777" w:rsidR="00537458" w:rsidRDefault="00537458" w:rsidP="00132985">
      <w:pPr>
        <w:pStyle w:val="ListParagraph"/>
        <w:numPr>
          <w:ilvl w:val="0"/>
          <w:numId w:val="25"/>
        </w:numPr>
        <w:spacing w:before="240" w:after="240"/>
        <w:ind w:hanging="720"/>
        <w:contextualSpacing w:val="0"/>
      </w:pPr>
      <w:r>
        <w:lastRenderedPageBreak/>
        <w:t>DVBE Certification</w:t>
      </w:r>
    </w:p>
    <w:p w14:paraId="44A60488" w14:textId="77777777" w:rsidR="00537458" w:rsidRDefault="00537458" w:rsidP="00537458">
      <w:pPr>
        <w:pStyle w:val="ListParagraph"/>
        <w:spacing w:before="240" w:after="240"/>
        <w:contextualSpacing w:val="0"/>
      </w:pPr>
      <w:r>
        <w:t xml:space="preserve">The Technical Proposal must include a copy of the DVBE certification for each DVBE contractor/subcontractor. DVBE certification confirmation can be printed from Cal eProcure at </w:t>
      </w:r>
      <w:hyperlink r:id="rId17" w:tooltip="Cal eProcure website" w:history="1">
        <w:r w:rsidRPr="00B16785">
          <w:rPr>
            <w:rStyle w:val="Hyperlink"/>
          </w:rPr>
          <w:t>https://caleprocure.ca.gov/pages/PublicSearch/supplier-search.aspx</w:t>
        </w:r>
      </w:hyperlink>
      <w:r>
        <w:t>.</w:t>
      </w:r>
    </w:p>
    <w:p w14:paraId="30089E8A" w14:textId="77777777" w:rsidR="00537458" w:rsidRDefault="00537458" w:rsidP="00132985">
      <w:pPr>
        <w:pStyle w:val="ListParagraph"/>
        <w:numPr>
          <w:ilvl w:val="0"/>
          <w:numId w:val="25"/>
        </w:numPr>
        <w:spacing w:before="240" w:after="240"/>
        <w:ind w:hanging="720"/>
        <w:contextualSpacing w:val="0"/>
      </w:pPr>
      <w:r>
        <w:t>Disabled Veteran Business Enterprise (DVBE) Declaration (STD. 843)</w:t>
      </w:r>
    </w:p>
    <w:p w14:paraId="55B6D266" w14:textId="4F64607F" w:rsidR="00537458" w:rsidRDefault="00537458" w:rsidP="00537458">
      <w:pPr>
        <w:pStyle w:val="ListParagraph"/>
        <w:spacing w:before="240" w:after="240"/>
        <w:contextualSpacing w:val="0"/>
      </w:pPr>
      <w:r>
        <w:t xml:space="preserve">The </w:t>
      </w:r>
      <w:r w:rsidRPr="00B64110">
        <w:t>DVBE Declaration form</w:t>
      </w:r>
      <w:r>
        <w:t xml:space="preserve"> (STD. 843) must be completed in accordance with the instructions on the form for all DVBE entities who will work on this project. </w:t>
      </w:r>
      <w:bookmarkStart w:id="14" w:name="_Hlk90634349"/>
      <w:r>
        <w:t xml:space="preserve">The DVBE Declaration form will be used to confirm compliance with DVBE participation requirements as specified herein and Attachment </w:t>
      </w:r>
      <w:r w:rsidR="008D3596">
        <w:t>9</w:t>
      </w:r>
      <w:r>
        <w:t>. The form must be completed, signed and dated with an original signature on the form</w:t>
      </w:r>
      <w:bookmarkEnd w:id="14"/>
      <w:r>
        <w:t xml:space="preserve"> included in the original Technical Proposal and a copy of the form included with each copy of the Technical Proposal.</w:t>
      </w:r>
    </w:p>
    <w:p w14:paraId="61B26AB8" w14:textId="780CEDC7" w:rsidR="00537458" w:rsidRPr="00FA4707" w:rsidRDefault="00537458" w:rsidP="00537458">
      <w:pPr>
        <w:pStyle w:val="ListParagraph"/>
        <w:spacing w:before="240" w:after="240"/>
        <w:contextualSpacing w:val="0"/>
        <w:rPr>
          <w:rStyle w:val="Hyperlink"/>
          <w:color w:val="auto"/>
          <w:u w:val="none"/>
        </w:rPr>
      </w:pPr>
      <w:r>
        <w:t xml:space="preserve">The DVBE Declaration form can be found at </w:t>
      </w:r>
      <w:hyperlink r:id="rId18" w:tooltip="DVBE Declaration Form" w:history="1">
        <w:r w:rsidR="003F791C" w:rsidRPr="0050695F">
          <w:rPr>
            <w:rStyle w:val="Hyperlink"/>
          </w:rPr>
          <w:t>https://www.documents.dgs.ca.gov/dgs/fmc/gs/pd/pd_843.pdf</w:t>
        </w:r>
      </w:hyperlink>
      <w:r w:rsidR="003F791C">
        <w:t>.</w:t>
      </w:r>
    </w:p>
    <w:p w14:paraId="14B5029E" w14:textId="25D763A6" w:rsidR="00537458" w:rsidRDefault="00537458" w:rsidP="00537458">
      <w:pPr>
        <w:autoSpaceDE w:val="0"/>
        <w:autoSpaceDN w:val="0"/>
        <w:adjustRightInd w:val="0"/>
        <w:spacing w:before="240" w:after="240"/>
        <w:rPr>
          <w:color w:val="000000"/>
          <w:szCs w:val="24"/>
        </w:rPr>
      </w:pPr>
      <w:r>
        <w:rPr>
          <w:color w:val="000000"/>
          <w:szCs w:val="24"/>
        </w:rPr>
        <w:t xml:space="preserve">The successful bidder is </w:t>
      </w:r>
      <w:r w:rsidRPr="001B68F6">
        <w:rPr>
          <w:color w:val="000000"/>
          <w:szCs w:val="24"/>
        </w:rPr>
        <w:t>contractually obligated to use the subcontractors for the</w:t>
      </w:r>
      <w:r>
        <w:rPr>
          <w:color w:val="000000"/>
          <w:szCs w:val="24"/>
        </w:rPr>
        <w:t xml:space="preserve"> corresponding w</w:t>
      </w:r>
      <w:r w:rsidRPr="001B68F6">
        <w:rPr>
          <w:color w:val="000000"/>
          <w:szCs w:val="24"/>
        </w:rPr>
        <w:t xml:space="preserve">ork identified unless the </w:t>
      </w:r>
      <w:r>
        <w:rPr>
          <w:color w:val="000000"/>
          <w:szCs w:val="24"/>
        </w:rPr>
        <w:t xml:space="preserve">CDE </w:t>
      </w:r>
      <w:r w:rsidRPr="001B68F6">
        <w:rPr>
          <w:color w:val="000000"/>
          <w:szCs w:val="24"/>
        </w:rPr>
        <w:t>agrees to a substitution</w:t>
      </w:r>
      <w:r w:rsidR="00DD74CA">
        <w:rPr>
          <w:color w:val="000000"/>
          <w:szCs w:val="24"/>
        </w:rPr>
        <w:t>,</w:t>
      </w:r>
      <w:r w:rsidRPr="001B68F6">
        <w:rPr>
          <w:color w:val="000000"/>
          <w:szCs w:val="24"/>
        </w:rPr>
        <w:t xml:space="preserve"> and it is incorporated by</w:t>
      </w:r>
      <w:r>
        <w:rPr>
          <w:color w:val="000000"/>
          <w:szCs w:val="24"/>
        </w:rPr>
        <w:t xml:space="preserve"> </w:t>
      </w:r>
      <w:r w:rsidRPr="001B68F6">
        <w:rPr>
          <w:color w:val="000000"/>
          <w:szCs w:val="24"/>
        </w:rPr>
        <w:t>amendment to the contract</w:t>
      </w:r>
      <w:r>
        <w:rPr>
          <w:color w:val="000000"/>
          <w:szCs w:val="24"/>
        </w:rPr>
        <w:t xml:space="preserve"> (See </w:t>
      </w:r>
      <w:r w:rsidR="00756EC6">
        <w:rPr>
          <w:color w:val="000000"/>
          <w:szCs w:val="24"/>
        </w:rPr>
        <w:t xml:space="preserve">RFP </w:t>
      </w:r>
      <w:r>
        <w:rPr>
          <w:color w:val="000000"/>
          <w:szCs w:val="24"/>
        </w:rPr>
        <w:t>Section 1</w:t>
      </w:r>
      <w:r w:rsidR="00A83196">
        <w:rPr>
          <w:color w:val="000000"/>
          <w:szCs w:val="24"/>
        </w:rPr>
        <w:t>1</w:t>
      </w:r>
      <w:r>
        <w:rPr>
          <w:color w:val="000000"/>
          <w:szCs w:val="24"/>
        </w:rPr>
        <w:t>.1</w:t>
      </w:r>
      <w:r w:rsidR="00EC586F">
        <w:rPr>
          <w:color w:val="000000"/>
          <w:szCs w:val="24"/>
        </w:rPr>
        <w:t>1</w:t>
      </w:r>
      <w:r>
        <w:rPr>
          <w:color w:val="000000"/>
          <w:szCs w:val="24"/>
        </w:rPr>
        <w:t>)</w:t>
      </w:r>
      <w:r w:rsidRPr="001B68F6">
        <w:rPr>
          <w:color w:val="000000"/>
          <w:szCs w:val="24"/>
        </w:rPr>
        <w:t>.</w:t>
      </w:r>
      <w:r>
        <w:rPr>
          <w:color w:val="000000"/>
          <w:szCs w:val="24"/>
        </w:rPr>
        <w:t xml:space="preserve"> Bidders must provide notification to DVBE subcontractors immediately after an award is announced by the CDE.</w:t>
      </w:r>
    </w:p>
    <w:p w14:paraId="7F321ED8" w14:textId="5DC1C95D" w:rsidR="00537458" w:rsidRPr="00FA4707" w:rsidRDefault="00DD74CA" w:rsidP="00537458">
      <w:pPr>
        <w:spacing w:before="240" w:after="240"/>
        <w:rPr>
          <w:rFonts w:cs="Arial"/>
          <w:bCs/>
        </w:rPr>
      </w:pPr>
      <w:r>
        <w:rPr>
          <w:rFonts w:cs="Arial"/>
          <w:bCs/>
        </w:rPr>
        <w:t>The f</w:t>
      </w:r>
      <w:r w:rsidR="00537458" w:rsidRPr="00FA4707">
        <w:rPr>
          <w:rFonts w:cs="Arial"/>
          <w:bCs/>
        </w:rPr>
        <w:t xml:space="preserve">inal determination of “meeting the </w:t>
      </w:r>
      <w:r w:rsidR="00537458">
        <w:rPr>
          <w:rFonts w:cs="Arial"/>
          <w:bCs/>
        </w:rPr>
        <w:t>participation requirements</w:t>
      </w:r>
      <w:r w:rsidR="00537458" w:rsidRPr="00FA4707">
        <w:rPr>
          <w:rFonts w:cs="Arial"/>
          <w:bCs/>
        </w:rPr>
        <w:t>” by the bidder shall be at the sole discretion of the CDE.</w:t>
      </w:r>
    </w:p>
    <w:p w14:paraId="40D62E31" w14:textId="6DC07B9A" w:rsidR="00537458" w:rsidRPr="006A0010" w:rsidRDefault="004564C9" w:rsidP="001B373C">
      <w:pPr>
        <w:pStyle w:val="Heading4"/>
      </w:pPr>
      <w:r>
        <w:t>3</w:t>
      </w:r>
      <w:r w:rsidR="00537458" w:rsidRPr="00BC3C65">
        <w:t>.2.</w:t>
      </w:r>
      <w:r w:rsidR="00537458">
        <w:t>15</w:t>
      </w:r>
      <w:r w:rsidR="00537458" w:rsidRPr="00BC3C65">
        <w:t xml:space="preserve"> Preference Programs</w:t>
      </w:r>
    </w:p>
    <w:p w14:paraId="73B6F307" w14:textId="77777777" w:rsidR="00537458" w:rsidRPr="00BC3C65" w:rsidRDefault="00537458" w:rsidP="00537458">
      <w:pPr>
        <w:pStyle w:val="ListParagraph"/>
        <w:spacing w:before="240" w:after="240"/>
        <w:ind w:left="0"/>
        <w:contextualSpacing w:val="0"/>
      </w:pPr>
      <w:r>
        <w:t xml:space="preserve">The State of California </w:t>
      </w:r>
      <w:r w:rsidRPr="00BC3C65">
        <w:t>has the following preference programs to encourage participation in state contracts by various segments of the business community:</w:t>
      </w:r>
    </w:p>
    <w:p w14:paraId="4C963C98" w14:textId="77777777" w:rsidR="00537458" w:rsidRDefault="00537458" w:rsidP="00537458">
      <w:pPr>
        <w:pStyle w:val="ListParagraph"/>
        <w:numPr>
          <w:ilvl w:val="1"/>
          <w:numId w:val="9"/>
        </w:numPr>
        <w:spacing w:before="240" w:after="240"/>
        <w:ind w:left="720" w:hanging="720"/>
        <w:contextualSpacing w:val="0"/>
      </w:pPr>
      <w:r w:rsidRPr="00CB46E0">
        <w:t>Small Business Preference</w:t>
      </w:r>
    </w:p>
    <w:p w14:paraId="3A9F602C" w14:textId="152542F4" w:rsidR="00537458" w:rsidRDefault="00537458" w:rsidP="00537458">
      <w:pPr>
        <w:ind w:left="720"/>
        <w:rPr>
          <w:rStyle w:val="Hyperlink"/>
        </w:rPr>
      </w:pPr>
      <w:r w:rsidRPr="00BC3C65">
        <w:t>A five percent (5</w:t>
      </w:r>
      <w:r>
        <w:t xml:space="preserve"> percent</w:t>
      </w:r>
      <w:r w:rsidRPr="00BC3C65">
        <w:t xml:space="preserve">) bid preference is available </w:t>
      </w:r>
      <w:r w:rsidR="003F791C">
        <w:t xml:space="preserve">and will be applied in accordance with Attachment </w:t>
      </w:r>
      <w:r w:rsidR="008D3596">
        <w:t>10</w:t>
      </w:r>
      <w:r w:rsidRPr="00BC3C65">
        <w:t xml:space="preserve">. The </w:t>
      </w:r>
      <w:r>
        <w:t>s</w:t>
      </w:r>
      <w:r w:rsidRPr="00BC3C65">
        <w:t xml:space="preserve">mall </w:t>
      </w:r>
      <w:r>
        <w:t>b</w:t>
      </w:r>
      <w:r w:rsidRPr="00BC3C65">
        <w:t xml:space="preserve">usiness preference will be applied to those bidders declaring their eligibility on the Small Business </w:t>
      </w:r>
      <w:r w:rsidR="003F791C">
        <w:t>and Non-Small Business Subcontractor Preferences</w:t>
      </w:r>
      <w:r w:rsidRPr="00BC3C65">
        <w:t xml:space="preserve"> (</w:t>
      </w:r>
      <w:r w:rsidR="003F791C">
        <w:t xml:space="preserve">RFP </w:t>
      </w:r>
      <w:r w:rsidRPr="00BC3C65">
        <w:t xml:space="preserve">Attachment </w:t>
      </w:r>
      <w:r w:rsidR="008A7671">
        <w:t>10</w:t>
      </w:r>
      <w:r w:rsidRPr="00BC3C65">
        <w:t xml:space="preserve">). </w:t>
      </w:r>
      <w:r>
        <w:t xml:space="preserve">The </w:t>
      </w:r>
      <w:r w:rsidR="003F791C" w:rsidRPr="00BC3C65">
        <w:t xml:space="preserve">Small Business </w:t>
      </w:r>
      <w:r w:rsidR="003F791C">
        <w:t xml:space="preserve">and Non-Small Business Subcontractor Preferences </w:t>
      </w:r>
      <w:r>
        <w:t xml:space="preserve">(RFP Attachment </w:t>
      </w:r>
      <w:r w:rsidR="008A7671">
        <w:t>10</w:t>
      </w:r>
      <w:r>
        <w:t xml:space="preserve">) must be completed, signed and dated with an original signature on the form included in the original Technical Proposal and a copy of the form included with each copy of the Technical Proposal, if the preference is being claimed. The bidder must include a printout of the Supplier Certification Profile, if applying for the preference. The Supplier Certification Profile can be found on the DGS </w:t>
      </w:r>
      <w:r w:rsidR="00756EC6">
        <w:t>w</w:t>
      </w:r>
      <w:r>
        <w:t xml:space="preserve">ebsite, </w:t>
      </w:r>
      <w:hyperlink r:id="rId19" w:tooltip="Cal eProcure website" w:history="1">
        <w:r>
          <w:rPr>
            <w:rStyle w:val="Hyperlink"/>
          </w:rPr>
          <w:t>https://caleprocure.ca.gov/pages/PublicSearch/supplier-search.aspx</w:t>
        </w:r>
      </w:hyperlink>
      <w:r>
        <w:rPr>
          <w:rStyle w:val="Hyperlink"/>
        </w:rPr>
        <w:t>.</w:t>
      </w:r>
    </w:p>
    <w:p w14:paraId="0F39405E" w14:textId="77777777" w:rsidR="00537458" w:rsidRDefault="00537458" w:rsidP="00537458">
      <w:pPr>
        <w:ind w:left="720" w:hanging="720"/>
      </w:pPr>
    </w:p>
    <w:p w14:paraId="22671B76" w14:textId="0201CDB3" w:rsidR="00137D0D" w:rsidRDefault="00537458" w:rsidP="00537458">
      <w:pPr>
        <w:ind w:left="720"/>
        <w:rPr>
          <w:rStyle w:val="Hyperlink"/>
        </w:rPr>
      </w:pPr>
      <w:r w:rsidRPr="00BC3C65">
        <w:t xml:space="preserve">Information regarding this preference program may be obtained </w:t>
      </w:r>
      <w:r>
        <w:t xml:space="preserve">on the DGS </w:t>
      </w:r>
      <w:r w:rsidR="00756EC6">
        <w:t>w</w:t>
      </w:r>
      <w:r>
        <w:t xml:space="preserve">ebsite, </w:t>
      </w:r>
      <w:hyperlink r:id="rId20" w:tooltip="DGS preference program" w:history="1">
        <w:r w:rsidRPr="008328D9">
          <w:rPr>
            <w:rStyle w:val="Hyperlink"/>
          </w:rPr>
          <w:t>https://www.dgs.ca.gov/PD/Resources/Page-Content/Procurement-Division-Resources-List-Folder/How-to-do-business-with-the-state-of-California</w:t>
        </w:r>
      </w:hyperlink>
      <w:r w:rsidR="00137D0D">
        <w:rPr>
          <w:rStyle w:val="Hyperlink"/>
        </w:rPr>
        <w:br w:type="page"/>
      </w:r>
    </w:p>
    <w:p w14:paraId="68953204" w14:textId="77777777" w:rsidR="00537458" w:rsidRDefault="00537458" w:rsidP="00537458">
      <w:pPr>
        <w:pStyle w:val="ListParagraph"/>
        <w:numPr>
          <w:ilvl w:val="1"/>
          <w:numId w:val="9"/>
        </w:numPr>
        <w:spacing w:before="240" w:after="240"/>
        <w:ind w:left="720" w:hanging="720"/>
        <w:contextualSpacing w:val="0"/>
      </w:pPr>
      <w:r w:rsidRPr="00CB46E0">
        <w:lastRenderedPageBreak/>
        <w:t>DVBE Incentive Option</w:t>
      </w:r>
    </w:p>
    <w:p w14:paraId="3EACAD7A" w14:textId="528C2CF2" w:rsidR="00537458" w:rsidRPr="00371695" w:rsidRDefault="00537458" w:rsidP="00537458">
      <w:pPr>
        <w:pStyle w:val="ListParagraph"/>
        <w:spacing w:before="240" w:after="240"/>
        <w:contextualSpacing w:val="0"/>
      </w:pPr>
      <w:r w:rsidRPr="006B523D">
        <w:rPr>
          <w:iCs/>
        </w:rPr>
        <w:t>In accordance with Section 999.5(a) of the Military and Veterans Code, an incentive will be given to responsive and responsible bidders who commit to DVBE participation as outlined below. The incentive amount for awards based on the lowest responsive/responsible Cost Proposal received will vary in conjunction with the percentage of DVBE participation. The incentive is only given to those bidders who are responsive to the DVBE Program Requirements</w:t>
      </w:r>
      <w:r>
        <w:rPr>
          <w:iCs/>
        </w:rPr>
        <w:t xml:space="preserve"> (See RFP, Section </w:t>
      </w:r>
      <w:r w:rsidR="00756EC6">
        <w:rPr>
          <w:iCs/>
        </w:rPr>
        <w:t>3</w:t>
      </w:r>
      <w:r>
        <w:rPr>
          <w:iCs/>
        </w:rPr>
        <w:t>.1</w:t>
      </w:r>
      <w:r w:rsidR="00756EC6">
        <w:rPr>
          <w:iCs/>
        </w:rPr>
        <w:t>.7</w:t>
      </w:r>
      <w:r>
        <w:rPr>
          <w:iCs/>
        </w:rPr>
        <w:t xml:space="preserve">; and Section </w:t>
      </w:r>
      <w:r w:rsidR="00756EC6">
        <w:rPr>
          <w:iCs/>
        </w:rPr>
        <w:t>3.</w:t>
      </w:r>
      <w:r>
        <w:rPr>
          <w:iCs/>
        </w:rPr>
        <w:t>2</w:t>
      </w:r>
      <w:r w:rsidR="00756EC6">
        <w:rPr>
          <w:iCs/>
        </w:rPr>
        <w:t>.14</w:t>
      </w:r>
      <w:r>
        <w:rPr>
          <w:iCs/>
        </w:rPr>
        <w:t>)</w:t>
      </w:r>
      <w:r w:rsidRPr="006B523D">
        <w:rPr>
          <w:iCs/>
        </w:rPr>
        <w:t xml:space="preserve"> and </w:t>
      </w:r>
      <w:r>
        <w:rPr>
          <w:iCs/>
        </w:rPr>
        <w:t xml:space="preserve">includes </w:t>
      </w:r>
      <w:r w:rsidRPr="006B523D">
        <w:rPr>
          <w:iCs/>
        </w:rPr>
        <w:t>DVBE participation in the resulting contract. The following represents the percentages that will be a</w:t>
      </w:r>
      <w:r>
        <w:rPr>
          <w:iCs/>
        </w:rPr>
        <w:t>pplied toward the bidder’s Cost</w:t>
      </w:r>
      <w:r w:rsidRPr="006B523D">
        <w:rPr>
          <w:iCs/>
        </w:rPr>
        <w:t xml:space="preserve"> Proposal amount:</w:t>
      </w:r>
    </w:p>
    <w:p w14:paraId="0187FBFD" w14:textId="77777777" w:rsidR="00537458" w:rsidRDefault="00537458" w:rsidP="00132985">
      <w:pPr>
        <w:pStyle w:val="ListParagraph"/>
        <w:numPr>
          <w:ilvl w:val="0"/>
          <w:numId w:val="39"/>
        </w:numPr>
        <w:spacing w:before="240" w:after="240"/>
        <w:ind w:left="720" w:firstLine="0"/>
      </w:pPr>
      <w:r>
        <w:t>Confirmed DVBE Participation of 5% or more, the DVBE Incentive is 5%.</w:t>
      </w:r>
    </w:p>
    <w:p w14:paraId="58DAC425" w14:textId="77777777" w:rsidR="00537458" w:rsidRDefault="00537458" w:rsidP="00132985">
      <w:pPr>
        <w:pStyle w:val="ListParagraph"/>
        <w:numPr>
          <w:ilvl w:val="0"/>
          <w:numId w:val="39"/>
        </w:numPr>
        <w:spacing w:before="240" w:after="240"/>
        <w:ind w:left="720" w:firstLine="0"/>
      </w:pPr>
      <w:r>
        <w:t>Confirmed DVBE Participation of 4% to 4.99%, the DVBE Incentive is 4%.</w:t>
      </w:r>
    </w:p>
    <w:p w14:paraId="5BA391DD" w14:textId="77777777" w:rsidR="00537458" w:rsidRDefault="00537458" w:rsidP="00132985">
      <w:pPr>
        <w:pStyle w:val="ListParagraph"/>
        <w:numPr>
          <w:ilvl w:val="0"/>
          <w:numId w:val="39"/>
        </w:numPr>
        <w:spacing w:before="240" w:after="240"/>
        <w:ind w:left="720" w:firstLine="0"/>
        <w:contextualSpacing w:val="0"/>
      </w:pPr>
      <w:r>
        <w:t>Confirmed DVBE Participation of 3% to 3.99%, the DVBE Incentive is 3%.</w:t>
      </w:r>
    </w:p>
    <w:p w14:paraId="2D1FA919" w14:textId="0A5A5FAA" w:rsidR="00537458" w:rsidRPr="00BC3C65" w:rsidRDefault="00537458" w:rsidP="00537458">
      <w:pPr>
        <w:pStyle w:val="ListParagraph"/>
        <w:spacing w:before="240" w:after="240"/>
        <w:contextualSpacing w:val="0"/>
      </w:pPr>
      <w:r w:rsidRPr="00BC3C65">
        <w:t xml:space="preserve">Refer to RFP Attachment </w:t>
      </w:r>
      <w:r w:rsidR="008A7671">
        <w:t>9</w:t>
      </w:r>
      <w:r w:rsidRPr="00BC3C65">
        <w:t>, California Disabled Veterans Business Enterprise Program Requirements for specific information regarding the DVBE Incentive Option.</w:t>
      </w:r>
    </w:p>
    <w:p w14:paraId="32A6E772" w14:textId="77777777" w:rsidR="00537458" w:rsidRDefault="00537458" w:rsidP="00537458">
      <w:pPr>
        <w:pStyle w:val="ListParagraph"/>
        <w:numPr>
          <w:ilvl w:val="1"/>
          <w:numId w:val="9"/>
        </w:numPr>
        <w:spacing w:before="240" w:after="240"/>
        <w:ind w:left="720" w:hanging="720"/>
        <w:contextualSpacing w:val="0"/>
      </w:pPr>
      <w:r w:rsidRPr="00CB46E0">
        <w:t>Target Area Contract Preference Act</w:t>
      </w:r>
    </w:p>
    <w:p w14:paraId="4809BF34" w14:textId="7B779A43" w:rsidR="00537458" w:rsidRDefault="00537458" w:rsidP="00537458">
      <w:pPr>
        <w:pStyle w:val="ListParagraph"/>
        <w:spacing w:before="240" w:after="240"/>
        <w:contextualSpacing w:val="0"/>
      </w:pPr>
      <w:r w:rsidRPr="00BC3C65">
        <w:t>Information regarding this preference program may be obtained at</w:t>
      </w:r>
      <w:r>
        <w:t xml:space="preserve"> the </w:t>
      </w:r>
      <w:r w:rsidRPr="006F7F36">
        <w:t xml:space="preserve">Department of General Services, Preference Unit </w:t>
      </w:r>
      <w:r w:rsidR="00756EC6">
        <w:t>w</w:t>
      </w:r>
      <w:r w:rsidRPr="006F7F36">
        <w:t>ebsite</w:t>
      </w:r>
      <w:r>
        <w:t xml:space="preserve">, </w:t>
      </w:r>
      <w:hyperlink r:id="rId21" w:tooltip="Department of General Services, Preference Unit " w:history="1">
        <w:r w:rsidRPr="00FC29AC">
          <w:rPr>
            <w:rStyle w:val="Hyperlink"/>
          </w:rPr>
          <w:t>https://www.dgs.ca.gov/PD/Services/Page-Content/Procurement-Division-Services-List-Folder/Request-a-Target-Area-Contract-Preference</w:t>
        </w:r>
      </w:hyperlink>
      <w:r>
        <w:t xml:space="preserve">. </w:t>
      </w:r>
      <w:r w:rsidRPr="00BC3C65">
        <w:t>Bidders seeking to obtain a Target Area Contract Preference Act (TACPA) preference must complete and submit the</w:t>
      </w:r>
      <w:r>
        <w:t xml:space="preserve"> </w:t>
      </w:r>
      <w:r w:rsidRPr="006F7F36">
        <w:t>TACPA Preference Request STD. 830</w:t>
      </w:r>
      <w:r w:rsidRPr="00BC3C65">
        <w:t xml:space="preserve"> </w:t>
      </w:r>
      <w:r>
        <w:t xml:space="preserve">with their proposal submission. The TACPA Preference Request form can be found at </w:t>
      </w:r>
      <w:hyperlink r:id="rId22" w:tooltip="TACPA Preference Request form" w:history="1">
        <w:r>
          <w:rPr>
            <w:rStyle w:val="Hyperlink"/>
          </w:rPr>
          <w:t>http://www.documents.dgs.ca.gov/dgs/fmc/pdf/std830.pdf</w:t>
        </w:r>
      </w:hyperlink>
      <w:r>
        <w:rPr>
          <w:rStyle w:val="Hyperlink"/>
          <w:color w:val="auto"/>
          <w:u w:val="none"/>
        </w:rPr>
        <w:t>.</w:t>
      </w:r>
    </w:p>
    <w:p w14:paraId="38F90FF9" w14:textId="25EB5DD4" w:rsidR="00537458" w:rsidRPr="006A0010" w:rsidRDefault="00537458" w:rsidP="003E4C84">
      <w:pPr>
        <w:pStyle w:val="Heading3"/>
        <w:rPr>
          <w:sz w:val="24"/>
        </w:rPr>
      </w:pPr>
      <w:r>
        <w:t xml:space="preserve">3.3 </w:t>
      </w:r>
      <w:r w:rsidRPr="00BE4223">
        <w:t>Cost Proposal Requirements</w:t>
      </w:r>
    </w:p>
    <w:p w14:paraId="7F8249ED" w14:textId="2B743058" w:rsidR="0089438D" w:rsidRDefault="0089438D" w:rsidP="0089438D">
      <w:pPr>
        <w:widowControl w:val="0"/>
        <w:spacing w:before="240" w:after="240"/>
        <w:rPr>
          <w:rFonts w:cs="Arial"/>
        </w:rPr>
      </w:pPr>
      <w:r>
        <w:t xml:space="preserve">Each bidder must submit a Cost Proposal that contains </w:t>
      </w:r>
      <w:proofErr w:type="gramStart"/>
      <w:r>
        <w:t>all of</w:t>
      </w:r>
      <w:proofErr w:type="gramEnd"/>
      <w:r>
        <w:t xml:space="preserve"> the required items listed below. One original </w:t>
      </w:r>
      <w:r w:rsidR="00197061">
        <w:t xml:space="preserve">hardcopy </w:t>
      </w:r>
      <w:r>
        <w:t xml:space="preserve">(clearly marked original), three (3) copies </w:t>
      </w:r>
      <w:r w:rsidR="00197061">
        <w:t xml:space="preserve">(hardcopies) </w:t>
      </w:r>
      <w:r>
        <w:t>of the Cost Proposal, and one electronic copy of the Cost Proposal’s complete submission on a portable</w:t>
      </w:r>
      <w:r w:rsidR="00197061">
        <w:t xml:space="preserve"> USB</w:t>
      </w:r>
      <w:r>
        <w:t xml:space="preserve"> drive (must be separate from the Technical Proposal’s electronic portable </w:t>
      </w:r>
      <w:r w:rsidR="00197061">
        <w:t xml:space="preserve">USB </w:t>
      </w:r>
      <w:r>
        <w:t>drive), must be submitted sealed, marked, and packaged separately from the Technical Proposal.</w:t>
      </w:r>
    </w:p>
    <w:p w14:paraId="45E69461" w14:textId="6F632A00" w:rsidR="00537458" w:rsidRDefault="00537458" w:rsidP="0089438D">
      <w:pPr>
        <w:widowControl w:val="0"/>
        <w:spacing w:before="240" w:after="240"/>
        <w:rPr>
          <w:rFonts w:cs="Arial"/>
        </w:rPr>
      </w:pPr>
      <w:r w:rsidRPr="00C75525">
        <w:rPr>
          <w:rFonts w:cs="Arial"/>
        </w:rPr>
        <w:t>The contract will be awarded to the lowest responsible bidder meeting the requirements of this RFP. The Cost Proposal</w:t>
      </w:r>
      <w:r w:rsidRPr="00C75525" w:rsidDel="002B5835">
        <w:rPr>
          <w:rFonts w:cs="Arial"/>
        </w:rPr>
        <w:t xml:space="preserve"> </w:t>
      </w:r>
      <w:r w:rsidRPr="00C75525">
        <w:rPr>
          <w:rFonts w:cs="Arial"/>
        </w:rPr>
        <w:t>will NOT be opened unless the technical proposal has successfully met the requirements of Phase I</w:t>
      </w:r>
      <w:r w:rsidR="00EC586F">
        <w:rPr>
          <w:rFonts w:cs="Arial"/>
        </w:rPr>
        <w:t>, II,</w:t>
      </w:r>
      <w:r>
        <w:rPr>
          <w:rFonts w:cs="Arial"/>
        </w:rPr>
        <w:t xml:space="preserve"> and </w:t>
      </w:r>
      <w:r w:rsidR="00EC586F">
        <w:rPr>
          <w:rFonts w:cs="Arial"/>
        </w:rPr>
        <w:t>I</w:t>
      </w:r>
      <w:r>
        <w:rPr>
          <w:rFonts w:cs="Arial"/>
        </w:rPr>
        <w:t>II</w:t>
      </w:r>
      <w:r w:rsidRPr="00C75525">
        <w:rPr>
          <w:rFonts w:cs="Arial"/>
        </w:rPr>
        <w:t xml:space="preserve"> Technical Evaluation (see RFP Section </w:t>
      </w:r>
      <w:r w:rsidR="00DC395C">
        <w:rPr>
          <w:rFonts w:cs="Arial"/>
        </w:rPr>
        <w:t>4</w:t>
      </w:r>
      <w:r w:rsidRPr="00C75525">
        <w:rPr>
          <w:rFonts w:cs="Arial"/>
        </w:rPr>
        <w:t xml:space="preserve"> and Attachment 1</w:t>
      </w:r>
      <w:r w:rsidR="009B72EF">
        <w:rPr>
          <w:rFonts w:cs="Arial"/>
        </w:rPr>
        <w:t>4</w:t>
      </w:r>
      <w:r w:rsidRPr="00C75525">
        <w:rPr>
          <w:rFonts w:cs="Arial"/>
        </w:rPr>
        <w:t>). The lowest responsible bidder will be determined by the lowest total amount for the overall contract. The resulting contract will be a cost reimbursement contract</w:t>
      </w:r>
      <w:r>
        <w:rPr>
          <w:rFonts w:cs="Arial"/>
        </w:rPr>
        <w:t xml:space="preserve"> using the Cost Proposal as the contract budget</w:t>
      </w:r>
      <w:r w:rsidRPr="00C75525">
        <w:rPr>
          <w:rFonts w:cs="Arial"/>
        </w:rPr>
        <w:t xml:space="preserve">. (Refer to RFP, Section </w:t>
      </w:r>
      <w:r w:rsidR="00132985">
        <w:rPr>
          <w:rFonts w:cs="Arial"/>
        </w:rPr>
        <w:t>2</w:t>
      </w:r>
      <w:r w:rsidRPr="00C75525">
        <w:rPr>
          <w:rFonts w:cs="Arial"/>
        </w:rPr>
        <w:t>.</w:t>
      </w:r>
      <w:r>
        <w:rPr>
          <w:rFonts w:cs="Arial"/>
        </w:rPr>
        <w:t>8</w:t>
      </w:r>
      <w:r w:rsidRPr="00C75525">
        <w:rPr>
          <w:rFonts w:cs="Arial"/>
        </w:rPr>
        <w:t xml:space="preserve"> for the definition of </w:t>
      </w:r>
      <w:r>
        <w:rPr>
          <w:rFonts w:cs="Arial"/>
        </w:rPr>
        <w:t>“</w:t>
      </w:r>
      <w:r w:rsidRPr="00F96166">
        <w:rPr>
          <w:rFonts w:cs="Arial"/>
        </w:rPr>
        <w:t>cost reimbursement</w:t>
      </w:r>
      <w:r>
        <w:rPr>
          <w:rFonts w:cs="Arial"/>
        </w:rPr>
        <w:t>”</w:t>
      </w:r>
      <w:r w:rsidRPr="00F96166">
        <w:rPr>
          <w:rFonts w:cs="Arial"/>
        </w:rPr>
        <w:t>).</w:t>
      </w:r>
    </w:p>
    <w:p w14:paraId="39D72DAC" w14:textId="5C2F907B" w:rsidR="00537458" w:rsidRDefault="004564C9" w:rsidP="001B373C">
      <w:pPr>
        <w:pStyle w:val="Heading4"/>
      </w:pPr>
      <w:r>
        <w:t>3</w:t>
      </w:r>
      <w:r w:rsidR="00537458">
        <w:t>.3.1 Cost Proposal Specifications</w:t>
      </w:r>
    </w:p>
    <w:p w14:paraId="0EFFF08F" w14:textId="4F5FFB8D" w:rsidR="00537458" w:rsidRPr="007A67BF" w:rsidRDefault="00537458" w:rsidP="00537458">
      <w:pPr>
        <w:tabs>
          <w:tab w:val="left" w:pos="-1440"/>
        </w:tabs>
        <w:spacing w:before="240" w:after="240"/>
        <w:rPr>
          <w:rFonts w:cs="Arial"/>
          <w:szCs w:val="24"/>
        </w:rPr>
      </w:pPr>
      <w:r w:rsidRPr="007A67BF">
        <w:rPr>
          <w:rFonts w:cs="Arial"/>
          <w:szCs w:val="24"/>
        </w:rPr>
        <w:t xml:space="preserve">The following fiscal years must be addressed in the </w:t>
      </w:r>
      <w:r w:rsidRPr="007A67BF">
        <w:rPr>
          <w:rFonts w:cs="Arial"/>
        </w:rPr>
        <w:t>Cost Proposal</w:t>
      </w:r>
      <w:r>
        <w:rPr>
          <w:rFonts w:cs="Arial"/>
          <w:szCs w:val="24"/>
        </w:rPr>
        <w:t xml:space="preserve">. The following proposed term of the contract </w:t>
      </w:r>
      <w:r w:rsidRPr="00EC586F">
        <w:rPr>
          <w:rFonts w:cs="Arial"/>
          <w:szCs w:val="24"/>
        </w:rPr>
        <w:t xml:space="preserve">spans </w:t>
      </w:r>
      <w:r w:rsidR="00EC586F" w:rsidRPr="008443C4">
        <w:rPr>
          <w:rFonts w:cs="Arial"/>
          <w:szCs w:val="24"/>
        </w:rPr>
        <w:t xml:space="preserve">eight </w:t>
      </w:r>
      <w:r w:rsidRPr="008443C4">
        <w:rPr>
          <w:rFonts w:cs="Arial"/>
          <w:szCs w:val="24"/>
        </w:rPr>
        <w:t xml:space="preserve">fiscal years, for a total of </w:t>
      </w:r>
      <w:r w:rsidR="00EC586F" w:rsidRPr="008443C4">
        <w:rPr>
          <w:rFonts w:cs="Arial"/>
          <w:szCs w:val="24"/>
        </w:rPr>
        <w:t>90</w:t>
      </w:r>
      <w:r w:rsidR="00C0772F" w:rsidRPr="008443C4">
        <w:rPr>
          <w:rFonts w:cs="Arial"/>
          <w:szCs w:val="24"/>
        </w:rPr>
        <w:t xml:space="preserve"> </w:t>
      </w:r>
      <w:r w:rsidRPr="008443C4">
        <w:rPr>
          <w:rFonts w:cs="Arial"/>
          <w:szCs w:val="24"/>
        </w:rPr>
        <w:t>months</w:t>
      </w:r>
      <w:r w:rsidRPr="00EC586F">
        <w:rPr>
          <w:rFonts w:cs="Arial"/>
          <w:szCs w:val="24"/>
        </w:rPr>
        <w:t xml:space="preserve"> (refer to RFP, Section </w:t>
      </w:r>
      <w:r w:rsidR="00693698" w:rsidRPr="00EC586F">
        <w:rPr>
          <w:rFonts w:cs="Arial"/>
          <w:szCs w:val="24"/>
        </w:rPr>
        <w:t>2</w:t>
      </w:r>
      <w:r w:rsidRPr="00EC586F">
        <w:rPr>
          <w:rFonts w:cs="Arial"/>
          <w:szCs w:val="24"/>
        </w:rPr>
        <w:t xml:space="preserve">.8 for the definition of “fiscal year.”). </w:t>
      </w:r>
      <w:r w:rsidRPr="00EC586F">
        <w:rPr>
          <w:rFonts w:eastAsia="Times New Roman" w:cs="Arial"/>
          <w:bCs/>
          <w:snapToGrid w:val="0"/>
          <w:szCs w:val="20"/>
        </w:rPr>
        <w:t xml:space="preserve">The fiscal years defined in this RFP are </w:t>
      </w:r>
      <w:r w:rsidRPr="002E0181">
        <w:rPr>
          <w:rFonts w:eastAsia="Times New Roman" w:cs="Arial"/>
          <w:bCs/>
          <w:snapToGrid w:val="0"/>
          <w:szCs w:val="20"/>
        </w:rPr>
        <w:t>as follows</w:t>
      </w:r>
      <w:r>
        <w:rPr>
          <w:rFonts w:eastAsia="Times New Roman" w:cs="Arial"/>
          <w:bCs/>
          <w:snapToGrid w:val="0"/>
          <w:szCs w:val="20"/>
        </w:rPr>
        <w:t>:</w:t>
      </w:r>
    </w:p>
    <w:p w14:paraId="61C9CDA5" w14:textId="77777777" w:rsidR="00EC586F" w:rsidRPr="007953E8" w:rsidRDefault="00EC586F" w:rsidP="00EC586F">
      <w:pPr>
        <w:pStyle w:val="ListParagraph"/>
        <w:numPr>
          <w:ilvl w:val="0"/>
          <w:numId w:val="22"/>
        </w:numPr>
        <w:spacing w:after="240"/>
        <w:rPr>
          <w:rFonts w:eastAsia="Times New Roman" w:cs="Arial"/>
          <w:bCs/>
          <w:snapToGrid w:val="0"/>
          <w:szCs w:val="20"/>
        </w:rPr>
      </w:pPr>
      <w:r w:rsidRPr="007953E8">
        <w:rPr>
          <w:rFonts w:eastAsia="Times New Roman" w:cs="Arial"/>
          <w:bCs/>
          <w:snapToGrid w:val="0"/>
          <w:szCs w:val="20"/>
        </w:rPr>
        <w:lastRenderedPageBreak/>
        <w:t>2024–2025: July 1, 2024 – June 30, 2025 (12 months)</w:t>
      </w:r>
    </w:p>
    <w:p w14:paraId="15E32C8E" w14:textId="77777777" w:rsidR="00EC586F" w:rsidRDefault="00EC586F" w:rsidP="00EC586F">
      <w:pPr>
        <w:pStyle w:val="ListParagraph"/>
        <w:numPr>
          <w:ilvl w:val="0"/>
          <w:numId w:val="22"/>
        </w:numPr>
        <w:spacing w:after="240"/>
        <w:rPr>
          <w:rFonts w:eastAsia="Times New Roman" w:cs="Arial"/>
          <w:bCs/>
          <w:snapToGrid w:val="0"/>
          <w:szCs w:val="20"/>
        </w:rPr>
      </w:pPr>
      <w:r w:rsidRPr="00576DCB">
        <w:rPr>
          <w:rFonts w:eastAsia="Times New Roman" w:cs="Arial"/>
          <w:bCs/>
          <w:snapToGrid w:val="0"/>
          <w:szCs w:val="20"/>
        </w:rPr>
        <w:t>2025–2026: July 1, 2025 – June 30, 2026 (12 months)</w:t>
      </w:r>
    </w:p>
    <w:p w14:paraId="4730EF7E" w14:textId="77777777" w:rsidR="00EC586F" w:rsidRDefault="00EC586F" w:rsidP="00EC586F">
      <w:pPr>
        <w:pStyle w:val="ListParagraph"/>
        <w:numPr>
          <w:ilvl w:val="0"/>
          <w:numId w:val="22"/>
        </w:numPr>
        <w:spacing w:after="240"/>
        <w:rPr>
          <w:rFonts w:eastAsia="Times New Roman" w:cs="Arial"/>
          <w:bCs/>
          <w:snapToGrid w:val="0"/>
          <w:szCs w:val="20"/>
        </w:rPr>
      </w:pPr>
      <w:r>
        <w:rPr>
          <w:rFonts w:eastAsia="Times New Roman" w:cs="Arial"/>
          <w:bCs/>
          <w:snapToGrid w:val="0"/>
          <w:szCs w:val="20"/>
        </w:rPr>
        <w:t>2026</w:t>
      </w:r>
      <w:r w:rsidRPr="00576DCB">
        <w:rPr>
          <w:rFonts w:eastAsia="Times New Roman" w:cs="Arial"/>
          <w:bCs/>
          <w:snapToGrid w:val="0"/>
          <w:szCs w:val="20"/>
        </w:rPr>
        <w:t>–</w:t>
      </w:r>
      <w:r>
        <w:rPr>
          <w:rFonts w:eastAsia="Times New Roman" w:cs="Arial"/>
          <w:bCs/>
          <w:snapToGrid w:val="0"/>
          <w:szCs w:val="20"/>
        </w:rPr>
        <w:t xml:space="preserve">2027: July 1, 2026 – June 30, 2027 </w:t>
      </w:r>
      <w:r w:rsidRPr="00576DCB">
        <w:rPr>
          <w:rFonts w:eastAsia="Times New Roman" w:cs="Arial"/>
          <w:bCs/>
          <w:snapToGrid w:val="0"/>
          <w:szCs w:val="20"/>
        </w:rPr>
        <w:t>(12 months)</w:t>
      </w:r>
    </w:p>
    <w:p w14:paraId="3B609F8C" w14:textId="77777777" w:rsidR="00EC586F" w:rsidRDefault="00EC586F" w:rsidP="00EC586F">
      <w:pPr>
        <w:pStyle w:val="ListParagraph"/>
        <w:numPr>
          <w:ilvl w:val="0"/>
          <w:numId w:val="22"/>
        </w:numPr>
        <w:spacing w:after="240"/>
        <w:rPr>
          <w:rFonts w:eastAsia="Times New Roman" w:cs="Arial"/>
          <w:bCs/>
          <w:snapToGrid w:val="0"/>
          <w:szCs w:val="20"/>
        </w:rPr>
      </w:pPr>
      <w:r>
        <w:rPr>
          <w:rFonts w:eastAsia="Times New Roman" w:cs="Arial"/>
          <w:bCs/>
          <w:snapToGrid w:val="0"/>
          <w:szCs w:val="20"/>
        </w:rPr>
        <w:t>2027</w:t>
      </w:r>
      <w:r w:rsidRPr="00576DCB">
        <w:rPr>
          <w:rFonts w:eastAsia="Times New Roman" w:cs="Arial"/>
          <w:bCs/>
          <w:snapToGrid w:val="0"/>
          <w:szCs w:val="20"/>
        </w:rPr>
        <w:t>–</w:t>
      </w:r>
      <w:r>
        <w:rPr>
          <w:rFonts w:eastAsia="Times New Roman" w:cs="Arial"/>
          <w:bCs/>
          <w:snapToGrid w:val="0"/>
          <w:szCs w:val="20"/>
        </w:rPr>
        <w:t xml:space="preserve">2028: July 1, 2027 – June 30, 2028 </w:t>
      </w:r>
      <w:r w:rsidRPr="00576DCB">
        <w:rPr>
          <w:rFonts w:eastAsia="Times New Roman" w:cs="Arial"/>
          <w:bCs/>
          <w:snapToGrid w:val="0"/>
          <w:szCs w:val="20"/>
        </w:rPr>
        <w:t>(12 months)</w:t>
      </w:r>
    </w:p>
    <w:p w14:paraId="04D5917C" w14:textId="77777777" w:rsidR="00EC586F" w:rsidRDefault="00EC586F" w:rsidP="00EC586F">
      <w:pPr>
        <w:pStyle w:val="ListParagraph"/>
        <w:numPr>
          <w:ilvl w:val="0"/>
          <w:numId w:val="22"/>
        </w:numPr>
        <w:spacing w:after="240"/>
        <w:rPr>
          <w:rFonts w:eastAsia="Times New Roman" w:cs="Arial"/>
          <w:bCs/>
          <w:snapToGrid w:val="0"/>
          <w:szCs w:val="20"/>
        </w:rPr>
      </w:pPr>
      <w:r>
        <w:rPr>
          <w:rFonts w:eastAsia="Times New Roman" w:cs="Arial"/>
          <w:bCs/>
          <w:snapToGrid w:val="0"/>
          <w:szCs w:val="20"/>
        </w:rPr>
        <w:t>2028</w:t>
      </w:r>
      <w:r w:rsidRPr="00576DCB">
        <w:rPr>
          <w:rFonts w:eastAsia="Times New Roman" w:cs="Arial"/>
          <w:bCs/>
          <w:snapToGrid w:val="0"/>
          <w:szCs w:val="20"/>
        </w:rPr>
        <w:t>–</w:t>
      </w:r>
      <w:r>
        <w:rPr>
          <w:rFonts w:eastAsia="Times New Roman" w:cs="Arial"/>
          <w:bCs/>
          <w:snapToGrid w:val="0"/>
          <w:szCs w:val="20"/>
        </w:rPr>
        <w:t xml:space="preserve">2029: July 1, 2028 – June 30, 2029 </w:t>
      </w:r>
      <w:r w:rsidRPr="00576DCB">
        <w:rPr>
          <w:rFonts w:eastAsia="Times New Roman" w:cs="Arial"/>
          <w:bCs/>
          <w:snapToGrid w:val="0"/>
          <w:szCs w:val="20"/>
        </w:rPr>
        <w:t>(12 months)</w:t>
      </w:r>
    </w:p>
    <w:p w14:paraId="103AEA70" w14:textId="77777777" w:rsidR="00EC586F" w:rsidRDefault="00EC586F" w:rsidP="00EC586F">
      <w:pPr>
        <w:pStyle w:val="ListParagraph"/>
        <w:numPr>
          <w:ilvl w:val="0"/>
          <w:numId w:val="22"/>
        </w:numPr>
        <w:spacing w:after="240"/>
        <w:rPr>
          <w:rFonts w:eastAsia="Times New Roman" w:cs="Arial"/>
          <w:bCs/>
          <w:snapToGrid w:val="0"/>
          <w:szCs w:val="20"/>
        </w:rPr>
      </w:pPr>
      <w:r>
        <w:rPr>
          <w:rFonts w:eastAsia="Times New Roman" w:cs="Arial"/>
          <w:bCs/>
          <w:snapToGrid w:val="0"/>
          <w:szCs w:val="20"/>
        </w:rPr>
        <w:t>2029</w:t>
      </w:r>
      <w:r w:rsidRPr="00576DCB">
        <w:rPr>
          <w:rFonts w:eastAsia="Times New Roman" w:cs="Arial"/>
          <w:bCs/>
          <w:snapToGrid w:val="0"/>
          <w:szCs w:val="20"/>
        </w:rPr>
        <w:t>–</w:t>
      </w:r>
      <w:r>
        <w:rPr>
          <w:rFonts w:eastAsia="Times New Roman" w:cs="Arial"/>
          <w:bCs/>
          <w:snapToGrid w:val="0"/>
          <w:szCs w:val="20"/>
        </w:rPr>
        <w:t xml:space="preserve">2030: July 1, 2029 – June 30, 2030 </w:t>
      </w:r>
      <w:r w:rsidRPr="00576DCB">
        <w:rPr>
          <w:rFonts w:eastAsia="Times New Roman" w:cs="Arial"/>
          <w:bCs/>
          <w:snapToGrid w:val="0"/>
          <w:szCs w:val="20"/>
        </w:rPr>
        <w:t>(12 months)</w:t>
      </w:r>
    </w:p>
    <w:p w14:paraId="3F407A7E" w14:textId="77777777" w:rsidR="00EC586F" w:rsidRDefault="00EC586F" w:rsidP="00EC586F">
      <w:pPr>
        <w:pStyle w:val="ListParagraph"/>
        <w:numPr>
          <w:ilvl w:val="0"/>
          <w:numId w:val="22"/>
        </w:numPr>
        <w:spacing w:after="240"/>
        <w:rPr>
          <w:rFonts w:eastAsia="Times New Roman" w:cs="Arial"/>
          <w:bCs/>
          <w:snapToGrid w:val="0"/>
          <w:szCs w:val="20"/>
        </w:rPr>
      </w:pPr>
      <w:r>
        <w:rPr>
          <w:rFonts w:eastAsia="Times New Roman" w:cs="Arial"/>
          <w:bCs/>
          <w:snapToGrid w:val="0"/>
          <w:szCs w:val="20"/>
        </w:rPr>
        <w:t>2030</w:t>
      </w:r>
      <w:r w:rsidRPr="00576DCB">
        <w:rPr>
          <w:rFonts w:eastAsia="Times New Roman" w:cs="Arial"/>
          <w:bCs/>
          <w:snapToGrid w:val="0"/>
          <w:szCs w:val="20"/>
        </w:rPr>
        <w:t>–</w:t>
      </w:r>
      <w:r>
        <w:rPr>
          <w:rFonts w:eastAsia="Times New Roman" w:cs="Arial"/>
          <w:bCs/>
          <w:snapToGrid w:val="0"/>
          <w:szCs w:val="20"/>
        </w:rPr>
        <w:t xml:space="preserve">2031: July 1, 2030 – June 30, 2031 </w:t>
      </w:r>
      <w:r w:rsidRPr="00576DCB">
        <w:rPr>
          <w:rFonts w:eastAsia="Times New Roman" w:cs="Arial"/>
          <w:bCs/>
          <w:snapToGrid w:val="0"/>
          <w:szCs w:val="20"/>
        </w:rPr>
        <w:t>(12 months)</w:t>
      </w:r>
    </w:p>
    <w:p w14:paraId="27A80945" w14:textId="77777777" w:rsidR="00EC586F" w:rsidRPr="00576DCB" w:rsidRDefault="00EC586F" w:rsidP="00EC586F">
      <w:pPr>
        <w:pStyle w:val="ListParagraph"/>
        <w:numPr>
          <w:ilvl w:val="0"/>
          <w:numId w:val="22"/>
        </w:numPr>
        <w:spacing w:after="240"/>
        <w:contextualSpacing w:val="0"/>
        <w:rPr>
          <w:rFonts w:eastAsia="Times New Roman" w:cs="Arial"/>
          <w:bCs/>
          <w:snapToGrid w:val="0"/>
          <w:szCs w:val="20"/>
        </w:rPr>
      </w:pPr>
      <w:r>
        <w:rPr>
          <w:rFonts w:eastAsia="Times New Roman" w:cs="Arial"/>
          <w:bCs/>
          <w:snapToGrid w:val="0"/>
          <w:szCs w:val="20"/>
        </w:rPr>
        <w:t>2031</w:t>
      </w:r>
      <w:r w:rsidRPr="00576DCB">
        <w:rPr>
          <w:rFonts w:eastAsia="Times New Roman" w:cs="Arial"/>
          <w:bCs/>
          <w:snapToGrid w:val="0"/>
          <w:szCs w:val="20"/>
        </w:rPr>
        <w:t>–</w:t>
      </w:r>
      <w:r>
        <w:rPr>
          <w:rFonts w:eastAsia="Times New Roman" w:cs="Arial"/>
          <w:bCs/>
          <w:snapToGrid w:val="0"/>
          <w:szCs w:val="20"/>
        </w:rPr>
        <w:t xml:space="preserve">2032: July 1, 2031 – December 31, 2031 </w:t>
      </w:r>
      <w:r w:rsidRPr="00576DCB">
        <w:rPr>
          <w:rFonts w:eastAsia="Times New Roman" w:cs="Arial"/>
          <w:bCs/>
          <w:snapToGrid w:val="0"/>
          <w:szCs w:val="20"/>
        </w:rPr>
        <w:t>(</w:t>
      </w:r>
      <w:r>
        <w:rPr>
          <w:rFonts w:eastAsia="Times New Roman" w:cs="Arial"/>
          <w:bCs/>
          <w:snapToGrid w:val="0"/>
          <w:szCs w:val="20"/>
        </w:rPr>
        <w:t>6</w:t>
      </w:r>
      <w:r w:rsidRPr="00576DCB">
        <w:rPr>
          <w:rFonts w:eastAsia="Times New Roman" w:cs="Arial"/>
          <w:bCs/>
          <w:snapToGrid w:val="0"/>
          <w:szCs w:val="20"/>
        </w:rPr>
        <w:t xml:space="preserve"> months)</w:t>
      </w:r>
    </w:p>
    <w:p w14:paraId="2E1C26F1" w14:textId="52C6B0A9" w:rsidR="00537458" w:rsidRDefault="00537458" w:rsidP="00537458">
      <w:pPr>
        <w:pStyle w:val="ListParagraph"/>
        <w:widowControl w:val="0"/>
        <w:spacing w:after="240"/>
        <w:ind w:left="0"/>
        <w:contextualSpacing w:val="0"/>
        <w:rPr>
          <w:rFonts w:cs="Arial"/>
          <w:szCs w:val="24"/>
        </w:rPr>
      </w:pPr>
      <w:r w:rsidRPr="00B37930">
        <w:rPr>
          <w:rFonts w:cs="Arial"/>
          <w:szCs w:val="24"/>
        </w:rPr>
        <w:t xml:space="preserve">The total contract bid amount must be for all tasks </w:t>
      </w:r>
      <w:r>
        <w:rPr>
          <w:rFonts w:cs="Arial"/>
          <w:szCs w:val="24"/>
        </w:rPr>
        <w:t xml:space="preserve">and subtasks </w:t>
      </w:r>
      <w:r w:rsidRPr="00B37930">
        <w:rPr>
          <w:rFonts w:cs="Arial"/>
          <w:szCs w:val="24"/>
        </w:rPr>
        <w:t>specified in the scope of the project</w:t>
      </w:r>
      <w:r>
        <w:rPr>
          <w:rFonts w:cs="Arial"/>
          <w:szCs w:val="24"/>
        </w:rPr>
        <w:t xml:space="preserve"> (Refer to Section </w:t>
      </w:r>
      <w:r w:rsidR="00DC395C">
        <w:rPr>
          <w:rFonts w:cs="Arial"/>
          <w:szCs w:val="24"/>
        </w:rPr>
        <w:t>7</w:t>
      </w:r>
      <w:r>
        <w:rPr>
          <w:rFonts w:cs="Arial"/>
          <w:szCs w:val="24"/>
        </w:rPr>
        <w:t>, Scope of Project, for required tasks and subtasks)</w:t>
      </w:r>
      <w:r w:rsidRPr="00B37930">
        <w:rPr>
          <w:rFonts w:cs="Arial"/>
          <w:szCs w:val="24"/>
        </w:rPr>
        <w:t xml:space="preserve">, including work </w:t>
      </w:r>
      <w:r>
        <w:rPr>
          <w:rFonts w:cs="Arial"/>
          <w:szCs w:val="24"/>
        </w:rPr>
        <w:t>performed</w:t>
      </w:r>
      <w:r w:rsidRPr="00B37930">
        <w:rPr>
          <w:rFonts w:cs="Arial"/>
          <w:szCs w:val="24"/>
        </w:rPr>
        <w:t xml:space="preserve"> by subcontractors, </w:t>
      </w:r>
      <w:r>
        <w:rPr>
          <w:rFonts w:cs="Arial"/>
          <w:szCs w:val="24"/>
        </w:rPr>
        <w:t xml:space="preserve">independent consultants, </w:t>
      </w:r>
      <w:r w:rsidRPr="00B37930">
        <w:rPr>
          <w:rFonts w:cs="Arial"/>
          <w:szCs w:val="24"/>
        </w:rPr>
        <w:t xml:space="preserve">and all related </w:t>
      </w:r>
      <w:r>
        <w:rPr>
          <w:rFonts w:cs="Arial"/>
          <w:szCs w:val="24"/>
        </w:rPr>
        <w:t xml:space="preserve">labor costs, travel, </w:t>
      </w:r>
      <w:r w:rsidRPr="00B37930">
        <w:rPr>
          <w:rFonts w:cs="Arial"/>
          <w:szCs w:val="24"/>
        </w:rPr>
        <w:t>overhead or indirect costs. No costs, direct or indirect, shall be omitted from the Cost Proposal.</w:t>
      </w:r>
    </w:p>
    <w:p w14:paraId="090EBF19" w14:textId="1735BB4F" w:rsidR="00537458" w:rsidRDefault="00537458" w:rsidP="0053745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240" w:after="240"/>
        <w:rPr>
          <w:rFonts w:ascii="Arial" w:hAnsi="Arial" w:cs="Arial"/>
          <w:szCs w:val="24"/>
        </w:rPr>
      </w:pPr>
      <w:r>
        <w:rPr>
          <w:rFonts w:ascii="Arial" w:hAnsi="Arial" w:cs="Arial"/>
        </w:rPr>
        <w:t>F</w:t>
      </w:r>
      <w:r w:rsidRPr="00FF3425">
        <w:rPr>
          <w:rFonts w:ascii="Arial" w:hAnsi="Arial" w:cs="Arial"/>
        </w:rPr>
        <w:t>ailure to provide detailed costs by prime/subcontractor and by task</w:t>
      </w:r>
      <w:r>
        <w:rPr>
          <w:rFonts w:ascii="Arial" w:hAnsi="Arial" w:cs="Arial"/>
        </w:rPr>
        <w:t xml:space="preserve"> and subtask,</w:t>
      </w:r>
      <w:r w:rsidRPr="00FF3425">
        <w:rPr>
          <w:rFonts w:ascii="Arial" w:hAnsi="Arial" w:cs="Arial"/>
        </w:rPr>
        <w:t xml:space="preserve"> and by fiscal year may result in the disqualification of the bidder’s proposal.</w:t>
      </w:r>
      <w:r>
        <w:rPr>
          <w:rFonts w:ascii="Arial" w:hAnsi="Arial" w:cs="Arial"/>
        </w:rPr>
        <w:t xml:space="preserve"> Detailed costs </w:t>
      </w:r>
      <w:r>
        <w:rPr>
          <w:rFonts w:ascii="Arial" w:hAnsi="Arial" w:cs="Arial"/>
          <w:szCs w:val="24"/>
        </w:rPr>
        <w:t xml:space="preserve">must correlate with the tasks and subtasks set forth in Section </w:t>
      </w:r>
      <w:r w:rsidR="00DC395C">
        <w:rPr>
          <w:rFonts w:ascii="Arial" w:hAnsi="Arial" w:cs="Arial"/>
          <w:szCs w:val="24"/>
        </w:rPr>
        <w:t>7</w:t>
      </w:r>
      <w:r>
        <w:rPr>
          <w:rFonts w:ascii="Arial" w:hAnsi="Arial" w:cs="Arial"/>
          <w:szCs w:val="24"/>
        </w:rPr>
        <w:t xml:space="preserve"> of this RFP.</w:t>
      </w:r>
    </w:p>
    <w:p w14:paraId="15C5E9DE" w14:textId="77777777" w:rsidR="00537458" w:rsidRPr="00B37930" w:rsidRDefault="00537458" w:rsidP="00537458">
      <w:pPr>
        <w:pStyle w:val="ListParagraph"/>
        <w:widowControl w:val="0"/>
        <w:spacing w:after="240"/>
        <w:ind w:left="0"/>
        <w:contextualSpacing w:val="0"/>
        <w:rPr>
          <w:rFonts w:cs="Arial"/>
          <w:szCs w:val="24"/>
        </w:rPr>
      </w:pPr>
      <w:r w:rsidRPr="00B37930">
        <w:rPr>
          <w:rFonts w:cs="Arial"/>
          <w:szCs w:val="24"/>
        </w:rPr>
        <w:t>Computations must be calculated to the exact cent (expressed in dollars to two (2) decimal places).</w:t>
      </w:r>
    </w:p>
    <w:p w14:paraId="64A99D92" w14:textId="34C850DD" w:rsidR="00537458" w:rsidRDefault="00537458" w:rsidP="00537458">
      <w:pPr>
        <w:pStyle w:val="WPDefaults"/>
        <w:spacing w:after="240"/>
        <w:rPr>
          <w:rFonts w:ascii="Arial" w:hAnsi="Arial" w:cs="Arial"/>
          <w:szCs w:val="24"/>
        </w:rPr>
      </w:pPr>
      <w:r w:rsidRPr="00FE7F03">
        <w:rPr>
          <w:rFonts w:ascii="Arial" w:hAnsi="Arial" w:cs="Arial"/>
          <w:szCs w:val="24"/>
        </w:rPr>
        <w:t xml:space="preserve">Except </w:t>
      </w:r>
      <w:r>
        <w:rPr>
          <w:rFonts w:ascii="Arial" w:hAnsi="Arial" w:cs="Arial"/>
          <w:szCs w:val="24"/>
        </w:rPr>
        <w:t>where</w:t>
      </w:r>
      <w:r w:rsidRPr="00FE7F03">
        <w:rPr>
          <w:rFonts w:ascii="Arial" w:hAnsi="Arial" w:cs="Arial"/>
          <w:szCs w:val="24"/>
        </w:rPr>
        <w:t xml:space="preserve"> noted, </w:t>
      </w:r>
      <w:r w:rsidR="00730AE0">
        <w:rPr>
          <w:rFonts w:ascii="Arial" w:hAnsi="Arial" w:cs="Arial"/>
          <w:szCs w:val="24"/>
        </w:rPr>
        <w:t xml:space="preserve">the </w:t>
      </w:r>
      <w:r w:rsidRPr="00FE7F03">
        <w:rPr>
          <w:rFonts w:ascii="Arial" w:hAnsi="Arial" w:cs="Arial"/>
          <w:szCs w:val="24"/>
        </w:rPr>
        <w:t xml:space="preserve">bidder is responsible for all logistics and costs incurred by </w:t>
      </w:r>
      <w:r w:rsidR="00730AE0">
        <w:rPr>
          <w:rFonts w:ascii="Arial" w:hAnsi="Arial" w:cs="Arial"/>
          <w:szCs w:val="24"/>
        </w:rPr>
        <w:t xml:space="preserve">the </w:t>
      </w:r>
      <w:r w:rsidRPr="00FE7F03">
        <w:rPr>
          <w:rFonts w:ascii="Arial" w:hAnsi="Arial" w:cs="Arial"/>
          <w:szCs w:val="24"/>
        </w:rPr>
        <w:t>bidder or other program participants, including, but not limited to, travel costs (e.g.</w:t>
      </w:r>
      <w:r w:rsidR="00DD74CA">
        <w:rPr>
          <w:rFonts w:ascii="Arial" w:hAnsi="Arial" w:cs="Arial"/>
          <w:szCs w:val="24"/>
        </w:rPr>
        <w:t>,</w:t>
      </w:r>
      <w:r w:rsidRPr="00FE7F03">
        <w:rPr>
          <w:rFonts w:ascii="Arial" w:hAnsi="Arial" w:cs="Arial"/>
          <w:szCs w:val="24"/>
        </w:rPr>
        <w:t xml:space="preserve"> per diem and lodging), and meeting costs (meeting materials, interpreters, video hook-up fees, facilities rental, etc.).</w:t>
      </w:r>
    </w:p>
    <w:p w14:paraId="5A0EE585" w14:textId="57E6F603" w:rsidR="00537458" w:rsidRPr="00FE7F03" w:rsidRDefault="00537458" w:rsidP="00537458">
      <w:pPr>
        <w:pStyle w:val="WPDefaults"/>
        <w:spacing w:after="240"/>
        <w:rPr>
          <w:rFonts w:ascii="Arial" w:hAnsi="Arial" w:cs="Arial"/>
          <w:szCs w:val="24"/>
        </w:rPr>
      </w:pPr>
      <w:r w:rsidRPr="00857414">
        <w:rPr>
          <w:rFonts w:ascii="Arial" w:hAnsi="Arial" w:cs="Arial"/>
        </w:rPr>
        <w:t>Travel and per diem rates must not exceed those established for the State of California’s non-represented employees, computed in accordance with and allowable pursuant to applicable California Department of Human Resources regulations (Attachment 1</w:t>
      </w:r>
      <w:r w:rsidR="008A7671">
        <w:rPr>
          <w:rFonts w:ascii="Arial" w:hAnsi="Arial" w:cs="Arial"/>
        </w:rPr>
        <w:t>1</w:t>
      </w:r>
      <w:r w:rsidRPr="00FE7F03">
        <w:rPr>
          <w:rFonts w:ascii="Arial" w:hAnsi="Arial" w:cs="Arial"/>
        </w:rPr>
        <w:t xml:space="preserve">). </w:t>
      </w:r>
      <w:r w:rsidRPr="00FE7F03">
        <w:rPr>
          <w:rFonts w:ascii="Arial" w:hAnsi="Arial" w:cs="Arial"/>
          <w:szCs w:val="24"/>
        </w:rPr>
        <w:t xml:space="preserve">The successful bidder is not responsible for </w:t>
      </w:r>
      <w:r w:rsidR="00DD74CA">
        <w:rPr>
          <w:rFonts w:ascii="Arial" w:hAnsi="Arial" w:cs="Arial"/>
          <w:szCs w:val="24"/>
        </w:rPr>
        <w:t xml:space="preserve">the </w:t>
      </w:r>
      <w:r w:rsidRPr="00FE7F03">
        <w:rPr>
          <w:rFonts w:ascii="Arial" w:hAnsi="Arial" w:cs="Arial"/>
          <w:szCs w:val="24"/>
        </w:rPr>
        <w:t>costs of outside observers or the CDE staff.</w:t>
      </w:r>
    </w:p>
    <w:p w14:paraId="08880659" w14:textId="02B32299" w:rsidR="00537458" w:rsidRDefault="00537458" w:rsidP="00537458">
      <w:pPr>
        <w:pStyle w:val="WPDefaults"/>
        <w:spacing w:after="240"/>
        <w:rPr>
          <w:rFonts w:ascii="Arial" w:hAnsi="Arial" w:cs="Arial"/>
        </w:rPr>
      </w:pPr>
      <w:r w:rsidRPr="00857414">
        <w:rPr>
          <w:rFonts w:ascii="Arial" w:hAnsi="Arial" w:cs="Arial"/>
        </w:rPr>
        <w:t xml:space="preserve">Although the bidder may use their own budget format, all the Cost Proposal requirements identified in </w:t>
      </w:r>
      <w:r w:rsidR="00693698">
        <w:rPr>
          <w:rFonts w:ascii="Arial" w:hAnsi="Arial" w:cs="Arial"/>
        </w:rPr>
        <w:t xml:space="preserve">RFP </w:t>
      </w:r>
      <w:r w:rsidRPr="00857414">
        <w:rPr>
          <w:rFonts w:ascii="Arial" w:hAnsi="Arial" w:cs="Arial"/>
        </w:rPr>
        <w:t xml:space="preserve">Section </w:t>
      </w:r>
      <w:r w:rsidR="00DC395C">
        <w:rPr>
          <w:rFonts w:ascii="Arial" w:hAnsi="Arial" w:cs="Arial"/>
        </w:rPr>
        <w:t>3</w:t>
      </w:r>
      <w:r w:rsidRPr="00857414">
        <w:rPr>
          <w:rFonts w:ascii="Arial" w:hAnsi="Arial" w:cs="Arial"/>
        </w:rPr>
        <w:t>.3 must be included in the bidder’s format.</w:t>
      </w:r>
    </w:p>
    <w:p w14:paraId="65682E71" w14:textId="77777777" w:rsidR="00537458" w:rsidRPr="00857414" w:rsidRDefault="00537458" w:rsidP="00537458">
      <w:pPr>
        <w:widowControl w:val="0"/>
        <w:spacing w:before="240" w:after="240"/>
        <w:rPr>
          <w:rFonts w:eastAsia="Arial Unicode MS" w:cs="Arial"/>
          <w:szCs w:val="24"/>
        </w:rPr>
      </w:pPr>
      <w:r w:rsidRPr="00857414">
        <w:rPr>
          <w:rFonts w:eastAsia="Arial Unicode MS" w:cs="Arial"/>
          <w:szCs w:val="24"/>
        </w:rPr>
        <w:t>The costs/rates must be reasonable. Every component of the cost is subject to reasonableness of cost justification to DGS, who may approve it at its discretion. If any portion of the cost is rejected by DGS, then the entire bid may be rejected.</w:t>
      </w:r>
    </w:p>
    <w:p w14:paraId="68CA8209" w14:textId="77777777" w:rsidR="00537458" w:rsidRPr="00857414" w:rsidRDefault="00537458" w:rsidP="00537458">
      <w:pPr>
        <w:widowControl w:val="0"/>
        <w:spacing w:before="240" w:after="240"/>
        <w:rPr>
          <w:rFonts w:eastAsia="Arial Unicode MS" w:cs="Arial"/>
          <w:szCs w:val="24"/>
        </w:rPr>
      </w:pPr>
      <w:r w:rsidRPr="00857414">
        <w:rPr>
          <w:rFonts w:eastAsia="Arial Unicode MS" w:cs="Arial"/>
          <w:szCs w:val="24"/>
        </w:rPr>
        <w:t>Any proposed costs submitted by the bidder that are not included in the total amount for the overall contract as stated on the Cover Sheet, are not binding on CDE, or the State of California, and the bidder will be legally bound to fully perform all work for the total amount stated and absorb such amounts not included.</w:t>
      </w:r>
    </w:p>
    <w:p w14:paraId="3BEB7D12" w14:textId="771EAFCD" w:rsidR="00537458" w:rsidRDefault="00537458" w:rsidP="00537458">
      <w:pPr>
        <w:widowControl w:val="0"/>
        <w:spacing w:before="240" w:after="240"/>
        <w:rPr>
          <w:rFonts w:eastAsia="Arial Unicode MS" w:cs="Arial"/>
          <w:szCs w:val="24"/>
        </w:rPr>
      </w:pPr>
      <w:r w:rsidRPr="00857414">
        <w:rPr>
          <w:rFonts w:eastAsia="Arial Unicode MS" w:cs="Arial"/>
          <w:szCs w:val="24"/>
        </w:rPr>
        <w:t xml:space="preserve">The Cost Proposal will NOT be opened unless the Technical Proposal has successfully met the requirements of </w:t>
      </w:r>
      <w:r w:rsidR="00137D0C">
        <w:rPr>
          <w:rFonts w:eastAsia="Arial Unicode MS" w:cs="Arial"/>
          <w:szCs w:val="24"/>
        </w:rPr>
        <w:t>the</w:t>
      </w:r>
      <w:r w:rsidRPr="00857414">
        <w:rPr>
          <w:rFonts w:eastAsia="Arial Unicode MS" w:cs="Arial"/>
          <w:szCs w:val="24"/>
        </w:rPr>
        <w:t xml:space="preserve"> Technical </w:t>
      </w:r>
      <w:r w:rsidR="00DC211A">
        <w:rPr>
          <w:rFonts w:eastAsia="Arial Unicode MS" w:cs="Arial"/>
          <w:szCs w:val="24"/>
        </w:rPr>
        <w:t xml:space="preserve">Proposal </w:t>
      </w:r>
      <w:r w:rsidRPr="00857414">
        <w:rPr>
          <w:rFonts w:eastAsia="Arial Unicode MS" w:cs="Arial"/>
          <w:szCs w:val="24"/>
        </w:rPr>
        <w:t>Evaluation (</w:t>
      </w:r>
      <w:r w:rsidR="00137D0C">
        <w:rPr>
          <w:rFonts w:eastAsia="Arial Unicode MS" w:cs="Arial"/>
          <w:szCs w:val="24"/>
        </w:rPr>
        <w:t xml:space="preserve">Section 4 and </w:t>
      </w:r>
      <w:r w:rsidRPr="00857414">
        <w:rPr>
          <w:rFonts w:eastAsia="Arial Unicode MS" w:cs="Arial"/>
          <w:szCs w:val="24"/>
        </w:rPr>
        <w:t>Attachment 1</w:t>
      </w:r>
      <w:r w:rsidR="000C3DCA">
        <w:rPr>
          <w:rFonts w:eastAsia="Arial Unicode MS" w:cs="Arial"/>
          <w:szCs w:val="24"/>
        </w:rPr>
        <w:t>4</w:t>
      </w:r>
      <w:r w:rsidRPr="00857414">
        <w:rPr>
          <w:rFonts w:eastAsia="Arial Unicode MS" w:cs="Arial"/>
          <w:szCs w:val="24"/>
        </w:rPr>
        <w:t>).</w:t>
      </w:r>
    </w:p>
    <w:p w14:paraId="5429E14C" w14:textId="77777777" w:rsidR="00537458" w:rsidRPr="00FF72D2" w:rsidRDefault="00537458" w:rsidP="00537458">
      <w:pPr>
        <w:widowControl w:val="0"/>
        <w:spacing w:before="240" w:after="240"/>
        <w:rPr>
          <w:rFonts w:cs="Arial"/>
        </w:rPr>
      </w:pPr>
      <w:r w:rsidRPr="00E45887">
        <w:rPr>
          <w:rFonts w:cs="Arial"/>
        </w:rPr>
        <w:t>The Cost Proposal must,</w:t>
      </w:r>
      <w:r w:rsidRPr="00FF72D2">
        <w:rPr>
          <w:rFonts w:cs="Arial"/>
        </w:rPr>
        <w:t xml:space="preserve"> at a minimum, contain the following sections:</w:t>
      </w:r>
    </w:p>
    <w:p w14:paraId="65B4FE91" w14:textId="0BBE9CDC" w:rsidR="00537458" w:rsidRDefault="004564C9" w:rsidP="001B373C">
      <w:pPr>
        <w:pStyle w:val="Heading4"/>
      </w:pPr>
      <w:r>
        <w:lastRenderedPageBreak/>
        <w:t>3</w:t>
      </w:r>
      <w:r w:rsidR="00537458">
        <w:t>.3.2 Cost Proposal Cover Sheet</w:t>
      </w:r>
    </w:p>
    <w:p w14:paraId="6B96F855" w14:textId="77777777" w:rsidR="00537458" w:rsidRPr="003176D0" w:rsidRDefault="00537458" w:rsidP="00537458">
      <w:pPr>
        <w:tabs>
          <w:tab w:val="left" w:pos="720"/>
        </w:tabs>
        <w:spacing w:before="240" w:after="240"/>
        <w:rPr>
          <w:rFonts w:cs="Arial"/>
        </w:rPr>
      </w:pPr>
      <w:r w:rsidRPr="003176D0">
        <w:rPr>
          <w:rFonts w:eastAsia="Arial Unicode MS" w:cs="Arial"/>
          <w:szCs w:val="24"/>
        </w:rPr>
        <w:t xml:space="preserve">The first page of the Cost Proposal must be a Cover Sheet. Only the Cover Sheet will be read at the </w:t>
      </w:r>
      <w:r>
        <w:rPr>
          <w:rFonts w:eastAsia="Arial Unicode MS" w:cs="Arial"/>
          <w:szCs w:val="24"/>
        </w:rPr>
        <w:t xml:space="preserve">cost proposal </w:t>
      </w:r>
      <w:r w:rsidRPr="003176D0">
        <w:rPr>
          <w:rFonts w:eastAsia="Arial Unicode MS" w:cs="Arial"/>
          <w:szCs w:val="24"/>
        </w:rPr>
        <w:t>bid opening. The Cover Sheet must indicate the TOTAL amount for the overall contract without any cost breakdowns.</w:t>
      </w:r>
    </w:p>
    <w:p w14:paraId="19C1D828" w14:textId="77777777" w:rsidR="00537458" w:rsidRPr="003176D0" w:rsidRDefault="00537458" w:rsidP="00537458">
      <w:pPr>
        <w:pStyle w:val="ListParagraph"/>
        <w:numPr>
          <w:ilvl w:val="2"/>
          <w:numId w:val="6"/>
        </w:numPr>
        <w:spacing w:before="240" w:after="240"/>
        <w:ind w:left="720" w:hanging="720"/>
        <w:rPr>
          <w:rFonts w:cs="Arial"/>
        </w:rPr>
      </w:pPr>
      <w:r w:rsidRPr="003176D0">
        <w:rPr>
          <w:rFonts w:cs="Arial"/>
        </w:rPr>
        <w:t>The Cover Sheet should state:</w:t>
      </w:r>
    </w:p>
    <w:p w14:paraId="3C8E3300" w14:textId="25EA7217" w:rsidR="00537458" w:rsidRPr="003A096C" w:rsidRDefault="00537458" w:rsidP="00537458">
      <w:pPr>
        <w:pStyle w:val="rfasub-title"/>
        <w:spacing w:before="240" w:beforeAutospacing="0" w:after="240" w:afterAutospacing="0"/>
        <w:ind w:left="720"/>
        <w:rPr>
          <w:rFonts w:ascii="Arial" w:hAnsi="Arial" w:cs="Arial"/>
        </w:rPr>
      </w:pPr>
      <w:r w:rsidRPr="003A096C">
        <w:rPr>
          <w:rFonts w:ascii="Arial" w:hAnsi="Arial" w:cs="Arial"/>
        </w:rPr>
        <w:t xml:space="preserve">&lt;insert name of bidder&gt; proposes to conduct the work associated </w:t>
      </w:r>
      <w:r w:rsidRPr="00137D0C">
        <w:rPr>
          <w:rFonts w:ascii="Arial" w:hAnsi="Arial" w:cs="Arial"/>
        </w:rPr>
        <w:t xml:space="preserve">with the </w:t>
      </w:r>
      <w:r w:rsidR="00C0772F" w:rsidRPr="00137D0C">
        <w:rPr>
          <w:rFonts w:ascii="Arial" w:hAnsi="Arial" w:cs="Arial"/>
        </w:rPr>
        <w:t xml:space="preserve">California Community Schools Partnership Program Formative Evaluations </w:t>
      </w:r>
      <w:r w:rsidRPr="00137D0C">
        <w:rPr>
          <w:rFonts w:ascii="Arial" w:hAnsi="Arial" w:cs="Arial"/>
        </w:rPr>
        <w:t xml:space="preserve">Request </w:t>
      </w:r>
      <w:r>
        <w:rPr>
          <w:rFonts w:ascii="Arial" w:hAnsi="Arial" w:cs="Arial"/>
        </w:rPr>
        <w:t>for Proposal</w:t>
      </w:r>
      <w:r w:rsidRPr="003A096C">
        <w:rPr>
          <w:rFonts w:ascii="Arial" w:hAnsi="Arial" w:cs="Arial"/>
        </w:rPr>
        <w:t xml:space="preserve"> for $&lt;insert bid amount&gt;.</w:t>
      </w:r>
    </w:p>
    <w:p w14:paraId="364750E1" w14:textId="77777777" w:rsidR="00537458" w:rsidRPr="003176D0" w:rsidRDefault="00537458" w:rsidP="00537458">
      <w:pPr>
        <w:pStyle w:val="ListParagraph"/>
        <w:numPr>
          <w:ilvl w:val="2"/>
          <w:numId w:val="6"/>
        </w:numPr>
        <w:spacing w:before="240" w:after="240"/>
        <w:ind w:left="720" w:hanging="720"/>
        <w:rPr>
          <w:rFonts w:cs="Arial"/>
        </w:rPr>
      </w:pPr>
      <w:r w:rsidRPr="003176D0">
        <w:rPr>
          <w:rFonts w:eastAsia="Arial Unicode MS" w:cs="Arial"/>
          <w:szCs w:val="24"/>
        </w:rPr>
        <w:t>Any proposed costs submitted by the bidder that are not included in the total amount for the overall contract as stated on the Cover Sheet, are not binding on the CDE, or the State of California, and the bidder will be legally bound to fully perform all work for the total amount stated and absorb such amounts not included.</w:t>
      </w:r>
    </w:p>
    <w:p w14:paraId="68F6A552" w14:textId="18DE0ABD" w:rsidR="00537458" w:rsidRPr="003176D0" w:rsidRDefault="004564C9" w:rsidP="001B373C">
      <w:pPr>
        <w:pStyle w:val="Heading4"/>
      </w:pPr>
      <w:r>
        <w:t>3</w:t>
      </w:r>
      <w:r w:rsidR="00537458">
        <w:t>.3.3 Summary of All Costs for Total Project</w:t>
      </w:r>
    </w:p>
    <w:p w14:paraId="593135F8" w14:textId="44AB354F" w:rsidR="00537458" w:rsidRDefault="00537458" w:rsidP="00537458">
      <w:pPr>
        <w:widowControl w:val="0"/>
        <w:tabs>
          <w:tab w:val="left" w:pos="360"/>
          <w:tab w:val="left" w:pos="2160"/>
        </w:tabs>
        <w:spacing w:before="240" w:after="240"/>
        <w:rPr>
          <w:rFonts w:cs="Arial"/>
        </w:rPr>
      </w:pPr>
      <w:r w:rsidRPr="003176D0">
        <w:rPr>
          <w:rFonts w:cs="Arial"/>
        </w:rPr>
        <w:t xml:space="preserve">The Cost Proposal must contain a section that summarizes all costs </w:t>
      </w:r>
      <w:r>
        <w:rPr>
          <w:rFonts w:cs="Arial"/>
        </w:rPr>
        <w:t xml:space="preserve">for the total project, including all </w:t>
      </w:r>
      <w:r w:rsidRPr="003176D0">
        <w:rPr>
          <w:rFonts w:cs="Arial"/>
        </w:rPr>
        <w:t>task</w:t>
      </w:r>
      <w:r>
        <w:rPr>
          <w:rFonts w:cs="Arial"/>
        </w:rPr>
        <w:t>s</w:t>
      </w:r>
      <w:r w:rsidRPr="003176D0">
        <w:rPr>
          <w:rFonts w:cs="Arial"/>
        </w:rPr>
        <w:t xml:space="preserve"> identified in Section </w:t>
      </w:r>
      <w:r w:rsidR="00DC395C">
        <w:rPr>
          <w:rFonts w:cs="Arial"/>
        </w:rPr>
        <w:t>7</w:t>
      </w:r>
      <w:r w:rsidRPr="003176D0">
        <w:rPr>
          <w:rFonts w:cs="Arial"/>
        </w:rPr>
        <w:t xml:space="preserve"> of the RFP </w:t>
      </w:r>
      <w:r>
        <w:rPr>
          <w:rFonts w:cs="Arial"/>
        </w:rPr>
        <w:t>for all</w:t>
      </w:r>
      <w:r w:rsidRPr="003176D0">
        <w:rPr>
          <w:rFonts w:cs="Arial"/>
        </w:rPr>
        <w:t xml:space="preserve"> fiscal year</w:t>
      </w:r>
      <w:r>
        <w:rPr>
          <w:rFonts w:cs="Arial"/>
        </w:rPr>
        <w:t>s or parts thereof</w:t>
      </w:r>
      <w:r w:rsidR="00D75864">
        <w:rPr>
          <w:rFonts w:cs="Arial"/>
        </w:rPr>
        <w:t>, and including a total for each fiscal year</w:t>
      </w:r>
      <w:r w:rsidRPr="003176D0">
        <w:rPr>
          <w:rFonts w:cs="Arial"/>
        </w:rPr>
        <w:t xml:space="preserve">. </w:t>
      </w:r>
      <w:r>
        <w:rPr>
          <w:rFonts w:cs="Arial"/>
        </w:rPr>
        <w:t>The summary of all costs for</w:t>
      </w:r>
      <w:r w:rsidR="00DD74CA">
        <w:rPr>
          <w:rFonts w:cs="Arial"/>
        </w:rPr>
        <w:t xml:space="preserve"> the</w:t>
      </w:r>
      <w:r>
        <w:rPr>
          <w:rFonts w:cs="Arial"/>
        </w:rPr>
        <w:t xml:space="preserve"> total project</w:t>
      </w:r>
      <w:r w:rsidRPr="003176D0">
        <w:rPr>
          <w:rFonts w:cs="Arial"/>
        </w:rPr>
        <w:t xml:space="preserve"> should clearly identify each subcontractor and the cost for each subcontract. Subcontractor costs include, but are not limited to, DVBE subcontractors, and independent consultants</w:t>
      </w:r>
      <w:r>
        <w:rPr>
          <w:rFonts w:cs="Arial"/>
        </w:rPr>
        <w:t xml:space="preserve"> (See RFP, Section </w:t>
      </w:r>
      <w:r w:rsidR="00132985">
        <w:rPr>
          <w:rFonts w:cs="Arial"/>
        </w:rPr>
        <w:t>2</w:t>
      </w:r>
      <w:r>
        <w:rPr>
          <w:rFonts w:cs="Arial"/>
        </w:rPr>
        <w:t>.8 for definition of subcontractor)</w:t>
      </w:r>
      <w:r w:rsidRPr="003176D0">
        <w:rPr>
          <w:rFonts w:cs="Arial"/>
        </w:rPr>
        <w:t xml:space="preserve">. The tasks in the Cost Proposal must coincide with the tasks set forth in the RFP Section </w:t>
      </w:r>
      <w:r w:rsidR="00DC395C">
        <w:rPr>
          <w:rFonts w:cs="Arial"/>
        </w:rPr>
        <w:t>7</w:t>
      </w:r>
      <w:r w:rsidRPr="003176D0">
        <w:rPr>
          <w:rFonts w:cs="Arial"/>
        </w:rPr>
        <w:t>.</w:t>
      </w:r>
    </w:p>
    <w:p w14:paraId="4FF05C9C" w14:textId="78C341D3" w:rsidR="00537458" w:rsidRDefault="004564C9" w:rsidP="001B373C">
      <w:pPr>
        <w:pStyle w:val="Heading4"/>
      </w:pPr>
      <w:r>
        <w:t>3</w:t>
      </w:r>
      <w:r w:rsidR="00537458">
        <w:t>.3.4 Task and Subtask Detail for Contractor and for Each Subcontractor for Each Fiscal Year</w:t>
      </w:r>
    </w:p>
    <w:p w14:paraId="531DADA1" w14:textId="3B939C3C" w:rsidR="00537458" w:rsidRPr="003176D0" w:rsidRDefault="00537458" w:rsidP="00537458">
      <w:pPr>
        <w:widowControl w:val="0"/>
        <w:spacing w:before="240" w:after="240"/>
        <w:rPr>
          <w:rFonts w:cs="Arial"/>
        </w:rPr>
      </w:pPr>
      <w:r w:rsidRPr="003176D0">
        <w:rPr>
          <w:rFonts w:cs="Arial"/>
        </w:rPr>
        <w:t xml:space="preserve">The Cost Proposal must contain a section that in detail breaks down all costs </w:t>
      </w:r>
      <w:r>
        <w:rPr>
          <w:rFonts w:cs="Arial"/>
        </w:rPr>
        <w:t xml:space="preserve">and rates </w:t>
      </w:r>
      <w:r w:rsidRPr="003176D0">
        <w:rPr>
          <w:rFonts w:cs="Arial"/>
        </w:rPr>
        <w:t>associated with each task</w:t>
      </w:r>
      <w:r>
        <w:rPr>
          <w:rFonts w:cs="Arial"/>
        </w:rPr>
        <w:t xml:space="preserve"> and each </w:t>
      </w:r>
      <w:r w:rsidRPr="003176D0">
        <w:rPr>
          <w:rFonts w:cs="Arial"/>
        </w:rPr>
        <w:t xml:space="preserve">subtask set forth in RFP Section </w:t>
      </w:r>
      <w:r w:rsidR="00DC395C">
        <w:rPr>
          <w:rFonts w:cs="Arial"/>
        </w:rPr>
        <w:t>7</w:t>
      </w:r>
      <w:r w:rsidRPr="003176D0">
        <w:rPr>
          <w:rFonts w:cs="Arial"/>
        </w:rPr>
        <w:t xml:space="preserve"> for the </w:t>
      </w:r>
      <w:r>
        <w:rPr>
          <w:rFonts w:cs="Arial"/>
        </w:rPr>
        <w:t>bidder</w:t>
      </w:r>
      <w:r w:rsidRPr="003176D0">
        <w:rPr>
          <w:rFonts w:cs="Arial"/>
        </w:rPr>
        <w:t xml:space="preserve"> and </w:t>
      </w:r>
      <w:r>
        <w:rPr>
          <w:rFonts w:cs="Arial"/>
        </w:rPr>
        <w:t xml:space="preserve">for </w:t>
      </w:r>
      <w:r w:rsidRPr="003176D0">
        <w:rPr>
          <w:rFonts w:cs="Arial"/>
        </w:rPr>
        <w:t xml:space="preserve">each subcontractor </w:t>
      </w:r>
      <w:r w:rsidR="003352CA">
        <w:rPr>
          <w:rFonts w:cs="Arial"/>
        </w:rPr>
        <w:t>by</w:t>
      </w:r>
      <w:r w:rsidRPr="003176D0">
        <w:rPr>
          <w:rFonts w:cs="Arial"/>
        </w:rPr>
        <w:t xml:space="preserve"> fiscal year</w:t>
      </w:r>
      <w:r>
        <w:rPr>
          <w:rFonts w:cs="Arial"/>
        </w:rPr>
        <w:t xml:space="preserve"> or part thereof</w:t>
      </w:r>
      <w:r w:rsidRPr="003176D0">
        <w:rPr>
          <w:rFonts w:cs="Arial"/>
        </w:rPr>
        <w:t>.</w:t>
      </w:r>
      <w:r>
        <w:rPr>
          <w:rFonts w:cs="Arial"/>
        </w:rPr>
        <w:t xml:space="preserve"> All costs by subtask must be detailed for each fiscal year.</w:t>
      </w:r>
    </w:p>
    <w:p w14:paraId="349AD4FA" w14:textId="77777777" w:rsidR="00537458" w:rsidRPr="00A42DC7" w:rsidRDefault="00537458" w:rsidP="00537458">
      <w:pPr>
        <w:widowControl w:val="0"/>
        <w:spacing w:before="240" w:after="240"/>
        <w:rPr>
          <w:rFonts w:cs="Arial"/>
        </w:rPr>
      </w:pPr>
      <w:r w:rsidRPr="00A42DC7">
        <w:rPr>
          <w:rFonts w:cs="Arial"/>
        </w:rPr>
        <w:t>At a minimum, the task</w:t>
      </w:r>
      <w:r>
        <w:rPr>
          <w:rFonts w:cs="Arial"/>
        </w:rPr>
        <w:t xml:space="preserve"> and subtask</w:t>
      </w:r>
      <w:r w:rsidRPr="00A42DC7">
        <w:rPr>
          <w:rFonts w:cs="Arial"/>
        </w:rPr>
        <w:t xml:space="preserve"> detail must include individual line items for the following:</w:t>
      </w:r>
    </w:p>
    <w:p w14:paraId="32E94C58" w14:textId="77777777" w:rsidR="00537458" w:rsidRDefault="00537458" w:rsidP="00132985">
      <w:pPr>
        <w:pStyle w:val="ListParagraph"/>
        <w:numPr>
          <w:ilvl w:val="0"/>
          <w:numId w:val="13"/>
        </w:numPr>
        <w:tabs>
          <w:tab w:val="left" w:pos="2520"/>
        </w:tabs>
        <w:spacing w:before="240" w:after="240"/>
        <w:ind w:hanging="720"/>
        <w:contextualSpacing w:val="0"/>
        <w:rPr>
          <w:rFonts w:cs="Arial"/>
        </w:rPr>
      </w:pPr>
      <w:r>
        <w:rPr>
          <w:rFonts w:cs="Arial"/>
        </w:rPr>
        <w:t>Detailed Labor Costs</w:t>
      </w:r>
    </w:p>
    <w:p w14:paraId="3B22976C" w14:textId="3C11E3F3" w:rsidR="00537458" w:rsidRPr="00A42DC7" w:rsidRDefault="00537458" w:rsidP="00537458">
      <w:pPr>
        <w:pStyle w:val="ListParagraph"/>
        <w:tabs>
          <w:tab w:val="left" w:pos="2520"/>
        </w:tabs>
        <w:spacing w:before="240" w:after="240"/>
        <w:contextualSpacing w:val="0"/>
        <w:rPr>
          <w:rFonts w:cs="Arial"/>
        </w:rPr>
      </w:pPr>
      <w:r w:rsidRPr="00A42DC7">
        <w:rPr>
          <w:rFonts w:cs="Arial"/>
        </w:rPr>
        <w:t>Detailed labor costs including hourly salary rates and number of labor hours for each job position title/name (must correspond with the hours, job position titles, and names contained in the Technical Proposal</w:t>
      </w:r>
      <w:r>
        <w:rPr>
          <w:rFonts w:cs="Arial"/>
        </w:rPr>
        <w:t xml:space="preserve"> Staffing Labor</w:t>
      </w:r>
      <w:r w:rsidRPr="00A42DC7">
        <w:rPr>
          <w:rFonts w:cs="Arial"/>
        </w:rPr>
        <w:t xml:space="preserve"> Hours Worksheet, Attachment </w:t>
      </w:r>
      <w:r w:rsidR="008A7671">
        <w:rPr>
          <w:rFonts w:cs="Arial"/>
        </w:rPr>
        <w:t>4</w:t>
      </w:r>
      <w:r w:rsidRPr="00A42DC7">
        <w:rPr>
          <w:rFonts w:cs="Arial"/>
        </w:rPr>
        <w:t>). The Project Manager, Fiscal Manager,</w:t>
      </w:r>
      <w:r>
        <w:rPr>
          <w:rFonts w:cs="Arial"/>
        </w:rPr>
        <w:t xml:space="preserve"> </w:t>
      </w:r>
      <w:r w:rsidRPr="00A42DC7">
        <w:rPr>
          <w:rFonts w:cs="Arial"/>
        </w:rPr>
        <w:t xml:space="preserve">and all </w:t>
      </w:r>
      <w:r w:rsidR="00D75864">
        <w:rPr>
          <w:rFonts w:cs="Arial"/>
        </w:rPr>
        <w:t xml:space="preserve">other </w:t>
      </w:r>
      <w:r w:rsidRPr="00A42DC7">
        <w:rPr>
          <w:rFonts w:cs="Arial"/>
        </w:rPr>
        <w:t xml:space="preserve">identified Key </w:t>
      </w:r>
      <w:r>
        <w:rPr>
          <w:rFonts w:cs="Arial"/>
        </w:rPr>
        <w:t xml:space="preserve">Personnel (identified in bidder’s Technical Proposal response for Section </w:t>
      </w:r>
      <w:r w:rsidR="00132985">
        <w:rPr>
          <w:rFonts w:cs="Arial"/>
        </w:rPr>
        <w:t>3</w:t>
      </w:r>
      <w:r>
        <w:rPr>
          <w:rFonts w:cs="Arial"/>
        </w:rPr>
        <w:t>.1)</w:t>
      </w:r>
      <w:r w:rsidRPr="00A42DC7">
        <w:rPr>
          <w:rFonts w:cs="Arial"/>
        </w:rPr>
        <w:t xml:space="preserve"> must be identified by name and job title in the Cost Proposal, and others by job title only.</w:t>
      </w:r>
    </w:p>
    <w:p w14:paraId="3917E0B4" w14:textId="77777777" w:rsidR="00537458" w:rsidRDefault="00537458" w:rsidP="00132985">
      <w:pPr>
        <w:pStyle w:val="ListParagraph"/>
        <w:numPr>
          <w:ilvl w:val="0"/>
          <w:numId w:val="13"/>
        </w:numPr>
        <w:tabs>
          <w:tab w:val="left" w:pos="1080"/>
          <w:tab w:val="left" w:pos="2520"/>
        </w:tabs>
        <w:spacing w:before="240" w:after="240"/>
        <w:ind w:hanging="720"/>
        <w:contextualSpacing w:val="0"/>
        <w:rPr>
          <w:rFonts w:cs="Arial"/>
          <w:szCs w:val="24"/>
        </w:rPr>
      </w:pPr>
      <w:r w:rsidRPr="00CB46E0">
        <w:rPr>
          <w:rFonts w:cs="Arial"/>
          <w:szCs w:val="24"/>
        </w:rPr>
        <w:t>D</w:t>
      </w:r>
      <w:r>
        <w:rPr>
          <w:rFonts w:cs="Arial"/>
          <w:szCs w:val="24"/>
        </w:rPr>
        <w:t>etailed D</w:t>
      </w:r>
      <w:r w:rsidRPr="00CB46E0">
        <w:rPr>
          <w:rFonts w:cs="Arial"/>
          <w:szCs w:val="24"/>
        </w:rPr>
        <w:t xml:space="preserve">irect </w:t>
      </w:r>
      <w:r>
        <w:rPr>
          <w:rFonts w:cs="Arial"/>
          <w:szCs w:val="24"/>
        </w:rPr>
        <w:t>C</w:t>
      </w:r>
      <w:r w:rsidRPr="00CB46E0">
        <w:rPr>
          <w:rFonts w:cs="Arial"/>
          <w:szCs w:val="24"/>
        </w:rPr>
        <w:t>osts</w:t>
      </w:r>
    </w:p>
    <w:p w14:paraId="64142464" w14:textId="77777777" w:rsidR="00537458" w:rsidRPr="00CB46E0" w:rsidRDefault="00537458" w:rsidP="00537458">
      <w:pPr>
        <w:pStyle w:val="ListParagraph"/>
        <w:tabs>
          <w:tab w:val="left" w:pos="1080"/>
          <w:tab w:val="left" w:pos="2520"/>
        </w:tabs>
        <w:spacing w:before="240" w:after="240"/>
        <w:contextualSpacing w:val="0"/>
        <w:rPr>
          <w:rFonts w:cs="Arial"/>
          <w:szCs w:val="24"/>
        </w:rPr>
      </w:pPr>
      <w:r>
        <w:rPr>
          <w:szCs w:val="24"/>
        </w:rPr>
        <w:t>The Cost Proposal must i</w:t>
      </w:r>
      <w:r w:rsidRPr="00CB46E0">
        <w:rPr>
          <w:szCs w:val="24"/>
        </w:rPr>
        <w:t>nclude an itemized detailed description of direct costs to specify what is included for any proposed direct costs and does not include any labor costs.</w:t>
      </w:r>
    </w:p>
    <w:p w14:paraId="73C509B6" w14:textId="77777777" w:rsidR="00537458" w:rsidRPr="00233944" w:rsidRDefault="00537458" w:rsidP="00132985">
      <w:pPr>
        <w:pStyle w:val="ListParagraph"/>
        <w:numPr>
          <w:ilvl w:val="0"/>
          <w:numId w:val="13"/>
        </w:numPr>
        <w:tabs>
          <w:tab w:val="left" w:pos="1080"/>
        </w:tabs>
        <w:spacing w:before="240" w:after="240"/>
        <w:ind w:hanging="720"/>
        <w:contextualSpacing w:val="0"/>
        <w:rPr>
          <w:rFonts w:cs="Arial"/>
        </w:rPr>
      </w:pPr>
      <w:r>
        <w:rPr>
          <w:rFonts w:cs="Arial"/>
          <w:szCs w:val="24"/>
        </w:rPr>
        <w:lastRenderedPageBreak/>
        <w:t>Overhead and I</w:t>
      </w:r>
      <w:r w:rsidRPr="00CB46E0">
        <w:rPr>
          <w:rFonts w:cs="Arial"/>
          <w:szCs w:val="24"/>
        </w:rPr>
        <w:t xml:space="preserve">ndirect </w:t>
      </w:r>
      <w:r>
        <w:rPr>
          <w:rFonts w:cs="Arial"/>
          <w:szCs w:val="24"/>
        </w:rPr>
        <w:t>C</w:t>
      </w:r>
      <w:r w:rsidRPr="00CB46E0">
        <w:rPr>
          <w:rFonts w:cs="Arial"/>
          <w:szCs w:val="24"/>
        </w:rPr>
        <w:t>osts</w:t>
      </w:r>
    </w:p>
    <w:p w14:paraId="69126ED8" w14:textId="4D73FDB4" w:rsidR="00537458" w:rsidRPr="00CB46E0" w:rsidRDefault="00537458" w:rsidP="00537458">
      <w:pPr>
        <w:pStyle w:val="ListParagraph"/>
        <w:tabs>
          <w:tab w:val="left" w:pos="1080"/>
        </w:tabs>
        <w:spacing w:before="240" w:after="240"/>
        <w:contextualSpacing w:val="0"/>
        <w:rPr>
          <w:rFonts w:cs="Arial"/>
        </w:rPr>
      </w:pPr>
      <w:r>
        <w:rPr>
          <w:szCs w:val="24"/>
        </w:rPr>
        <w:t>The Cost Proposal must i</w:t>
      </w:r>
      <w:r w:rsidRPr="00CB46E0">
        <w:rPr>
          <w:szCs w:val="24"/>
        </w:rPr>
        <w:t>dentif</w:t>
      </w:r>
      <w:r>
        <w:rPr>
          <w:szCs w:val="24"/>
        </w:rPr>
        <w:t>y</w:t>
      </w:r>
      <w:r w:rsidRPr="00CB46E0">
        <w:rPr>
          <w:szCs w:val="24"/>
        </w:rPr>
        <w:t xml:space="preserve"> the rate of </w:t>
      </w:r>
      <w:r>
        <w:rPr>
          <w:szCs w:val="24"/>
        </w:rPr>
        <w:t>any</w:t>
      </w:r>
      <w:r w:rsidRPr="00CB46E0">
        <w:rPr>
          <w:szCs w:val="24"/>
        </w:rPr>
        <w:t xml:space="preserve"> indirect cost</w:t>
      </w:r>
      <w:r>
        <w:rPr>
          <w:szCs w:val="24"/>
        </w:rPr>
        <w:t>(</w:t>
      </w:r>
      <w:r w:rsidRPr="00CB46E0">
        <w:rPr>
          <w:szCs w:val="24"/>
        </w:rPr>
        <w:t>s</w:t>
      </w:r>
      <w:r>
        <w:rPr>
          <w:szCs w:val="24"/>
        </w:rPr>
        <w:t>)</w:t>
      </w:r>
      <w:r w:rsidRPr="00CB46E0">
        <w:rPr>
          <w:szCs w:val="24"/>
        </w:rPr>
        <w:t xml:space="preserve"> </w:t>
      </w:r>
      <w:r>
        <w:rPr>
          <w:szCs w:val="24"/>
        </w:rPr>
        <w:t>included. The Cost Proposal must</w:t>
      </w:r>
      <w:r w:rsidRPr="00CB46E0">
        <w:rPr>
          <w:szCs w:val="24"/>
        </w:rPr>
        <w:t xml:space="preserve"> include a detailed </w:t>
      </w:r>
      <w:r>
        <w:rPr>
          <w:szCs w:val="24"/>
        </w:rPr>
        <w:t xml:space="preserve">narrative </w:t>
      </w:r>
      <w:r w:rsidRPr="00CB46E0">
        <w:rPr>
          <w:szCs w:val="24"/>
        </w:rPr>
        <w:t>description to specify what is included for any indirect costs rates proposed. Indirect costs must not cover costs covered under other costs identified in the Cost Proposal.</w:t>
      </w:r>
    </w:p>
    <w:p w14:paraId="03334BAF" w14:textId="77777777" w:rsidR="00537458" w:rsidRDefault="00537458" w:rsidP="00132985">
      <w:pPr>
        <w:pStyle w:val="ListParagraph"/>
        <w:numPr>
          <w:ilvl w:val="0"/>
          <w:numId w:val="13"/>
        </w:numPr>
        <w:tabs>
          <w:tab w:val="left" w:pos="1080"/>
          <w:tab w:val="left" w:pos="2160"/>
        </w:tabs>
        <w:spacing w:before="240" w:after="240"/>
        <w:ind w:hanging="720"/>
        <w:contextualSpacing w:val="0"/>
        <w:rPr>
          <w:rFonts w:cs="Arial"/>
        </w:rPr>
      </w:pPr>
      <w:r>
        <w:rPr>
          <w:rFonts w:cs="Arial"/>
        </w:rPr>
        <w:t>Travel Rates</w:t>
      </w:r>
    </w:p>
    <w:p w14:paraId="61EB2BAC" w14:textId="2DDA0396" w:rsidR="00537458" w:rsidRPr="00CB46E0" w:rsidRDefault="00537458" w:rsidP="00537458">
      <w:pPr>
        <w:pStyle w:val="ListParagraph"/>
        <w:tabs>
          <w:tab w:val="left" w:pos="1080"/>
          <w:tab w:val="left" w:pos="2160"/>
        </w:tabs>
        <w:spacing w:before="240" w:after="240"/>
        <w:contextualSpacing w:val="0"/>
        <w:rPr>
          <w:rFonts w:cs="Arial"/>
        </w:rPr>
      </w:pPr>
      <w:r>
        <w:rPr>
          <w:rFonts w:cs="Arial"/>
        </w:rPr>
        <w:t>The Cost Proposal must include an a</w:t>
      </w:r>
      <w:r w:rsidRPr="00CB46E0">
        <w:rPr>
          <w:rFonts w:cs="Arial"/>
        </w:rPr>
        <w:t xml:space="preserve">cknowledgement that travel and per diem rates </w:t>
      </w:r>
      <w:r>
        <w:rPr>
          <w:rFonts w:cs="Arial"/>
        </w:rPr>
        <w:t>will</w:t>
      </w:r>
      <w:r w:rsidRPr="00CB46E0">
        <w:rPr>
          <w:rFonts w:cs="Arial"/>
        </w:rPr>
        <w:t xml:space="preserve"> not exceed those established for the State of California’s non-represented employee’s, computed in accordance with and allowable pursuant to applicable California Department of Human Resources regulations (see Attachment 1</w:t>
      </w:r>
      <w:r w:rsidR="008A7671">
        <w:rPr>
          <w:rFonts w:cs="Arial"/>
        </w:rPr>
        <w:t>1</w:t>
      </w:r>
      <w:r w:rsidRPr="00CB46E0">
        <w:rPr>
          <w:rFonts w:cs="Arial"/>
        </w:rPr>
        <w:t>).</w:t>
      </w:r>
    </w:p>
    <w:p w14:paraId="15F7610C" w14:textId="77777777" w:rsidR="00537458" w:rsidRDefault="00537458" w:rsidP="00132985">
      <w:pPr>
        <w:pStyle w:val="ListParagraph"/>
        <w:numPr>
          <w:ilvl w:val="0"/>
          <w:numId w:val="13"/>
        </w:numPr>
        <w:tabs>
          <w:tab w:val="left" w:pos="1080"/>
        </w:tabs>
        <w:spacing w:before="240" w:after="240"/>
        <w:ind w:hanging="720"/>
        <w:contextualSpacing w:val="0"/>
        <w:rPr>
          <w:rFonts w:cs="Arial"/>
        </w:rPr>
      </w:pPr>
      <w:r>
        <w:rPr>
          <w:rFonts w:cs="Arial"/>
        </w:rPr>
        <w:t>Subcontractor/DVBE Costs</w:t>
      </w:r>
    </w:p>
    <w:p w14:paraId="4E52C1A1" w14:textId="77777777" w:rsidR="00537458" w:rsidRDefault="00537458" w:rsidP="00537458">
      <w:pPr>
        <w:pStyle w:val="ListParagraph"/>
        <w:tabs>
          <w:tab w:val="left" w:pos="1080"/>
        </w:tabs>
        <w:spacing w:before="240" w:after="240"/>
        <w:contextualSpacing w:val="0"/>
        <w:rPr>
          <w:rFonts w:cs="Arial"/>
        </w:rPr>
      </w:pPr>
      <w:r>
        <w:rPr>
          <w:szCs w:val="24"/>
        </w:rPr>
        <w:t>The Cost Proposal must i</w:t>
      </w:r>
      <w:r w:rsidRPr="00CB46E0">
        <w:rPr>
          <w:szCs w:val="24"/>
        </w:rPr>
        <w:t>dentif</w:t>
      </w:r>
      <w:r>
        <w:rPr>
          <w:szCs w:val="24"/>
        </w:rPr>
        <w:t>y</w:t>
      </w:r>
      <w:r w:rsidRPr="00CB46E0">
        <w:rPr>
          <w:szCs w:val="24"/>
        </w:rPr>
        <w:t xml:space="preserve"> </w:t>
      </w:r>
      <w:r>
        <w:rPr>
          <w:szCs w:val="24"/>
        </w:rPr>
        <w:t>w</w:t>
      </w:r>
      <w:r w:rsidRPr="00E45887">
        <w:rPr>
          <w:rFonts w:cs="Arial"/>
        </w:rPr>
        <w:t xml:space="preserve">hich labor, goods, or services within a task are being provided by a subcontractor, including but not limited to DVBE subcontractor(s). The Cost Proposal must contain a section that in detail breaks down all subcontractor costs for each task </w:t>
      </w:r>
      <w:r>
        <w:rPr>
          <w:rFonts w:cs="Arial"/>
        </w:rPr>
        <w:t xml:space="preserve">and subtask </w:t>
      </w:r>
      <w:r w:rsidRPr="00E45887">
        <w:rPr>
          <w:rFonts w:cs="Arial"/>
        </w:rPr>
        <w:t>that will be provided by a subcontractor, for each fiscal year covered under this RFP</w:t>
      </w:r>
      <w:r>
        <w:rPr>
          <w:rFonts w:cs="Arial"/>
        </w:rPr>
        <w:t>, or part thereof.</w:t>
      </w:r>
    </w:p>
    <w:p w14:paraId="57DB2723" w14:textId="77777777" w:rsidR="00537458" w:rsidRPr="004D6113" w:rsidRDefault="00537458" w:rsidP="00132985">
      <w:pPr>
        <w:pStyle w:val="ListParagraph"/>
        <w:widowControl w:val="0"/>
        <w:numPr>
          <w:ilvl w:val="0"/>
          <w:numId w:val="13"/>
        </w:numPr>
        <w:spacing w:after="240"/>
        <w:ind w:hanging="720"/>
        <w:contextualSpacing w:val="0"/>
        <w:rPr>
          <w:rFonts w:cs="Arial"/>
          <w:szCs w:val="24"/>
        </w:rPr>
      </w:pPr>
      <w:r w:rsidRPr="004D6113">
        <w:rPr>
          <w:rFonts w:cs="Arial"/>
          <w:szCs w:val="24"/>
        </w:rPr>
        <w:t>Information Technology Development Costs</w:t>
      </w:r>
    </w:p>
    <w:p w14:paraId="0D7947E7" w14:textId="77777777" w:rsidR="00537458" w:rsidRPr="004D6113" w:rsidRDefault="00537458" w:rsidP="00537458">
      <w:pPr>
        <w:pStyle w:val="ListParagraph"/>
        <w:widowControl w:val="0"/>
        <w:spacing w:after="240"/>
        <w:rPr>
          <w:rFonts w:cs="Arial"/>
          <w:szCs w:val="24"/>
        </w:rPr>
      </w:pPr>
      <w:r w:rsidRPr="004D6113">
        <w:rPr>
          <w:rFonts w:cs="Arial"/>
          <w:szCs w:val="24"/>
        </w:rPr>
        <w:t>If applicable, the Cost Proposal must identify costs within a task/subtask that are associated with information technology development. Development costs are defined as one-time costs and are inclusive of analysis, design, programming, data conversion, and implementation of an information technology investment. Development costs are exclusive of continued operating and maintenance costs.</w:t>
      </w:r>
    </w:p>
    <w:p w14:paraId="00C828C3" w14:textId="1027FD7C" w:rsidR="00537458" w:rsidRDefault="004564C9" w:rsidP="001B373C">
      <w:pPr>
        <w:pStyle w:val="Heading4"/>
      </w:pPr>
      <w:r>
        <w:t>3</w:t>
      </w:r>
      <w:r w:rsidR="00537458">
        <w:t>.3.5 Cost Proposal Packaging</w:t>
      </w:r>
    </w:p>
    <w:p w14:paraId="19D06B07" w14:textId="77777777" w:rsidR="00537458" w:rsidRPr="00233944" w:rsidRDefault="00537458" w:rsidP="00537458">
      <w:pPr>
        <w:widowControl w:val="0"/>
        <w:spacing w:before="240" w:after="240"/>
        <w:rPr>
          <w:rFonts w:cs="Arial"/>
        </w:rPr>
      </w:pPr>
      <w:r w:rsidRPr="00233944">
        <w:rPr>
          <w:rFonts w:cs="Arial"/>
        </w:rPr>
        <w:t>The Cost Proposal must be submitted in a separately sealed envelope, marked as specified below. The outside of the sealed envelope containing the cost/price bid information must read:</w:t>
      </w:r>
    </w:p>
    <w:p w14:paraId="6BA6A922" w14:textId="77777777" w:rsidR="00537458" w:rsidRPr="00847BC7" w:rsidRDefault="00537458" w:rsidP="00537458">
      <w:bookmarkStart w:id="15" w:name="_Toc500420517"/>
      <w:r>
        <w:t>COST PROPOSAL</w:t>
      </w:r>
      <w:bookmarkEnd w:id="15"/>
    </w:p>
    <w:p w14:paraId="73B36E87" w14:textId="1E7E0397" w:rsidR="00537458" w:rsidRPr="004D6113" w:rsidRDefault="00C0772F" w:rsidP="00537458">
      <w:r w:rsidRPr="004D6113">
        <w:t xml:space="preserve">RFP California Community Schools Partnership Program Formative Evaluations </w:t>
      </w:r>
      <w:r w:rsidR="00537458" w:rsidRPr="004D6113">
        <w:t>– CN</w:t>
      </w:r>
      <w:r w:rsidR="004D6113">
        <w:t>240004</w:t>
      </w:r>
    </w:p>
    <w:p w14:paraId="45A42C4D" w14:textId="761FB3FA" w:rsidR="00537458" w:rsidRPr="004D6113" w:rsidRDefault="00537458" w:rsidP="00537458">
      <w:bookmarkStart w:id="16" w:name="_Toc500420519"/>
      <w:r w:rsidRPr="004D6113">
        <w:t xml:space="preserve">Attention: </w:t>
      </w:r>
      <w:bookmarkEnd w:id="16"/>
      <w:r w:rsidR="00C0772F" w:rsidRPr="004D6113">
        <w:t xml:space="preserve">Lisa </w:t>
      </w:r>
      <w:r w:rsidR="0050051F">
        <w:t>Clark-Devine</w:t>
      </w:r>
    </w:p>
    <w:p w14:paraId="4644582B" w14:textId="31DEF7A2" w:rsidR="00537458" w:rsidRPr="004D6113" w:rsidRDefault="00537458" w:rsidP="00537458">
      <w:pPr>
        <w:tabs>
          <w:tab w:val="center" w:pos="5400"/>
        </w:tabs>
        <w:spacing w:after="240"/>
        <w:rPr>
          <w:b/>
          <w:snapToGrid w:val="0"/>
          <w:sz w:val="36"/>
          <w:szCs w:val="36"/>
        </w:rPr>
      </w:pPr>
      <w:r w:rsidRPr="004D6113">
        <w:rPr>
          <w:rFonts w:cs="Arial"/>
          <w:iCs/>
        </w:rPr>
        <w:t xml:space="preserve">Do not open until </w:t>
      </w:r>
      <w:r w:rsidR="004D6113">
        <w:t>April 11, 2024</w:t>
      </w:r>
      <w:r w:rsidR="00C0772F" w:rsidRPr="004D6113">
        <w:t>, at</w:t>
      </w:r>
      <w:r w:rsidRPr="004D6113">
        <w:t xml:space="preserve"> 10:00</w:t>
      </w:r>
      <w:r w:rsidR="001B373C">
        <w:t xml:space="preserve"> </w:t>
      </w:r>
      <w:r w:rsidRPr="004D6113">
        <w:t>a</w:t>
      </w:r>
      <w:r w:rsidR="001B373C">
        <w:t>m</w:t>
      </w:r>
      <w:r w:rsidRPr="004D6113">
        <w:t xml:space="preserve"> </w:t>
      </w:r>
      <w:r w:rsidR="00D75864" w:rsidRPr="004D6113">
        <w:t>PDT</w:t>
      </w:r>
    </w:p>
    <w:p w14:paraId="46F74D6D" w14:textId="0304B3FF" w:rsidR="00537458" w:rsidRPr="006A0010" w:rsidRDefault="00537458" w:rsidP="003E4C84">
      <w:pPr>
        <w:pStyle w:val="Heading3"/>
        <w:rPr>
          <w:sz w:val="24"/>
        </w:rPr>
      </w:pPr>
      <w:r>
        <w:t>3</w:t>
      </w:r>
      <w:r w:rsidRPr="00FF72D2">
        <w:t>.</w:t>
      </w:r>
      <w:r>
        <w:t xml:space="preserve">4 </w:t>
      </w:r>
      <w:r w:rsidRPr="00FF72D2">
        <w:t>Errors in a Bidder’s Technical and/or Cost Proposal</w:t>
      </w:r>
    </w:p>
    <w:p w14:paraId="18622657" w14:textId="77777777" w:rsidR="00537458" w:rsidRPr="00FF72D2" w:rsidRDefault="00537458" w:rsidP="00537458">
      <w:pPr>
        <w:spacing w:before="240" w:after="240"/>
        <w:rPr>
          <w:iCs/>
        </w:rPr>
      </w:pPr>
      <w:r w:rsidRPr="00FF72D2">
        <w:rPr>
          <w:iCs/>
        </w:rP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0865A5FC" w14:textId="77777777" w:rsidR="00537458" w:rsidRPr="00FF72D2" w:rsidRDefault="00537458" w:rsidP="00537458">
      <w:pPr>
        <w:spacing w:before="240" w:after="240"/>
        <w:rPr>
          <w:iCs/>
        </w:rPr>
      </w:pPr>
      <w:r w:rsidRPr="00FF72D2">
        <w:rPr>
          <w:iCs/>
        </w:rPr>
        <w:t xml:space="preserve">If the bidder’s intent is clearly established based on review of the submitted proposal, the CDE may, at its sole discretion, require a bidder to correct an error based on that established intent. The CDE may, at its sole discretion, require a bidder to correct obvious clerical errors. The CDE </w:t>
      </w:r>
      <w:r w:rsidRPr="00FF72D2">
        <w:rPr>
          <w:iCs/>
        </w:rPr>
        <w:lastRenderedPageBreak/>
        <w:t>may, at its sole discretion, require a bidder to correct errors of omission, and in the following three situations, the CDE will take the indicated actions if the bidder’s intent is not clearly established by the complete bid submittal:</w:t>
      </w:r>
    </w:p>
    <w:p w14:paraId="3E9D67E0" w14:textId="77777777" w:rsidR="00537458" w:rsidRPr="00FF72D2" w:rsidRDefault="00537458" w:rsidP="00537458">
      <w:pPr>
        <w:widowControl w:val="0"/>
        <w:numPr>
          <w:ilvl w:val="0"/>
          <w:numId w:val="10"/>
        </w:numPr>
        <w:spacing w:before="240" w:after="240"/>
        <w:ind w:left="720" w:hanging="720"/>
        <w:rPr>
          <w:iCs/>
        </w:rPr>
      </w:pPr>
      <w:r w:rsidRPr="00FF72D2">
        <w:rPr>
          <w:iCs/>
        </w:rPr>
        <w:t>If a deliverable</w:t>
      </w:r>
      <w:r>
        <w:rPr>
          <w:iCs/>
        </w:rPr>
        <w:t>, task, sub</w:t>
      </w:r>
      <w:r w:rsidRPr="00FF72D2">
        <w:rPr>
          <w:iCs/>
        </w:rPr>
        <w:t xml:space="preserve">task, or staff is described in the narrative and omitted from the </w:t>
      </w:r>
      <w:r>
        <w:rPr>
          <w:rFonts w:cs="Arial"/>
        </w:rPr>
        <w:t>C</w:t>
      </w:r>
      <w:r w:rsidRPr="00C17D65">
        <w:rPr>
          <w:rFonts w:cs="Arial"/>
        </w:rPr>
        <w:t xml:space="preserve">ost </w:t>
      </w:r>
      <w:r>
        <w:rPr>
          <w:rFonts w:cs="Arial"/>
        </w:rPr>
        <w:t>P</w:t>
      </w:r>
      <w:r w:rsidRPr="00C17D65">
        <w:rPr>
          <w:rFonts w:cs="Arial"/>
        </w:rPr>
        <w:t>roposal</w:t>
      </w:r>
      <w:r w:rsidRPr="00FF72D2">
        <w:rPr>
          <w:iCs/>
        </w:rPr>
        <w:t xml:space="preserve">, it will be interpreted to mean </w:t>
      </w:r>
      <w:r>
        <w:rPr>
          <w:iCs/>
        </w:rPr>
        <w:t>that the deliverable, task, sub</w:t>
      </w:r>
      <w:r w:rsidRPr="00FF72D2">
        <w:rPr>
          <w:iCs/>
        </w:rPr>
        <w:t>task, or staff will be provided by the bidder at no cost.</w:t>
      </w:r>
    </w:p>
    <w:p w14:paraId="37A6C01C" w14:textId="77777777" w:rsidR="00537458" w:rsidRDefault="00537458" w:rsidP="00537458">
      <w:pPr>
        <w:widowControl w:val="0"/>
        <w:numPr>
          <w:ilvl w:val="0"/>
          <w:numId w:val="10"/>
        </w:numPr>
        <w:spacing w:before="240" w:after="240"/>
        <w:ind w:left="720" w:hanging="720"/>
        <w:rPr>
          <w:iCs/>
        </w:rPr>
      </w:pPr>
      <w:r>
        <w:rPr>
          <w:iCs/>
        </w:rPr>
        <w:t>If a deliverable, task, or sub</w:t>
      </w:r>
      <w:r w:rsidRPr="00FF72D2">
        <w:rPr>
          <w:iCs/>
        </w:rPr>
        <w:t>task is not mentioned at all in the bidder’s proposal, the bid will be interpreted to mean that the bidder does not intend to perform that deliverable, task, or</w:t>
      </w:r>
      <w:r>
        <w:rPr>
          <w:iCs/>
        </w:rPr>
        <w:t xml:space="preserve"> sub</w:t>
      </w:r>
      <w:r w:rsidRPr="00FF72D2">
        <w:rPr>
          <w:iCs/>
        </w:rPr>
        <w:t>task.</w:t>
      </w:r>
    </w:p>
    <w:p w14:paraId="1324D3CE" w14:textId="77777777" w:rsidR="00537458" w:rsidRPr="00FF72D2" w:rsidRDefault="00537458" w:rsidP="00537458">
      <w:pPr>
        <w:widowControl w:val="0"/>
        <w:numPr>
          <w:ilvl w:val="0"/>
          <w:numId w:val="10"/>
        </w:numPr>
        <w:spacing w:before="240" w:after="240"/>
        <w:ind w:left="720" w:hanging="720"/>
        <w:rPr>
          <w:iCs/>
        </w:rPr>
      </w:pPr>
      <w:r w:rsidRPr="00FF72D2">
        <w:rPr>
          <w:iCs/>
        </w:rPr>
        <w:t>If a deliverable, task, or subtask is omitted, and the omission is not discovered until after contract award, the bidder shall be required to perform that deliverable, task, or subtask at no cost.</w:t>
      </w:r>
    </w:p>
    <w:p w14:paraId="06DE5351" w14:textId="712EDFAB" w:rsidR="00537458" w:rsidRPr="006A0010" w:rsidRDefault="00537458" w:rsidP="003E4C84">
      <w:pPr>
        <w:pStyle w:val="Heading3"/>
        <w:rPr>
          <w:sz w:val="24"/>
        </w:rPr>
      </w:pPr>
      <w:r>
        <w:rPr>
          <w:szCs w:val="24"/>
        </w:rPr>
        <w:t>3</w:t>
      </w:r>
      <w:r w:rsidRPr="00CF1AF9">
        <w:rPr>
          <w:szCs w:val="24"/>
        </w:rPr>
        <w:t>.5</w:t>
      </w:r>
      <w:r w:rsidRPr="00CF1AF9">
        <w:t xml:space="preserve"> </w:t>
      </w:r>
      <w:r w:rsidRPr="00993476">
        <w:t>Submission of Proposal</w:t>
      </w:r>
    </w:p>
    <w:p w14:paraId="1A2EF6DC" w14:textId="77777777" w:rsidR="00537458" w:rsidRDefault="00537458" w:rsidP="00537458">
      <w:pPr>
        <w:pStyle w:val="ListParagraph"/>
        <w:numPr>
          <w:ilvl w:val="0"/>
          <w:numId w:val="7"/>
        </w:numPr>
        <w:spacing w:before="240" w:after="240"/>
        <w:ind w:left="720" w:hanging="720"/>
        <w:contextualSpacing w:val="0"/>
      </w:pPr>
      <w:r w:rsidRPr="00993476">
        <w:t xml:space="preserve">Proposals must provide clear and concise descriptions of the bidder’s ability to satisfy the requirements of this RFP. The proposals must include all requirements specified in this RFP. Omissions, inaccuracies or misstatements </w:t>
      </w:r>
      <w:r>
        <w:t>may</w:t>
      </w:r>
      <w:r w:rsidRPr="00993476">
        <w:t xml:space="preserve"> </w:t>
      </w:r>
      <w:r>
        <w:t xml:space="preserve">be </w:t>
      </w:r>
      <w:r w:rsidRPr="00993476">
        <w:t>sufficient cause for rejection of a proposal.</w:t>
      </w:r>
    </w:p>
    <w:p w14:paraId="0C62DA01" w14:textId="19A41040" w:rsidR="00E3649E" w:rsidRPr="000849FF" w:rsidRDefault="00E3649E" w:rsidP="00E3649E">
      <w:pPr>
        <w:widowControl w:val="0"/>
        <w:numPr>
          <w:ilvl w:val="0"/>
          <w:numId w:val="7"/>
        </w:numPr>
        <w:spacing w:before="240" w:after="240"/>
        <w:ind w:left="720" w:hanging="720"/>
        <w:rPr>
          <w:rFonts w:cs="Arial"/>
        </w:rPr>
      </w:pPr>
      <w:r w:rsidRPr="000849FF">
        <w:rPr>
          <w:b/>
        </w:rPr>
        <w:t>Technical Proposal:</w:t>
      </w:r>
      <w:r>
        <w:t xml:space="preserve"> </w:t>
      </w:r>
      <w:r w:rsidRPr="000849FF">
        <w:t xml:space="preserve">The original Technical Proposal must be </w:t>
      </w:r>
      <w:r>
        <w:t xml:space="preserve">a </w:t>
      </w:r>
      <w:r w:rsidRPr="000849FF">
        <w:t xml:space="preserve">single sided, hardcopy marked “Original Copy.” All documents contained in the original Technical Proposal package must have original signatures and must be signed by the person who is authorized to bind the bidder. </w:t>
      </w:r>
      <w:r w:rsidRPr="000849FF">
        <w:rPr>
          <w:rFonts w:cs="Arial"/>
        </w:rPr>
        <w:t xml:space="preserve">All additional copies of the Technical Proposal may be single sided hardcopies (should the additional sets be </w:t>
      </w:r>
      <w:r w:rsidR="00875DDC" w:rsidRPr="000849FF">
        <w:rPr>
          <w:rFonts w:cs="Arial"/>
        </w:rPr>
        <w:t>double</w:t>
      </w:r>
      <w:r w:rsidR="00875DDC">
        <w:rPr>
          <w:rFonts w:cs="Arial"/>
        </w:rPr>
        <w:t>-</w:t>
      </w:r>
      <w:r w:rsidR="00875DDC" w:rsidRPr="000849FF">
        <w:rPr>
          <w:rFonts w:cs="Arial"/>
        </w:rPr>
        <w:t>sided;</w:t>
      </w:r>
      <w:r w:rsidRPr="000849FF">
        <w:rPr>
          <w:rFonts w:cs="Arial"/>
        </w:rPr>
        <w:t xml:space="preserve"> the bidder must ensure that text is not missing when three</w:t>
      </w:r>
      <w:r>
        <w:rPr>
          <w:rFonts w:cs="Arial"/>
        </w:rPr>
        <w:t>-</w:t>
      </w:r>
      <w:r w:rsidRPr="000849FF">
        <w:rPr>
          <w:rFonts w:cs="Arial"/>
        </w:rPr>
        <w:t>hole punched) and may contain photocopies of the original package. The Technical Proposal package should be prepared in the least expensive method. All copies of the Technical Proposal may be submitted in a binder(s) and may use three-hole punch. The e</w:t>
      </w:r>
      <w:r w:rsidRPr="000849FF">
        <w:t xml:space="preserve">lectronic copy must be on a portable </w:t>
      </w:r>
      <w:r>
        <w:t xml:space="preserve">USB </w:t>
      </w:r>
      <w:r w:rsidRPr="000849FF">
        <w:t>drive and must contain the complete Technical Proposal</w:t>
      </w:r>
      <w:r w:rsidR="001E6AB5">
        <w:t xml:space="preserve"> (RFP Section 3.1 and 3.2)</w:t>
      </w:r>
      <w:r w:rsidRPr="000849FF">
        <w:t>.</w:t>
      </w:r>
    </w:p>
    <w:p w14:paraId="4751FD74" w14:textId="632D84B6" w:rsidR="00E3649E" w:rsidRDefault="00E3649E" w:rsidP="00E3649E">
      <w:pPr>
        <w:widowControl w:val="0"/>
        <w:spacing w:before="240" w:after="240"/>
        <w:ind w:left="720"/>
      </w:pPr>
      <w:r w:rsidRPr="000849FF">
        <w:rPr>
          <w:b/>
        </w:rPr>
        <w:t>Cost Proposal:</w:t>
      </w:r>
      <w:r>
        <w:t xml:space="preserve"> T</w:t>
      </w:r>
      <w:r w:rsidRPr="000849FF">
        <w:t>he original Cost Proposal must be</w:t>
      </w:r>
      <w:r>
        <w:t xml:space="preserve"> a</w:t>
      </w:r>
      <w:r w:rsidRPr="000849FF">
        <w:t xml:space="preserve"> single sided, hardcopy marked “Original Copy.”</w:t>
      </w:r>
      <w:r w:rsidRPr="0027123F">
        <w:t xml:space="preserve"> </w:t>
      </w:r>
      <w:r w:rsidRPr="00CB0058">
        <w:rPr>
          <w:rFonts w:cs="Arial"/>
        </w:rPr>
        <w:t xml:space="preserve">All additional </w:t>
      </w:r>
      <w:r>
        <w:rPr>
          <w:rFonts w:cs="Arial"/>
        </w:rPr>
        <w:t>copies</w:t>
      </w:r>
      <w:r w:rsidRPr="00CB0058">
        <w:rPr>
          <w:rFonts w:cs="Arial"/>
        </w:rPr>
        <w:t xml:space="preserve"> of the </w:t>
      </w:r>
      <w:r>
        <w:rPr>
          <w:rFonts w:cs="Arial"/>
        </w:rPr>
        <w:t>Cost P</w:t>
      </w:r>
      <w:r w:rsidRPr="00CB0058">
        <w:rPr>
          <w:rFonts w:cs="Arial"/>
        </w:rPr>
        <w:t xml:space="preserve">roposal may be single sided </w:t>
      </w:r>
      <w:r>
        <w:rPr>
          <w:rFonts w:cs="Arial"/>
        </w:rPr>
        <w:t xml:space="preserve">hardcopies </w:t>
      </w:r>
      <w:r w:rsidRPr="00CB0058">
        <w:rPr>
          <w:rFonts w:cs="Arial"/>
        </w:rPr>
        <w:t xml:space="preserve">(should the additional sets be </w:t>
      </w:r>
      <w:r w:rsidR="00875DDC" w:rsidRPr="00CB0058">
        <w:rPr>
          <w:rFonts w:cs="Arial"/>
        </w:rPr>
        <w:t>double</w:t>
      </w:r>
      <w:r w:rsidR="00875DDC">
        <w:rPr>
          <w:rFonts w:cs="Arial"/>
        </w:rPr>
        <w:t>-</w:t>
      </w:r>
      <w:r w:rsidR="00875DDC" w:rsidRPr="00CB0058">
        <w:rPr>
          <w:rFonts w:cs="Arial"/>
        </w:rPr>
        <w:t>sided;</w:t>
      </w:r>
      <w:r w:rsidRPr="00CB0058">
        <w:rPr>
          <w:rFonts w:cs="Arial"/>
        </w:rPr>
        <w:t xml:space="preserve"> the bidder must ensure that text is not missing when three</w:t>
      </w:r>
      <w:r>
        <w:rPr>
          <w:rFonts w:cs="Arial"/>
        </w:rPr>
        <w:t>-</w:t>
      </w:r>
      <w:r w:rsidRPr="00CB0058">
        <w:rPr>
          <w:rFonts w:cs="Arial"/>
        </w:rPr>
        <w:t xml:space="preserve">hole punched) and may contain photocopies of the original package. The </w:t>
      </w:r>
      <w:r>
        <w:rPr>
          <w:rFonts w:cs="Arial"/>
        </w:rPr>
        <w:t>Cost P</w:t>
      </w:r>
      <w:r w:rsidRPr="00CB0058">
        <w:rPr>
          <w:rFonts w:cs="Arial"/>
        </w:rPr>
        <w:t xml:space="preserve">roposal package should be prepared in the least expensive method. All copies of the </w:t>
      </w:r>
      <w:r>
        <w:rPr>
          <w:rFonts w:cs="Arial"/>
        </w:rPr>
        <w:t>Cost P</w:t>
      </w:r>
      <w:r w:rsidRPr="00CB0058">
        <w:rPr>
          <w:rFonts w:cs="Arial"/>
        </w:rPr>
        <w:t xml:space="preserve">roposal </w:t>
      </w:r>
      <w:r>
        <w:rPr>
          <w:rFonts w:cs="Arial"/>
        </w:rPr>
        <w:t>may</w:t>
      </w:r>
      <w:r w:rsidRPr="00CB0058">
        <w:rPr>
          <w:rFonts w:cs="Arial"/>
        </w:rPr>
        <w:t xml:space="preserve"> be submitted in a binder(s) and may use</w:t>
      </w:r>
      <w:r w:rsidR="00DD74CA">
        <w:rPr>
          <w:rFonts w:cs="Arial"/>
        </w:rPr>
        <w:t xml:space="preserve"> a</w:t>
      </w:r>
      <w:r w:rsidRPr="00CB0058">
        <w:rPr>
          <w:rFonts w:cs="Arial"/>
        </w:rPr>
        <w:t xml:space="preserve"> three</w:t>
      </w:r>
      <w:r>
        <w:rPr>
          <w:rFonts w:cs="Arial"/>
        </w:rPr>
        <w:t>-</w:t>
      </w:r>
      <w:r w:rsidRPr="00CB0058">
        <w:rPr>
          <w:rFonts w:cs="Arial"/>
        </w:rPr>
        <w:t>hole punch.</w:t>
      </w:r>
      <w:r>
        <w:rPr>
          <w:rFonts w:cs="Arial"/>
        </w:rPr>
        <w:t xml:space="preserve"> The e</w:t>
      </w:r>
      <w:r>
        <w:t>lectronic copy must be on a portable USB drive, separate from the Technical Proposal’s portable USB drive, and must contain the complete Cost Proposal</w:t>
      </w:r>
      <w:r w:rsidR="001E6AB5">
        <w:t xml:space="preserve"> (RFP Section 3.3)</w:t>
      </w:r>
      <w:r>
        <w:t>.</w:t>
      </w:r>
    </w:p>
    <w:p w14:paraId="5485FFA4" w14:textId="28C186FE" w:rsidR="00E3649E" w:rsidRDefault="00E3649E" w:rsidP="00537458">
      <w:pPr>
        <w:pStyle w:val="ListParagraph"/>
        <w:numPr>
          <w:ilvl w:val="0"/>
          <w:numId w:val="7"/>
        </w:numPr>
        <w:spacing w:before="240" w:after="240"/>
        <w:ind w:left="720" w:hanging="720"/>
        <w:contextualSpacing w:val="0"/>
      </w:pPr>
      <w:r>
        <w:t>All original/copies/portable USB drives for the Technical Proposal must be sealed and packaged separately from the original/copies/portable USB drives for the Cost Proposal.</w:t>
      </w:r>
    </w:p>
    <w:p w14:paraId="65601FE1" w14:textId="73C4A5F6" w:rsidR="00E3649E" w:rsidRDefault="00E3649E" w:rsidP="00537458">
      <w:pPr>
        <w:pStyle w:val="ListParagraph"/>
        <w:numPr>
          <w:ilvl w:val="0"/>
          <w:numId w:val="7"/>
        </w:numPr>
        <w:spacing w:before="240" w:after="240"/>
        <w:ind w:left="720" w:hanging="720"/>
        <w:contextualSpacing w:val="0"/>
      </w:pPr>
      <w:r>
        <w:t>Original signature shall mean a manual handwritten signature or mark in wet ink.</w:t>
      </w:r>
    </w:p>
    <w:p w14:paraId="0AAB9087" w14:textId="5A1FC43A" w:rsidR="00537458" w:rsidRDefault="00537458" w:rsidP="00537458">
      <w:pPr>
        <w:pStyle w:val="ListParagraph"/>
        <w:numPr>
          <w:ilvl w:val="0"/>
          <w:numId w:val="7"/>
        </w:numPr>
        <w:spacing w:before="240" w:after="240"/>
        <w:ind w:left="720" w:hanging="720"/>
        <w:contextualSpacing w:val="0"/>
      </w:pPr>
      <w:r>
        <w:lastRenderedPageBreak/>
        <w:t xml:space="preserve">Proposals must be submitted for the performance of all tasks/subtasks described herein. Any deviation from the tasks/subtasks described in Section </w:t>
      </w:r>
      <w:r w:rsidR="00DC395C">
        <w:t>7</w:t>
      </w:r>
      <w:r>
        <w:t xml:space="preserve"> (Scope of Project) will not be considered and will cause a proposal to be rejected.</w:t>
      </w:r>
    </w:p>
    <w:p w14:paraId="33A7825D" w14:textId="692BB3C0" w:rsidR="00E3649E" w:rsidRDefault="001B373C" w:rsidP="00537458">
      <w:pPr>
        <w:pStyle w:val="ListParagraph"/>
        <w:numPr>
          <w:ilvl w:val="0"/>
          <w:numId w:val="7"/>
        </w:numPr>
        <w:spacing w:before="240" w:after="240"/>
        <w:ind w:left="720" w:hanging="720"/>
        <w:contextualSpacing w:val="0"/>
      </w:pPr>
      <w:r>
        <w:t xml:space="preserve">The </w:t>
      </w:r>
      <w:r w:rsidR="00537458">
        <w:t>CDE does not accept alternate Agreement language from a bidder. A proposal with such language will be considered a counter proposal and will be rejected.</w:t>
      </w:r>
    </w:p>
    <w:p w14:paraId="72D4360D" w14:textId="591F544B" w:rsidR="00537458" w:rsidRDefault="00537458" w:rsidP="00537458">
      <w:pPr>
        <w:pStyle w:val="ListParagraph"/>
        <w:numPr>
          <w:ilvl w:val="0"/>
          <w:numId w:val="7"/>
        </w:numPr>
        <w:spacing w:before="240" w:after="240"/>
        <w:ind w:left="720" w:hanging="720"/>
        <w:contextualSpacing w:val="0"/>
      </w:pPr>
      <w:r>
        <w:t xml:space="preserve">The State </w:t>
      </w:r>
      <w:r w:rsidRPr="006F7F36">
        <w:t>General Terms and Conditions GTC</w:t>
      </w:r>
      <w:r>
        <w:t xml:space="preserve"> 04/2017 are not negotiable</w:t>
      </w:r>
      <w:r w:rsidR="005F6A54">
        <w:t xml:space="preserve"> and will be incorporated into the final contract</w:t>
      </w:r>
      <w:r w:rsidR="002D2C28">
        <w:t xml:space="preserve"> (See RFP Section 9)</w:t>
      </w:r>
      <w:r>
        <w:t xml:space="preserve">. The General Terms and Conditions can be found at: </w:t>
      </w:r>
      <w:hyperlink r:id="rId23" w:tooltip="General Terms and Conditions " w:history="1">
        <w:r w:rsidRPr="008328D9">
          <w:rPr>
            <w:rStyle w:val="Hyperlink"/>
          </w:rPr>
          <w:t>https://www.dgs.ca.gov/OLS/Resources/Page-Content/Office-of-Legal-Services-Resources-List-Folder/Standard-Contract-Language</w:t>
        </w:r>
      </w:hyperlink>
      <w:r>
        <w:t>.</w:t>
      </w:r>
    </w:p>
    <w:p w14:paraId="522A749A" w14:textId="77777777" w:rsidR="00537458" w:rsidRDefault="00537458" w:rsidP="00537458">
      <w:pPr>
        <w:pStyle w:val="ListParagraph"/>
        <w:numPr>
          <w:ilvl w:val="0"/>
          <w:numId w:val="7"/>
        </w:numPr>
        <w:spacing w:before="240" w:after="240"/>
        <w:ind w:left="720" w:hanging="720"/>
        <w:contextualSpacing w:val="0"/>
      </w:pPr>
      <w:r>
        <w:t xml:space="preserve">Proposals shall be </w:t>
      </w:r>
      <w:r w:rsidRPr="003112FE">
        <w:t>submitted in two (2) separate</w:t>
      </w:r>
      <w:r>
        <w:t xml:space="preserve"> </w:t>
      </w:r>
      <w:r w:rsidRPr="003112FE">
        <w:t>sealed</w:t>
      </w:r>
      <w:r>
        <w:t xml:space="preserve"> packages/envelopes:</w:t>
      </w:r>
    </w:p>
    <w:p w14:paraId="41C816BB" w14:textId="49578704" w:rsidR="00537458" w:rsidRDefault="00537458" w:rsidP="00132985">
      <w:pPr>
        <w:pStyle w:val="ListParagraph"/>
        <w:numPr>
          <w:ilvl w:val="0"/>
          <w:numId w:val="14"/>
        </w:numPr>
        <w:spacing w:before="240" w:after="240"/>
        <w:ind w:left="1080"/>
        <w:contextualSpacing w:val="0"/>
      </w:pPr>
      <w:r w:rsidRPr="00363FC1">
        <w:rPr>
          <w:b/>
        </w:rPr>
        <w:t>First Sealed Package/Envelope:</w:t>
      </w:r>
      <w:r>
        <w:t xml:space="preserve"> Technical Proposal — One Original Technical Proposal</w:t>
      </w:r>
      <w:r w:rsidR="00E3649E">
        <w:t>, three copies, and one portable USB drive</w:t>
      </w:r>
      <w:r>
        <w:t xml:space="preserve"> with all requirements specified in Section </w:t>
      </w:r>
      <w:r w:rsidR="00132985">
        <w:t>3</w:t>
      </w:r>
      <w:r>
        <w:t xml:space="preserve">.1 and </w:t>
      </w:r>
      <w:r w:rsidR="00132985">
        <w:t>3</w:t>
      </w:r>
      <w:r>
        <w:t>.2 of this RFP.</w:t>
      </w:r>
    </w:p>
    <w:p w14:paraId="341CD528" w14:textId="1E4A3A4E" w:rsidR="00537458" w:rsidRDefault="00537458" w:rsidP="00132985">
      <w:pPr>
        <w:pStyle w:val="ListParagraph"/>
        <w:numPr>
          <w:ilvl w:val="0"/>
          <w:numId w:val="14"/>
        </w:numPr>
        <w:spacing w:before="240" w:after="240"/>
        <w:ind w:left="1080"/>
        <w:contextualSpacing w:val="0"/>
      </w:pPr>
      <w:r w:rsidRPr="00363FC1">
        <w:rPr>
          <w:b/>
        </w:rPr>
        <w:t>Second Sealed Package/Envelope:</w:t>
      </w:r>
      <w:r>
        <w:t xml:space="preserve"> Cost Proposal — One Original Cost Proposal</w:t>
      </w:r>
      <w:r w:rsidR="00E3649E">
        <w:t xml:space="preserve">, three copies, and one portable USB drive </w:t>
      </w:r>
      <w:r>
        <w:t xml:space="preserve">with all requirements specified in Section </w:t>
      </w:r>
      <w:r w:rsidR="00132985">
        <w:t>3</w:t>
      </w:r>
      <w:r>
        <w:t>.3 of this RFP.</w:t>
      </w:r>
    </w:p>
    <w:p w14:paraId="512A3579" w14:textId="639060CB" w:rsidR="00537458" w:rsidRDefault="00537458" w:rsidP="00537458">
      <w:pPr>
        <w:pStyle w:val="ListParagraph"/>
        <w:numPr>
          <w:ilvl w:val="0"/>
          <w:numId w:val="7"/>
        </w:numPr>
        <w:spacing w:before="240" w:after="240"/>
        <w:ind w:left="720" w:hanging="720"/>
        <w:contextualSpacing w:val="0"/>
      </w:pPr>
      <w:r>
        <w:t xml:space="preserve">Proposals must be received by the CDE no later than </w:t>
      </w:r>
      <w:r w:rsidRPr="005B6BCA">
        <w:t>the time, day</w:t>
      </w:r>
      <w:r>
        <w:t>,</w:t>
      </w:r>
      <w:r w:rsidRPr="005B6BCA">
        <w:t xml:space="preserve"> and date specified in RFP Section </w:t>
      </w:r>
      <w:r w:rsidR="00132985">
        <w:t>2</w:t>
      </w:r>
      <w:r w:rsidRPr="005B6BCA">
        <w:t xml:space="preserve">.3 </w:t>
      </w:r>
      <w:r>
        <w:t>(</w:t>
      </w:r>
      <w:r w:rsidRPr="005B6BCA">
        <w:t>RFP Schedule of Events</w:t>
      </w:r>
      <w:r>
        <w:t>). The proposal package/envelope must be plainly marked with the RFP number and title, your firm name, address, and must be marked with “DO NOT OPEN”, as shown below:</w:t>
      </w:r>
    </w:p>
    <w:p w14:paraId="5B5249E8" w14:textId="77777777" w:rsidR="00537458" w:rsidRDefault="00537458" w:rsidP="00132985">
      <w:pPr>
        <w:pStyle w:val="ListParagraph"/>
        <w:numPr>
          <w:ilvl w:val="0"/>
          <w:numId w:val="18"/>
        </w:numPr>
        <w:spacing w:before="240" w:after="240"/>
        <w:contextualSpacing w:val="0"/>
      </w:pPr>
      <w:r>
        <w:t>FIRST SEALED PACKAGE/ENVELOPE WITH TECHNICAL PROPOSAL:</w:t>
      </w:r>
    </w:p>
    <w:p w14:paraId="7EEA3925" w14:textId="77777777" w:rsidR="00537458" w:rsidRPr="004D6113" w:rsidRDefault="00537458" w:rsidP="00537458">
      <w:pPr>
        <w:ind w:left="1080"/>
      </w:pPr>
      <w:r w:rsidRPr="004D6113">
        <w:t>Agency/Firm Name</w:t>
      </w:r>
    </w:p>
    <w:p w14:paraId="7A9F47E9" w14:textId="77777777" w:rsidR="00537458" w:rsidRPr="004D6113" w:rsidRDefault="00537458" w:rsidP="00537458">
      <w:pPr>
        <w:ind w:left="1080"/>
      </w:pPr>
      <w:r w:rsidRPr="004D6113">
        <w:t>Address</w:t>
      </w:r>
    </w:p>
    <w:p w14:paraId="4B969F11" w14:textId="15E068F1" w:rsidR="00537458" w:rsidRPr="004D6113" w:rsidRDefault="00537458" w:rsidP="00537458">
      <w:pPr>
        <w:ind w:left="1080"/>
      </w:pPr>
      <w:r w:rsidRPr="004D6113">
        <w:t>RFP Number CN</w:t>
      </w:r>
      <w:r w:rsidR="004D6113">
        <w:t>240004</w:t>
      </w:r>
    </w:p>
    <w:p w14:paraId="6C613EE4" w14:textId="0D3186B5" w:rsidR="00537458" w:rsidRPr="004D6113" w:rsidRDefault="00537458" w:rsidP="005520DE">
      <w:pPr>
        <w:ind w:left="1440" w:hanging="360"/>
      </w:pPr>
      <w:r w:rsidRPr="004D6113">
        <w:t xml:space="preserve">RFP – </w:t>
      </w:r>
      <w:r w:rsidR="00935A33" w:rsidRPr="004D6113">
        <w:t>California Community Schools Partnership Program Formative Evaluations</w:t>
      </w:r>
    </w:p>
    <w:p w14:paraId="69B6AA5C" w14:textId="77777777" w:rsidR="00537458" w:rsidRPr="004D6113" w:rsidRDefault="00537458" w:rsidP="00537458">
      <w:pPr>
        <w:ind w:left="1080"/>
        <w:rPr>
          <w:b/>
        </w:rPr>
      </w:pPr>
      <w:r w:rsidRPr="004D6113">
        <w:rPr>
          <w:b/>
        </w:rPr>
        <w:t>TECHNICAL PROPOSAL – DO NOT OPEN</w:t>
      </w:r>
    </w:p>
    <w:p w14:paraId="1FB27D3E" w14:textId="77777777" w:rsidR="00537458" w:rsidRPr="004D6113" w:rsidRDefault="00537458" w:rsidP="00132985">
      <w:pPr>
        <w:pStyle w:val="ListParagraph"/>
        <w:numPr>
          <w:ilvl w:val="0"/>
          <w:numId w:val="18"/>
        </w:numPr>
        <w:spacing w:before="240" w:after="240"/>
        <w:contextualSpacing w:val="0"/>
      </w:pPr>
      <w:r w:rsidRPr="004D6113">
        <w:t>SECOND SEALED PACKAGE/ENVELOPE WITH COST PROPOSAL:</w:t>
      </w:r>
    </w:p>
    <w:p w14:paraId="1D7B63A1" w14:textId="77777777" w:rsidR="00537458" w:rsidRPr="004D6113" w:rsidRDefault="00537458" w:rsidP="00537458">
      <w:pPr>
        <w:ind w:left="1080"/>
      </w:pPr>
      <w:r w:rsidRPr="004D6113">
        <w:t>Agency/Firm Name</w:t>
      </w:r>
    </w:p>
    <w:p w14:paraId="21A9E27E" w14:textId="77777777" w:rsidR="00537458" w:rsidRPr="004D6113" w:rsidRDefault="00537458" w:rsidP="00537458">
      <w:pPr>
        <w:ind w:left="1080"/>
      </w:pPr>
      <w:r w:rsidRPr="004D6113">
        <w:t>Address</w:t>
      </w:r>
    </w:p>
    <w:p w14:paraId="6A9DAECB" w14:textId="754DED05" w:rsidR="005520DE" w:rsidRPr="004D6113" w:rsidRDefault="005520DE" w:rsidP="005520DE">
      <w:pPr>
        <w:ind w:left="1080"/>
      </w:pPr>
      <w:r w:rsidRPr="004D6113">
        <w:t>RFP Number CN</w:t>
      </w:r>
      <w:r w:rsidR="004D6113">
        <w:t>240004</w:t>
      </w:r>
    </w:p>
    <w:p w14:paraId="3E478002" w14:textId="400996BC" w:rsidR="005520DE" w:rsidRPr="004D6113" w:rsidRDefault="005520DE" w:rsidP="005520DE">
      <w:pPr>
        <w:ind w:left="1440" w:hanging="360"/>
      </w:pPr>
      <w:r w:rsidRPr="004D6113">
        <w:t xml:space="preserve">RFP – </w:t>
      </w:r>
      <w:r w:rsidR="00935A33" w:rsidRPr="004D6113">
        <w:t>California Community Schools Partnership Program Formative Evaluations</w:t>
      </w:r>
    </w:p>
    <w:p w14:paraId="0E3E8A19" w14:textId="77777777" w:rsidR="00537458" w:rsidRPr="004D6113" w:rsidRDefault="00537458" w:rsidP="00537458">
      <w:pPr>
        <w:ind w:left="1080"/>
        <w:rPr>
          <w:b/>
        </w:rPr>
      </w:pPr>
      <w:r w:rsidRPr="004D6113">
        <w:rPr>
          <w:b/>
        </w:rPr>
        <w:t>COST PROPOSAL – DO NOT OPEN</w:t>
      </w:r>
    </w:p>
    <w:p w14:paraId="10448D38" w14:textId="39D813A0" w:rsidR="00537458" w:rsidRDefault="00537458" w:rsidP="00537458">
      <w:pPr>
        <w:spacing w:before="240" w:after="240"/>
        <w:ind w:left="720"/>
      </w:pPr>
      <w:r>
        <w:t xml:space="preserve">Proposals not submitted under sealed cover and marked as indicated above may be rejected. If the proposal is made under a fictitious name or business title, the actual legal business name of </w:t>
      </w:r>
      <w:r w:rsidR="00DD74CA">
        <w:t xml:space="preserve">the </w:t>
      </w:r>
      <w:r>
        <w:t>bidder must be provided.</w:t>
      </w:r>
    </w:p>
    <w:p w14:paraId="30EA504C" w14:textId="2949BF0D" w:rsidR="00537458" w:rsidRDefault="00537458" w:rsidP="00537458">
      <w:pPr>
        <w:pStyle w:val="ListParagraph"/>
        <w:numPr>
          <w:ilvl w:val="0"/>
          <w:numId w:val="7"/>
        </w:numPr>
        <w:spacing w:before="240" w:after="240"/>
        <w:ind w:left="720" w:hanging="720"/>
        <w:contextualSpacing w:val="0"/>
      </w:pPr>
      <w:proofErr w:type="gramStart"/>
      <w:r>
        <w:t>Both of the individually</w:t>
      </w:r>
      <w:proofErr w:type="gramEnd"/>
      <w:r>
        <w:t xml:space="preserve"> sealed and labeled proposal packages (Technical and Cost Proposals) can be boxed and mailed/delivered together. Label and mail</w:t>
      </w:r>
      <w:r w:rsidR="005B267D">
        <w:t xml:space="preserve"> or deliver</w:t>
      </w:r>
      <w:r>
        <w:t>, in accordance with the instructions provided below, to the following location:</w:t>
      </w:r>
    </w:p>
    <w:p w14:paraId="4F331845" w14:textId="77777777" w:rsidR="002C76E5" w:rsidRPr="00E3649E" w:rsidRDefault="002C76E5" w:rsidP="002C76E5">
      <w:pPr>
        <w:pStyle w:val="ListParagraph"/>
        <w:spacing w:before="240" w:after="240"/>
        <w:ind w:left="1080"/>
        <w:contextualSpacing w:val="0"/>
      </w:pPr>
      <w:r w:rsidRPr="00E3649E">
        <w:lastRenderedPageBreak/>
        <w:t>California Department of Education</w:t>
      </w:r>
      <w:r w:rsidRPr="00E3649E">
        <w:br/>
        <w:t>Fiscal and Administrative Services Division</w:t>
      </w:r>
      <w:r w:rsidRPr="00E3649E">
        <w:br/>
        <w:t>Attention: Contracts Office – Jaymi Brown – DO NOT OPEN</w:t>
      </w:r>
      <w:r w:rsidRPr="00E3649E">
        <w:br/>
        <w:t>1430 N Street, Suite 2213</w:t>
      </w:r>
      <w:r w:rsidRPr="00E3649E">
        <w:br/>
        <w:t>Sacramento, CA 95814-5901</w:t>
      </w:r>
    </w:p>
    <w:p w14:paraId="31C032E8" w14:textId="77777777" w:rsidR="002C76E5" w:rsidRDefault="002C76E5" w:rsidP="005B267D">
      <w:pPr>
        <w:pStyle w:val="ListParagraph"/>
        <w:spacing w:before="240" w:after="240"/>
        <w:contextualSpacing w:val="0"/>
      </w:pPr>
      <w:r>
        <w:t>In the upper portion of the sealed, mailed box/package, label the outer package as follows:</w:t>
      </w:r>
    </w:p>
    <w:p w14:paraId="356DB0BE" w14:textId="73C62A1B" w:rsidR="002C76E5" w:rsidRPr="004D6113" w:rsidRDefault="002C76E5" w:rsidP="005B267D">
      <w:pPr>
        <w:pStyle w:val="ListParagraph"/>
        <w:spacing w:after="240"/>
        <w:ind w:left="1080"/>
        <w:contextualSpacing w:val="0"/>
        <w:rPr>
          <w:b/>
        </w:rPr>
      </w:pPr>
      <w:r w:rsidRPr="004D6113">
        <w:t>RFP CN</w:t>
      </w:r>
      <w:r w:rsidR="004D6113">
        <w:t>240004</w:t>
      </w:r>
      <w:r w:rsidRPr="004D6113">
        <w:br/>
      </w:r>
      <w:r w:rsidRPr="004D6113">
        <w:rPr>
          <w:rFonts w:cs="Arial"/>
        </w:rPr>
        <w:t xml:space="preserve">RFP – </w:t>
      </w:r>
      <w:r w:rsidR="00935A33" w:rsidRPr="004D6113">
        <w:t>California Community Schools Partnership Program Formative Evaluations</w:t>
      </w:r>
      <w:r w:rsidRPr="004D6113">
        <w:rPr>
          <w:rFonts w:cs="Arial"/>
        </w:rPr>
        <w:t xml:space="preserve"> </w:t>
      </w:r>
      <w:r w:rsidRPr="004D6113">
        <w:br/>
        <w:t>&lt;Firm Name&gt;</w:t>
      </w:r>
      <w:r w:rsidRPr="004D6113">
        <w:br/>
        <w:t>DO NOT OPEN</w:t>
      </w:r>
    </w:p>
    <w:p w14:paraId="4E50471B" w14:textId="691C00B0" w:rsidR="005B267D" w:rsidRDefault="005B267D" w:rsidP="005B267D">
      <w:pPr>
        <w:pStyle w:val="ListParagraph"/>
        <w:numPr>
          <w:ilvl w:val="0"/>
          <w:numId w:val="7"/>
        </w:numPr>
        <w:spacing w:before="240" w:after="240"/>
        <w:ind w:left="720" w:hanging="720"/>
        <w:contextualSpacing w:val="0"/>
      </w:pPr>
      <w:r>
        <w:t xml:space="preserve">To arrange for a time to deliver in person, please email </w:t>
      </w:r>
      <w:hyperlink r:id="rId24" w:history="1">
        <w:r w:rsidRPr="00D63083">
          <w:rPr>
            <w:rStyle w:val="Hyperlink"/>
          </w:rPr>
          <w:t>CONTRACTSOFFICE@cde.ca.gov</w:t>
        </w:r>
      </w:hyperlink>
      <w:r>
        <w:t xml:space="preserve"> with the </w:t>
      </w:r>
      <w:r w:rsidRPr="004D6113">
        <w:t xml:space="preserve">Subject: “Proposal Deliver for CDE RFP – </w:t>
      </w:r>
      <w:r w:rsidR="00935A33" w:rsidRPr="004D6113">
        <w:t>California Community Schools Partnership Program Formative Evaluations</w:t>
      </w:r>
      <w:r w:rsidRPr="004D6113">
        <w:t>”</w:t>
      </w:r>
    </w:p>
    <w:p w14:paraId="5AFEE48F" w14:textId="7C874B0E" w:rsidR="00537458" w:rsidRPr="005B267D" w:rsidRDefault="00537458" w:rsidP="005B267D">
      <w:pPr>
        <w:pStyle w:val="ListParagraph"/>
        <w:numPr>
          <w:ilvl w:val="0"/>
          <w:numId w:val="7"/>
        </w:numPr>
        <w:spacing w:before="240" w:after="240"/>
        <w:ind w:left="720" w:hanging="720"/>
        <w:contextualSpacing w:val="0"/>
      </w:pPr>
      <w:r>
        <w:t xml:space="preserve">Each Technical Proposal will be reviewed in accordance with Section </w:t>
      </w:r>
      <w:r w:rsidR="005520DE">
        <w:t>4</w:t>
      </w:r>
      <w:r>
        <w:t xml:space="preserve"> Evaluation Process to determine if it meets the proposal requirements contained in the RFP.</w:t>
      </w:r>
    </w:p>
    <w:p w14:paraId="7F932B12" w14:textId="720E23B8" w:rsidR="00537458" w:rsidRPr="009E444C" w:rsidRDefault="00537458" w:rsidP="003E4C84">
      <w:pPr>
        <w:pStyle w:val="Heading3"/>
      </w:pPr>
      <w:r>
        <w:t>3.6 Proposal Submission Conditions</w:t>
      </w:r>
    </w:p>
    <w:p w14:paraId="4BE84BAC" w14:textId="17BF8502" w:rsidR="00537458" w:rsidRPr="00E947C4" w:rsidRDefault="001D004A" w:rsidP="00132985">
      <w:pPr>
        <w:widowControl w:val="0"/>
        <w:numPr>
          <w:ilvl w:val="0"/>
          <w:numId w:val="15"/>
        </w:numPr>
        <w:spacing w:before="240" w:after="240"/>
        <w:ind w:left="720" w:hanging="720"/>
      </w:pPr>
      <w:r>
        <w:t xml:space="preserve">The CDE may reject any or all proposals at its reasonable discretion. Examples include, but are not limited to, a proposal that is not responsive, does not meet the technical standards, is not from a responsible bidder, is from a bidder suspected of past or present collusion, is conditional or incomplete, contains unauthorized options or alternatives, is one of multiple alternative proposals from the same bidder, is suspected to be the product of collusion or otherwise is suspect or contains irregularities of any kind. Alternatively, </w:t>
      </w:r>
      <w:r w:rsidR="001B373C">
        <w:t xml:space="preserve">the </w:t>
      </w:r>
      <w:r>
        <w:t>CDE may waive any immaterial defects in a proposal or may require bidders to correct an immaterial defect or request clarification at any time during the RFP process. The CDE’s waiver of an immaterial defect shall in no way modify the RFP document or excuse the bidder from full compliance with all requirements if the bidder is awarded the contract.</w:t>
      </w:r>
    </w:p>
    <w:p w14:paraId="29ABE252" w14:textId="32BFABE7" w:rsidR="00537458" w:rsidRDefault="00537458" w:rsidP="00132985">
      <w:pPr>
        <w:widowControl w:val="0"/>
        <w:numPr>
          <w:ilvl w:val="0"/>
          <w:numId w:val="15"/>
        </w:numPr>
        <w:spacing w:before="240" w:after="240"/>
        <w:ind w:left="720" w:hanging="720"/>
      </w:pPr>
      <w:r>
        <w:t xml:space="preserve">Costs for developing proposals and in anticipation of </w:t>
      </w:r>
      <w:r w:rsidR="00DD74CA">
        <w:t xml:space="preserve">the </w:t>
      </w:r>
      <w:r>
        <w:t xml:space="preserve">award of the contract, is the sole responsibility of the </w:t>
      </w:r>
      <w:r w:rsidR="00ED6F2A">
        <w:t>b</w:t>
      </w:r>
      <w:r>
        <w:t>idder and shall not be charged to the State of California</w:t>
      </w:r>
      <w:r w:rsidR="001D004A">
        <w:t xml:space="preserve"> under any circumstance</w:t>
      </w:r>
      <w:r>
        <w:t>.</w:t>
      </w:r>
    </w:p>
    <w:p w14:paraId="6C009AC1" w14:textId="54F02B4C" w:rsidR="001D004A" w:rsidRDefault="001D004A" w:rsidP="001D004A">
      <w:pPr>
        <w:pStyle w:val="ListParagraph"/>
        <w:numPr>
          <w:ilvl w:val="0"/>
          <w:numId w:val="15"/>
        </w:numPr>
        <w:spacing w:before="240" w:after="240"/>
        <w:ind w:left="720" w:hanging="720"/>
        <w:contextualSpacing w:val="0"/>
      </w:pPr>
      <w:r>
        <w:t>A bidder may withdraw its proposal only by submitting a written withdrawal request to the CDE that is signed by the bidder’s authorized representative prior to the bid submission deadline. Proposals may not be withdrawn or modified after the bid submission deadline.</w:t>
      </w:r>
    </w:p>
    <w:p w14:paraId="42163FA7" w14:textId="211356CE" w:rsidR="00537458" w:rsidRDefault="00537458" w:rsidP="00132985">
      <w:pPr>
        <w:widowControl w:val="0"/>
        <w:numPr>
          <w:ilvl w:val="0"/>
          <w:numId w:val="15"/>
        </w:numPr>
        <w:spacing w:before="240" w:after="240"/>
        <w:ind w:left="720" w:hanging="720"/>
      </w:pPr>
      <w:r>
        <w:t>A bidder may modify a proposal after its submission</w:t>
      </w:r>
      <w:r w:rsidR="001D004A">
        <w:t xml:space="preserve"> only</w:t>
      </w:r>
      <w:r>
        <w:t xml:space="preserve"> by withdrawing its original proposal and resubmitting a new proposal prior to the bid submission deadline. Proposal modifications offered in any other manner, oral or written, will not be considered.</w:t>
      </w:r>
    </w:p>
    <w:p w14:paraId="6656F854" w14:textId="2F8EEA25" w:rsidR="00537458" w:rsidRPr="00E947C4" w:rsidRDefault="00537458" w:rsidP="00132985">
      <w:pPr>
        <w:pStyle w:val="ListParagraph"/>
        <w:numPr>
          <w:ilvl w:val="0"/>
          <w:numId w:val="15"/>
        </w:numPr>
        <w:spacing w:before="240" w:after="240"/>
        <w:ind w:left="720" w:hanging="720"/>
        <w:contextualSpacing w:val="0"/>
        <w:rPr>
          <w:rFonts w:eastAsia="Times New Roman" w:cs="Arial"/>
          <w:snapToGrid w:val="0"/>
          <w:szCs w:val="20"/>
        </w:rPr>
      </w:pPr>
      <w:r>
        <w:t xml:space="preserve">The CDE may modify the RFP by issuance of an addendum to all parties who received a proposal package. All addenda will be posted on the </w:t>
      </w:r>
      <w:r w:rsidRPr="007B4B86">
        <w:t>Cal eProcure</w:t>
      </w:r>
      <w:r>
        <w:t xml:space="preserve"> website, </w:t>
      </w:r>
      <w:hyperlink r:id="rId25" w:tooltip="Cal eProcure website" w:history="1">
        <w:r>
          <w:rPr>
            <w:rStyle w:val="Hyperlink"/>
          </w:rPr>
          <w:t>https://caleprocure.ca.gov/pages/Events-BS3/event-search.aspx</w:t>
        </w:r>
      </w:hyperlink>
      <w:r>
        <w:t xml:space="preserve">, as well as the </w:t>
      </w:r>
      <w:r w:rsidRPr="007B4B86">
        <w:t xml:space="preserve">CDE's </w:t>
      </w:r>
      <w:r w:rsidRPr="007B4B86">
        <w:lastRenderedPageBreak/>
        <w:t xml:space="preserve">Funding </w:t>
      </w:r>
      <w:r>
        <w:t xml:space="preserve">website, </w:t>
      </w:r>
      <w:hyperlink r:id="rId26" w:tooltip="CDE Funding Web site" w:history="1">
        <w:r>
          <w:rPr>
            <w:rStyle w:val="Hyperlink"/>
          </w:rPr>
          <w:t>http://www.cde.ca.gov/fg/fo/af</w:t>
        </w:r>
      </w:hyperlink>
      <w:r>
        <w:t>.</w:t>
      </w:r>
      <w:r w:rsidR="00E30288">
        <w:t xml:space="preserve"> The CDE also reserves the right to cancel the RFP in its entirety at its discretion. The CDE is not required to award a contract.</w:t>
      </w:r>
    </w:p>
    <w:p w14:paraId="56DF1D1A" w14:textId="4CE998C0" w:rsidR="00537458" w:rsidRDefault="00E30288" w:rsidP="00132985">
      <w:pPr>
        <w:pStyle w:val="ListParagraph"/>
        <w:numPr>
          <w:ilvl w:val="0"/>
          <w:numId w:val="15"/>
        </w:numPr>
        <w:spacing w:before="240" w:after="240"/>
        <w:ind w:left="720" w:hanging="720"/>
        <w:contextualSpacing w:val="0"/>
      </w:pPr>
      <w:r>
        <w:t>Each b</w:t>
      </w:r>
      <w:r w:rsidR="00537458">
        <w:t>idder</w:t>
      </w:r>
      <w:r>
        <w:t xml:space="preserve"> is solely and entirely responsible for all aspects of its proposal.</w:t>
      </w:r>
      <w:r w:rsidR="00537458">
        <w:t xml:space="preserve"> Before submitting documents, bidders should carefully</w:t>
      </w:r>
      <w:r>
        <w:t xml:space="preserve"> examine any RFP specifications or RFP requirements and fully</w:t>
      </w:r>
      <w:r w:rsidR="00537458">
        <w:t xml:space="preserve"> </w:t>
      </w:r>
      <w:proofErr w:type="gramStart"/>
      <w:r w:rsidR="00537458">
        <w:t>proof</w:t>
      </w:r>
      <w:proofErr w:type="gramEnd"/>
      <w:r w:rsidR="00537458">
        <w:t xml:space="preserve"> the</w:t>
      </w:r>
      <w:r>
        <w:t xml:space="preserve"> documents. In the event a proposal contains errors, inaccurate assumptions, inconsistencies or other defects, the CDE shall interpret the proposal in the manner it determines is the most favorable to the state of California</w:t>
      </w:r>
      <w:r w:rsidR="00537458">
        <w:t>.</w:t>
      </w:r>
    </w:p>
    <w:p w14:paraId="7DE72123" w14:textId="77777777" w:rsidR="00537458" w:rsidRPr="00120397" w:rsidRDefault="00537458" w:rsidP="00132985">
      <w:pPr>
        <w:pStyle w:val="ListParagraph"/>
        <w:numPr>
          <w:ilvl w:val="0"/>
          <w:numId w:val="15"/>
        </w:numPr>
        <w:spacing w:before="240" w:after="240"/>
        <w:ind w:left="720" w:hanging="720"/>
        <w:contextualSpacing w:val="0"/>
        <w:rPr>
          <w:b/>
        </w:rPr>
      </w:pPr>
      <w:r>
        <w:t>More than one proposal or a proposal that includes various options or alternatives from an individual, firm, partnership, corporation or association under the same or different names, may be rejected. Reasonable grounds for believing that any bidder has submitted more than one proposal for the work contemplated herein will cause the rejection of all proposals submitted by that bidder. If there is reason for believing that collusion exists among the bidders, none of the participants in such collusion will be considered in this procurement or future procurements.</w:t>
      </w:r>
    </w:p>
    <w:p w14:paraId="4685F27F" w14:textId="7D347DBE" w:rsidR="00537458" w:rsidRDefault="00537458" w:rsidP="003E4C84">
      <w:pPr>
        <w:pStyle w:val="Heading3"/>
      </w:pPr>
      <w:r>
        <w:t xml:space="preserve">3.7 </w:t>
      </w:r>
      <w:r w:rsidR="0032738C" w:rsidRPr="00401B74">
        <w:t>Disposition of Proposals</w:t>
      </w:r>
    </w:p>
    <w:p w14:paraId="1BB4D4BF" w14:textId="28BE50F7" w:rsidR="00537458" w:rsidRDefault="00537458" w:rsidP="00537458">
      <w:pPr>
        <w:spacing w:before="240" w:after="240"/>
      </w:pPr>
      <w:r>
        <w:t xml:space="preserve">Upon proposal opening, all documents submitted in response to this RFP will become the property of the State of California and will be regarded as public records under the California Public Records Act (Government Code section </w:t>
      </w:r>
      <w:r w:rsidR="004D6113">
        <w:t xml:space="preserve">7920.000 </w:t>
      </w:r>
      <w:r>
        <w:t>et seq.) and subject to review by the public. The State cannot prevent the disclosure of public documents. However, the contents of all proposals, draft proposals, correspondence, agenda, memoranda, working papers, or any other medium which discloses any aspect of the bidder’s proposal, shall be held in the strictest of confidence until the “Notice of Intent to Award” is posted. We recommend that bidders register the copyright for any proprietary material submitted.</w:t>
      </w:r>
    </w:p>
    <w:p w14:paraId="26EF278A" w14:textId="53DC53C1" w:rsidR="00537458" w:rsidRDefault="00537458" w:rsidP="00537458">
      <w:pPr>
        <w:rPr>
          <w:rFonts w:eastAsia="Times New Roman" w:cs="Arial"/>
          <w:b/>
          <w:bCs/>
          <w:iCs/>
          <w:sz w:val="40"/>
          <w:szCs w:val="40"/>
        </w:rPr>
      </w:pPr>
    </w:p>
    <w:p w14:paraId="48FB2FB0" w14:textId="739B62E4" w:rsidR="00C31EF0" w:rsidRPr="004C7057" w:rsidRDefault="00C31EF0" w:rsidP="00132985">
      <w:pPr>
        <w:pStyle w:val="ListParagraph"/>
        <w:numPr>
          <w:ilvl w:val="1"/>
          <w:numId w:val="37"/>
        </w:numPr>
        <w:spacing w:after="240"/>
        <w:ind w:left="720"/>
        <w:contextualSpacing w:val="0"/>
        <w:rPr>
          <w:rFonts w:eastAsia="Times New Roman" w:cs="Arial"/>
          <w:b/>
          <w:bCs/>
          <w:iCs/>
          <w:sz w:val="40"/>
          <w:szCs w:val="40"/>
        </w:rPr>
      </w:pPr>
      <w:r>
        <w:br w:type="page"/>
      </w:r>
    </w:p>
    <w:p w14:paraId="3D8AD29F" w14:textId="1B15C301" w:rsidR="00D658A4" w:rsidRPr="00605C83" w:rsidRDefault="00537458" w:rsidP="00DC35FD">
      <w:pPr>
        <w:pStyle w:val="Heading2"/>
      </w:pPr>
      <w:bookmarkStart w:id="17" w:name="_Toc152757060"/>
      <w:r>
        <w:lastRenderedPageBreak/>
        <w:t>4</w:t>
      </w:r>
      <w:r w:rsidR="007C2D86" w:rsidRPr="00605C83">
        <w:t xml:space="preserve">. </w:t>
      </w:r>
      <w:r w:rsidR="00D658A4" w:rsidRPr="00605C83">
        <w:t>EVALUATION PROCESS</w:t>
      </w:r>
      <w:bookmarkEnd w:id="17"/>
    </w:p>
    <w:p w14:paraId="3D8AD2A0" w14:textId="0DA660D5" w:rsidR="00CF4606" w:rsidRPr="00C81BF4" w:rsidRDefault="00CF4606" w:rsidP="009E444C">
      <w:pPr>
        <w:spacing w:after="240"/>
        <w:rPr>
          <w:rFonts w:cs="Arial"/>
        </w:rPr>
      </w:pPr>
      <w:r w:rsidRPr="00C81BF4">
        <w:rPr>
          <w:rFonts w:cs="Arial"/>
        </w:rPr>
        <w:t xml:space="preserve">Each </w:t>
      </w:r>
      <w:r>
        <w:rPr>
          <w:rFonts w:cs="Arial"/>
        </w:rPr>
        <w:t>proposal</w:t>
      </w:r>
      <w:r w:rsidR="00DD74CA">
        <w:rPr>
          <w:rFonts w:cs="Arial"/>
        </w:rPr>
        <w:t>,</w:t>
      </w:r>
      <w:r>
        <w:rPr>
          <w:rFonts w:cs="Arial"/>
        </w:rPr>
        <w:t xml:space="preserve"> including the </w:t>
      </w:r>
      <w:r w:rsidR="00663875">
        <w:rPr>
          <w:rFonts w:cs="Arial"/>
        </w:rPr>
        <w:t>Te</w:t>
      </w:r>
      <w:r>
        <w:rPr>
          <w:rFonts w:cs="Arial"/>
        </w:rPr>
        <w:t xml:space="preserve">chnical and </w:t>
      </w:r>
      <w:r w:rsidR="00663875">
        <w:rPr>
          <w:rFonts w:cs="Arial"/>
        </w:rPr>
        <w:t>C</w:t>
      </w:r>
      <w:r w:rsidRPr="00C81BF4">
        <w:rPr>
          <w:rFonts w:cs="Arial"/>
        </w:rPr>
        <w:t xml:space="preserve">ost </w:t>
      </w:r>
      <w:r w:rsidR="00663875">
        <w:rPr>
          <w:rFonts w:cs="Arial"/>
        </w:rPr>
        <w:t>P</w:t>
      </w:r>
      <w:r>
        <w:rPr>
          <w:rFonts w:cs="Arial"/>
        </w:rPr>
        <w:t>roposal</w:t>
      </w:r>
      <w:r w:rsidRPr="00C81BF4">
        <w:rPr>
          <w:rFonts w:cs="Arial"/>
        </w:rPr>
        <w:t xml:space="preserve">, shall be evaluated to determine responsiveness to the general requirements and components, as well as format and content requirements, as described in this </w:t>
      </w:r>
      <w:r>
        <w:rPr>
          <w:rFonts w:cs="Arial"/>
        </w:rPr>
        <w:t>RF</w:t>
      </w:r>
      <w:r w:rsidR="00663875">
        <w:rPr>
          <w:rFonts w:cs="Arial"/>
        </w:rPr>
        <w:t>P</w:t>
      </w:r>
      <w:r w:rsidRPr="00C81BF4">
        <w:rPr>
          <w:rFonts w:cs="Arial"/>
        </w:rPr>
        <w:t xml:space="preserve">. Each bidder’s </w:t>
      </w:r>
      <w:r>
        <w:rPr>
          <w:rFonts w:cs="Arial"/>
        </w:rPr>
        <w:t>proposal</w:t>
      </w:r>
      <w:r w:rsidRPr="00C81BF4">
        <w:rPr>
          <w:rFonts w:cs="Arial"/>
        </w:rPr>
        <w:t xml:space="preserve"> will be evaluated per the criteria in Attachment 1</w:t>
      </w:r>
      <w:r w:rsidR="008A7671">
        <w:rPr>
          <w:rFonts w:cs="Arial"/>
        </w:rPr>
        <w:t>4</w:t>
      </w:r>
      <w:r>
        <w:rPr>
          <w:rFonts w:cs="Arial"/>
        </w:rPr>
        <w:t xml:space="preserve"> and the requirements specified in this RFP</w:t>
      </w:r>
      <w:r w:rsidRPr="00C81BF4">
        <w:rPr>
          <w:rFonts w:cs="Arial"/>
        </w:rPr>
        <w:t>,</w:t>
      </w:r>
      <w:r>
        <w:rPr>
          <w:rFonts w:cs="Arial"/>
        </w:rPr>
        <w:t xml:space="preserve"> </w:t>
      </w:r>
      <w:r w:rsidRPr="00C81BF4">
        <w:rPr>
          <w:rFonts w:cs="Arial"/>
        </w:rPr>
        <w:t>to determine the quality and degree of responsiveness to the requirements in this RF</w:t>
      </w:r>
      <w:r>
        <w:rPr>
          <w:rFonts w:cs="Arial"/>
        </w:rPr>
        <w:t>P</w:t>
      </w:r>
      <w:r w:rsidRPr="00C81BF4">
        <w:rPr>
          <w:rFonts w:cs="Arial"/>
        </w:rPr>
        <w:t>. The evaluation process is designed to determine the quality of the bidder’s submission.</w:t>
      </w:r>
    </w:p>
    <w:p w14:paraId="3D8AD2A1" w14:textId="77777777" w:rsidR="002830BC" w:rsidRDefault="002830BC" w:rsidP="00DB77A8">
      <w:pPr>
        <w:numPr>
          <w:ilvl w:val="0"/>
          <w:numId w:val="11"/>
        </w:numPr>
        <w:spacing w:before="240" w:after="240"/>
        <w:ind w:hanging="720"/>
      </w:pPr>
      <w:r>
        <w:t>Formal Requirements</w:t>
      </w:r>
    </w:p>
    <w:p w14:paraId="3D8AD2A2" w14:textId="28A0F7E7" w:rsidR="00AA219A" w:rsidRDefault="00D658A4" w:rsidP="00DB77A8">
      <w:pPr>
        <w:numPr>
          <w:ilvl w:val="0"/>
          <w:numId w:val="2"/>
        </w:numPr>
        <w:spacing w:before="240" w:after="240"/>
        <w:ind w:left="1080"/>
      </w:pPr>
      <w:r>
        <w:t>At the time of</w:t>
      </w:r>
      <w:r w:rsidR="00974717">
        <w:t xml:space="preserve"> the</w:t>
      </w:r>
      <w:r>
        <w:t xml:space="preserve"> </w:t>
      </w:r>
      <w:r w:rsidR="0086591D">
        <w:t>Technical Proposal</w:t>
      </w:r>
      <w:r>
        <w:t xml:space="preserve"> opening, each </w:t>
      </w:r>
      <w:r w:rsidR="0086591D">
        <w:t>Technical Proposal</w:t>
      </w:r>
      <w:r>
        <w:t xml:space="preserve"> will be checked for the presence or absence of required information</w:t>
      </w:r>
      <w:r w:rsidR="00240A74">
        <w:t xml:space="preserve"> </w:t>
      </w:r>
      <w:r>
        <w:t xml:space="preserve">in conformance with the submission requirements of this RFP. Proposals that do not provide </w:t>
      </w:r>
      <w:r w:rsidR="00DD74CA">
        <w:t xml:space="preserve">the </w:t>
      </w:r>
      <w:r>
        <w:t xml:space="preserve">requested information </w:t>
      </w:r>
      <w:r w:rsidR="00CF4606">
        <w:t xml:space="preserve">may </w:t>
      </w:r>
      <w:r>
        <w:t>be rejected as non-responsive.</w:t>
      </w:r>
    </w:p>
    <w:p w14:paraId="3D8AD2A3" w14:textId="01E649EF" w:rsidR="00AA219A" w:rsidRDefault="0086591D" w:rsidP="00DB77A8">
      <w:pPr>
        <w:numPr>
          <w:ilvl w:val="0"/>
          <w:numId w:val="2"/>
        </w:numPr>
        <w:spacing w:before="240" w:after="240"/>
        <w:ind w:left="1080"/>
      </w:pPr>
      <w:r>
        <w:t>Technical Proposal</w:t>
      </w:r>
      <w:r w:rsidR="00D658A4">
        <w:t>s that contain false or misleading statements, or which provide references</w:t>
      </w:r>
      <w:r w:rsidR="008E108A">
        <w:t xml:space="preserve"> that </w:t>
      </w:r>
      <w:r w:rsidR="00D658A4">
        <w:t>do not support an attribute or condition claimed by the proposer, shall be rejected.</w:t>
      </w:r>
    </w:p>
    <w:p w14:paraId="3D8AD2A4" w14:textId="77777777" w:rsidR="00AA219A" w:rsidRDefault="00974717" w:rsidP="00DB77A8">
      <w:pPr>
        <w:numPr>
          <w:ilvl w:val="0"/>
          <w:numId w:val="2"/>
        </w:numPr>
        <w:spacing w:before="240" w:after="240"/>
        <w:ind w:left="1080"/>
      </w:pPr>
      <w:r>
        <w:t xml:space="preserve">The </w:t>
      </w:r>
      <w:r w:rsidR="00D658A4">
        <w:t xml:space="preserve">CDE will evaluate each </w:t>
      </w:r>
      <w:r w:rsidR="0086591D">
        <w:t>Technical Proposal</w:t>
      </w:r>
      <w:r w:rsidR="00D658A4">
        <w:t xml:space="preserve"> to determine its responsiveness to </w:t>
      </w:r>
      <w:r>
        <w:t xml:space="preserve">the </w:t>
      </w:r>
      <w:r w:rsidR="00D658A4">
        <w:t xml:space="preserve">CDE’s needs. </w:t>
      </w:r>
      <w:r w:rsidR="0086591D">
        <w:t>Technical Proposal</w:t>
      </w:r>
      <w:r w:rsidR="00D658A4">
        <w:t>s will be rated by an evaluation panel using a consensus process for determining final scores as noted below.</w:t>
      </w:r>
    </w:p>
    <w:p w14:paraId="3D8AD2A5" w14:textId="51CCE07C" w:rsidR="00D658A4" w:rsidRDefault="00D658A4" w:rsidP="00DB77A8">
      <w:pPr>
        <w:pStyle w:val="ListParagraph"/>
        <w:numPr>
          <w:ilvl w:val="0"/>
          <w:numId w:val="11"/>
        </w:numPr>
        <w:spacing w:before="240" w:after="240"/>
        <w:ind w:hanging="720"/>
        <w:contextualSpacing w:val="0"/>
      </w:pPr>
      <w:r>
        <w:t xml:space="preserve">Technical </w:t>
      </w:r>
      <w:r w:rsidR="00173DE4">
        <w:t xml:space="preserve">Proposal </w:t>
      </w:r>
      <w:r>
        <w:t>Evaluation</w:t>
      </w:r>
    </w:p>
    <w:p w14:paraId="3D8AD2A6" w14:textId="32C0BD53" w:rsidR="00B52D10" w:rsidRPr="00B52D10" w:rsidRDefault="00B52D10" w:rsidP="00132985">
      <w:pPr>
        <w:pStyle w:val="ListParagraph"/>
        <w:numPr>
          <w:ilvl w:val="0"/>
          <w:numId w:val="26"/>
        </w:numPr>
        <w:spacing w:before="240" w:after="240"/>
        <w:contextualSpacing w:val="0"/>
      </w:pPr>
      <w:r w:rsidRPr="008452D2">
        <w:rPr>
          <w:rFonts w:cs="Arial"/>
        </w:rPr>
        <w:t>Phase I: Pre-Evaluation Review – Attachment Checklist</w:t>
      </w:r>
    </w:p>
    <w:p w14:paraId="34C4B2E2" w14:textId="7319AF73" w:rsidR="008452D2" w:rsidRDefault="00B52D10" w:rsidP="008452D2">
      <w:pPr>
        <w:pStyle w:val="ListParagraph"/>
        <w:spacing w:before="240" w:after="240"/>
        <w:ind w:left="1080"/>
        <w:contextualSpacing w:val="0"/>
        <w:rPr>
          <w:rFonts w:cs="Arial"/>
        </w:rPr>
      </w:pPr>
      <w:r w:rsidRPr="00B52D10">
        <w:rPr>
          <w:rFonts w:eastAsia="Times New Roman"/>
          <w:snapToGrid w:val="0"/>
          <w:szCs w:val="20"/>
        </w:rPr>
        <w:t xml:space="preserve">The CDE will review the contents of the </w:t>
      </w:r>
      <w:r w:rsidR="00F94C0F">
        <w:rPr>
          <w:rFonts w:eastAsia="Times New Roman"/>
          <w:snapToGrid w:val="0"/>
          <w:szCs w:val="20"/>
        </w:rPr>
        <w:t xml:space="preserve">bidder’s Technical </w:t>
      </w:r>
      <w:proofErr w:type="gramStart"/>
      <w:r w:rsidR="00F94C0F">
        <w:rPr>
          <w:rFonts w:eastAsia="Times New Roman"/>
          <w:snapToGrid w:val="0"/>
          <w:szCs w:val="20"/>
        </w:rPr>
        <w:t>Proposal,</w:t>
      </w:r>
      <w:proofErr w:type="gramEnd"/>
      <w:r w:rsidR="00F94C0F">
        <w:rPr>
          <w:rFonts w:eastAsia="Times New Roman"/>
          <w:snapToGrid w:val="0"/>
          <w:szCs w:val="20"/>
        </w:rPr>
        <w:t xml:space="preserve"> </w:t>
      </w:r>
      <w:r w:rsidRPr="00B52D10">
        <w:rPr>
          <w:rFonts w:eastAsia="Times New Roman"/>
          <w:snapToGrid w:val="0"/>
          <w:szCs w:val="20"/>
        </w:rPr>
        <w:t xml:space="preserve">Attachment Checklist for the presence of all correctly completed required forms/attachments. Bidders will be rated </w:t>
      </w:r>
      <w:proofErr w:type="gramStart"/>
      <w:r w:rsidRPr="00B52D10">
        <w:rPr>
          <w:rFonts w:eastAsia="Times New Roman"/>
          <w:snapToGrid w:val="0"/>
          <w:szCs w:val="20"/>
        </w:rPr>
        <w:t>on the basis of</w:t>
      </w:r>
      <w:proofErr w:type="gramEnd"/>
      <w:r w:rsidRPr="00B52D10">
        <w:rPr>
          <w:rFonts w:eastAsia="Times New Roman"/>
          <w:snapToGrid w:val="0"/>
          <w:szCs w:val="20"/>
        </w:rPr>
        <w:t xml:space="preserve"> </w:t>
      </w:r>
      <w:r w:rsidR="006B5C0B">
        <w:rPr>
          <w:rFonts w:eastAsia="Times New Roman"/>
          <w:snapToGrid w:val="0"/>
          <w:szCs w:val="20"/>
        </w:rPr>
        <w:t>Pass/Fail</w:t>
      </w:r>
      <w:r w:rsidRPr="00B52D10">
        <w:rPr>
          <w:rFonts w:eastAsia="Times New Roman"/>
          <w:snapToGrid w:val="0"/>
          <w:szCs w:val="20"/>
        </w:rPr>
        <w:t xml:space="preserve">. Proposals that do not provide </w:t>
      </w:r>
      <w:proofErr w:type="gramStart"/>
      <w:r w:rsidRPr="00B52D10">
        <w:rPr>
          <w:rFonts w:eastAsia="Times New Roman"/>
          <w:snapToGrid w:val="0"/>
          <w:szCs w:val="20"/>
        </w:rPr>
        <w:t>all of</w:t>
      </w:r>
      <w:proofErr w:type="gramEnd"/>
      <w:r w:rsidRPr="00B52D10">
        <w:rPr>
          <w:rFonts w:eastAsia="Times New Roman"/>
          <w:snapToGrid w:val="0"/>
          <w:szCs w:val="20"/>
        </w:rPr>
        <w:t xml:space="preserve"> the forms/attachments, correctly completed as required by the RFP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 xml:space="preserve">be deemed as non-responsive and the bidder will receive a Fail for this portion of the evaluation process, which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result in the elimination of the bidder’s Proposal from further consideration.</w:t>
      </w:r>
      <w:r w:rsidR="00CF4606">
        <w:rPr>
          <w:rFonts w:eastAsia="Times New Roman"/>
          <w:snapToGrid w:val="0"/>
          <w:szCs w:val="20"/>
        </w:rPr>
        <w:t xml:space="preserve"> </w:t>
      </w:r>
      <w:r w:rsidR="00CF4606" w:rsidRPr="0097472E">
        <w:rPr>
          <w:rFonts w:cs="Arial"/>
        </w:rPr>
        <w:t>The CDE reserves the right, at its sole discretion, to overlook, correct, or require a bidder to remedy any obvious clerical or incidental errors on a proposal, if the correction does not result in an increase in the bidders’ total price.</w:t>
      </w:r>
      <w:r w:rsidR="00CF4606">
        <w:rPr>
          <w:rFonts w:cs="Arial"/>
        </w:rPr>
        <w:t xml:space="preserve"> </w:t>
      </w:r>
      <w:r w:rsidR="00CF4606" w:rsidRPr="0097472E">
        <w:rPr>
          <w:rFonts w:cs="Arial"/>
        </w:rPr>
        <w:t xml:space="preserve">Bidders may be required </w:t>
      </w:r>
      <w:proofErr w:type="gramStart"/>
      <w:r w:rsidR="00CF4606" w:rsidRPr="0097472E">
        <w:rPr>
          <w:rFonts w:cs="Arial"/>
        </w:rPr>
        <w:t>to</w:t>
      </w:r>
      <w:proofErr w:type="gramEnd"/>
      <w:r w:rsidR="00CF4606" w:rsidRPr="0097472E">
        <w:rPr>
          <w:rFonts w:cs="Arial"/>
        </w:rPr>
        <w:t xml:space="preserve"> initial corrections.</w:t>
      </w:r>
    </w:p>
    <w:p w14:paraId="3D8AD2A8" w14:textId="27546E30" w:rsidR="00CE7182" w:rsidRPr="008452D2" w:rsidRDefault="00CE7182" w:rsidP="00132985">
      <w:pPr>
        <w:pStyle w:val="ListParagraph"/>
        <w:numPr>
          <w:ilvl w:val="0"/>
          <w:numId w:val="26"/>
        </w:numPr>
        <w:spacing w:before="240" w:after="240"/>
        <w:contextualSpacing w:val="0"/>
        <w:rPr>
          <w:rFonts w:eastAsia="Times New Roman"/>
          <w:snapToGrid w:val="0"/>
          <w:szCs w:val="20"/>
        </w:rPr>
      </w:pPr>
      <w:r w:rsidRPr="008452D2">
        <w:rPr>
          <w:rFonts w:eastAsia="Times New Roman"/>
          <w:snapToGrid w:val="0"/>
          <w:szCs w:val="20"/>
        </w:rPr>
        <w:t xml:space="preserve">Phase II: </w:t>
      </w:r>
      <w:r w:rsidR="0086591D" w:rsidRPr="008452D2">
        <w:rPr>
          <w:rFonts w:eastAsia="Times New Roman"/>
          <w:snapToGrid w:val="0"/>
          <w:szCs w:val="20"/>
        </w:rPr>
        <w:t>Technical Proposal</w:t>
      </w:r>
      <w:r w:rsidRPr="008452D2">
        <w:rPr>
          <w:rFonts w:eastAsia="Times New Roman"/>
          <w:snapToGrid w:val="0"/>
          <w:szCs w:val="20"/>
        </w:rPr>
        <w:t xml:space="preserve"> Evaluation</w:t>
      </w:r>
    </w:p>
    <w:p w14:paraId="59293BC6" w14:textId="77777777" w:rsidR="00D34445" w:rsidRDefault="00CE7182" w:rsidP="00D34445">
      <w:pPr>
        <w:pStyle w:val="ListParagraph"/>
        <w:spacing w:before="240" w:after="240"/>
        <w:ind w:left="1080"/>
        <w:contextualSpacing w:val="0"/>
        <w:rPr>
          <w:rFonts w:cs="Arial"/>
        </w:rPr>
      </w:pPr>
      <w:r w:rsidRPr="00CE7182">
        <w:rPr>
          <w:rFonts w:eastAsia="Times New Roman"/>
          <w:snapToGrid w:val="0"/>
          <w:szCs w:val="20"/>
        </w:rPr>
        <w:t xml:space="preserve">An evaluation panel will evaluate those </w:t>
      </w:r>
      <w:r w:rsidR="0086591D">
        <w:rPr>
          <w:rFonts w:eastAsia="Times New Roman"/>
          <w:snapToGrid w:val="0"/>
          <w:szCs w:val="20"/>
        </w:rPr>
        <w:t>Technical Proposal</w:t>
      </w:r>
      <w:r w:rsidRPr="00CE7182">
        <w:rPr>
          <w:rFonts w:eastAsia="Times New Roman"/>
          <w:snapToGrid w:val="0"/>
          <w:szCs w:val="20"/>
        </w:rPr>
        <w:t xml:space="preserve">s that </w:t>
      </w:r>
      <w:r w:rsidR="00CF4606">
        <w:rPr>
          <w:rFonts w:eastAsia="Times New Roman"/>
          <w:snapToGrid w:val="0"/>
          <w:szCs w:val="20"/>
        </w:rPr>
        <w:t>pass</w:t>
      </w:r>
      <w:r w:rsidR="00974717">
        <w:rPr>
          <w:rFonts w:eastAsia="Times New Roman"/>
          <w:snapToGrid w:val="0"/>
          <w:szCs w:val="20"/>
        </w:rPr>
        <w:t xml:space="preserve"> </w:t>
      </w:r>
      <w:r w:rsidR="00CF4606">
        <w:rPr>
          <w:rFonts w:eastAsia="Times New Roman"/>
          <w:snapToGrid w:val="0"/>
          <w:szCs w:val="20"/>
        </w:rPr>
        <w:t>Phase I: Pre-Evaluation Review and meet</w:t>
      </w:r>
      <w:r w:rsidR="00CF4606" w:rsidRPr="00CE7182">
        <w:rPr>
          <w:rFonts w:eastAsia="Times New Roman"/>
          <w:snapToGrid w:val="0"/>
          <w:szCs w:val="20"/>
        </w:rPr>
        <w:t xml:space="preserve"> </w:t>
      </w:r>
      <w:r w:rsidRPr="00CE7182">
        <w:rPr>
          <w:rFonts w:eastAsia="Times New Roman"/>
          <w:snapToGrid w:val="0"/>
          <w:szCs w:val="20"/>
        </w:rPr>
        <w:t xml:space="preserve">the proposal submission requirements. The evaluation will </w:t>
      </w:r>
      <w:r w:rsidR="008F79F9">
        <w:rPr>
          <w:rFonts w:eastAsia="Times New Roman"/>
          <w:snapToGrid w:val="0"/>
          <w:szCs w:val="20"/>
        </w:rPr>
        <w:t>be based on the criteria shown i</w:t>
      </w:r>
      <w:r w:rsidRPr="00CE7182">
        <w:rPr>
          <w:rFonts w:eastAsia="Times New Roman"/>
          <w:snapToGrid w:val="0"/>
          <w:szCs w:val="20"/>
        </w:rPr>
        <w:t xml:space="preserve">n </w:t>
      </w:r>
      <w:r w:rsidRPr="00CB1BA1">
        <w:rPr>
          <w:rFonts w:eastAsia="Times New Roman"/>
          <w:snapToGrid w:val="0"/>
          <w:szCs w:val="20"/>
        </w:rPr>
        <w:t xml:space="preserve">Phase II, </w:t>
      </w:r>
      <w:r w:rsidR="0086591D" w:rsidRPr="00CB1BA1">
        <w:rPr>
          <w:rFonts w:eastAsia="Times New Roman"/>
          <w:snapToGrid w:val="0"/>
          <w:szCs w:val="20"/>
        </w:rPr>
        <w:t>Technical Proposal</w:t>
      </w:r>
      <w:r w:rsidRPr="00CB1BA1">
        <w:rPr>
          <w:rFonts w:eastAsia="Times New Roman"/>
          <w:snapToGrid w:val="0"/>
          <w:szCs w:val="20"/>
        </w:rPr>
        <w:t xml:space="preserve"> Evaluation</w:t>
      </w:r>
      <w:r w:rsidR="00CC580B" w:rsidRPr="00CB1BA1">
        <w:rPr>
          <w:rFonts w:eastAsia="Times New Roman"/>
          <w:snapToGrid w:val="0"/>
          <w:szCs w:val="20"/>
        </w:rPr>
        <w:t xml:space="preserve"> Criteria</w:t>
      </w:r>
      <w:r w:rsidR="008F79F9">
        <w:rPr>
          <w:rFonts w:eastAsia="Times New Roman"/>
          <w:snapToGrid w:val="0"/>
          <w:szCs w:val="20"/>
        </w:rPr>
        <w:t xml:space="preserve"> of </w:t>
      </w:r>
      <w:r w:rsidR="00DE1CC5" w:rsidRPr="00CE7182">
        <w:rPr>
          <w:rFonts w:eastAsia="Times New Roman"/>
          <w:snapToGrid w:val="0"/>
          <w:szCs w:val="20"/>
        </w:rPr>
        <w:t>Attachment</w:t>
      </w:r>
      <w:r w:rsidRPr="00CE7182">
        <w:rPr>
          <w:rFonts w:eastAsia="Times New Roman"/>
          <w:snapToGrid w:val="0"/>
          <w:szCs w:val="20"/>
        </w:rPr>
        <w:t xml:space="preserve"> 1</w:t>
      </w:r>
      <w:r w:rsidR="008A7671">
        <w:rPr>
          <w:rFonts w:eastAsia="Times New Roman"/>
          <w:snapToGrid w:val="0"/>
          <w:szCs w:val="20"/>
        </w:rPr>
        <w:t>4</w:t>
      </w:r>
      <w:r w:rsidRPr="0007503A">
        <w:rPr>
          <w:rFonts w:eastAsia="Times New Roman"/>
          <w:snapToGrid w:val="0"/>
          <w:szCs w:val="20"/>
        </w:rPr>
        <w:t>.</w:t>
      </w:r>
      <w:r w:rsidRPr="00CE7182">
        <w:rPr>
          <w:rFonts w:eastAsia="Times New Roman"/>
          <w:snapToGrid w:val="0"/>
          <w:szCs w:val="20"/>
        </w:rPr>
        <w:t xml:space="preserve"> Only those </w:t>
      </w:r>
      <w:r w:rsidR="0086591D">
        <w:rPr>
          <w:rFonts w:eastAsia="Times New Roman"/>
          <w:snapToGrid w:val="0"/>
          <w:szCs w:val="20"/>
        </w:rPr>
        <w:t>Technical Proposal</w:t>
      </w:r>
      <w:r w:rsidRPr="00CE7182">
        <w:rPr>
          <w:rFonts w:eastAsia="Times New Roman"/>
          <w:snapToGrid w:val="0"/>
          <w:szCs w:val="20"/>
        </w:rPr>
        <w:t>s that achieve the required minimum points stated in Attachment 1</w:t>
      </w:r>
      <w:r w:rsidR="008A7671">
        <w:rPr>
          <w:rFonts w:eastAsia="Times New Roman"/>
          <w:snapToGrid w:val="0"/>
          <w:szCs w:val="20"/>
        </w:rPr>
        <w:t>4</w:t>
      </w:r>
      <w:r w:rsidRPr="00CE7182">
        <w:rPr>
          <w:rFonts w:eastAsia="Times New Roman"/>
          <w:snapToGrid w:val="0"/>
          <w:szCs w:val="20"/>
        </w:rPr>
        <w:t xml:space="preserve"> will move on to </w:t>
      </w:r>
      <w:r w:rsidR="00F94C0F">
        <w:rPr>
          <w:rFonts w:eastAsia="Times New Roman"/>
          <w:snapToGrid w:val="0"/>
          <w:szCs w:val="20"/>
        </w:rPr>
        <w:t>Phase III: Oral Interview</w:t>
      </w:r>
      <w:r w:rsidR="008452D2">
        <w:rPr>
          <w:rFonts w:eastAsia="Times New Roman"/>
          <w:snapToGrid w:val="0"/>
          <w:szCs w:val="20"/>
        </w:rPr>
        <w:t xml:space="preserve">. </w:t>
      </w:r>
      <w:r w:rsidRPr="00CE7182">
        <w:rPr>
          <w:rFonts w:eastAsia="Times New Roman"/>
          <w:snapToGrid w:val="0"/>
          <w:szCs w:val="20"/>
        </w:rPr>
        <w:t xml:space="preserve">Those </w:t>
      </w:r>
      <w:r w:rsidR="0086591D">
        <w:rPr>
          <w:rFonts w:eastAsia="Times New Roman"/>
          <w:snapToGrid w:val="0"/>
          <w:szCs w:val="20"/>
        </w:rPr>
        <w:t>Technical Proposal</w:t>
      </w:r>
      <w:r w:rsidRPr="00CE7182">
        <w:rPr>
          <w:rFonts w:eastAsia="Times New Roman"/>
          <w:snapToGrid w:val="0"/>
          <w:szCs w:val="20"/>
        </w:rPr>
        <w:t>s receiving less than the minimum points stated in Attachment 1</w:t>
      </w:r>
      <w:r w:rsidR="008A7671">
        <w:rPr>
          <w:rFonts w:eastAsia="Times New Roman"/>
          <w:snapToGrid w:val="0"/>
          <w:szCs w:val="20"/>
        </w:rPr>
        <w:t>4</w:t>
      </w:r>
      <w:r w:rsidRPr="00CE7182">
        <w:rPr>
          <w:rFonts w:eastAsia="Times New Roman"/>
          <w:snapToGrid w:val="0"/>
          <w:szCs w:val="20"/>
        </w:rPr>
        <w:t>, will not receive further consideration.</w:t>
      </w:r>
      <w:r w:rsidR="00CF4606">
        <w:rPr>
          <w:rFonts w:eastAsia="Times New Roman"/>
          <w:snapToGrid w:val="0"/>
          <w:szCs w:val="20"/>
        </w:rPr>
        <w:t xml:space="preserve"> </w:t>
      </w:r>
      <w:r w:rsidR="00CF4606">
        <w:rPr>
          <w:rFonts w:cs="Arial"/>
        </w:rPr>
        <w:t xml:space="preserve">During the evaluation phase, </w:t>
      </w:r>
      <w:r w:rsidR="00974717">
        <w:rPr>
          <w:rFonts w:cs="Arial"/>
        </w:rPr>
        <w:t xml:space="preserve">the </w:t>
      </w:r>
      <w:r w:rsidR="00CF4606">
        <w:rPr>
          <w:rFonts w:cs="Arial"/>
        </w:rPr>
        <w:t xml:space="preserve">CDE reserves </w:t>
      </w:r>
      <w:r w:rsidR="00CF4606">
        <w:rPr>
          <w:rFonts w:cs="Arial"/>
        </w:rPr>
        <w:lastRenderedPageBreak/>
        <w:t xml:space="preserve">the right, at its sole discretion, to request clarification on any aspect of the </w:t>
      </w:r>
      <w:r w:rsidR="0086591D">
        <w:rPr>
          <w:rFonts w:cs="Arial"/>
        </w:rPr>
        <w:t>Technical Proposal</w:t>
      </w:r>
      <w:r w:rsidR="00CF4606">
        <w:rPr>
          <w:rFonts w:cs="Arial"/>
        </w:rPr>
        <w:t>.</w:t>
      </w:r>
    </w:p>
    <w:p w14:paraId="72D38611" w14:textId="327BF9C1" w:rsidR="00F94C0F" w:rsidRDefault="00F94C0F" w:rsidP="00F94C0F">
      <w:pPr>
        <w:pStyle w:val="ListParagraph"/>
        <w:numPr>
          <w:ilvl w:val="0"/>
          <w:numId w:val="26"/>
        </w:numPr>
        <w:spacing w:before="240" w:after="240"/>
        <w:contextualSpacing w:val="0"/>
        <w:rPr>
          <w:rFonts w:cs="Arial"/>
        </w:rPr>
      </w:pPr>
      <w:r>
        <w:rPr>
          <w:rFonts w:cs="Arial"/>
        </w:rPr>
        <w:t>Phase III: Oral Interview</w:t>
      </w:r>
    </w:p>
    <w:p w14:paraId="1716C2AF" w14:textId="43666505" w:rsidR="00F94C0F" w:rsidRPr="00931AFE" w:rsidRDefault="00F94C0F" w:rsidP="00F94C0F">
      <w:pPr>
        <w:pStyle w:val="ListParagraph"/>
        <w:spacing w:after="240"/>
        <w:ind w:left="1080"/>
        <w:contextualSpacing w:val="0"/>
        <w:rPr>
          <w:rFonts w:cs="Arial"/>
          <w:szCs w:val="24"/>
        </w:rPr>
      </w:pPr>
      <w:r w:rsidRPr="00931AFE">
        <w:rPr>
          <w:rFonts w:eastAsia="Times New Roman"/>
          <w:snapToGrid w:val="0"/>
          <w:szCs w:val="20"/>
        </w:rPr>
        <w:t xml:space="preserve">An evaluation panel will evaluate those Technical Proposals that pass the Phase II: Technical Proposal Evaluation. The evaluation interview will be based on the questions and criteria shown in Phase III: </w:t>
      </w:r>
      <w:r w:rsidR="00D80849">
        <w:rPr>
          <w:rFonts w:eastAsia="Times New Roman"/>
          <w:snapToGrid w:val="0"/>
          <w:szCs w:val="20"/>
        </w:rPr>
        <w:t>Oral</w:t>
      </w:r>
      <w:r w:rsidRPr="00931AFE">
        <w:rPr>
          <w:rFonts w:eastAsia="Times New Roman"/>
          <w:snapToGrid w:val="0"/>
          <w:szCs w:val="20"/>
        </w:rPr>
        <w:t xml:space="preserve"> Interview of Attachment 14</w:t>
      </w:r>
      <w:r w:rsidRPr="00931AFE">
        <w:rPr>
          <w:rFonts w:eastAsia="Times New Roman"/>
          <w:b/>
          <w:snapToGrid w:val="0"/>
          <w:szCs w:val="20"/>
        </w:rPr>
        <w:t>.</w:t>
      </w:r>
    </w:p>
    <w:p w14:paraId="5F376866" w14:textId="2F81E47B" w:rsidR="00F94C0F" w:rsidRPr="00931AFE" w:rsidRDefault="00F94C0F" w:rsidP="00F94C0F">
      <w:pPr>
        <w:pStyle w:val="ListParagraph"/>
        <w:spacing w:after="240"/>
        <w:ind w:left="1080"/>
        <w:contextualSpacing w:val="0"/>
        <w:rPr>
          <w:rFonts w:cs="Arial"/>
          <w:szCs w:val="24"/>
        </w:rPr>
      </w:pPr>
      <w:r w:rsidRPr="00931AFE">
        <w:rPr>
          <w:rFonts w:cs="Arial"/>
          <w:szCs w:val="24"/>
        </w:rPr>
        <w:t>Bidders will be contacted to schedule a date and time for an interview. It is anticipated that the interviews will be held in Sacramento, CA (at the discretion of the CDE). The interviews will be scheduled for April 1 – 3, 2024 (tentative), between 9</w:t>
      </w:r>
      <w:r w:rsidR="001B373C">
        <w:rPr>
          <w:rFonts w:cs="Arial"/>
          <w:szCs w:val="24"/>
        </w:rPr>
        <w:t>:00</w:t>
      </w:r>
      <w:r w:rsidRPr="00931AFE">
        <w:rPr>
          <w:rFonts w:cs="Arial"/>
          <w:szCs w:val="24"/>
        </w:rPr>
        <w:t xml:space="preserve"> am and </w:t>
      </w:r>
      <w:r w:rsidR="001B373C">
        <w:rPr>
          <w:rFonts w:cs="Arial"/>
          <w:szCs w:val="24"/>
        </w:rPr>
        <w:t xml:space="preserve">4:00 </w:t>
      </w:r>
      <w:r w:rsidRPr="00931AFE">
        <w:rPr>
          <w:rFonts w:cs="Arial"/>
          <w:szCs w:val="24"/>
        </w:rPr>
        <w:t>pm. Each candidate</w:t>
      </w:r>
      <w:r w:rsidR="00CA0025" w:rsidRPr="00931AFE">
        <w:rPr>
          <w:rFonts w:cs="Arial"/>
          <w:szCs w:val="24"/>
        </w:rPr>
        <w:t>/team</w:t>
      </w:r>
      <w:r w:rsidRPr="00931AFE">
        <w:rPr>
          <w:rFonts w:cs="Arial"/>
          <w:szCs w:val="24"/>
        </w:rPr>
        <w:t xml:space="preserve"> will be given </w:t>
      </w:r>
      <w:r w:rsidR="007E0631" w:rsidRPr="00931AFE">
        <w:rPr>
          <w:rFonts w:cs="Arial"/>
          <w:szCs w:val="24"/>
        </w:rPr>
        <w:t>15 minutes</w:t>
      </w:r>
      <w:r w:rsidRPr="00931AFE">
        <w:rPr>
          <w:rFonts w:cs="Arial"/>
          <w:szCs w:val="24"/>
        </w:rPr>
        <w:t xml:space="preserve"> to orally present </w:t>
      </w:r>
      <w:r w:rsidR="00CA0025" w:rsidRPr="00931AFE">
        <w:rPr>
          <w:rFonts w:cs="Arial"/>
          <w:szCs w:val="24"/>
        </w:rPr>
        <w:t>their</w:t>
      </w:r>
      <w:r w:rsidRPr="00931AFE">
        <w:rPr>
          <w:rFonts w:cs="Arial"/>
          <w:szCs w:val="24"/>
        </w:rPr>
        <w:t xml:space="preserve"> qualifications, expertise, and experience</w:t>
      </w:r>
      <w:r w:rsidR="00F63351" w:rsidRPr="00931AFE">
        <w:rPr>
          <w:rFonts w:cs="Arial"/>
          <w:szCs w:val="24"/>
        </w:rPr>
        <w:t xml:space="preserve"> followed by a one-half hour interview for a total of 45 minutes</w:t>
      </w:r>
      <w:r w:rsidRPr="00931AFE">
        <w:rPr>
          <w:rFonts w:cs="Arial"/>
          <w:szCs w:val="24"/>
        </w:rPr>
        <w:t>. Bidders who receive less than the minimum points stated in Attachment 14, will not receive further consideration.</w:t>
      </w:r>
    </w:p>
    <w:p w14:paraId="240B1119" w14:textId="082AA3F9" w:rsidR="00F94C0F" w:rsidRDefault="00F94C0F" w:rsidP="00F94C0F">
      <w:pPr>
        <w:pStyle w:val="ListParagraph"/>
        <w:spacing w:before="240" w:after="240"/>
        <w:ind w:left="1080"/>
        <w:contextualSpacing w:val="0"/>
        <w:rPr>
          <w:rFonts w:cs="Arial"/>
        </w:rPr>
      </w:pPr>
      <w:r w:rsidRPr="00931AFE">
        <w:rPr>
          <w:rFonts w:cs="Arial"/>
          <w:szCs w:val="24"/>
        </w:rPr>
        <w:t xml:space="preserve">NOTE: The CDE reserves the right to conduct </w:t>
      </w:r>
      <w:proofErr w:type="gramStart"/>
      <w:r w:rsidRPr="00931AFE">
        <w:rPr>
          <w:rFonts w:cs="Arial"/>
          <w:szCs w:val="24"/>
        </w:rPr>
        <w:t>the Phase</w:t>
      </w:r>
      <w:proofErr w:type="gramEnd"/>
      <w:r w:rsidRPr="00931AFE">
        <w:rPr>
          <w:rFonts w:cs="Arial"/>
          <w:szCs w:val="24"/>
        </w:rPr>
        <w:t xml:space="preserve"> III: Oral Interview via teleconference or video conference.</w:t>
      </w:r>
    </w:p>
    <w:p w14:paraId="3D8AD2AA" w14:textId="3225BFAE" w:rsidR="005619F3" w:rsidRDefault="00D658A4" w:rsidP="00DB77A8">
      <w:pPr>
        <w:pStyle w:val="ListParagraph"/>
        <w:numPr>
          <w:ilvl w:val="0"/>
          <w:numId w:val="11"/>
        </w:numPr>
        <w:spacing w:before="240" w:after="240"/>
        <w:ind w:hanging="720"/>
        <w:contextualSpacing w:val="0"/>
      </w:pPr>
      <w:r>
        <w:t>Publ</w:t>
      </w:r>
      <w:r w:rsidR="002830BC">
        <w:t>ic Opening of the Cost Proposal</w:t>
      </w:r>
    </w:p>
    <w:p w14:paraId="3D8AD2AB" w14:textId="3B493A00" w:rsidR="00CF4606" w:rsidRPr="00CF4606" w:rsidRDefault="00D658A4" w:rsidP="00132985">
      <w:pPr>
        <w:pStyle w:val="ListParagraph"/>
        <w:numPr>
          <w:ilvl w:val="0"/>
          <w:numId w:val="16"/>
        </w:numPr>
        <w:spacing w:before="240" w:after="240"/>
        <w:ind w:left="1080"/>
        <w:contextualSpacing w:val="0"/>
      </w:pPr>
      <w:r>
        <w:t xml:space="preserve">Cost Proposals will be opened for bidders who achieved the required minimum points in Phase </w:t>
      </w:r>
      <w:r w:rsidR="00F94C0F">
        <w:t>I</w:t>
      </w:r>
      <w:r>
        <w:t>I</w:t>
      </w:r>
      <w:r w:rsidR="008452D2">
        <w:t>I</w:t>
      </w:r>
      <w:r w:rsidR="00F94C0F">
        <w:t>: Oral Interview</w:t>
      </w:r>
      <w:r w:rsidR="00DD77A6">
        <w:t xml:space="preserve">, </w:t>
      </w:r>
      <w:r w:rsidR="008452D2">
        <w:t xml:space="preserve">as scored using </w:t>
      </w:r>
      <w:r w:rsidR="00DE1CC5">
        <w:t>Attachment</w:t>
      </w:r>
      <w:r w:rsidR="00DD77A6">
        <w:t xml:space="preserve"> 1</w:t>
      </w:r>
      <w:r w:rsidR="008A7671">
        <w:t>4</w:t>
      </w:r>
      <w:r w:rsidR="007C2D86">
        <w:t xml:space="preserve">. </w:t>
      </w:r>
      <w:r>
        <w:t xml:space="preserve">The final selection will be made </w:t>
      </w:r>
      <w:proofErr w:type="gramStart"/>
      <w:r>
        <w:t>on the basis of</w:t>
      </w:r>
      <w:proofErr w:type="gramEnd"/>
      <w:r>
        <w:t xml:space="preserve"> the lowest responsive Cost Proposal from a </w:t>
      </w:r>
      <w:r w:rsidRPr="00F94C0F">
        <w:t xml:space="preserve">responsible </w:t>
      </w:r>
      <w:r w:rsidR="00F14BBC" w:rsidRPr="00F94C0F">
        <w:t>b</w:t>
      </w:r>
      <w:r w:rsidRPr="00F94C0F">
        <w:t>idder. The Public Opening of the Cost Proposal will</w:t>
      </w:r>
      <w:r w:rsidR="00E05AA0" w:rsidRPr="00F94C0F">
        <w:t xml:space="preserve"> be held at 1430 N Street, Room</w:t>
      </w:r>
      <w:r w:rsidRPr="00F94C0F">
        <w:t xml:space="preserve"> </w:t>
      </w:r>
      <w:r w:rsidR="00F94C0F" w:rsidRPr="00F94C0F">
        <w:t>1801</w:t>
      </w:r>
      <w:r w:rsidRPr="00F94C0F">
        <w:t>, Sacramento</w:t>
      </w:r>
      <w:r>
        <w:t xml:space="preserve">, California, </w:t>
      </w:r>
      <w:r w:rsidRPr="00420652">
        <w:t xml:space="preserve">95814 </w:t>
      </w:r>
      <w:r w:rsidR="00CF4606" w:rsidRPr="008452D2">
        <w:rPr>
          <w:rFonts w:cs="Arial"/>
        </w:rPr>
        <w:t>at the time, day</w:t>
      </w:r>
      <w:r w:rsidR="00AA7AB8" w:rsidRPr="008452D2">
        <w:rPr>
          <w:rFonts w:cs="Arial"/>
        </w:rPr>
        <w:t>,</w:t>
      </w:r>
      <w:r w:rsidR="00CF4606" w:rsidRPr="008452D2">
        <w:rPr>
          <w:rFonts w:cs="Arial"/>
        </w:rPr>
        <w:t xml:space="preserve"> and date specified in RFP Section </w:t>
      </w:r>
      <w:r w:rsidR="009D2EC2">
        <w:rPr>
          <w:rFonts w:cs="Arial"/>
        </w:rPr>
        <w:t>2</w:t>
      </w:r>
      <w:r w:rsidR="00CF4606" w:rsidRPr="008452D2">
        <w:rPr>
          <w:rFonts w:cs="Arial"/>
        </w:rPr>
        <w:t>.3 RFP Schedule of Events.</w:t>
      </w:r>
    </w:p>
    <w:p w14:paraId="3D8AD2AC" w14:textId="4F1FE82E" w:rsidR="00D658A4" w:rsidRDefault="00D658A4" w:rsidP="00132985">
      <w:pPr>
        <w:pStyle w:val="ListParagraph"/>
        <w:numPr>
          <w:ilvl w:val="0"/>
          <w:numId w:val="16"/>
        </w:numPr>
        <w:spacing w:before="240" w:after="240"/>
        <w:ind w:left="1080"/>
        <w:contextualSpacing w:val="0"/>
      </w:pPr>
      <w:r>
        <w:t xml:space="preserve">The CDE will review the </w:t>
      </w:r>
      <w:r w:rsidR="00F14BBC">
        <w:t xml:space="preserve">opened </w:t>
      </w:r>
      <w:r>
        <w:t>Cost Proposal</w:t>
      </w:r>
      <w:r w:rsidR="00F14BBC">
        <w:t>(</w:t>
      </w:r>
      <w:r>
        <w:t>s</w:t>
      </w:r>
      <w:r w:rsidR="00F14BBC">
        <w:t>)</w:t>
      </w:r>
      <w:r>
        <w:t xml:space="preserve"> for compliance with the standards and requirements in the RFP (see </w:t>
      </w:r>
      <w:r w:rsidR="00850636">
        <w:t>RFP Section 3.3</w:t>
      </w:r>
      <w:r>
        <w:t>,</w:t>
      </w:r>
      <w:r w:rsidR="00C1612E">
        <w:t xml:space="preserve"> and</w:t>
      </w:r>
      <w:r>
        <w:t xml:space="preserve"> Attachment 1</w:t>
      </w:r>
      <w:r w:rsidR="008A7671">
        <w:t>4</w:t>
      </w:r>
      <w:r>
        <w:t xml:space="preserve">) including a review comparing the hours </w:t>
      </w:r>
      <w:r w:rsidR="00FF771D">
        <w:t xml:space="preserve">listed </w:t>
      </w:r>
      <w:r>
        <w:t xml:space="preserve">in the Cost Proposal with the hours </w:t>
      </w:r>
      <w:r w:rsidR="00FF771D">
        <w:t xml:space="preserve">listed </w:t>
      </w:r>
      <w:r>
        <w:t xml:space="preserve">in the </w:t>
      </w:r>
      <w:r w:rsidR="0086591D">
        <w:t>Technical Proposal</w:t>
      </w:r>
      <w:r>
        <w:t xml:space="preserve">, Staffing Labor Hours Worksheet component of the </w:t>
      </w:r>
      <w:r w:rsidR="0086591D">
        <w:t>Technical Proposal</w:t>
      </w:r>
      <w:r>
        <w:t xml:space="preserve">. The CDE reserves the right, at its sole discretion, to overlook, correct, or require a bidder to remedy any obvious clerical or incidental mathematical errors on a proposal, if the correction does not result in an increase in the bidders’ total price. Bidders may be required </w:t>
      </w:r>
      <w:proofErr w:type="gramStart"/>
      <w:r>
        <w:t>to</w:t>
      </w:r>
      <w:proofErr w:type="gramEnd"/>
      <w:r>
        <w:t xml:space="preserve"> initial corrections. Inconsistencies between the </w:t>
      </w:r>
      <w:r w:rsidR="0086591D">
        <w:t>Technical Proposal</w:t>
      </w:r>
      <w:r>
        <w:t xml:space="preserve"> and the Cost Proposal may result in the re</w:t>
      </w:r>
      <w:r w:rsidR="004A7B5D">
        <w:t>jection of the proposal.</w:t>
      </w:r>
    </w:p>
    <w:p w14:paraId="3D8AD2AD" w14:textId="0B227A60" w:rsidR="00D658A4" w:rsidRDefault="00D658A4" w:rsidP="00132985">
      <w:pPr>
        <w:pStyle w:val="ListParagraph"/>
        <w:numPr>
          <w:ilvl w:val="0"/>
          <w:numId w:val="16"/>
        </w:numPr>
        <w:spacing w:before="240" w:after="240"/>
        <w:ind w:left="1080"/>
        <w:contextualSpacing w:val="0"/>
      </w:pPr>
      <w:r>
        <w:t xml:space="preserve">The </w:t>
      </w:r>
      <w:r w:rsidR="00DE164F">
        <w:t xml:space="preserve">Small Business, </w:t>
      </w:r>
      <w:r w:rsidR="00CC3174">
        <w:t>DVBE</w:t>
      </w:r>
      <w:r w:rsidR="00DE164F">
        <w:t>,</w:t>
      </w:r>
      <w:r w:rsidR="00CC3174">
        <w:t xml:space="preserve"> and </w:t>
      </w:r>
      <w:r>
        <w:t xml:space="preserve">TACPA preference program incentives will be computed by the CDE Contracts Office if the required documentation is included in the proposal. Adjustment to the bid price will be made accordingly. The preference program incentives are used only for computation purposes to determine the winning bidder and </w:t>
      </w:r>
      <w:r w:rsidR="001B373C">
        <w:t>do</w:t>
      </w:r>
      <w:r>
        <w:t xml:space="preserve"> not alter the amounts of the resulting contract.</w:t>
      </w:r>
    </w:p>
    <w:p w14:paraId="3D8AD2AE" w14:textId="507B6B65" w:rsidR="00D658A4" w:rsidRDefault="00D658A4" w:rsidP="00132985">
      <w:pPr>
        <w:pStyle w:val="ListParagraph"/>
        <w:numPr>
          <w:ilvl w:val="0"/>
          <w:numId w:val="16"/>
        </w:numPr>
        <w:spacing w:before="240" w:after="240"/>
        <w:ind w:left="1080"/>
        <w:contextualSpacing w:val="0"/>
      </w:pPr>
      <w:r>
        <w:t xml:space="preserve">If no proposals are received containing bids offering a price, which in the opinion of the CDE is a reasonable price, </w:t>
      </w:r>
      <w:r w:rsidR="00974717">
        <w:t xml:space="preserve">the </w:t>
      </w:r>
      <w:r>
        <w:t>CDE is not required to award an Agreement (P</w:t>
      </w:r>
      <w:r w:rsidR="001B373C">
        <w:t xml:space="preserve">ublic </w:t>
      </w:r>
      <w:r>
        <w:t>C</w:t>
      </w:r>
      <w:r w:rsidR="001B373C">
        <w:t xml:space="preserve">ontract </w:t>
      </w:r>
      <w:r>
        <w:t>C</w:t>
      </w:r>
      <w:r w:rsidR="001B373C">
        <w:t>ode</w:t>
      </w:r>
      <w:r>
        <w:t xml:space="preserve"> Section 10344 [d]).</w:t>
      </w:r>
    </w:p>
    <w:p w14:paraId="3D8AD2AF" w14:textId="0EBF7E7A" w:rsidR="002830BC" w:rsidRDefault="00D658A4" w:rsidP="00132985">
      <w:pPr>
        <w:pStyle w:val="ListParagraph"/>
        <w:numPr>
          <w:ilvl w:val="0"/>
          <w:numId w:val="16"/>
        </w:numPr>
        <w:spacing w:before="240" w:after="240"/>
        <w:ind w:left="1080"/>
        <w:contextualSpacing w:val="0"/>
      </w:pPr>
      <w:r>
        <w:lastRenderedPageBreak/>
        <w:t xml:space="preserve">Every component of the cost is subject to reasonableness of cost justification to </w:t>
      </w:r>
      <w:r w:rsidR="00043A24">
        <w:t xml:space="preserve">the </w:t>
      </w:r>
      <w:r>
        <w:t xml:space="preserve">DGS, who may approve it at its discretion. If any portion of the cost is rejected by </w:t>
      </w:r>
      <w:r w:rsidR="00043A24">
        <w:t xml:space="preserve">the </w:t>
      </w:r>
      <w:r>
        <w:t xml:space="preserve">DGS, then the entire bid may be </w:t>
      </w:r>
      <w:r w:rsidR="002830BC">
        <w:t>rejected.</w:t>
      </w:r>
    </w:p>
    <w:p w14:paraId="3D8AD2B0" w14:textId="636C5D8E" w:rsidR="00D658A4" w:rsidRDefault="00D658A4" w:rsidP="00DB77A8">
      <w:pPr>
        <w:pStyle w:val="ListParagraph"/>
        <w:numPr>
          <w:ilvl w:val="0"/>
          <w:numId w:val="11"/>
        </w:numPr>
        <w:spacing w:before="240" w:after="240"/>
        <w:ind w:hanging="720"/>
        <w:contextualSpacing w:val="0"/>
      </w:pPr>
      <w:r>
        <w:t>Miscellaneous Award Issues</w:t>
      </w:r>
    </w:p>
    <w:p w14:paraId="3D8AD2B1" w14:textId="73D4118B" w:rsidR="00D658A4" w:rsidRDefault="00974717" w:rsidP="008452D2">
      <w:pPr>
        <w:pStyle w:val="ListParagraph"/>
        <w:numPr>
          <w:ilvl w:val="0"/>
          <w:numId w:val="1"/>
        </w:numPr>
        <w:tabs>
          <w:tab w:val="left" w:pos="-1260"/>
        </w:tabs>
        <w:spacing w:before="240" w:after="240"/>
        <w:ind w:left="1080"/>
        <w:contextualSpacing w:val="0"/>
      </w:pPr>
      <w:r>
        <w:t xml:space="preserve">The </w:t>
      </w:r>
      <w:r w:rsidR="00D658A4">
        <w:t>CDE does not negotiate rates and/or costs listed on any Cost Proposal submitted.</w:t>
      </w:r>
    </w:p>
    <w:p w14:paraId="3D8AD2B2" w14:textId="77777777" w:rsidR="00D658A4" w:rsidRDefault="00D658A4" w:rsidP="00DC1391">
      <w:pPr>
        <w:pStyle w:val="ListParagraph"/>
        <w:numPr>
          <w:ilvl w:val="0"/>
          <w:numId w:val="1"/>
        </w:numPr>
        <w:spacing w:before="240" w:after="240"/>
        <w:ind w:left="1080"/>
        <w:contextualSpacing w:val="0"/>
      </w:pPr>
      <w: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3D8AD2B3" w14:textId="77777777" w:rsidR="00D658A4" w:rsidRDefault="00D658A4" w:rsidP="00F6039A">
      <w:pPr>
        <w:spacing w:before="240" w:after="240"/>
        <w:ind w:left="1080"/>
      </w:pPr>
      <w:r>
        <w:t>If the bidder’s intent is clearly established based on review of the submitted proposal, the CDE may, at its sole discretion, require a bidder to correct an error based on that established intent. The CDE may, at its sole discretion, require a bidder to correct obvious clerical errors or incidental mathematical computation errors. The CDE may, at its sole discretion, require a bidder to correct incidental errors of omission, and in the following three situations, the CDE will take the indicated actions if the bidder’s intent is not clearly established</w:t>
      </w:r>
      <w:r w:rsidR="000C00DF">
        <w:t xml:space="preserve"> by the complete bid submittal:</w:t>
      </w:r>
    </w:p>
    <w:p w14:paraId="3D8AD2B4" w14:textId="77777777" w:rsidR="00D658A4" w:rsidRDefault="00D658A4" w:rsidP="00132985">
      <w:pPr>
        <w:pStyle w:val="ListParagraph"/>
        <w:numPr>
          <w:ilvl w:val="0"/>
          <w:numId w:val="19"/>
        </w:numPr>
        <w:spacing w:before="240" w:after="240"/>
        <w:ind w:left="1440"/>
        <w:contextualSpacing w:val="0"/>
      </w:pPr>
      <w:r>
        <w:t xml:space="preserve">If a deliverable, task, subtask, or staff is described in the narrative and omitted from the </w:t>
      </w:r>
      <w:r w:rsidR="002B5835" w:rsidRPr="00860659">
        <w:rPr>
          <w:rFonts w:cs="Arial"/>
        </w:rPr>
        <w:t>Cost Proposal</w:t>
      </w:r>
      <w:r>
        <w:t xml:space="preserve">, it will be interpreted to mean that the deliverable, task, subtask, </w:t>
      </w:r>
      <w:r w:rsidR="00CF4606">
        <w:t xml:space="preserve">and </w:t>
      </w:r>
      <w:r>
        <w:t>staff will be provided by the bidder at no cost.</w:t>
      </w:r>
    </w:p>
    <w:p w14:paraId="3D8AD2B5" w14:textId="77777777" w:rsidR="00D658A4" w:rsidRDefault="00D658A4" w:rsidP="00132985">
      <w:pPr>
        <w:pStyle w:val="ListParagraph"/>
        <w:numPr>
          <w:ilvl w:val="0"/>
          <w:numId w:val="19"/>
        </w:numPr>
        <w:spacing w:before="240" w:after="240"/>
        <w:ind w:left="1440"/>
        <w:contextualSpacing w:val="0"/>
      </w:pPr>
      <w:r>
        <w:t>If a deliverable, task, or subtask is not mentioned at all in the bidder’s proposal, the bid will be interpreted to mean that the bidder does not intend to perform that deliverable, task, or subtask.</w:t>
      </w:r>
    </w:p>
    <w:p w14:paraId="3D8AD2B6" w14:textId="77777777" w:rsidR="00D658A4" w:rsidRDefault="00D658A4" w:rsidP="00132985">
      <w:pPr>
        <w:pStyle w:val="ListParagraph"/>
        <w:numPr>
          <w:ilvl w:val="0"/>
          <w:numId w:val="19"/>
        </w:numPr>
        <w:spacing w:before="240" w:after="240"/>
        <w:ind w:left="1440"/>
        <w:contextualSpacing w:val="0"/>
      </w:pPr>
      <w:r>
        <w:t>If a deliverable, task, or subtask is omitted, and the omission is not discovered until after contract award, the bidder shall be required to perform that deliverable, task, or subtask at no cost.</w:t>
      </w:r>
    </w:p>
    <w:p w14:paraId="3D8AD2B7" w14:textId="7EEB1952" w:rsidR="00002C3F" w:rsidRPr="004E5C06" w:rsidRDefault="00D658A4" w:rsidP="00F92047">
      <w:pPr>
        <w:pStyle w:val="ListParagraph"/>
        <w:numPr>
          <w:ilvl w:val="0"/>
          <w:numId w:val="1"/>
        </w:numPr>
        <w:spacing w:before="240" w:after="240"/>
        <w:ind w:left="1080"/>
        <w:contextualSpacing w:val="0"/>
      </w:pPr>
      <w:r>
        <w:t>The bidder is advised that should this RFP result in an award of a contract, the contract will not be in force an</w:t>
      </w:r>
      <w:r w:rsidR="003361B2">
        <w:t>d</w:t>
      </w:r>
      <w:r>
        <w:t xml:space="preserve"> no work shall be performed until the contract is fully approved by the </w:t>
      </w:r>
      <w:r w:rsidR="00871006">
        <w:t>DGS</w:t>
      </w:r>
      <w:r>
        <w:t xml:space="preserve"> and the bidder is notified by the CDE Contract Monitor that services may begin.</w:t>
      </w:r>
    </w:p>
    <w:p w14:paraId="3D8AD2B8" w14:textId="2B57000B" w:rsidR="00401B74" w:rsidRDefault="00135D6D" w:rsidP="00DC35FD">
      <w:pPr>
        <w:pStyle w:val="Heading2"/>
      </w:pPr>
      <w:r>
        <w:br w:type="page"/>
      </w:r>
      <w:bookmarkStart w:id="18" w:name="_Toc152757061"/>
      <w:r w:rsidR="00537458">
        <w:lastRenderedPageBreak/>
        <w:t>5</w:t>
      </w:r>
      <w:r w:rsidR="00002C3F" w:rsidRPr="00002C3F">
        <w:t>. AWARD AND PROTEST</w:t>
      </w:r>
      <w:bookmarkEnd w:id="18"/>
    </w:p>
    <w:p w14:paraId="3D8AD2B9" w14:textId="00FD321B" w:rsidR="00D658A4" w:rsidRPr="00401B74" w:rsidRDefault="00D658A4" w:rsidP="00DB77A8">
      <w:pPr>
        <w:numPr>
          <w:ilvl w:val="0"/>
          <w:numId w:val="4"/>
        </w:numPr>
        <w:tabs>
          <w:tab w:val="left" w:pos="0"/>
        </w:tabs>
        <w:spacing w:before="240" w:after="240"/>
        <w:ind w:right="720" w:hanging="720"/>
      </w:pPr>
      <w:r w:rsidRPr="00002C3F">
        <w:t>Notice</w:t>
      </w:r>
      <w:r>
        <w:t xml:space="preserve"> of Intent to Award will be posted for five (5) </w:t>
      </w:r>
      <w:r w:rsidRPr="00420652">
        <w:t xml:space="preserve">working days </w:t>
      </w:r>
      <w:r w:rsidR="00CF4606" w:rsidRPr="00420652">
        <w:rPr>
          <w:rFonts w:cs="Arial"/>
        </w:rPr>
        <w:t xml:space="preserve">beginning on the day and date specified in RFP Section </w:t>
      </w:r>
      <w:r w:rsidR="003B1588">
        <w:rPr>
          <w:rFonts w:cs="Arial"/>
        </w:rPr>
        <w:t>2</w:t>
      </w:r>
      <w:r w:rsidR="00CF4606" w:rsidRPr="00420652">
        <w:rPr>
          <w:rFonts w:cs="Arial"/>
        </w:rPr>
        <w:t>.3 RFP Schedule of Events</w:t>
      </w:r>
      <w:r w:rsidRPr="00420652">
        <w:t>, in the CDE</w:t>
      </w:r>
      <w:r>
        <w:t xml:space="preserve"> lobby located at 1430 N Street, Sacramento, California, and </w:t>
      </w:r>
      <w:r w:rsidR="00A34460">
        <w:t>may be posted on</w:t>
      </w:r>
      <w:r>
        <w:t xml:space="preserve"> the</w:t>
      </w:r>
      <w:r w:rsidR="007B4B86">
        <w:t xml:space="preserve"> </w:t>
      </w:r>
      <w:r w:rsidR="007B4B86" w:rsidRPr="007B4B86">
        <w:t>CDE's Funding Web site</w:t>
      </w:r>
      <w:r w:rsidR="007B4B86">
        <w:t>,</w:t>
      </w:r>
      <w:r>
        <w:t xml:space="preserve"> </w:t>
      </w:r>
      <w:hyperlink r:id="rId27" w:tooltip="CDE's Funding Web site" w:history="1">
        <w:r w:rsidR="007B4B86" w:rsidRPr="007B4B86">
          <w:rPr>
            <w:rStyle w:val="Hyperlink"/>
          </w:rPr>
          <w:t>http://www.cde.ca.gov/fg/fo/af</w:t>
        </w:r>
      </w:hyperlink>
      <w:r w:rsidR="00CE7C87">
        <w:t xml:space="preserve">. </w:t>
      </w:r>
      <w:r>
        <w:t xml:space="preserve">During the same period, proposals and rating sheets will be available for public inspection at 1430 N Street, </w:t>
      </w:r>
      <w:r w:rsidR="00C1612E">
        <w:t>S</w:t>
      </w:r>
      <w:r>
        <w:t>acramento, California, during normal business hours</w:t>
      </w:r>
      <w:r w:rsidR="00C1612E">
        <w:t xml:space="preserve"> by submitting a request to the contact person identified in Section 2.5 of this RFP</w:t>
      </w:r>
      <w:r>
        <w:t>.</w:t>
      </w:r>
      <w:r w:rsidR="00CF4606">
        <w:t xml:space="preserve"> </w:t>
      </w:r>
      <w:r>
        <w:t>After the five (5) day notice has been completed, the proposed awardee wil</w:t>
      </w:r>
      <w:r w:rsidR="00AA27F1">
        <w:t>l be formally notified by mail</w:t>
      </w:r>
      <w:r w:rsidR="00AF4635">
        <w:t xml:space="preserve"> or email</w:t>
      </w:r>
      <w:r w:rsidR="00AA27F1">
        <w:t>.</w:t>
      </w:r>
    </w:p>
    <w:p w14:paraId="3D8AD2BA" w14:textId="77777777" w:rsidR="00D658A4" w:rsidRDefault="00D658A4" w:rsidP="00DB77A8">
      <w:pPr>
        <w:numPr>
          <w:ilvl w:val="0"/>
          <w:numId w:val="4"/>
        </w:numPr>
        <w:spacing w:before="240" w:after="240"/>
        <w:ind w:hanging="720"/>
      </w:pPr>
      <w:r>
        <w:t xml:space="preserve">If prior to the formal award, any bidder files a protest with the </w:t>
      </w:r>
      <w:r w:rsidR="00871006">
        <w:t>DGS</w:t>
      </w:r>
      <w:r>
        <w:t xml:space="preserve"> against the awarding of the contract, the contract shall not be awarded until either the protest has been withdrawn or the </w:t>
      </w:r>
      <w:r w:rsidR="00871006">
        <w:t xml:space="preserve">DGS </w:t>
      </w:r>
      <w:r>
        <w:t xml:space="preserve">has decided the matter. Within five (5) days after filing the protest, the protesting bidder shall file with the </w:t>
      </w:r>
      <w:r w:rsidR="00871006">
        <w:t>DGS</w:t>
      </w:r>
      <w:r>
        <w:t>, a full and complete written statement on the grounds that the (protesting) bidder would have been awarded the contract had the CDE correctly applied the evaluation standards in the RFP, or if the CDE followed the evaluation and scoring methods in the RFP. It is suggested that bidders submit any protest by certified or registered mail to:</w:t>
      </w:r>
    </w:p>
    <w:p w14:paraId="3D8AD2BB" w14:textId="73A913C7" w:rsidR="0078554A" w:rsidRDefault="008528F3" w:rsidP="00132985">
      <w:pPr>
        <w:pStyle w:val="ListParagraph"/>
        <w:numPr>
          <w:ilvl w:val="0"/>
          <w:numId w:val="17"/>
        </w:numPr>
        <w:contextualSpacing w:val="0"/>
      </w:pPr>
      <w:r>
        <w:t xml:space="preserve">California </w:t>
      </w:r>
      <w:r w:rsidR="0078554A">
        <w:t>Department of Education</w:t>
      </w:r>
    </w:p>
    <w:p w14:paraId="459E33A2" w14:textId="77777777" w:rsidR="008528F3" w:rsidRDefault="0078554A" w:rsidP="00721E75">
      <w:pPr>
        <w:pStyle w:val="ListParagraph"/>
        <w:ind w:left="1080"/>
        <w:contextualSpacing w:val="0"/>
      </w:pPr>
      <w:r>
        <w:t>Contracts Office</w:t>
      </w:r>
    </w:p>
    <w:p w14:paraId="3D8AD2BC" w14:textId="39511086" w:rsidR="0078554A" w:rsidRDefault="008528F3" w:rsidP="00721E75">
      <w:pPr>
        <w:pStyle w:val="ListParagraph"/>
        <w:ind w:left="1080"/>
        <w:contextualSpacing w:val="0"/>
      </w:pPr>
      <w:r>
        <w:t xml:space="preserve">Attention: </w:t>
      </w:r>
      <w:r w:rsidR="0078554A">
        <w:t>Jaymi Brown</w:t>
      </w:r>
    </w:p>
    <w:p w14:paraId="3D8AD2BD" w14:textId="60C9EF97" w:rsidR="0078554A" w:rsidRDefault="0078554A" w:rsidP="00721E75">
      <w:pPr>
        <w:pStyle w:val="ListParagraph"/>
        <w:ind w:left="1080"/>
        <w:contextualSpacing w:val="0"/>
      </w:pPr>
      <w:r>
        <w:t xml:space="preserve">1430 N Street, Suite </w:t>
      </w:r>
      <w:r w:rsidR="00AA27F1">
        <w:t>2213</w:t>
      </w:r>
    </w:p>
    <w:p w14:paraId="3D8AD2BE" w14:textId="77777777" w:rsidR="0078554A" w:rsidRDefault="0078554A" w:rsidP="00721E75">
      <w:pPr>
        <w:pStyle w:val="ListParagraph"/>
        <w:ind w:left="1080"/>
        <w:contextualSpacing w:val="0"/>
      </w:pPr>
      <w:r>
        <w:t>Sacramento, CA 95814</w:t>
      </w:r>
    </w:p>
    <w:p w14:paraId="3D8AD2C0" w14:textId="68F34EFC" w:rsidR="0078554A" w:rsidRDefault="0078554A" w:rsidP="00721E75">
      <w:pPr>
        <w:pStyle w:val="ListParagraph"/>
        <w:spacing w:after="240"/>
        <w:ind w:left="1080"/>
        <w:contextualSpacing w:val="0"/>
      </w:pPr>
      <w:r>
        <w:t xml:space="preserve">Email: </w:t>
      </w:r>
      <w:hyperlink r:id="rId28" w:tooltip="mail to Jaymi Brown" w:history="1">
        <w:r w:rsidRPr="00107EFA">
          <w:rPr>
            <w:rStyle w:val="Hyperlink"/>
          </w:rPr>
          <w:t>JaBrown@cde.ca.gov</w:t>
        </w:r>
      </w:hyperlink>
      <w:r w:rsidR="00C1612E" w:rsidRPr="00C1612E">
        <w:rPr>
          <w:rStyle w:val="Hyperlink"/>
          <w:color w:val="auto"/>
          <w:u w:val="none"/>
        </w:rPr>
        <w:t xml:space="preserve">, with CC: </w:t>
      </w:r>
      <w:hyperlink r:id="rId29" w:history="1">
        <w:r w:rsidR="00C1612E" w:rsidRPr="00D63083">
          <w:rPr>
            <w:rStyle w:val="Hyperlink"/>
          </w:rPr>
          <w:t>CONTRACTSOFFICE@cde.ca.gov</w:t>
        </w:r>
      </w:hyperlink>
    </w:p>
    <w:p w14:paraId="3D8AD2C1" w14:textId="77777777" w:rsidR="0078554A" w:rsidRDefault="0078554A" w:rsidP="00132985">
      <w:pPr>
        <w:pStyle w:val="ListParagraph"/>
        <w:numPr>
          <w:ilvl w:val="0"/>
          <w:numId w:val="17"/>
        </w:numPr>
        <w:contextualSpacing w:val="0"/>
      </w:pPr>
      <w:r>
        <w:t>Department of General Services</w:t>
      </w:r>
    </w:p>
    <w:p w14:paraId="2A751D43" w14:textId="77777777" w:rsidR="008528F3" w:rsidRDefault="0078554A" w:rsidP="00721E75">
      <w:pPr>
        <w:pStyle w:val="ListParagraph"/>
        <w:ind w:left="1080"/>
        <w:contextualSpacing w:val="0"/>
      </w:pPr>
      <w:r>
        <w:t>Office of Legal Services</w:t>
      </w:r>
    </w:p>
    <w:p w14:paraId="3D8AD2C2" w14:textId="683FAC93" w:rsidR="0078554A" w:rsidRDefault="008528F3" w:rsidP="00721E75">
      <w:pPr>
        <w:pStyle w:val="ListParagraph"/>
        <w:ind w:left="1080"/>
        <w:contextualSpacing w:val="0"/>
      </w:pPr>
      <w:r>
        <w:t>Attention: Bid</w:t>
      </w:r>
      <w:r w:rsidR="0078554A">
        <w:t xml:space="preserve"> Protest Coordinator</w:t>
      </w:r>
    </w:p>
    <w:p w14:paraId="3D8AD2C3" w14:textId="0EEB921E" w:rsidR="0078554A" w:rsidRDefault="0078554A" w:rsidP="00721E75">
      <w:pPr>
        <w:pStyle w:val="ListParagraph"/>
        <w:ind w:left="1080"/>
        <w:contextualSpacing w:val="0"/>
      </w:pPr>
      <w:r>
        <w:t>707 Third Street, 7</w:t>
      </w:r>
      <w:r w:rsidRPr="0078554A">
        <w:rPr>
          <w:vertAlign w:val="superscript"/>
        </w:rPr>
        <w:t>th</w:t>
      </w:r>
      <w:r>
        <w:t xml:space="preserve"> Floor</w:t>
      </w:r>
      <w:r w:rsidR="008528F3">
        <w:t>, Suite 7-330</w:t>
      </w:r>
    </w:p>
    <w:p w14:paraId="3D8AD2C4" w14:textId="77777777" w:rsidR="0078554A" w:rsidRDefault="0078554A" w:rsidP="00721E75">
      <w:pPr>
        <w:pStyle w:val="ListParagraph"/>
        <w:ind w:left="1080"/>
        <w:contextualSpacing w:val="0"/>
      </w:pPr>
      <w:r>
        <w:t>West Sacramento, CA 95605</w:t>
      </w:r>
    </w:p>
    <w:p w14:paraId="3D8AD2C5" w14:textId="592A1A59" w:rsidR="00B16AD9" w:rsidRDefault="008528F3" w:rsidP="00721E75">
      <w:pPr>
        <w:pStyle w:val="ListParagraph"/>
        <w:ind w:left="1080"/>
        <w:contextualSpacing w:val="0"/>
        <w:rPr>
          <w:b/>
        </w:rPr>
      </w:pPr>
      <w:r>
        <w:t xml:space="preserve">Bid Protest Coordinator Email: </w:t>
      </w:r>
      <w:hyperlink r:id="rId30" w:history="1">
        <w:r w:rsidRPr="000105A3">
          <w:rPr>
            <w:rStyle w:val="Hyperlink"/>
          </w:rPr>
          <w:t>OLSProtests@dgs.ca.gov</w:t>
        </w:r>
      </w:hyperlink>
    </w:p>
    <w:p w14:paraId="3D8AD2C7" w14:textId="7F49F8D7" w:rsidR="002656A6" w:rsidRDefault="00F74C9F" w:rsidP="00DC35FD">
      <w:pPr>
        <w:pStyle w:val="Heading2"/>
      </w:pPr>
      <w:r>
        <w:br w:type="page"/>
      </w:r>
    </w:p>
    <w:p w14:paraId="3D8AD2C8" w14:textId="25B2759D" w:rsidR="0047459D" w:rsidRPr="002656A6" w:rsidRDefault="00C426A0" w:rsidP="00DC35FD">
      <w:pPr>
        <w:pStyle w:val="Heading2"/>
      </w:pPr>
      <w:bookmarkStart w:id="19" w:name="_Toc152757062"/>
      <w:r>
        <w:lastRenderedPageBreak/>
        <w:t>6</w:t>
      </w:r>
      <w:r w:rsidR="002656A6">
        <w:t>. S</w:t>
      </w:r>
      <w:r w:rsidR="00471BC1" w:rsidRPr="00471BC1">
        <w:t>TANDARD CONDITIONS OF SERVICE</w:t>
      </w:r>
      <w:bookmarkEnd w:id="19"/>
    </w:p>
    <w:p w14:paraId="5070AAF7" w14:textId="4BC03DF9" w:rsidR="004564C9" w:rsidRPr="004564C9" w:rsidRDefault="004564C9" w:rsidP="00DB77A8">
      <w:pPr>
        <w:keepNext/>
        <w:keepLines/>
        <w:numPr>
          <w:ilvl w:val="0"/>
          <w:numId w:val="3"/>
        </w:numPr>
        <w:spacing w:before="240" w:after="240"/>
        <w:ind w:hanging="720"/>
        <w:rPr>
          <w:rFonts w:eastAsia="Times New Roman" w:cs="Arial"/>
          <w:snapToGrid w:val="0"/>
          <w:szCs w:val="20"/>
        </w:rPr>
      </w:pPr>
      <w:r w:rsidRPr="00EE2F9F">
        <w:t xml:space="preserve">Award of a contract </w:t>
      </w:r>
      <w:proofErr w:type="gramStart"/>
      <w:r w:rsidRPr="00EE2F9F">
        <w:t>as a result of</w:t>
      </w:r>
      <w:proofErr w:type="gramEnd"/>
      <w:r w:rsidRPr="00EE2F9F">
        <w:t xml:space="preserve"> the RFP shall be contingent on </w:t>
      </w:r>
      <w:r>
        <w:t xml:space="preserve">DGS </w:t>
      </w:r>
      <w:r w:rsidRPr="00EE2F9F">
        <w:t>approval, CDE executive approval, funding and program authorization provided to and by the CDE.</w:t>
      </w:r>
    </w:p>
    <w:p w14:paraId="3D8AD2C9" w14:textId="0D5BB095" w:rsidR="00401B74" w:rsidRPr="005867E4" w:rsidRDefault="00401B74" w:rsidP="00DB77A8">
      <w:pPr>
        <w:keepNext/>
        <w:keepLines/>
        <w:numPr>
          <w:ilvl w:val="0"/>
          <w:numId w:val="3"/>
        </w:numPr>
        <w:spacing w:before="240" w:after="240"/>
        <w:ind w:hanging="720"/>
        <w:rPr>
          <w:rFonts w:eastAsia="Times New Roman" w:cs="Arial"/>
          <w:snapToGrid w:val="0"/>
          <w:szCs w:val="20"/>
        </w:rPr>
      </w:pPr>
      <w:r w:rsidRPr="0047459D">
        <w:rPr>
          <w:rFonts w:eastAsia="Times New Roman" w:cs="Arial"/>
          <w:snapToGrid w:val="0"/>
          <w:szCs w:val="20"/>
        </w:rPr>
        <w:t xml:space="preserve">Service shall be available no sooner than the express date set by </w:t>
      </w:r>
      <w:r w:rsidR="00C770BD">
        <w:rPr>
          <w:rFonts w:eastAsia="Times New Roman" w:cs="Arial"/>
          <w:snapToGrid w:val="0"/>
          <w:szCs w:val="20"/>
        </w:rPr>
        <w:t xml:space="preserve">the </w:t>
      </w:r>
      <w:r w:rsidRPr="0047459D">
        <w:rPr>
          <w:rFonts w:eastAsia="Times New Roman" w:cs="Arial"/>
          <w:snapToGrid w:val="0"/>
          <w:szCs w:val="20"/>
        </w:rPr>
        <w:t xml:space="preserve">CDE and the </w:t>
      </w:r>
      <w:r w:rsidR="0002661D">
        <w:rPr>
          <w:rFonts w:eastAsia="Times New Roman" w:cs="Arial"/>
          <w:snapToGrid w:val="0"/>
          <w:szCs w:val="20"/>
        </w:rPr>
        <w:t>b</w:t>
      </w:r>
      <w:r w:rsidRPr="0047459D">
        <w:rPr>
          <w:rFonts w:eastAsia="Times New Roman" w:cs="Arial"/>
          <w:snapToGrid w:val="0"/>
          <w:szCs w:val="20"/>
        </w:rPr>
        <w:t xml:space="preserve">idder, after all approvals have been obtained and the contract is fully executed. Should the </w:t>
      </w:r>
      <w:r w:rsidR="0002661D">
        <w:rPr>
          <w:rFonts w:eastAsia="Times New Roman" w:cs="Arial"/>
          <w:snapToGrid w:val="0"/>
          <w:szCs w:val="20"/>
        </w:rPr>
        <w:t>b</w:t>
      </w:r>
      <w:r w:rsidRPr="0047459D">
        <w:rPr>
          <w:rFonts w:eastAsia="Times New Roman" w:cs="Arial"/>
          <w:snapToGrid w:val="0"/>
          <w:szCs w:val="20"/>
        </w:rPr>
        <w:t xml:space="preserve">idder fail to commence work at the agreed upon time, </w:t>
      </w:r>
      <w:r w:rsidR="00C770BD">
        <w:rPr>
          <w:rFonts w:eastAsia="Times New Roman" w:cs="Arial"/>
          <w:snapToGrid w:val="0"/>
          <w:szCs w:val="20"/>
        </w:rPr>
        <w:t xml:space="preserve">the </w:t>
      </w:r>
      <w:r w:rsidRPr="0047459D">
        <w:rPr>
          <w:rFonts w:eastAsia="Times New Roman" w:cs="Arial"/>
          <w:snapToGrid w:val="0"/>
          <w:szCs w:val="20"/>
        </w:rPr>
        <w:t xml:space="preserve">CDE, upon five (5) days written notice to the Contractor, reserves the right to terminate the Agreement. In addition, the proposer shall be liable to the State for the difference between the </w:t>
      </w:r>
      <w:r w:rsidR="0002661D">
        <w:rPr>
          <w:rFonts w:eastAsia="Times New Roman" w:cs="Arial"/>
          <w:snapToGrid w:val="0"/>
          <w:szCs w:val="20"/>
        </w:rPr>
        <w:t>b</w:t>
      </w:r>
      <w:r w:rsidRPr="0047459D">
        <w:rPr>
          <w:rFonts w:eastAsia="Times New Roman" w:cs="Arial"/>
          <w:snapToGrid w:val="0"/>
          <w:szCs w:val="20"/>
        </w:rPr>
        <w:t xml:space="preserve">idder’s </w:t>
      </w:r>
      <w:r w:rsidR="002B5835" w:rsidRPr="002B5835">
        <w:rPr>
          <w:rFonts w:eastAsia="Times New Roman" w:cs="Arial"/>
          <w:snapToGrid w:val="0"/>
          <w:szCs w:val="20"/>
        </w:rPr>
        <w:t>Cost Proposal</w:t>
      </w:r>
      <w:r w:rsidR="002B5835" w:rsidRPr="002B5835" w:rsidDel="002B5835">
        <w:rPr>
          <w:rFonts w:eastAsia="Times New Roman" w:cs="Arial"/>
          <w:snapToGrid w:val="0"/>
          <w:szCs w:val="20"/>
        </w:rPr>
        <w:t xml:space="preserve"> </w:t>
      </w:r>
      <w:r w:rsidRPr="0047459D">
        <w:rPr>
          <w:rFonts w:eastAsia="Times New Roman" w:cs="Arial"/>
          <w:snapToGrid w:val="0"/>
          <w:szCs w:val="20"/>
        </w:rPr>
        <w:t>price and the actual cost of performing work by the second lowest proposer or by another Contractor.</w:t>
      </w:r>
    </w:p>
    <w:p w14:paraId="558CBD6A" w14:textId="29164F67" w:rsidR="004564C9" w:rsidRPr="004564C9" w:rsidRDefault="004564C9" w:rsidP="004564C9">
      <w:pPr>
        <w:widowControl w:val="0"/>
        <w:numPr>
          <w:ilvl w:val="0"/>
          <w:numId w:val="3"/>
        </w:numPr>
        <w:spacing w:before="240" w:after="240"/>
        <w:ind w:hanging="720"/>
        <w:rPr>
          <w:rFonts w:eastAsia="Times New Roman" w:cs="Arial"/>
          <w:b/>
          <w:snapToGrid w:val="0"/>
          <w:szCs w:val="20"/>
        </w:rPr>
      </w:pPr>
      <w:r>
        <w:t>All proposals and related documents submitted in response to this RFP shall become the property of the State of California. Pursuant to the Public Contract Code and all other applicable laws, all proposals and related documents will be made available in their entirety for public inspection and reproduction. Submission of a proposal constitutes acceptance of the terms.</w:t>
      </w:r>
    </w:p>
    <w:p w14:paraId="5050BE88" w14:textId="1CA4E1B7" w:rsidR="004564C9" w:rsidRPr="00CD2F48" w:rsidRDefault="004564C9" w:rsidP="004564C9">
      <w:pPr>
        <w:widowControl w:val="0"/>
        <w:numPr>
          <w:ilvl w:val="0"/>
          <w:numId w:val="3"/>
        </w:numPr>
        <w:spacing w:before="240" w:after="240"/>
        <w:ind w:hanging="720"/>
        <w:rPr>
          <w:rFonts w:eastAsia="Times New Roman" w:cs="Arial"/>
          <w:b/>
          <w:snapToGrid w:val="0"/>
          <w:szCs w:val="20"/>
        </w:rPr>
      </w:pPr>
      <w:r w:rsidRPr="00CD2F48">
        <w:t xml:space="preserve">Sections </w:t>
      </w:r>
      <w:r w:rsidR="00CD2F48" w:rsidRPr="00CD2F48">
        <w:t>7</w:t>
      </w:r>
      <w:r w:rsidRPr="00CD2F48">
        <w:t xml:space="preserve"> through 1</w:t>
      </w:r>
      <w:r w:rsidR="00CD2F48" w:rsidRPr="00CD2F48">
        <w:t>1</w:t>
      </w:r>
      <w:r w:rsidRPr="00CD2F48">
        <w:t xml:space="preserve"> of this RFP and the successful bidder’s Technical and Cost Proposals for the contract will be incorporated into the final contract, which is a public document.</w:t>
      </w:r>
    </w:p>
    <w:p w14:paraId="0B4C77BD" w14:textId="77777777" w:rsidR="004564C9" w:rsidRPr="002432C1" w:rsidRDefault="004564C9" w:rsidP="004564C9">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All performance under the contract shall be completed on or before the termination date of the contract.</w:t>
      </w:r>
    </w:p>
    <w:p w14:paraId="0F9A35E6" w14:textId="77777777" w:rsidR="004564C9" w:rsidRPr="002432C1" w:rsidRDefault="004564C9" w:rsidP="004564C9">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No oral understanding or agreement shall be binding on either party.</w:t>
      </w:r>
    </w:p>
    <w:p w14:paraId="69D7DBE7" w14:textId="0FFD0215" w:rsidR="00537458" w:rsidRPr="004564C9" w:rsidRDefault="004564C9" w:rsidP="00E54297">
      <w:pPr>
        <w:widowControl w:val="0"/>
        <w:numPr>
          <w:ilvl w:val="0"/>
          <w:numId w:val="3"/>
        </w:numPr>
        <w:spacing w:before="240" w:after="240"/>
        <w:ind w:hanging="720"/>
        <w:rPr>
          <w:rFonts w:eastAsia="Times New Roman" w:cs="Arial"/>
          <w:b/>
          <w:snapToGrid w:val="0"/>
          <w:szCs w:val="20"/>
        </w:rPr>
      </w:pPr>
      <w:r w:rsidRPr="00401B74">
        <w:rPr>
          <w:rFonts w:eastAsia="Times New Roman" w:cs="Arial"/>
          <w:snapToGrid w:val="0"/>
          <w:szCs w:val="20"/>
        </w:rPr>
        <w:t xml:space="preserve">If a </w:t>
      </w:r>
      <w:r>
        <w:rPr>
          <w:rFonts w:eastAsia="Times New Roman" w:cs="Arial"/>
          <w:snapToGrid w:val="0"/>
          <w:szCs w:val="20"/>
        </w:rPr>
        <w:t>b</w:t>
      </w:r>
      <w:r w:rsidRPr="00401B74">
        <w:rPr>
          <w:rFonts w:eastAsia="Times New Roman" w:cs="Arial"/>
          <w:snapToGrid w:val="0"/>
          <w:szCs w:val="20"/>
        </w:rPr>
        <w:t xml:space="preserve">idder is awarded a contract and refuses to sign the contract presented for signature within the time and manner required, the </w:t>
      </w:r>
      <w:r>
        <w:rPr>
          <w:rFonts w:eastAsia="Times New Roman" w:cs="Arial"/>
          <w:snapToGrid w:val="0"/>
          <w:szCs w:val="20"/>
        </w:rPr>
        <w:t>b</w:t>
      </w:r>
      <w:r w:rsidRPr="00401B74">
        <w:rPr>
          <w:rFonts w:eastAsia="Times New Roman" w:cs="Arial"/>
          <w:snapToGrid w:val="0"/>
          <w:szCs w:val="20"/>
        </w:rPr>
        <w:t xml:space="preserve">idder will be liable to </w:t>
      </w:r>
      <w:r>
        <w:rPr>
          <w:rFonts w:eastAsia="Times New Roman" w:cs="Arial"/>
          <w:snapToGrid w:val="0"/>
          <w:szCs w:val="20"/>
        </w:rPr>
        <w:t xml:space="preserve">the </w:t>
      </w:r>
      <w:r w:rsidRPr="00401B74">
        <w:rPr>
          <w:rFonts w:eastAsia="Times New Roman" w:cs="Arial"/>
          <w:snapToGrid w:val="0"/>
          <w:szCs w:val="20"/>
        </w:rPr>
        <w:t xml:space="preserve">CDE for actual damages resulting to </w:t>
      </w:r>
      <w:r>
        <w:rPr>
          <w:rFonts w:eastAsia="Times New Roman" w:cs="Arial"/>
          <w:snapToGrid w:val="0"/>
          <w:szCs w:val="20"/>
        </w:rPr>
        <w:t xml:space="preserve">the </w:t>
      </w:r>
      <w:r w:rsidRPr="00401B74">
        <w:rPr>
          <w:rFonts w:eastAsia="Times New Roman" w:cs="Arial"/>
          <w:snapToGrid w:val="0"/>
          <w:szCs w:val="20"/>
        </w:rPr>
        <w:t>CDE therefrom or ten percent of the amount proposed, whichever is less.</w:t>
      </w:r>
    </w:p>
    <w:p w14:paraId="2034C3F7" w14:textId="77777777" w:rsidR="004564C9" w:rsidRDefault="004564C9">
      <w:pPr>
        <w:rPr>
          <w:rFonts w:eastAsia="Times New Roman" w:cs="Arial"/>
          <w:b/>
          <w:bCs/>
          <w:iCs/>
          <w:sz w:val="40"/>
          <w:szCs w:val="40"/>
        </w:rPr>
      </w:pPr>
      <w:r>
        <w:br w:type="page"/>
      </w:r>
    </w:p>
    <w:p w14:paraId="3FCE5E21" w14:textId="6DB87D99" w:rsidR="00537458" w:rsidRDefault="00C426A0" w:rsidP="00DC35FD">
      <w:pPr>
        <w:pStyle w:val="Heading2"/>
      </w:pPr>
      <w:bookmarkStart w:id="20" w:name="_Toc152757063"/>
      <w:r>
        <w:lastRenderedPageBreak/>
        <w:t>7</w:t>
      </w:r>
      <w:r w:rsidR="00537458">
        <w:t xml:space="preserve">. </w:t>
      </w:r>
      <w:r w:rsidR="00537458" w:rsidRPr="00B32A0B">
        <w:t>SCOPE OF PROJECT</w:t>
      </w:r>
      <w:bookmarkEnd w:id="20"/>
    </w:p>
    <w:p w14:paraId="11FF7842" w14:textId="700783DF" w:rsidR="00935A33" w:rsidRPr="00637549" w:rsidRDefault="00935A33" w:rsidP="00935A33">
      <w:pPr>
        <w:spacing w:after="240"/>
      </w:pPr>
      <w:r w:rsidRPr="00637549">
        <w:t>The successful bidder will design and implement a comprehensive formative evaluation plan for the CCSPP. This design and implementation narrative should reflect a formative evaluation plan for the whole of the CCSPP, as well as specific sub designs for intentional formative measures for the LEAs (planning and implementation</w:t>
      </w:r>
      <w:r w:rsidR="0050051F" w:rsidRPr="00637549">
        <w:t xml:space="preserve"> grantees</w:t>
      </w:r>
      <w:r w:rsidRPr="00637549">
        <w:t>) and individual school sites. At all these levels</w:t>
      </w:r>
      <w:r w:rsidR="00F63351" w:rsidRPr="00637549">
        <w:t>,</w:t>
      </w:r>
      <w:r w:rsidRPr="00637549">
        <w:t xml:space="preserve"> the successful proposal will align and complement the California Community Schools Framework.</w:t>
      </w:r>
    </w:p>
    <w:p w14:paraId="35D94BC4" w14:textId="77777777" w:rsidR="00537458" w:rsidRPr="002E0181" w:rsidRDefault="00537458" w:rsidP="00537458">
      <w:pPr>
        <w:spacing w:after="240"/>
        <w:rPr>
          <w:rFonts w:eastAsia="Times New Roman" w:cs="Arial"/>
          <w:bCs/>
          <w:snapToGrid w:val="0"/>
          <w:szCs w:val="20"/>
        </w:rPr>
      </w:pPr>
      <w:r>
        <w:rPr>
          <w:rFonts w:eastAsia="Times New Roman" w:cs="Arial"/>
          <w:bCs/>
          <w:snapToGrid w:val="0"/>
          <w:szCs w:val="20"/>
        </w:rPr>
        <w:t>The Contractor</w:t>
      </w:r>
      <w:r w:rsidRPr="002E0181">
        <w:rPr>
          <w:rFonts w:eastAsia="Times New Roman" w:cs="Arial"/>
          <w:bCs/>
          <w:snapToGrid w:val="0"/>
          <w:szCs w:val="20"/>
        </w:rPr>
        <w:t xml:space="preserve"> must plan and budget for the costs of all tasks/subtasks and activities. The Technical Proposal may not contain any cost </w:t>
      </w:r>
      <w:r>
        <w:rPr>
          <w:rFonts w:eastAsia="Times New Roman" w:cs="Arial"/>
          <w:bCs/>
          <w:snapToGrid w:val="0"/>
          <w:szCs w:val="20"/>
        </w:rPr>
        <w:t>information.</w:t>
      </w:r>
    </w:p>
    <w:p w14:paraId="6C3C73B2"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The successful bidder must comply with all relevant laws and regulations in the performance of work in furtherance of the contract established pursuant to this procurement.</w:t>
      </w:r>
    </w:p>
    <w:p w14:paraId="662F572B" w14:textId="2254C983" w:rsidR="00537458" w:rsidRPr="008443C4" w:rsidRDefault="00537458" w:rsidP="00537458">
      <w:pPr>
        <w:tabs>
          <w:tab w:val="left" w:pos="-1440"/>
          <w:tab w:val="left" w:pos="720"/>
        </w:tabs>
        <w:spacing w:after="240"/>
        <w:rPr>
          <w:rFonts w:eastAsia="Times New Roman" w:cs="Arial"/>
          <w:bCs/>
          <w:snapToGrid w:val="0"/>
          <w:szCs w:val="20"/>
        </w:rPr>
      </w:pPr>
      <w:r w:rsidRPr="00A80331">
        <w:rPr>
          <w:rFonts w:cs="Arial"/>
          <w:szCs w:val="24"/>
        </w:rPr>
        <w:t xml:space="preserve">The term of the </w:t>
      </w:r>
      <w:r w:rsidRPr="008443C4">
        <w:rPr>
          <w:rFonts w:cs="Arial"/>
          <w:szCs w:val="24"/>
        </w:rPr>
        <w:t xml:space="preserve">contract is from </w:t>
      </w:r>
      <w:r w:rsidR="008443C4" w:rsidRPr="008443C4">
        <w:rPr>
          <w:rFonts w:cs="Arial"/>
          <w:szCs w:val="24"/>
        </w:rPr>
        <w:t>July</w:t>
      </w:r>
      <w:r w:rsidR="00935A33" w:rsidRPr="008443C4">
        <w:rPr>
          <w:rFonts w:cs="Arial"/>
          <w:szCs w:val="24"/>
        </w:rPr>
        <w:t xml:space="preserve"> </w:t>
      </w:r>
      <w:r w:rsidRPr="008443C4">
        <w:rPr>
          <w:rFonts w:cs="Arial"/>
          <w:szCs w:val="24"/>
        </w:rPr>
        <w:t xml:space="preserve">1, </w:t>
      </w:r>
      <w:r w:rsidR="00935A33" w:rsidRPr="008443C4">
        <w:rPr>
          <w:rFonts w:cs="Arial"/>
          <w:szCs w:val="24"/>
        </w:rPr>
        <w:t>2024</w:t>
      </w:r>
      <w:r w:rsidRPr="008443C4">
        <w:rPr>
          <w:rFonts w:cs="Arial"/>
          <w:szCs w:val="24"/>
        </w:rPr>
        <w:t xml:space="preserve">, through </w:t>
      </w:r>
      <w:r w:rsidR="008443C4" w:rsidRPr="008443C4">
        <w:rPr>
          <w:rFonts w:cs="Arial"/>
          <w:szCs w:val="24"/>
        </w:rPr>
        <w:t>December 31</w:t>
      </w:r>
      <w:r w:rsidRPr="008443C4">
        <w:rPr>
          <w:rFonts w:cs="Arial"/>
          <w:szCs w:val="24"/>
        </w:rPr>
        <w:t xml:space="preserve">, </w:t>
      </w:r>
      <w:r w:rsidR="008443C4" w:rsidRPr="008443C4">
        <w:rPr>
          <w:rFonts w:cs="Arial"/>
          <w:szCs w:val="24"/>
        </w:rPr>
        <w:t>2031</w:t>
      </w:r>
      <w:r w:rsidRPr="008443C4">
        <w:rPr>
          <w:rFonts w:cs="Arial"/>
          <w:szCs w:val="24"/>
        </w:rPr>
        <w:t xml:space="preserve">, which spans </w:t>
      </w:r>
      <w:r w:rsidR="008443C4" w:rsidRPr="008443C4">
        <w:rPr>
          <w:rFonts w:cs="Arial"/>
          <w:szCs w:val="24"/>
        </w:rPr>
        <w:t xml:space="preserve">eight </w:t>
      </w:r>
      <w:r w:rsidRPr="008443C4">
        <w:rPr>
          <w:rFonts w:cs="Arial"/>
          <w:szCs w:val="24"/>
        </w:rPr>
        <w:t xml:space="preserve">fiscal years, for a total of </w:t>
      </w:r>
      <w:r w:rsidR="008443C4" w:rsidRPr="008443C4">
        <w:rPr>
          <w:rFonts w:cs="Arial"/>
          <w:szCs w:val="24"/>
        </w:rPr>
        <w:t>90</w:t>
      </w:r>
      <w:r w:rsidR="00935A33" w:rsidRPr="008443C4">
        <w:rPr>
          <w:rFonts w:cs="Arial"/>
          <w:szCs w:val="24"/>
        </w:rPr>
        <w:t xml:space="preserve"> </w:t>
      </w:r>
      <w:r w:rsidRPr="008443C4">
        <w:rPr>
          <w:rFonts w:cs="Arial"/>
          <w:szCs w:val="24"/>
        </w:rPr>
        <w:t xml:space="preserve">months. </w:t>
      </w:r>
      <w:r w:rsidRPr="008443C4">
        <w:rPr>
          <w:rFonts w:eastAsia="Times New Roman" w:cs="Arial"/>
          <w:bCs/>
          <w:snapToGrid w:val="0"/>
          <w:szCs w:val="20"/>
        </w:rPr>
        <w:t xml:space="preserve">(Refer to RFP Section </w:t>
      </w:r>
      <w:r w:rsidR="00C1612E" w:rsidRPr="008443C4">
        <w:rPr>
          <w:rFonts w:eastAsia="Times New Roman" w:cs="Arial"/>
          <w:bCs/>
          <w:snapToGrid w:val="0"/>
          <w:szCs w:val="20"/>
        </w:rPr>
        <w:t>2</w:t>
      </w:r>
      <w:r w:rsidRPr="008443C4">
        <w:rPr>
          <w:rFonts w:eastAsia="Times New Roman" w:cs="Arial"/>
          <w:bCs/>
          <w:snapToGrid w:val="0"/>
          <w:szCs w:val="20"/>
        </w:rPr>
        <w:t>.8 for the definition of “fiscal year”). The fiscal years defined in this RFP are as follows:</w:t>
      </w:r>
    </w:p>
    <w:p w14:paraId="6C7EE7EA" w14:textId="77777777" w:rsidR="008443C4" w:rsidRPr="008443C4" w:rsidRDefault="008443C4" w:rsidP="008443C4">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2024–2025: July 1, 2024 – June 30, 2025 (12 months)</w:t>
      </w:r>
    </w:p>
    <w:p w14:paraId="5B93F29E" w14:textId="77777777" w:rsidR="008443C4" w:rsidRPr="008443C4" w:rsidRDefault="008443C4" w:rsidP="008443C4">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2025–2026: July 1, 2025 – June 30, 2026 (12 months)</w:t>
      </w:r>
    </w:p>
    <w:p w14:paraId="55CF85EB" w14:textId="77777777" w:rsidR="008443C4" w:rsidRPr="008443C4" w:rsidRDefault="008443C4" w:rsidP="008443C4">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2026–2027: July 1, 2026 – June 30, 2027 (12 months)</w:t>
      </w:r>
    </w:p>
    <w:p w14:paraId="15515F24" w14:textId="77777777" w:rsidR="008443C4" w:rsidRPr="008443C4" w:rsidRDefault="008443C4" w:rsidP="008443C4">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2027–2028: July 1, 2027 – June 30, 2028 (12 months)</w:t>
      </w:r>
    </w:p>
    <w:p w14:paraId="6DBBA897" w14:textId="77777777" w:rsidR="008443C4" w:rsidRPr="008443C4" w:rsidRDefault="008443C4" w:rsidP="008443C4">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2028–2029: July 1, 2028 – June 30, 2029 (12 months)</w:t>
      </w:r>
    </w:p>
    <w:p w14:paraId="533F91C1" w14:textId="77777777" w:rsidR="008443C4" w:rsidRPr="008443C4" w:rsidRDefault="008443C4" w:rsidP="008443C4">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2029–2030: July 1, 2029 – June 30, 2030 (12 months)</w:t>
      </w:r>
    </w:p>
    <w:p w14:paraId="48C77E57" w14:textId="77777777" w:rsidR="008443C4" w:rsidRPr="008443C4" w:rsidRDefault="008443C4" w:rsidP="008443C4">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2030–2031: July 1, 2030 – June 30, 2031 (12 months)</w:t>
      </w:r>
    </w:p>
    <w:p w14:paraId="74CE029D" w14:textId="25937EA3" w:rsidR="00537458" w:rsidRPr="008443C4" w:rsidRDefault="008443C4" w:rsidP="00C1612E">
      <w:pPr>
        <w:pStyle w:val="ListParagraph"/>
        <w:numPr>
          <w:ilvl w:val="0"/>
          <w:numId w:val="36"/>
        </w:numPr>
        <w:spacing w:after="240"/>
        <w:ind w:left="360" w:hanging="360"/>
        <w:rPr>
          <w:rFonts w:eastAsia="Times New Roman" w:cs="Arial"/>
          <w:bCs/>
          <w:snapToGrid w:val="0"/>
          <w:szCs w:val="20"/>
        </w:rPr>
      </w:pPr>
      <w:r w:rsidRPr="008443C4">
        <w:rPr>
          <w:rFonts w:eastAsia="Times New Roman" w:cs="Arial"/>
          <w:bCs/>
          <w:snapToGrid w:val="0"/>
          <w:szCs w:val="20"/>
        </w:rPr>
        <w:t>2031–2032: July 1, 2031 – December 31, 2031 (6 months)</w:t>
      </w:r>
    </w:p>
    <w:p w14:paraId="2AE43DD8" w14:textId="39429EC3" w:rsidR="00537458" w:rsidRPr="002E0181" w:rsidRDefault="00537458" w:rsidP="00537458">
      <w:pPr>
        <w:spacing w:after="240"/>
        <w:rPr>
          <w:rFonts w:eastAsia="Times New Roman" w:cs="Arial"/>
          <w:bCs/>
          <w:snapToGrid w:val="0"/>
          <w:szCs w:val="20"/>
        </w:rPr>
      </w:pPr>
      <w:r>
        <w:t xml:space="preserve">Proposals must be submitted for the performance of all tasks described herein. Any deviation from the tasks described in Section </w:t>
      </w:r>
      <w:r w:rsidR="00DC395C">
        <w:t>7</w:t>
      </w:r>
      <w:r>
        <w:t xml:space="preserve"> (Scope of Project) will not be considered and will cause a proposal to be rejected.</w:t>
      </w:r>
      <w:r w:rsidRPr="00646EE8">
        <w:rPr>
          <w:rFonts w:eastAsia="Times New Roman" w:cs="Arial"/>
          <w:bCs/>
          <w:snapToGrid w:val="0"/>
          <w:szCs w:val="20"/>
        </w:rPr>
        <w:t xml:space="preserve"> </w:t>
      </w:r>
      <w:bookmarkStart w:id="21" w:name="_Hlk148442075"/>
      <w:r w:rsidRPr="00331A58">
        <w:rPr>
          <w:rFonts w:eastAsia="Times New Roman" w:cs="Arial"/>
          <w:bCs/>
          <w:snapToGrid w:val="0"/>
          <w:szCs w:val="20"/>
        </w:rPr>
        <w:t xml:space="preserve">This RFP seeks proposals </w:t>
      </w:r>
      <w:r w:rsidRPr="008443C4">
        <w:rPr>
          <w:rFonts w:eastAsia="Times New Roman" w:cs="Arial"/>
          <w:bCs/>
          <w:snapToGrid w:val="0"/>
          <w:szCs w:val="20"/>
        </w:rPr>
        <w:t xml:space="preserve">addressing five main </w:t>
      </w:r>
      <w:r>
        <w:rPr>
          <w:rFonts w:eastAsia="Times New Roman" w:cs="Arial"/>
          <w:bCs/>
          <w:snapToGrid w:val="0"/>
          <w:szCs w:val="20"/>
        </w:rPr>
        <w:t>tasks:</w:t>
      </w:r>
    </w:p>
    <w:p w14:paraId="11255AF1"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611E905D"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6C951E31" w14:textId="77777777" w:rsidR="00537458" w:rsidRPr="008443C4" w:rsidRDefault="00537458" w:rsidP="00537458">
      <w:pPr>
        <w:spacing w:after="240"/>
        <w:rPr>
          <w:rFonts w:eastAsia="Times New Roman" w:cs="Arial"/>
          <w:bCs/>
          <w:snapToGrid w:val="0"/>
          <w:szCs w:val="20"/>
        </w:rPr>
      </w:pPr>
      <w:r w:rsidRPr="008443C4">
        <w:rPr>
          <w:rFonts w:eastAsia="Times New Roman" w:cs="Arial"/>
          <w:bCs/>
          <w:snapToGrid w:val="0"/>
          <w:szCs w:val="20"/>
        </w:rPr>
        <w:t>Task 3 – Comprehensive Plan and Schedule for Project Activities and Deliverables</w:t>
      </w:r>
    </w:p>
    <w:p w14:paraId="13435CD0" w14:textId="77777777" w:rsidR="00935A33" w:rsidRPr="008443C4" w:rsidRDefault="00935A33" w:rsidP="00935A33">
      <w:pPr>
        <w:spacing w:after="240"/>
        <w:ind w:left="990" w:hanging="990"/>
        <w:rPr>
          <w:rFonts w:eastAsia="Times New Roman" w:cs="Arial"/>
          <w:bCs/>
          <w:snapToGrid w:val="0"/>
          <w:szCs w:val="20"/>
        </w:rPr>
      </w:pPr>
      <w:r w:rsidRPr="008443C4">
        <w:rPr>
          <w:rFonts w:eastAsia="Times New Roman" w:cs="Arial"/>
          <w:bCs/>
          <w:snapToGrid w:val="0"/>
          <w:szCs w:val="20"/>
        </w:rPr>
        <w:t>Task 4 – Design and Implement a Formative Evaluation for the CCSPP</w:t>
      </w:r>
    </w:p>
    <w:p w14:paraId="7AA87EA8" w14:textId="1873EE38" w:rsidR="00935A33" w:rsidRPr="00EC58E1" w:rsidRDefault="00935A33" w:rsidP="00935A33">
      <w:pPr>
        <w:spacing w:after="240"/>
        <w:ind w:left="990" w:hanging="990"/>
        <w:rPr>
          <w:rFonts w:eastAsia="Times New Roman" w:cs="Arial"/>
          <w:bCs/>
          <w:snapToGrid w:val="0"/>
          <w:color w:val="FF0000"/>
          <w:szCs w:val="20"/>
        </w:rPr>
      </w:pPr>
      <w:r w:rsidRPr="008443C4">
        <w:rPr>
          <w:rFonts w:eastAsia="Times New Roman" w:cs="Arial"/>
          <w:bCs/>
          <w:snapToGrid w:val="0"/>
          <w:szCs w:val="20"/>
        </w:rPr>
        <w:t xml:space="preserve">Task </w:t>
      </w:r>
      <w:r w:rsidR="00FB05B2" w:rsidRPr="008443C4">
        <w:rPr>
          <w:rFonts w:eastAsia="Times New Roman" w:cs="Arial"/>
          <w:bCs/>
          <w:snapToGrid w:val="0"/>
          <w:szCs w:val="20"/>
        </w:rPr>
        <w:t>5</w:t>
      </w:r>
      <w:r w:rsidRPr="008443C4">
        <w:rPr>
          <w:rFonts w:eastAsia="Times New Roman" w:cs="Arial"/>
          <w:bCs/>
          <w:snapToGrid w:val="0"/>
          <w:szCs w:val="20"/>
        </w:rPr>
        <w:t xml:space="preserve"> – Develop and Distribute a Set of Formative Evaluation Tools</w:t>
      </w:r>
    </w:p>
    <w:bookmarkEnd w:id="21"/>
    <w:p w14:paraId="592DB7F7" w14:textId="77777777" w:rsidR="00537458" w:rsidRDefault="00537458" w:rsidP="00537458">
      <w:pPr>
        <w:spacing w:after="240"/>
        <w:rPr>
          <w:rFonts w:eastAsia="Times New Roman" w:cs="Arial"/>
          <w:b/>
          <w:bCs/>
          <w:iCs/>
          <w:sz w:val="32"/>
          <w:szCs w:val="28"/>
        </w:rPr>
      </w:pPr>
      <w:r>
        <w:br w:type="page"/>
      </w:r>
    </w:p>
    <w:p w14:paraId="49F755B9" w14:textId="77777777" w:rsidR="00537458" w:rsidRPr="0082265F" w:rsidRDefault="00537458" w:rsidP="003E4C84">
      <w:pPr>
        <w:pStyle w:val="Heading3"/>
      </w:pPr>
      <w:r w:rsidRPr="0082265F">
        <w:lastRenderedPageBreak/>
        <w:t>TASK 1 – COORDINATION AND COMMUNICATIONS WITH THE CDE</w:t>
      </w:r>
    </w:p>
    <w:p w14:paraId="30A06FA0" w14:textId="77777777" w:rsidR="00537458" w:rsidRPr="00A80331" w:rsidRDefault="00537458" w:rsidP="00537458">
      <w:pPr>
        <w:rPr>
          <w:rFonts w:cs="Arial"/>
          <w:color w:val="000000"/>
          <w:szCs w:val="24"/>
        </w:rPr>
      </w:pPr>
      <w:r w:rsidRPr="00A80331">
        <w:rPr>
          <w:rFonts w:cs="Arial"/>
          <w:color w:val="000000"/>
          <w:szCs w:val="24"/>
        </w:rPr>
        <w:t xml:space="preserve">This section </w:t>
      </w:r>
      <w:r>
        <w:rPr>
          <w:rFonts w:cs="Arial"/>
          <w:color w:val="000000"/>
          <w:szCs w:val="24"/>
        </w:rPr>
        <w:t>of the T</w:t>
      </w:r>
      <w:r w:rsidRPr="00A80331">
        <w:rPr>
          <w:rFonts w:cs="Arial"/>
          <w:color w:val="000000"/>
          <w:szCs w:val="24"/>
        </w:rPr>
        <w:t xml:space="preserve">echnical </w:t>
      </w:r>
      <w:r>
        <w:rPr>
          <w:rFonts w:cs="Arial"/>
          <w:color w:val="000000"/>
          <w:szCs w:val="24"/>
        </w:rPr>
        <w:t>P</w:t>
      </w:r>
      <w:r w:rsidRPr="00A80331">
        <w:rPr>
          <w:rFonts w:cs="Arial"/>
          <w:color w:val="000000"/>
          <w:szCs w:val="24"/>
        </w:rPr>
        <w:t xml:space="preserve">roposal must acknowledge the bidder’s commitment to completing all the requirements specified below in Task 1 and must provide a description of the approach and methodology by which the bidder will accomplish all the associated subtasks and activities. The </w:t>
      </w:r>
      <w:r>
        <w:rPr>
          <w:rFonts w:cs="Arial"/>
          <w:color w:val="000000"/>
          <w:szCs w:val="24"/>
        </w:rPr>
        <w:t>T</w:t>
      </w:r>
      <w:r w:rsidRPr="00A80331">
        <w:rPr>
          <w:rFonts w:cs="Arial"/>
          <w:color w:val="000000"/>
          <w:szCs w:val="24"/>
        </w:rPr>
        <w:t xml:space="preserve">echnical </w:t>
      </w:r>
      <w:r>
        <w:rPr>
          <w:rFonts w:cs="Arial"/>
          <w:color w:val="000000"/>
          <w:szCs w:val="24"/>
        </w:rPr>
        <w:t>P</w:t>
      </w:r>
      <w:r w:rsidRPr="00A80331">
        <w:rPr>
          <w:rFonts w:cs="Arial"/>
          <w:color w:val="000000"/>
          <w:szCs w:val="24"/>
        </w:rPr>
        <w:t>roposal must contain sufficient detail to convey the bidder’s knowledge of the subjects and skills necessary to successfully complete the project as stated in Task 1.</w:t>
      </w:r>
    </w:p>
    <w:p w14:paraId="15E729AA" w14:textId="61AEE5DA" w:rsidR="00537458" w:rsidRDefault="00537458" w:rsidP="00537458">
      <w:pPr>
        <w:spacing w:before="240" w:after="240"/>
      </w:pPr>
      <w:r w:rsidRPr="005C528E">
        <w:rPr>
          <w:rFonts w:cs="Arial"/>
          <w:color w:val="000000"/>
          <w:szCs w:val="24"/>
        </w:rPr>
        <w:t>The successful bidder shall coordinate communications with the CDE during the entire contract period. The successful bidder shall provide timely and accurate communication and coordination with CDE staff and other policy, administrative, and advisory groups; attend and provide minutes for required meetings; adhere to the CDE Approval Schedule Requirements (See Task 1</w:t>
      </w:r>
      <w:r w:rsidRPr="008443C4">
        <w:rPr>
          <w:rFonts w:cs="Arial"/>
          <w:szCs w:val="24"/>
        </w:rPr>
        <w:t>.</w:t>
      </w:r>
      <w:r w:rsidR="00935A33" w:rsidRPr="008443C4">
        <w:rPr>
          <w:rFonts w:cs="Arial"/>
          <w:szCs w:val="24"/>
        </w:rPr>
        <w:t xml:space="preserve">5 </w:t>
      </w:r>
      <w:r>
        <w:t>– CDE Approval Schedule Requirements</w:t>
      </w:r>
      <w:r>
        <w:rPr>
          <w:rFonts w:cs="Arial"/>
          <w:color w:val="000000"/>
          <w:szCs w:val="24"/>
        </w:rPr>
        <w:t>) for project deliverables</w:t>
      </w:r>
      <w:r w:rsidRPr="005C528E">
        <w:rPr>
          <w:rFonts w:cs="Arial"/>
          <w:color w:val="000000"/>
          <w:szCs w:val="24"/>
        </w:rPr>
        <w:t>. The bidder’s proposal must include the following information to address Task 1 activities which include the following subtasks. The Task 1 activities include, but are not limited to, the following subtasks.</w:t>
      </w:r>
    </w:p>
    <w:p w14:paraId="60361EBF" w14:textId="782EDE19" w:rsidR="00537458" w:rsidRPr="005420EF" w:rsidRDefault="00537458" w:rsidP="001B373C">
      <w:pPr>
        <w:pStyle w:val="Heading4"/>
      </w:pPr>
      <w:r w:rsidRPr="005420EF">
        <w:t>1.1 Orientation Meeting</w:t>
      </w:r>
    </w:p>
    <w:p w14:paraId="174663E0" w14:textId="46449084" w:rsidR="00537458" w:rsidRPr="00407AE0" w:rsidRDefault="00537458" w:rsidP="00537458">
      <w:pPr>
        <w:spacing w:before="240" w:after="240"/>
        <w:rPr>
          <w:rFonts w:cs="Arial"/>
          <w:color w:val="FF0000"/>
          <w:szCs w:val="24"/>
        </w:rPr>
      </w:pPr>
      <w:r w:rsidRPr="005420EF">
        <w:rPr>
          <w:rFonts w:cs="Arial"/>
          <w:szCs w:val="24"/>
        </w:rPr>
        <w:t xml:space="preserve">The Technical Proposal must include a detailed plan for conducting an orientation meeting that will occur within the first two weeks of the commencement of this contract. The Technical Proposal must ensure that all </w:t>
      </w:r>
      <w:r w:rsidRPr="00152C31">
        <w:rPr>
          <w:rFonts w:cs="Arial"/>
          <w:szCs w:val="24"/>
        </w:rPr>
        <w:t xml:space="preserve">key personnel of the prime contractor and any subcontractor(s) including the management team (Project Manager, Fiscal Manager, and any other key personnel identified in Section </w:t>
      </w:r>
      <w:r w:rsidR="00292129">
        <w:rPr>
          <w:rFonts w:cs="Arial"/>
          <w:szCs w:val="24"/>
        </w:rPr>
        <w:t xml:space="preserve">RFP </w:t>
      </w:r>
      <w:r w:rsidR="00CD2F48">
        <w:rPr>
          <w:rFonts w:cs="Arial"/>
          <w:szCs w:val="24"/>
        </w:rPr>
        <w:t>3</w:t>
      </w:r>
      <w:r w:rsidRPr="00152C31">
        <w:rPr>
          <w:rFonts w:cs="Arial"/>
          <w:szCs w:val="24"/>
        </w:rPr>
        <w:t>.1.3), task leaders, and significant subcontractors</w:t>
      </w:r>
      <w:r w:rsidRPr="005420EF">
        <w:rPr>
          <w:rFonts w:cs="Arial"/>
          <w:szCs w:val="24"/>
        </w:rPr>
        <w:t xml:space="preserve"> </w:t>
      </w:r>
      <w:r w:rsidRPr="00BD6050">
        <w:rPr>
          <w:rFonts w:cs="Arial"/>
          <w:szCs w:val="24"/>
        </w:rPr>
        <w:t>will meet in person with the CDE for up to four hours at the CDE headquarters located at 1430 N Street, Sacramento, California 95814.</w:t>
      </w:r>
    </w:p>
    <w:p w14:paraId="02723DBA" w14:textId="7CC87EFF" w:rsidR="00537458" w:rsidRDefault="00537458" w:rsidP="00537458">
      <w:pPr>
        <w:spacing w:before="240" w:after="240"/>
      </w:pPr>
      <w:r w:rsidRPr="00152C31">
        <w:rPr>
          <w:rFonts w:cs="Arial"/>
          <w:szCs w:val="24"/>
        </w:rPr>
        <w:t xml:space="preserve">The Technical Proposal must acknowledge and ensure that </w:t>
      </w:r>
      <w:r w:rsidRPr="005420EF">
        <w:rPr>
          <w:rFonts w:cs="Arial"/>
          <w:szCs w:val="24"/>
        </w:rPr>
        <w:t xml:space="preserve">during the orientation meeting, the successful bidder will review each task and </w:t>
      </w:r>
      <w:r w:rsidRPr="00152C31">
        <w:rPr>
          <w:rFonts w:cs="Arial"/>
          <w:szCs w:val="24"/>
        </w:rPr>
        <w:t xml:space="preserve">subtask(s), the detailed </w:t>
      </w:r>
      <w:r w:rsidR="00935A33">
        <w:rPr>
          <w:rFonts w:cs="Arial"/>
          <w:szCs w:val="24"/>
        </w:rPr>
        <w:t>N</w:t>
      </w:r>
      <w:r w:rsidR="00935A33" w:rsidRPr="00152C31">
        <w:rPr>
          <w:rFonts w:cs="Arial"/>
          <w:szCs w:val="24"/>
        </w:rPr>
        <w:t xml:space="preserve">arrative </w:t>
      </w:r>
      <w:r w:rsidR="00935A33">
        <w:rPr>
          <w:rFonts w:cs="Arial"/>
          <w:szCs w:val="24"/>
        </w:rPr>
        <w:t>S</w:t>
      </w:r>
      <w:r w:rsidR="00935A33" w:rsidRPr="00152C31">
        <w:rPr>
          <w:rFonts w:cs="Arial"/>
          <w:szCs w:val="24"/>
        </w:rPr>
        <w:t xml:space="preserve">chedule </w:t>
      </w:r>
      <w:r w:rsidRPr="00152C31">
        <w:rPr>
          <w:rFonts w:cs="Arial"/>
          <w:szCs w:val="24"/>
        </w:rPr>
        <w:t xml:space="preserve">and </w:t>
      </w:r>
      <w:r w:rsidR="00935A33">
        <w:rPr>
          <w:rFonts w:cs="Arial"/>
          <w:szCs w:val="24"/>
        </w:rPr>
        <w:t>T</w:t>
      </w:r>
      <w:r w:rsidR="00935A33" w:rsidRPr="00152C31">
        <w:rPr>
          <w:rFonts w:cs="Arial"/>
          <w:szCs w:val="24"/>
        </w:rPr>
        <w:t xml:space="preserve">imeline </w:t>
      </w:r>
      <w:r w:rsidRPr="00152C31">
        <w:rPr>
          <w:rFonts w:cs="Arial"/>
          <w:szCs w:val="24"/>
        </w:rPr>
        <w:t xml:space="preserve">(See Task 3.1) and staffing regarding </w:t>
      </w:r>
      <w:r w:rsidRPr="005420EF">
        <w:rPr>
          <w:rFonts w:cs="Arial"/>
          <w:szCs w:val="24"/>
        </w:rPr>
        <w:t xml:space="preserve">the proposed method(s) for implementation </w:t>
      </w:r>
      <w:r w:rsidRPr="00152C31">
        <w:rPr>
          <w:rFonts w:cs="Arial"/>
          <w:szCs w:val="24"/>
        </w:rPr>
        <w:t>of the contract</w:t>
      </w:r>
      <w:r w:rsidRPr="005420EF">
        <w:rPr>
          <w:rFonts w:cs="Arial"/>
          <w:szCs w:val="24"/>
        </w:rPr>
        <w:t xml:space="preserve"> as contained in the bidder’s Technical Proposal. The successful bidder must develop the meeting agenda in coordination with the CDE, take minutes, and, within five working days after the meeting, submit the meeting minutes to the CDE by email for review and approval. The orientation meeting must address all tasks, including timelines, questions, and concerns about the implementation of the contract. </w:t>
      </w:r>
      <w:r w:rsidRPr="00152C31">
        <w:t>The bidder must budget for this meeting and include all costs in the Cost Proposal. Do not include any cost information in the Technical Proposal.</w:t>
      </w:r>
    </w:p>
    <w:p w14:paraId="4D6E6F27" w14:textId="428DC784" w:rsidR="00BD6050" w:rsidRPr="00BD6050" w:rsidRDefault="00BD6050" w:rsidP="00BD6050">
      <w:pPr>
        <w:spacing w:before="240" w:after="240"/>
      </w:pPr>
      <w:r w:rsidRPr="00BD6050">
        <w:t xml:space="preserve">In accordance with any recommendation(s) or order(s) contained in a Governor’s executive order, an advisory or order of the California Department of Public Health, or an advisory or order of a county health department with authority over the area in which this contract is to be performed or an advisory or order of a law enforcement authority, </w:t>
      </w:r>
      <w:r>
        <w:t>any</w:t>
      </w:r>
      <w:r w:rsidRPr="00BD6050">
        <w:t xml:space="preserve"> in-person meetings may be cancelled or changed to a virtual </w:t>
      </w:r>
      <w:r>
        <w:t>setting</w:t>
      </w:r>
      <w:r w:rsidRPr="00BD6050">
        <w:t xml:space="preserve"> at the discretion of the CDE. Therefore, any announcement for the event must state that the event may be in-person, virtual, or both. The CDE cannot reimburse the Contractor for any cancellation fees, deposit</w:t>
      </w:r>
      <w:r w:rsidR="0050051F">
        <w:t>s,</w:t>
      </w:r>
      <w:r w:rsidRPr="00BD6050">
        <w:t xml:space="preserve"> or pre-payments under any circumstances, even if the CDE decides to cancel the event.</w:t>
      </w:r>
    </w:p>
    <w:p w14:paraId="19E2B32C" w14:textId="77777777" w:rsidR="00BD6050" w:rsidRPr="005420EF" w:rsidRDefault="00BD6050" w:rsidP="00537458">
      <w:pPr>
        <w:spacing w:before="240" w:after="240"/>
        <w:rPr>
          <w:rFonts w:cs="Arial"/>
          <w:szCs w:val="24"/>
        </w:rPr>
      </w:pPr>
    </w:p>
    <w:p w14:paraId="73B6C8A2" w14:textId="77777777" w:rsidR="00537458" w:rsidRPr="005420EF" w:rsidRDefault="00537458" w:rsidP="001B373C">
      <w:pPr>
        <w:pStyle w:val="Heading4"/>
      </w:pPr>
      <w:r w:rsidRPr="005420EF">
        <w:lastRenderedPageBreak/>
        <w:t>1.2 Annual Planning Meeting</w:t>
      </w:r>
    </w:p>
    <w:p w14:paraId="6506720E" w14:textId="0915DD93" w:rsidR="00BD6050" w:rsidRDefault="00537458" w:rsidP="00537458">
      <w:pPr>
        <w:spacing w:after="240"/>
        <w:rPr>
          <w:rFonts w:cs="Arial"/>
          <w:szCs w:val="24"/>
        </w:rPr>
      </w:pPr>
      <w:r w:rsidRPr="00BD6050">
        <w:rPr>
          <w:rFonts w:cs="Arial"/>
          <w:szCs w:val="24"/>
        </w:rPr>
        <w:t xml:space="preserve">The Technical Proposal must include a detailed plan to coordinate an Annual Planning meeting with </w:t>
      </w:r>
      <w:r w:rsidR="00935A33" w:rsidRPr="00BD6050">
        <w:rPr>
          <w:rFonts w:cs="Arial"/>
          <w:szCs w:val="24"/>
        </w:rPr>
        <w:t xml:space="preserve">the </w:t>
      </w:r>
      <w:r w:rsidRPr="00BD6050">
        <w:rPr>
          <w:rFonts w:cs="Arial"/>
          <w:szCs w:val="24"/>
        </w:rPr>
        <w:t>CDE</w:t>
      </w:r>
      <w:r w:rsidR="00935A33" w:rsidRPr="00BD6050">
        <w:rPr>
          <w:rFonts w:cs="Arial"/>
          <w:szCs w:val="24"/>
        </w:rPr>
        <w:t xml:space="preserve"> and the S-TAC</w:t>
      </w:r>
      <w:r w:rsidRPr="00BD6050">
        <w:rPr>
          <w:rFonts w:cs="Arial"/>
          <w:szCs w:val="24"/>
        </w:rPr>
        <w:t xml:space="preserve"> that is to occur no later than June 1 annually to confirm the procedures and timeline for implementing subsequent year activities. The Technical Proposal must ensure that all key personnel of the prime contractor and any subcontractor(s) including the management team (Project Manager, Fiscal Manager, and any other key personnel identified in </w:t>
      </w:r>
      <w:r w:rsidR="00292129" w:rsidRPr="00BD6050">
        <w:rPr>
          <w:rFonts w:cs="Arial"/>
          <w:szCs w:val="24"/>
        </w:rPr>
        <w:t xml:space="preserve">RFP </w:t>
      </w:r>
      <w:r w:rsidRPr="00BD6050">
        <w:rPr>
          <w:rFonts w:cs="Arial"/>
          <w:szCs w:val="24"/>
        </w:rPr>
        <w:t xml:space="preserve">Section </w:t>
      </w:r>
      <w:r w:rsidR="00CD2F48" w:rsidRPr="00BD6050">
        <w:rPr>
          <w:rFonts w:cs="Arial"/>
          <w:szCs w:val="24"/>
        </w:rPr>
        <w:t>3</w:t>
      </w:r>
      <w:r w:rsidRPr="00BD6050">
        <w:rPr>
          <w:rFonts w:cs="Arial"/>
          <w:szCs w:val="24"/>
        </w:rPr>
        <w:t xml:space="preserve">.1.3), task leaders, and significant subcontractors will meet with the CDE </w:t>
      </w:r>
      <w:r w:rsidR="00935A33" w:rsidRPr="00BD6050">
        <w:rPr>
          <w:rFonts w:cs="Arial"/>
          <w:szCs w:val="24"/>
        </w:rPr>
        <w:t xml:space="preserve">and the S-TAC </w:t>
      </w:r>
      <w:r w:rsidRPr="00BD6050">
        <w:rPr>
          <w:rFonts w:cs="Arial"/>
          <w:szCs w:val="24"/>
        </w:rPr>
        <w:t xml:space="preserve">for up to four hours </w:t>
      </w:r>
      <w:r w:rsidR="00F63351" w:rsidRPr="00BD6050">
        <w:rPr>
          <w:rFonts w:cs="Arial"/>
          <w:szCs w:val="24"/>
        </w:rPr>
        <w:t>via teleconference/videoconference</w:t>
      </w:r>
      <w:r w:rsidRPr="00BD6050">
        <w:rPr>
          <w:rFonts w:cs="Arial"/>
          <w:szCs w:val="24"/>
        </w:rPr>
        <w:t>.</w:t>
      </w:r>
    </w:p>
    <w:p w14:paraId="463BD44F" w14:textId="43C7DA17" w:rsidR="00537458" w:rsidRDefault="00537458" w:rsidP="00537458">
      <w:pPr>
        <w:spacing w:after="240"/>
      </w:pPr>
      <w:r w:rsidRPr="00BD6050">
        <w:rPr>
          <w:rFonts w:cs="Arial"/>
          <w:szCs w:val="24"/>
        </w:rPr>
        <w:t>The Technical Proposal must acknowledge and ensure that the meeting must address all tasks, timelines, questions, and concerns related to the project. The Technical Proposal must acknowledge and ensure that during the meeting, the successful bidder will provide a review of all tasks, timelines, task implementation, deliverables, and status as contained in the Technical Proposal. The successful bidder must develop the meeting agenda in coordination with the CDE</w:t>
      </w:r>
      <w:r w:rsidR="00660510" w:rsidRPr="00BD6050">
        <w:rPr>
          <w:rFonts w:cs="Arial"/>
          <w:szCs w:val="24"/>
        </w:rPr>
        <w:t xml:space="preserve"> and the S-TAC</w:t>
      </w:r>
      <w:r w:rsidRPr="00BD6050">
        <w:rPr>
          <w:rFonts w:cs="Arial"/>
          <w:szCs w:val="24"/>
        </w:rPr>
        <w:t>, take minutes, and, within five working days after the meeting, submit the meeting minutes to the CDE</w:t>
      </w:r>
      <w:r w:rsidR="00660510" w:rsidRPr="00BD6050">
        <w:rPr>
          <w:rFonts w:cs="Arial"/>
          <w:szCs w:val="24"/>
        </w:rPr>
        <w:t xml:space="preserve"> and the S-TAC</w:t>
      </w:r>
      <w:r w:rsidRPr="00BD6050">
        <w:rPr>
          <w:rFonts w:cs="Arial"/>
          <w:szCs w:val="24"/>
        </w:rPr>
        <w:t xml:space="preserve"> by email for review and approval. </w:t>
      </w:r>
      <w:r w:rsidRPr="00BD6050">
        <w:t>The agenda must include the status of all pending activities along with the deadline and person(s) assigned to each activity. The bidder must budget for these meetings and include all costs in the cost proposal. Do not include any cost information in the Technical Proposal.</w:t>
      </w:r>
    </w:p>
    <w:p w14:paraId="004CA302" w14:textId="3FFA5A44" w:rsidR="00537458" w:rsidRPr="00BD6050" w:rsidRDefault="00537458" w:rsidP="001B373C">
      <w:pPr>
        <w:pStyle w:val="Heading4"/>
      </w:pPr>
      <w:r w:rsidRPr="00BD6050">
        <w:t>1.3 Management Meetings</w:t>
      </w:r>
    </w:p>
    <w:p w14:paraId="17164212" w14:textId="258502D2" w:rsidR="00537458" w:rsidRDefault="00537458" w:rsidP="00537458">
      <w:pPr>
        <w:widowControl w:val="0"/>
        <w:spacing w:after="240"/>
      </w:pPr>
      <w:r w:rsidRPr="00BD6050">
        <w:rPr>
          <w:rFonts w:cs="Arial"/>
          <w:szCs w:val="24"/>
        </w:rPr>
        <w:t>The Technical Proposal must include a plan to hold quarterly management meetings between the CDE</w:t>
      </w:r>
      <w:r w:rsidR="00660510" w:rsidRPr="00BD6050">
        <w:rPr>
          <w:rFonts w:cs="Arial"/>
          <w:szCs w:val="24"/>
        </w:rPr>
        <w:t>, the S-TAC</w:t>
      </w:r>
      <w:r w:rsidRPr="00BD6050">
        <w:rPr>
          <w:rFonts w:cs="Arial"/>
          <w:szCs w:val="24"/>
        </w:rPr>
        <w:t xml:space="preserve"> and the successful bidder’s Project Manager to review and discuss task implementation and status. The Technical Proposal must acknowledge and ensure that the successful bidder’s key personnel, including staff and any proposed subcontractors, will be present. The meetings </w:t>
      </w:r>
      <w:r w:rsidR="00073140">
        <w:rPr>
          <w:rFonts w:cs="Arial"/>
          <w:szCs w:val="24"/>
        </w:rPr>
        <w:t>will</w:t>
      </w:r>
      <w:r w:rsidRPr="00BD6050">
        <w:rPr>
          <w:rFonts w:cs="Arial"/>
          <w:szCs w:val="24"/>
        </w:rPr>
        <w:t xml:space="preserve"> be conducted via teleconference</w:t>
      </w:r>
      <w:r w:rsidR="00660510" w:rsidRPr="00BD6050">
        <w:rPr>
          <w:rFonts w:cs="Arial"/>
          <w:szCs w:val="24"/>
        </w:rPr>
        <w:t>/videoconference</w:t>
      </w:r>
      <w:r w:rsidRPr="00BD6050">
        <w:rPr>
          <w:rFonts w:cs="Arial"/>
          <w:szCs w:val="24"/>
        </w:rPr>
        <w:t>. The successful bidder must develop the meeting agenda in coordination with the CDE</w:t>
      </w:r>
      <w:r w:rsidR="00660510" w:rsidRPr="00BD6050">
        <w:rPr>
          <w:rFonts w:cs="Arial"/>
          <w:szCs w:val="24"/>
        </w:rPr>
        <w:t xml:space="preserve"> and the S-TAC</w:t>
      </w:r>
      <w:r w:rsidRPr="00BD6050">
        <w:rPr>
          <w:rFonts w:cs="Arial"/>
          <w:szCs w:val="24"/>
        </w:rPr>
        <w:t>, take minutes, and, within five working days after the meeting, submit the meeting minutes to the CDE</w:t>
      </w:r>
      <w:r w:rsidR="00660510" w:rsidRPr="00BD6050">
        <w:rPr>
          <w:rFonts w:cs="Arial"/>
          <w:szCs w:val="24"/>
        </w:rPr>
        <w:t xml:space="preserve"> and the S-TAC</w:t>
      </w:r>
      <w:r w:rsidRPr="00BD6050">
        <w:rPr>
          <w:rFonts w:cs="Arial"/>
          <w:szCs w:val="24"/>
        </w:rPr>
        <w:t xml:space="preserve"> by email for review and approval. The agenda must include but is not limited to the status of all pending activities along with deadline, status, issue(s), and person(s) assigned to each activity.</w:t>
      </w:r>
      <w:r w:rsidRPr="00BD6050">
        <w:t xml:space="preserve"> The bidder must budget for these meetings and include all costs in the cost proposal. Do not include any cost information in the Technical Proposal.</w:t>
      </w:r>
    </w:p>
    <w:p w14:paraId="4BF164D0" w14:textId="67533D58" w:rsidR="00537458" w:rsidRDefault="00537458" w:rsidP="001B373C">
      <w:pPr>
        <w:pStyle w:val="Heading4"/>
      </w:pPr>
      <w:r w:rsidRPr="0019080F">
        <w:t xml:space="preserve">1.4 </w:t>
      </w:r>
      <w:r w:rsidR="00660510" w:rsidRPr="00742A94">
        <w:t>Communication, Coordination and Collaboration with the S-TAC and R-TAC Partners</w:t>
      </w:r>
    </w:p>
    <w:p w14:paraId="6B9DDD18" w14:textId="0891ECAD" w:rsidR="00660510" w:rsidRDefault="42D25C9F" w:rsidP="562F6D1D">
      <w:pPr>
        <w:spacing w:before="240" w:after="240"/>
        <w:rPr>
          <w:rFonts w:cs="Arial"/>
        </w:rPr>
      </w:pPr>
      <w:r w:rsidRPr="16E62954">
        <w:rPr>
          <w:rFonts w:cs="Arial"/>
        </w:rPr>
        <w:t xml:space="preserve">The </w:t>
      </w:r>
      <w:r w:rsidR="275BBEAA" w:rsidRPr="16E62954">
        <w:rPr>
          <w:rFonts w:cs="Arial"/>
        </w:rPr>
        <w:t xml:space="preserve">Technical Proposal must include a plan for how the </w:t>
      </w:r>
      <w:r w:rsidRPr="16E62954">
        <w:rPr>
          <w:rFonts w:cs="Arial"/>
        </w:rPr>
        <w:t xml:space="preserve">successful bidder </w:t>
      </w:r>
      <w:r w:rsidR="275BBEAA" w:rsidRPr="16E62954">
        <w:rPr>
          <w:rFonts w:cs="Arial"/>
        </w:rPr>
        <w:t>will</w:t>
      </w:r>
      <w:r w:rsidRPr="16E62954">
        <w:rPr>
          <w:rFonts w:cs="Arial"/>
        </w:rPr>
        <w:t xml:space="preserve"> hold </w:t>
      </w:r>
      <w:r w:rsidR="00E2460C" w:rsidRPr="16E62954">
        <w:rPr>
          <w:rFonts w:cs="Arial"/>
        </w:rPr>
        <w:t>virtual meetings</w:t>
      </w:r>
      <w:r w:rsidR="6607112C" w:rsidRPr="16E62954">
        <w:rPr>
          <w:rFonts w:cs="Arial"/>
        </w:rPr>
        <w:t xml:space="preserve"> during the dev</w:t>
      </w:r>
      <w:r w:rsidR="3E2E4DEA" w:rsidRPr="16E62954">
        <w:rPr>
          <w:rFonts w:cs="Arial"/>
        </w:rPr>
        <w:t>elo</w:t>
      </w:r>
      <w:r w:rsidR="6607112C" w:rsidRPr="16E62954">
        <w:rPr>
          <w:rFonts w:cs="Arial"/>
        </w:rPr>
        <w:t>pment phase</w:t>
      </w:r>
      <w:r w:rsidR="3DB60E42" w:rsidRPr="16E62954">
        <w:rPr>
          <w:rFonts w:cs="Arial"/>
        </w:rPr>
        <w:t xml:space="preserve"> </w:t>
      </w:r>
      <w:r w:rsidR="07526AE7" w:rsidRPr="16E62954">
        <w:rPr>
          <w:rFonts w:cs="Arial"/>
        </w:rPr>
        <w:t xml:space="preserve">and </w:t>
      </w:r>
      <w:r w:rsidR="00047A0A">
        <w:rPr>
          <w:rFonts w:cs="Arial"/>
        </w:rPr>
        <w:t xml:space="preserve">how the virtual meetings will </w:t>
      </w:r>
      <w:r w:rsidR="07526AE7" w:rsidRPr="16E62954">
        <w:rPr>
          <w:rFonts w:cs="Arial"/>
        </w:rPr>
        <w:t>reduc</w:t>
      </w:r>
      <w:r w:rsidR="00047A0A">
        <w:rPr>
          <w:rFonts w:cs="Arial"/>
        </w:rPr>
        <w:t>e</w:t>
      </w:r>
      <w:r w:rsidR="07526AE7" w:rsidRPr="16E62954">
        <w:rPr>
          <w:rFonts w:cs="Arial"/>
        </w:rPr>
        <w:t xml:space="preserve"> in frequency</w:t>
      </w:r>
      <w:r w:rsidR="087FD37F" w:rsidRPr="16E62954">
        <w:rPr>
          <w:rFonts w:cs="Arial"/>
        </w:rPr>
        <w:t xml:space="preserve"> after development has concluded.</w:t>
      </w:r>
      <w:r w:rsidR="07526AE7" w:rsidRPr="16E62954">
        <w:rPr>
          <w:rFonts w:cs="Arial"/>
        </w:rPr>
        <w:t xml:space="preserve"> </w:t>
      </w:r>
      <w:r w:rsidR="3DB60E42" w:rsidRPr="16E62954">
        <w:rPr>
          <w:rFonts w:cs="Arial"/>
        </w:rPr>
        <w:t xml:space="preserve"> </w:t>
      </w:r>
      <w:r w:rsidR="64818AAF" w:rsidRPr="16E62954">
        <w:rPr>
          <w:rFonts w:cs="Arial"/>
        </w:rPr>
        <w:t xml:space="preserve">These meetings are </w:t>
      </w:r>
      <w:r w:rsidR="3DB60E42" w:rsidRPr="16E62954">
        <w:rPr>
          <w:rFonts w:cs="Arial"/>
        </w:rPr>
        <w:t xml:space="preserve">to </w:t>
      </w:r>
      <w:r w:rsidRPr="16E62954">
        <w:rPr>
          <w:rFonts w:cs="Arial"/>
        </w:rPr>
        <w:t xml:space="preserve">coordinate </w:t>
      </w:r>
      <w:r w:rsidR="275BBEAA" w:rsidRPr="16E62954">
        <w:rPr>
          <w:rFonts w:cs="Arial"/>
        </w:rPr>
        <w:t>communications around</w:t>
      </w:r>
      <w:r w:rsidR="44BFCBAC" w:rsidRPr="16E62954">
        <w:rPr>
          <w:rFonts w:cs="Arial"/>
        </w:rPr>
        <w:t xml:space="preserve"> </w:t>
      </w:r>
      <w:r w:rsidRPr="16E62954">
        <w:rPr>
          <w:rFonts w:cs="Arial"/>
        </w:rPr>
        <w:t>the formative evaluation</w:t>
      </w:r>
      <w:r w:rsidR="3DB60E42" w:rsidRPr="16E62954">
        <w:rPr>
          <w:rFonts w:cs="Arial"/>
        </w:rPr>
        <w:t xml:space="preserve"> and data collection</w:t>
      </w:r>
      <w:r w:rsidRPr="16E62954">
        <w:rPr>
          <w:rFonts w:cs="Arial"/>
        </w:rPr>
        <w:t xml:space="preserve"> with the CDE, the S-TAC and</w:t>
      </w:r>
      <w:r w:rsidR="3DB60E42" w:rsidRPr="16E62954">
        <w:rPr>
          <w:rFonts w:cs="Arial"/>
        </w:rPr>
        <w:t xml:space="preserve"> the eight </w:t>
      </w:r>
      <w:r w:rsidRPr="16E62954">
        <w:rPr>
          <w:rFonts w:cs="Arial"/>
        </w:rPr>
        <w:t xml:space="preserve">R-TAC partners during the contract period. </w:t>
      </w:r>
      <w:r w:rsidR="275BBEAA" w:rsidRPr="16E62954">
        <w:rPr>
          <w:rFonts w:cs="Arial"/>
        </w:rPr>
        <w:t>The Technical Proposal must describe in detail how the successful bidder will use</w:t>
      </w:r>
      <w:r w:rsidR="684658F0" w:rsidRPr="16E62954">
        <w:rPr>
          <w:rFonts w:cs="Arial"/>
        </w:rPr>
        <w:t xml:space="preserve"> a train the trainer model, </w:t>
      </w:r>
      <w:r w:rsidR="275BBEAA" w:rsidRPr="16E62954">
        <w:rPr>
          <w:rFonts w:cs="Arial"/>
        </w:rPr>
        <w:t xml:space="preserve">to ensure that </w:t>
      </w:r>
      <w:r w:rsidR="684658F0" w:rsidRPr="16E62954">
        <w:rPr>
          <w:rFonts w:cs="Arial"/>
        </w:rPr>
        <w:t>t</w:t>
      </w:r>
      <w:r w:rsidR="091086B6" w:rsidRPr="16E62954">
        <w:rPr>
          <w:rFonts w:cs="Arial"/>
        </w:rPr>
        <w:t xml:space="preserve">his task is focused on </w:t>
      </w:r>
      <w:r w:rsidR="44BFCBAC" w:rsidRPr="16E62954">
        <w:rPr>
          <w:rFonts w:cs="Arial"/>
        </w:rPr>
        <w:t xml:space="preserve">educating and </w:t>
      </w:r>
      <w:r w:rsidR="091086B6" w:rsidRPr="16E62954">
        <w:rPr>
          <w:rFonts w:cs="Arial"/>
        </w:rPr>
        <w:t xml:space="preserve">collaborating with the R-TACs </w:t>
      </w:r>
      <w:r w:rsidR="684658F0" w:rsidRPr="16E62954">
        <w:rPr>
          <w:rFonts w:cs="Arial"/>
        </w:rPr>
        <w:t xml:space="preserve">to communicate and support grantees that will be completing pieces of the evaluation and </w:t>
      </w:r>
      <w:r w:rsidR="091086B6" w:rsidRPr="16E62954">
        <w:rPr>
          <w:rFonts w:cs="Arial"/>
        </w:rPr>
        <w:t xml:space="preserve">data collection. </w:t>
      </w:r>
      <w:r w:rsidRPr="16E62954">
        <w:rPr>
          <w:rFonts w:cs="Arial"/>
        </w:rPr>
        <w:t>The</w:t>
      </w:r>
      <w:r w:rsidR="275BBEAA" w:rsidRPr="16E62954">
        <w:rPr>
          <w:rFonts w:cs="Arial"/>
        </w:rPr>
        <w:t xml:space="preserve"> Technical Proposal must describe in detail how the successful</w:t>
      </w:r>
      <w:r w:rsidRPr="16E62954">
        <w:rPr>
          <w:rFonts w:cs="Arial"/>
        </w:rPr>
        <w:t xml:space="preserve"> bidder </w:t>
      </w:r>
      <w:r w:rsidR="275BBEAA" w:rsidRPr="16E62954">
        <w:rPr>
          <w:rFonts w:cs="Arial"/>
        </w:rPr>
        <w:t xml:space="preserve">will </w:t>
      </w:r>
      <w:r w:rsidRPr="16E62954">
        <w:rPr>
          <w:rFonts w:cs="Arial"/>
        </w:rPr>
        <w:t xml:space="preserve">provide technical assistance on any tool </w:t>
      </w:r>
      <w:r w:rsidR="275BBEAA" w:rsidRPr="16E62954">
        <w:rPr>
          <w:rFonts w:cs="Arial"/>
        </w:rPr>
        <w:t>it</w:t>
      </w:r>
      <w:r w:rsidRPr="16E62954">
        <w:rPr>
          <w:rFonts w:cs="Arial"/>
        </w:rPr>
        <w:t xml:space="preserve"> develops in response to this project.</w:t>
      </w:r>
    </w:p>
    <w:p w14:paraId="234AB52B" w14:textId="762E8A78" w:rsidR="008703DF" w:rsidRPr="00637549" w:rsidRDefault="008703DF" w:rsidP="00660510">
      <w:pPr>
        <w:spacing w:before="240" w:after="240"/>
      </w:pPr>
      <w:r w:rsidRPr="008703DF">
        <w:rPr>
          <w:rFonts w:cs="Arial"/>
          <w:szCs w:val="24"/>
        </w:rPr>
        <w:lastRenderedPageBreak/>
        <w:t xml:space="preserve">The </w:t>
      </w:r>
      <w:r w:rsidR="00AD59E0">
        <w:rPr>
          <w:rFonts w:cs="Arial"/>
          <w:szCs w:val="24"/>
        </w:rPr>
        <w:t xml:space="preserve">Technical Proposal must acknowledge and ensure that these </w:t>
      </w:r>
      <w:r w:rsidRPr="008703DF">
        <w:rPr>
          <w:rFonts w:cs="Arial"/>
          <w:szCs w:val="24"/>
        </w:rPr>
        <w:t xml:space="preserve">meetings will be conducted via teleconference/videoconference. The </w:t>
      </w:r>
      <w:r w:rsidR="00AD59E0">
        <w:rPr>
          <w:rFonts w:cs="Arial"/>
          <w:szCs w:val="24"/>
        </w:rPr>
        <w:t>Technical Proposal must acknowledge and ensure that the</w:t>
      </w:r>
      <w:r w:rsidR="00AD59E0" w:rsidRPr="008703DF">
        <w:rPr>
          <w:rFonts w:cs="Arial"/>
          <w:szCs w:val="24"/>
        </w:rPr>
        <w:t xml:space="preserve"> </w:t>
      </w:r>
      <w:r w:rsidRPr="008703DF">
        <w:rPr>
          <w:rFonts w:cs="Arial"/>
          <w:szCs w:val="24"/>
        </w:rPr>
        <w:t xml:space="preserve">successful bidder </w:t>
      </w:r>
      <w:r w:rsidR="00AD59E0">
        <w:rPr>
          <w:rFonts w:cs="Arial"/>
          <w:szCs w:val="24"/>
        </w:rPr>
        <w:t>will</w:t>
      </w:r>
      <w:r w:rsidRPr="008703DF">
        <w:rPr>
          <w:rFonts w:cs="Arial"/>
          <w:szCs w:val="24"/>
        </w:rPr>
        <w:t xml:space="preserve"> develop the meeting agenda in coordination with the CDE and the S-TAC, take minutes, and, within five working days after the meeting, submit the meeting minutes to the CDE and the S-TAC by email for review and approval.</w:t>
      </w:r>
      <w:r>
        <w:rPr>
          <w:rFonts w:cs="Arial"/>
          <w:szCs w:val="24"/>
        </w:rPr>
        <w:t xml:space="preserve"> The </w:t>
      </w:r>
      <w:r w:rsidR="00AD59E0">
        <w:rPr>
          <w:rFonts w:cs="Arial"/>
          <w:szCs w:val="24"/>
        </w:rPr>
        <w:t xml:space="preserve">Technical Proposal must acknowledge and ensure that it will cover topics requested by the </w:t>
      </w:r>
      <w:r>
        <w:rPr>
          <w:rFonts w:cs="Arial"/>
          <w:szCs w:val="24"/>
        </w:rPr>
        <w:t>CDE and S-TAC.</w:t>
      </w:r>
    </w:p>
    <w:p w14:paraId="3CB5D302" w14:textId="77777777" w:rsidR="00537458" w:rsidRPr="00BC514B" w:rsidRDefault="00537458" w:rsidP="001B373C">
      <w:pPr>
        <w:pStyle w:val="Heading4"/>
        <w:rPr>
          <w:snapToGrid w:val="0"/>
        </w:rPr>
      </w:pPr>
      <w:r>
        <w:rPr>
          <w:snapToGrid w:val="0"/>
        </w:rPr>
        <w:t>1.5 CDE Approval Schedule Requirements</w:t>
      </w:r>
    </w:p>
    <w:p w14:paraId="266CC7A6" w14:textId="128B410E" w:rsidR="00537458" w:rsidRPr="00152C31" w:rsidRDefault="00537458" w:rsidP="00537458">
      <w:pPr>
        <w:spacing w:after="240"/>
      </w:pPr>
      <w:r w:rsidRPr="00B23666">
        <w:t xml:space="preserve">The Technical Proposal must acknowledge and ensure the successful bidder will consult with the CDE during all work performed during this contract. </w:t>
      </w:r>
      <w:r w:rsidRPr="00152C31">
        <w:t xml:space="preserve">The CDE has an established review and approval process to document all final deliverables. This process consists of the review of the deliverable by CDE staff and the approval of the deliverable by the CDE Contract Monitor. This process will be further discussed by the CDE at the orientation meeting. The successful bidder must have thoroughly vetted all deliverables to ensure they are of high quality prior to submitting them to the CDE. The Technical Proposal must include a plan for complying with the CDE review and approval process as well as the CDE Approval Schedule Requirements. The Technical Proposal must acknowledge and ensure that the CDE must approve all materials and/or deliverables developed in conjunction with this contract. </w:t>
      </w:r>
      <w:r w:rsidRPr="00152C31">
        <w:rPr>
          <w:rFonts w:cs="Arial"/>
        </w:rPr>
        <w:t xml:space="preserve">The Technical Proposal must acknowledge and ensure that the successful </w:t>
      </w:r>
      <w:r w:rsidRPr="00152C31">
        <w:t>bidder may not disseminate any written information, materials, or deliverables to the field, public, or any other third party without the CDE’s prior written approval.</w:t>
      </w:r>
    </w:p>
    <w:p w14:paraId="3633EF91" w14:textId="77777777" w:rsidR="00537458" w:rsidRPr="00152C31" w:rsidRDefault="00537458" w:rsidP="00537458">
      <w:pPr>
        <w:spacing w:after="240"/>
      </w:pPr>
      <w:r w:rsidRPr="00152C31">
        <w:t>The Technical Proposal must acknowledge and ensure that all materials and/or deliverables submitted to the CDE have been reviewed and approved by the successful bidder’s Project Manager, are free of any typographical or grammatical errors, and are presented in a professional format in adherence with the CDE required style. The Technical Proposal must specify that the bidder will:</w:t>
      </w:r>
    </w:p>
    <w:p w14:paraId="017A535D" w14:textId="77777777" w:rsidR="00537458" w:rsidRPr="00152C31" w:rsidRDefault="00537458" w:rsidP="00132985">
      <w:pPr>
        <w:pStyle w:val="ListParagraph"/>
        <w:numPr>
          <w:ilvl w:val="0"/>
          <w:numId w:val="30"/>
        </w:numPr>
        <w:spacing w:after="240"/>
        <w:contextualSpacing w:val="0"/>
      </w:pPr>
      <w:r w:rsidRPr="00152C31">
        <w:t>Meet all the requirements for each deliverable as specified in the Scope of Project.</w:t>
      </w:r>
    </w:p>
    <w:p w14:paraId="4CDCC76A" w14:textId="77777777" w:rsidR="00537458" w:rsidRPr="00152C31" w:rsidRDefault="00537458" w:rsidP="00132985">
      <w:pPr>
        <w:pStyle w:val="ListParagraph"/>
        <w:numPr>
          <w:ilvl w:val="0"/>
          <w:numId w:val="30"/>
        </w:numPr>
        <w:spacing w:after="240"/>
        <w:contextualSpacing w:val="0"/>
      </w:pPr>
      <w:r w:rsidRPr="00152C31">
        <w:t>Submit deliverables that are consistent with and do not conflict with any previously approved deliverable.</w:t>
      </w:r>
    </w:p>
    <w:p w14:paraId="4CDB02ED" w14:textId="2BD2BA9D" w:rsidR="00537458" w:rsidRPr="00152C31" w:rsidRDefault="00537458" w:rsidP="00132985">
      <w:pPr>
        <w:pStyle w:val="ListParagraph"/>
        <w:numPr>
          <w:ilvl w:val="0"/>
          <w:numId w:val="30"/>
        </w:numPr>
        <w:spacing w:after="240"/>
        <w:contextualSpacing w:val="0"/>
      </w:pPr>
      <w:r w:rsidRPr="00152C31">
        <w:t xml:space="preserve">Meet the requirements of the CDE Correspondence Guide and the CDE Style Manual which can be found at </w:t>
      </w:r>
      <w:hyperlink r:id="rId31" w:tooltip="CDE Style Manual " w:history="1">
        <w:r w:rsidR="007C07A0" w:rsidRPr="0050695F">
          <w:rPr>
            <w:rStyle w:val="Hyperlink"/>
          </w:rPr>
          <w:t>http://www.cde.ca.gov/re/pn/st/</w:t>
        </w:r>
      </w:hyperlink>
      <w:r w:rsidR="007C07A0">
        <w:t>.</w:t>
      </w:r>
    </w:p>
    <w:p w14:paraId="090C261A" w14:textId="77777777" w:rsidR="00537458" w:rsidRPr="00152C31" w:rsidRDefault="00537458" w:rsidP="00132985">
      <w:pPr>
        <w:pStyle w:val="ListParagraph"/>
        <w:numPr>
          <w:ilvl w:val="0"/>
          <w:numId w:val="30"/>
        </w:numPr>
        <w:spacing w:after="240"/>
        <w:contextualSpacing w:val="0"/>
      </w:pPr>
      <w:r w:rsidRPr="00152C31">
        <w:t>Ensure all task information provided has been reviewed and is accurate for each deliverable as specified in the Scope of Project.</w:t>
      </w:r>
    </w:p>
    <w:p w14:paraId="321E6B6B" w14:textId="2886B950" w:rsidR="00537458" w:rsidRPr="00152C31" w:rsidRDefault="00537458" w:rsidP="00132985">
      <w:pPr>
        <w:pStyle w:val="ListParagraph"/>
        <w:numPr>
          <w:ilvl w:val="0"/>
          <w:numId w:val="30"/>
        </w:numPr>
        <w:spacing w:after="240"/>
        <w:contextualSpacing w:val="0"/>
      </w:pPr>
      <w:r w:rsidRPr="00152C31">
        <w:t xml:space="preserve">Ensure that all deliverables are consistent with data file requirements as specified in RFP Section </w:t>
      </w:r>
      <w:r w:rsidR="00F766B4">
        <w:t>7</w:t>
      </w:r>
      <w:r w:rsidRPr="00152C31">
        <w:t>, Task 2.</w:t>
      </w:r>
      <w:r w:rsidR="006E1B72">
        <w:t>3</w:t>
      </w:r>
      <w:r w:rsidR="00A82C88" w:rsidRPr="00152C31">
        <w:t xml:space="preserve"> </w:t>
      </w:r>
      <w:r w:rsidRPr="00152C31">
        <w:t xml:space="preserve">– Data Files, </w:t>
      </w:r>
      <w:r w:rsidRPr="00B23666">
        <w:t>Rep</w:t>
      </w:r>
      <w:r w:rsidRPr="00B60676">
        <w:t>orts, and</w:t>
      </w:r>
      <w:r w:rsidRPr="00152C31">
        <w:t xml:space="preserve"> Final Documents.</w:t>
      </w:r>
    </w:p>
    <w:p w14:paraId="540BB5A5" w14:textId="77777777" w:rsidR="00537458" w:rsidRPr="00CE6A93" w:rsidRDefault="00537458" w:rsidP="00132985">
      <w:pPr>
        <w:pStyle w:val="ListParagraph"/>
        <w:numPr>
          <w:ilvl w:val="0"/>
          <w:numId w:val="30"/>
        </w:numPr>
        <w:spacing w:after="240"/>
        <w:contextualSpacing w:val="0"/>
      </w:pPr>
      <w:r w:rsidRPr="00152C31">
        <w:t xml:space="preserve">Ensure that </w:t>
      </w:r>
      <w:r w:rsidRPr="00CE6A93">
        <w:t>all deliverables are consistent with and do not conflict with state or federal law, state regulations, and/or State Board of Education actions.</w:t>
      </w:r>
    </w:p>
    <w:p w14:paraId="6044699C" w14:textId="60CA1903" w:rsidR="00537458" w:rsidRPr="00CE6A93" w:rsidRDefault="00537458" w:rsidP="00132985">
      <w:pPr>
        <w:pStyle w:val="ListParagraph"/>
        <w:numPr>
          <w:ilvl w:val="0"/>
          <w:numId w:val="30"/>
        </w:numPr>
        <w:spacing w:after="240"/>
        <w:contextualSpacing w:val="0"/>
      </w:pPr>
      <w:r w:rsidRPr="00CE6A93">
        <w:t xml:space="preserve">Submit deliverables in a timely manner consistent with the CDE review and approval process as well as the CDE Approved Schedule Requirements and due dates as specified in the Section </w:t>
      </w:r>
      <w:r w:rsidR="00DC395C" w:rsidRPr="00CE6A93">
        <w:t>7</w:t>
      </w:r>
      <w:r w:rsidRPr="00CE6A93">
        <w:t xml:space="preserve"> Scope of Project, state or federal law, and/or state regulations.</w:t>
      </w:r>
    </w:p>
    <w:p w14:paraId="3B946A60" w14:textId="44D9D072" w:rsidR="00537458" w:rsidRPr="00152C31" w:rsidRDefault="00537458" w:rsidP="00132985">
      <w:pPr>
        <w:pStyle w:val="ListParagraph"/>
        <w:numPr>
          <w:ilvl w:val="0"/>
          <w:numId w:val="30"/>
        </w:numPr>
        <w:spacing w:after="240"/>
        <w:contextualSpacing w:val="0"/>
      </w:pPr>
      <w:r w:rsidRPr="00CE6A93">
        <w:lastRenderedPageBreak/>
        <w:t xml:space="preserve">Adhere to the CDE Web Standards including tags for accessibility for all deliverables, including all technical reports and special studies, CDE </w:t>
      </w:r>
      <w:r w:rsidR="00E4342D" w:rsidRPr="00CE6A93">
        <w:t>w</w:t>
      </w:r>
      <w:r w:rsidRPr="00CE6A93">
        <w:t xml:space="preserve">eb </w:t>
      </w:r>
      <w:r w:rsidR="00E4342D">
        <w:t>s</w:t>
      </w:r>
      <w:r w:rsidRPr="00152C31">
        <w:t xml:space="preserve">tandards which can be found at </w:t>
      </w:r>
      <w:hyperlink r:id="rId32" w:tooltip="CDE web standards " w:history="1">
        <w:r w:rsidR="007C07A0" w:rsidRPr="0050695F">
          <w:rPr>
            <w:rStyle w:val="Hyperlink"/>
          </w:rPr>
          <w:t>http://www.cde.ca.gov/re/di/ws/webstandards.asp</w:t>
        </w:r>
      </w:hyperlink>
      <w:r w:rsidR="007C07A0">
        <w:t>.</w:t>
      </w:r>
    </w:p>
    <w:p w14:paraId="47C1C382" w14:textId="77777777" w:rsidR="00537458" w:rsidRPr="00152C31" w:rsidRDefault="00537458" w:rsidP="00132985">
      <w:pPr>
        <w:pStyle w:val="ListParagraph"/>
        <w:numPr>
          <w:ilvl w:val="0"/>
          <w:numId w:val="30"/>
        </w:numPr>
        <w:spacing w:after="240"/>
        <w:contextualSpacing w:val="0"/>
      </w:pPr>
      <w:r w:rsidRPr="00152C31">
        <w:rPr>
          <w:rFonts w:cs="Arial"/>
          <w:szCs w:val="24"/>
        </w:rPr>
        <w:t>Occasional deliverable/report content edits may be required; the CDE reserves the right to modify all project related deliverables after review.</w:t>
      </w:r>
    </w:p>
    <w:p w14:paraId="6F763BDF" w14:textId="3A0CB9B2" w:rsidR="00537458" w:rsidRPr="00152C31" w:rsidRDefault="00537458" w:rsidP="00537458">
      <w:pPr>
        <w:spacing w:after="240"/>
      </w:pPr>
      <w:r w:rsidRPr="00152C31">
        <w:t>Unless otherwise specified in this RFP or agreed to in writing by the CDE, the Technical Proposal must acknowledge that the successful bidder will:</w:t>
      </w:r>
    </w:p>
    <w:p w14:paraId="25E3DE90" w14:textId="3DB2F33D" w:rsidR="00537458" w:rsidRPr="00152C31" w:rsidRDefault="00537458" w:rsidP="00132985">
      <w:pPr>
        <w:pStyle w:val="ListParagraph"/>
        <w:numPr>
          <w:ilvl w:val="0"/>
          <w:numId w:val="31"/>
        </w:numPr>
        <w:spacing w:after="240"/>
        <w:contextualSpacing w:val="0"/>
      </w:pPr>
      <w:r w:rsidRPr="00152C31">
        <w:t>Ensure that there are no fewer than 10 working days for the CDE to initially review any finalized deliverable that has been previously reviewed and approved by the successful bidder’s Project Manager prior to submission to the CDE</w:t>
      </w:r>
      <w:r w:rsidR="00DD74CA">
        <w:t>,</w:t>
      </w:r>
    </w:p>
    <w:p w14:paraId="31DDFA3A" w14:textId="6D20F73C" w:rsidR="00537458" w:rsidRPr="00152C31" w:rsidRDefault="00537458" w:rsidP="00132985">
      <w:pPr>
        <w:pStyle w:val="ListParagraph"/>
        <w:numPr>
          <w:ilvl w:val="0"/>
          <w:numId w:val="31"/>
        </w:numPr>
        <w:spacing w:after="240"/>
        <w:contextualSpacing w:val="0"/>
      </w:pPr>
      <w:r w:rsidRPr="00152C31">
        <w:t>Ensure that the successful bidder will make all modifications within five working days from receipt of the changes directed by the CDE</w:t>
      </w:r>
      <w:r w:rsidR="00DD74CA">
        <w:t>,</w:t>
      </w:r>
      <w:r w:rsidR="00DD74CA" w:rsidRPr="00152C31">
        <w:t xml:space="preserve"> </w:t>
      </w:r>
      <w:r w:rsidRPr="00152C31">
        <w:t>and</w:t>
      </w:r>
    </w:p>
    <w:p w14:paraId="2BD55A97" w14:textId="6318D9FC" w:rsidR="00537458" w:rsidRPr="00152C31" w:rsidRDefault="00537458" w:rsidP="00132985">
      <w:pPr>
        <w:pStyle w:val="ListParagraph"/>
        <w:numPr>
          <w:ilvl w:val="0"/>
          <w:numId w:val="31"/>
        </w:numPr>
        <w:spacing w:after="240"/>
        <w:contextualSpacing w:val="0"/>
      </w:pPr>
      <w:r w:rsidRPr="00152C31">
        <w:t xml:space="preserve">Ensure that the successful bidder will allow the CDE at least five working days to review, and the CDE Contract Monitor </w:t>
      </w:r>
      <w:r w:rsidR="00E4342D">
        <w:t xml:space="preserve">to </w:t>
      </w:r>
      <w:r w:rsidRPr="00152C31">
        <w:t>approve, the modified deliverable that has been reviewed and approved by the successful bidder’s Project Manager prior to re-submission to the CDE.</w:t>
      </w:r>
    </w:p>
    <w:p w14:paraId="33010C54" w14:textId="36BBF8F7" w:rsidR="00537458" w:rsidRPr="00152C31" w:rsidRDefault="00537458" w:rsidP="00537458">
      <w:pPr>
        <w:pStyle w:val="ListParagraph"/>
        <w:spacing w:after="240"/>
        <w:ind w:left="0"/>
        <w:contextualSpacing w:val="0"/>
      </w:pPr>
      <w:r w:rsidRPr="00152C31">
        <w:t>The Technical Proposal must ensure that there are no less than 30 working days for the CDE</w:t>
      </w:r>
      <w:r w:rsidR="00047A0A">
        <w:t>’s</w:t>
      </w:r>
      <w:r w:rsidRPr="00152C31">
        <w:t xml:space="preserve"> initial review of final drafts that have been reviewed and approved by the successful bidder’s Project Manager prior to submission to the CDE.</w:t>
      </w:r>
    </w:p>
    <w:p w14:paraId="4A42B234" w14:textId="4535B930" w:rsidR="00537458" w:rsidRPr="00152C31" w:rsidRDefault="00537458" w:rsidP="00537458">
      <w:pPr>
        <w:spacing w:after="240"/>
      </w:pPr>
      <w:r w:rsidRPr="00152C31">
        <w:t xml:space="preserve">The Technical Proposal must include a process to document all approvals, the CDE-requested modifications, and disapprovals from the CDE in writing. If the CDE rejects a deliverable or product as unacceptable, the successful bidder shall make required modifications within the time frame required by the CDE. An approval/sign-off for any deliverable will be provided only when the CDE is satisfied with the deliverable. The successful bidder is responsible for any costs associated with making modifications to deliverables necessary to obtain the CDE approval. (See RFP Section </w:t>
      </w:r>
      <w:r w:rsidR="00CD2F48">
        <w:t>3</w:t>
      </w:r>
      <w:r w:rsidRPr="00152C31">
        <w:t>.3 – Cost Proposal Requirements.) Do not include any cost information in the Technical Proposal.</w:t>
      </w:r>
    </w:p>
    <w:p w14:paraId="7BBB5DDD" w14:textId="77777777" w:rsidR="00537458" w:rsidRPr="00152C31" w:rsidRDefault="00537458" w:rsidP="00537458">
      <w:pPr>
        <w:spacing w:after="240"/>
      </w:pPr>
      <w:r w:rsidRPr="00152C31">
        <w:t>The Technical Proposal must acknowledge and ensure that, in the event of failure of the successful bidder to obtain prior CDE approval of deliverables or products, the successful bidder shall not be relieved of performing related responsibilities or providing related deliverables and products to the CDE. The proposal must acknowledge that the successful bidder will accept financial responsibility for failure to meet agreed-upon timelines and produce deliverables that are of high quality and satisfactory to the CDE. The CDE is not liable for payment of any work which begins without the bidder consulting the CDE for guidance. Failure to conform to the CDE Approval Schedule Requirements may result in the cancellation of the contract.</w:t>
      </w:r>
    </w:p>
    <w:p w14:paraId="20ECAFE0" w14:textId="7440EF9D" w:rsidR="00537458" w:rsidRPr="00637549" w:rsidRDefault="00537458" w:rsidP="00637549">
      <w:pPr>
        <w:spacing w:after="240"/>
        <w:rPr>
          <w:color w:val="FF0000"/>
        </w:rPr>
      </w:pPr>
      <w:r w:rsidRPr="00152C31">
        <w:rPr>
          <w:rFonts w:cs="Arial"/>
          <w:szCs w:val="24"/>
        </w:rPr>
        <w:t xml:space="preserve">The bidder must acknowledge on the Bidder Certification Sheet (Attachment </w:t>
      </w:r>
      <w:r w:rsidR="000C3DCA">
        <w:rPr>
          <w:rFonts w:cs="Arial"/>
          <w:szCs w:val="24"/>
        </w:rPr>
        <w:t>3</w:t>
      </w:r>
      <w:r w:rsidRPr="00152C31">
        <w:rPr>
          <w:rFonts w:cs="Arial"/>
          <w:szCs w:val="24"/>
        </w:rPr>
        <w:t>) that it will comply with the CDE Approval Schedule requirements.</w:t>
      </w:r>
    </w:p>
    <w:p w14:paraId="3323DE72" w14:textId="77777777" w:rsidR="00537458" w:rsidRPr="00FA47F0" w:rsidRDefault="00537458" w:rsidP="00537458">
      <w:pPr>
        <w:pStyle w:val="ListParagraph"/>
        <w:spacing w:after="240"/>
        <w:contextualSpacing w:val="0"/>
      </w:pPr>
      <w:r>
        <w:br w:type="page"/>
      </w:r>
    </w:p>
    <w:p w14:paraId="02198C7E" w14:textId="77777777" w:rsidR="00537458" w:rsidRPr="00BC514B" w:rsidRDefault="00537458" w:rsidP="003E4C84">
      <w:pPr>
        <w:pStyle w:val="Heading3"/>
        <w:rPr>
          <w:sz w:val="24"/>
        </w:rPr>
      </w:pPr>
      <w:r w:rsidRPr="00FA181E">
        <w:lastRenderedPageBreak/>
        <w:t>TASK 2 – REPORTS, INVOICES, AND DATA FILE REQUIREMENTS</w:t>
      </w:r>
    </w:p>
    <w:p w14:paraId="292F5F6B" w14:textId="77777777" w:rsidR="00537458" w:rsidRDefault="00537458" w:rsidP="00537458">
      <w:pPr>
        <w:spacing w:before="240" w:after="240"/>
      </w:pPr>
      <w:r>
        <w:t>This section of the Technical Proposal must acknowledge the bidder’s commitment to completing all the requirements specified below in Task 2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2.</w:t>
      </w:r>
    </w:p>
    <w:p w14:paraId="196C54B5" w14:textId="6C9B01AC" w:rsidR="00537458" w:rsidRDefault="00537458" w:rsidP="00537458">
      <w:pPr>
        <w:spacing w:before="240" w:after="240"/>
      </w:pPr>
      <w:r>
        <w:t xml:space="preserve">The successful bidder must adhere to the CDE Approval Schedule Requirements as stated in Task </w:t>
      </w:r>
      <w:r w:rsidRPr="00EF0BF3">
        <w:t>1.</w:t>
      </w:r>
      <w:r w:rsidR="003F2FA9" w:rsidRPr="00EF0BF3">
        <w:t>5</w:t>
      </w:r>
      <w:r w:rsidRPr="00EF0BF3">
        <w:t xml:space="preserve"> </w:t>
      </w:r>
      <w:r>
        <w:t xml:space="preserve">– </w:t>
      </w:r>
      <w:r w:rsidRPr="00467E3D">
        <w:rPr>
          <w:snapToGrid w:val="0"/>
        </w:rPr>
        <w:t>CDE Approval Schedule Requirements</w:t>
      </w:r>
      <w:r>
        <w:rPr>
          <w:snapToGrid w:val="0"/>
        </w:rPr>
        <w:t xml:space="preserve"> </w:t>
      </w:r>
      <w:r>
        <w:t>for generating and delivering required reports/deliverables.</w:t>
      </w:r>
    </w:p>
    <w:p w14:paraId="6BFA5D26" w14:textId="77777777" w:rsidR="00537458" w:rsidRDefault="00537458" w:rsidP="00537458">
      <w:pPr>
        <w:spacing w:before="240" w:after="240"/>
      </w:pPr>
      <w:r>
        <w:t>The Technical Proposal must acknowledge and ensure that the successful bidder shall be responsible for a variety of activities related to reports, invoices, and data file requirements and will adhere to the relative timelines. The Technical Proposal must include the following information to address Task 2 activities which include the following subtasks:</w:t>
      </w:r>
    </w:p>
    <w:p w14:paraId="7ED459E3" w14:textId="77777777" w:rsidR="00537458" w:rsidRPr="00AC163A" w:rsidRDefault="00537458" w:rsidP="001B373C">
      <w:pPr>
        <w:pStyle w:val="Heading4"/>
      </w:pPr>
      <w:r w:rsidRPr="0056300F">
        <w:t>2.1 Monthly Written Progress Repor</w:t>
      </w:r>
      <w:r w:rsidRPr="00AC163A">
        <w:t>ts</w:t>
      </w:r>
    </w:p>
    <w:p w14:paraId="17D95C23" w14:textId="77777777" w:rsidR="007C07A0" w:rsidRDefault="00537458" w:rsidP="00537458">
      <w:pPr>
        <w:pStyle w:val="ListParagraph"/>
        <w:spacing w:before="240" w:after="240"/>
        <w:ind w:left="0"/>
        <w:contextualSpacing w:val="0"/>
      </w:pPr>
      <w:r>
        <w:t xml:space="preserve">The Technical Proposal must include a detailed process for providing monthly written progress reports to the CDE. The </w:t>
      </w:r>
      <w:r w:rsidRPr="00B76BB1">
        <w:t xml:space="preserve">Technical Proposal must ensure that at a minimum, each monthly progress report must include: </w:t>
      </w:r>
    </w:p>
    <w:p w14:paraId="17F902F6" w14:textId="0679495E" w:rsidR="007C07A0" w:rsidRDefault="00EA393C" w:rsidP="007C07A0">
      <w:pPr>
        <w:pStyle w:val="ListParagraph"/>
        <w:numPr>
          <w:ilvl w:val="0"/>
          <w:numId w:val="49"/>
        </w:numPr>
        <w:spacing w:before="240" w:after="240"/>
      </w:pPr>
      <w:r>
        <w:t>T</w:t>
      </w:r>
      <w:r w:rsidRPr="00B76BB1">
        <w:t xml:space="preserve">ask </w:t>
      </w:r>
      <w:r w:rsidR="00537458" w:rsidRPr="00B76BB1">
        <w:t>number and title</w:t>
      </w:r>
      <w:r w:rsidR="00DD74CA">
        <w:t>,</w:t>
      </w:r>
    </w:p>
    <w:p w14:paraId="76C29C03" w14:textId="02DE186F" w:rsidR="007C07A0" w:rsidRDefault="00EA393C" w:rsidP="007C07A0">
      <w:pPr>
        <w:pStyle w:val="ListParagraph"/>
        <w:numPr>
          <w:ilvl w:val="0"/>
          <w:numId w:val="49"/>
        </w:numPr>
        <w:spacing w:before="240" w:after="240"/>
      </w:pPr>
      <w:r>
        <w:t>D</w:t>
      </w:r>
      <w:r w:rsidRPr="00B76BB1">
        <w:t xml:space="preserve">escription </w:t>
      </w:r>
      <w:r w:rsidR="00537458" w:rsidRPr="00B76BB1">
        <w:t>of tasks</w:t>
      </w:r>
      <w:r w:rsidR="00DD74CA">
        <w:t>,</w:t>
      </w:r>
    </w:p>
    <w:p w14:paraId="10D3E55E" w14:textId="6E53D11D" w:rsidR="007C07A0" w:rsidRDefault="00EA393C" w:rsidP="007C07A0">
      <w:pPr>
        <w:pStyle w:val="ListParagraph"/>
        <w:numPr>
          <w:ilvl w:val="0"/>
          <w:numId w:val="49"/>
        </w:numPr>
        <w:spacing w:before="240" w:after="240"/>
      </w:pPr>
      <w:r>
        <w:t>A</w:t>
      </w:r>
      <w:r w:rsidRPr="00B76BB1">
        <w:t xml:space="preserve"> </w:t>
      </w:r>
      <w:r w:rsidR="00537458" w:rsidRPr="00B76BB1">
        <w:t>report of activities completed and deliverables produced during the prior month</w:t>
      </w:r>
      <w:r w:rsidR="00DD74CA">
        <w:t>,</w:t>
      </w:r>
    </w:p>
    <w:p w14:paraId="518D08C9" w14:textId="6EF94B00" w:rsidR="007C07A0" w:rsidRDefault="00EA393C" w:rsidP="007C07A0">
      <w:pPr>
        <w:pStyle w:val="ListParagraph"/>
        <w:numPr>
          <w:ilvl w:val="0"/>
          <w:numId w:val="49"/>
        </w:numPr>
        <w:spacing w:before="240" w:after="240"/>
      </w:pPr>
      <w:r>
        <w:t>A</w:t>
      </w:r>
      <w:r w:rsidRPr="00B76BB1">
        <w:t xml:space="preserve">n </w:t>
      </w:r>
      <w:r w:rsidR="00537458" w:rsidRPr="00B76BB1">
        <w:t>update of current or ongoing activities and the progress noted for each</w:t>
      </w:r>
      <w:r w:rsidR="00DD74CA">
        <w:t>,</w:t>
      </w:r>
    </w:p>
    <w:p w14:paraId="7CE6E98A" w14:textId="62AEE6AE" w:rsidR="007C07A0" w:rsidRDefault="00EA393C" w:rsidP="007C07A0">
      <w:pPr>
        <w:pStyle w:val="ListParagraph"/>
        <w:numPr>
          <w:ilvl w:val="0"/>
          <w:numId w:val="49"/>
        </w:numPr>
        <w:spacing w:before="240" w:after="240"/>
      </w:pPr>
      <w:r>
        <w:t>U</w:t>
      </w:r>
      <w:r w:rsidRPr="00152C31">
        <w:t xml:space="preserve">nanticipated </w:t>
      </w:r>
      <w:r w:rsidR="00537458" w:rsidRPr="00152C31">
        <w:t>outcomes or problems (as applicable</w:t>
      </w:r>
      <w:r w:rsidR="00DD74CA" w:rsidRPr="00152C31">
        <w:t>)</w:t>
      </w:r>
      <w:r w:rsidR="00DD74CA">
        <w:t>,</w:t>
      </w:r>
    </w:p>
    <w:p w14:paraId="3A7FB93C" w14:textId="776CD1C4" w:rsidR="007C07A0" w:rsidRDefault="00EA393C" w:rsidP="007C07A0">
      <w:pPr>
        <w:pStyle w:val="ListParagraph"/>
        <w:numPr>
          <w:ilvl w:val="0"/>
          <w:numId w:val="49"/>
        </w:numPr>
        <w:spacing w:before="240" w:after="240"/>
      </w:pPr>
      <w:r>
        <w:t>R</w:t>
      </w:r>
      <w:r w:rsidRPr="00152C31">
        <w:t xml:space="preserve">oot </w:t>
      </w:r>
      <w:r w:rsidR="00537458" w:rsidRPr="00152C31">
        <w:t>cause analysis of the problems (as applicable</w:t>
      </w:r>
      <w:r w:rsidR="008A49B6">
        <w:t>, see Task 2.1.1</w:t>
      </w:r>
      <w:r w:rsidR="00DD74CA" w:rsidRPr="00152C31">
        <w:t>)</w:t>
      </w:r>
      <w:r w:rsidR="00DD74CA">
        <w:t>,</w:t>
      </w:r>
    </w:p>
    <w:p w14:paraId="4B181E51" w14:textId="0D596EE8" w:rsidR="007C07A0" w:rsidRDefault="00EA393C" w:rsidP="007C07A0">
      <w:pPr>
        <w:pStyle w:val="ListParagraph"/>
        <w:numPr>
          <w:ilvl w:val="0"/>
          <w:numId w:val="49"/>
        </w:numPr>
        <w:spacing w:before="240" w:after="240"/>
      </w:pPr>
      <w:r>
        <w:t>T</w:t>
      </w:r>
      <w:r w:rsidRPr="00152C31">
        <w:t xml:space="preserve">asks </w:t>
      </w:r>
      <w:r w:rsidR="00537458" w:rsidRPr="00152C31">
        <w:t>planned for completion the following month</w:t>
      </w:r>
      <w:r w:rsidR="00DD74CA">
        <w:t>,</w:t>
      </w:r>
      <w:r w:rsidR="00DD74CA" w:rsidRPr="00B76BB1">
        <w:t xml:space="preserve"> </w:t>
      </w:r>
      <w:r w:rsidR="00537458" w:rsidRPr="00B76BB1">
        <w:t>and</w:t>
      </w:r>
    </w:p>
    <w:p w14:paraId="505847A8" w14:textId="3B006A03" w:rsidR="007C07A0" w:rsidRDefault="00EA393C" w:rsidP="007C07A0">
      <w:pPr>
        <w:pStyle w:val="ListParagraph"/>
        <w:numPr>
          <w:ilvl w:val="0"/>
          <w:numId w:val="49"/>
        </w:numPr>
        <w:spacing w:before="240" w:after="240"/>
        <w:contextualSpacing w:val="0"/>
      </w:pPr>
      <w:r>
        <w:t>A</w:t>
      </w:r>
      <w:r w:rsidRPr="00B76BB1">
        <w:t xml:space="preserve"> </w:t>
      </w:r>
      <w:r w:rsidR="00537458" w:rsidRPr="00B76BB1">
        <w:t xml:space="preserve">detailed list of activities. </w:t>
      </w:r>
    </w:p>
    <w:p w14:paraId="0AF40147" w14:textId="26E1F8B8" w:rsidR="008A49B6" w:rsidRDefault="00537458" w:rsidP="008A49B6">
      <w:pPr>
        <w:spacing w:after="240"/>
      </w:pPr>
      <w:r w:rsidRPr="00B76BB1">
        <w:t xml:space="preserve">The Technical Proposal must ensure that the monthly progress report will be submitted to the CDE for review and approval on </w:t>
      </w:r>
      <w:r w:rsidRPr="00BF631F">
        <w:t xml:space="preserve">the last Friday of each month for the </w:t>
      </w:r>
      <w:r w:rsidRPr="00152C31">
        <w:t>month prior</w:t>
      </w:r>
      <w:r w:rsidRPr="00B76BB1">
        <w:t xml:space="preserve">. The CDE will not approve invoices for payments on this contract without an </w:t>
      </w:r>
      <w:r w:rsidRPr="00152C31">
        <w:t xml:space="preserve">approved </w:t>
      </w:r>
      <w:r w:rsidRPr="00B76BB1">
        <w:t>monthly progress report.</w:t>
      </w:r>
    </w:p>
    <w:p w14:paraId="60FCD3F7" w14:textId="1EFA7F57" w:rsidR="008A49B6" w:rsidRPr="003A236F" w:rsidDel="00A3025F" w:rsidRDefault="008A49B6" w:rsidP="008A49B6">
      <w:pPr>
        <w:spacing w:after="240"/>
        <w:rPr>
          <w:rFonts w:cs="Arial"/>
        </w:rPr>
      </w:pPr>
      <w:r w:rsidRPr="00C37623" w:rsidDel="00A3025F">
        <w:t>The Technical Proposal must specify that the monthly progress reports will note progress on all tasks and activities and will be used as a basis for tracking progress and making improvements. The monthly progress reports must</w:t>
      </w:r>
      <w:r w:rsidRPr="0035153D" w:rsidDel="00A3025F">
        <w:t xml:space="preserve"> reflect all tasks specified in the corresponding monthly invoice and each monthly progress report must be used to determine approval for payment of the corresponding monthly invoice. Additionally, the original CDE-approved monthly progress report must be </w:t>
      </w:r>
      <w:r w:rsidRPr="00B06E98" w:rsidDel="00A3025F">
        <w:t>signed by the successful bidder's Project Manager and submitted to the CDE with the monthly invoice.</w:t>
      </w:r>
    </w:p>
    <w:p w14:paraId="413EC20F" w14:textId="287EF2BE" w:rsidR="008A49B6" w:rsidRDefault="008A49B6" w:rsidP="008A49B6">
      <w:pPr>
        <w:pStyle w:val="Heading5"/>
      </w:pPr>
      <w:r>
        <w:t>2.1.1 Root Cause Analysis</w:t>
      </w:r>
    </w:p>
    <w:p w14:paraId="3467A7B8" w14:textId="2FCB541A" w:rsidR="00537458" w:rsidRPr="00B76BB1" w:rsidRDefault="00537458" w:rsidP="008A49B6">
      <w:pPr>
        <w:pStyle w:val="ListParagraph"/>
        <w:spacing w:before="240" w:after="240"/>
        <w:contextualSpacing w:val="0"/>
      </w:pPr>
      <w:r w:rsidRPr="00B76BB1">
        <w:t xml:space="preserve">The Technical Proposal must acknowledge and ensure that if a problem occurs, the successful bidder must notify the CDE Contract Monitor within one working day and submit </w:t>
      </w:r>
      <w:r w:rsidRPr="00B76BB1">
        <w:lastRenderedPageBreak/>
        <w:t>a Root Cause Analysis Report as part of the monthly progress report within 30 calendar days after the incident.</w:t>
      </w:r>
    </w:p>
    <w:p w14:paraId="079A02C8" w14:textId="77777777" w:rsidR="00537458" w:rsidRPr="00B76BB1" w:rsidRDefault="00537458" w:rsidP="008A49B6">
      <w:pPr>
        <w:pStyle w:val="ListParagraph"/>
        <w:spacing w:after="240"/>
        <w:contextualSpacing w:val="0"/>
      </w:pPr>
      <w:r w:rsidRPr="00B76BB1">
        <w:t>The Technical Proposal must acknowledge and ensure that at a minimum, the Root Cause Analysis Report must address the following:</w:t>
      </w:r>
    </w:p>
    <w:p w14:paraId="3A696A54" w14:textId="26662EE8" w:rsidR="00537458" w:rsidRPr="00B76BB1" w:rsidRDefault="00537458" w:rsidP="008A49B6">
      <w:pPr>
        <w:pStyle w:val="ListParagraph"/>
        <w:ind w:left="1440" w:hanging="360"/>
        <w:contextualSpacing w:val="0"/>
      </w:pPr>
      <w:r w:rsidRPr="00B76BB1">
        <w:t>1.</w:t>
      </w:r>
      <w:r w:rsidRPr="00B76BB1">
        <w:tab/>
        <w:t>Identify the problem</w:t>
      </w:r>
      <w:r w:rsidR="00EA393C">
        <w:t>,</w:t>
      </w:r>
    </w:p>
    <w:p w14:paraId="7920F0C7" w14:textId="39223C5E" w:rsidR="00537458" w:rsidRPr="00B76BB1" w:rsidRDefault="00537458" w:rsidP="008A49B6">
      <w:pPr>
        <w:pStyle w:val="ListParagraph"/>
        <w:ind w:left="1440" w:hanging="360"/>
        <w:contextualSpacing w:val="0"/>
      </w:pPr>
      <w:r w:rsidRPr="00B76BB1">
        <w:t>2.</w:t>
      </w:r>
      <w:r w:rsidRPr="00B76BB1">
        <w:tab/>
        <w:t>Evaluate the significance and impact of the problem</w:t>
      </w:r>
      <w:r w:rsidR="00EA393C">
        <w:t>,</w:t>
      </w:r>
    </w:p>
    <w:p w14:paraId="7FC20171" w14:textId="7172C3ED" w:rsidR="00537458" w:rsidRPr="00B76BB1" w:rsidRDefault="00537458" w:rsidP="008A49B6">
      <w:pPr>
        <w:pStyle w:val="ListParagraph"/>
        <w:ind w:left="1440" w:hanging="360"/>
        <w:contextualSpacing w:val="0"/>
      </w:pPr>
      <w:r w:rsidRPr="00B76BB1">
        <w:t>3.</w:t>
      </w:r>
      <w:r w:rsidRPr="00B76BB1">
        <w:tab/>
        <w:t xml:space="preserve">Identify the root cause of the problem </w:t>
      </w:r>
      <w:r w:rsidRPr="00152C31">
        <w:t>and the responsible party</w:t>
      </w:r>
      <w:r w:rsidR="00EA393C">
        <w:t>,</w:t>
      </w:r>
    </w:p>
    <w:p w14:paraId="50BE55B2" w14:textId="5AD35CDF" w:rsidR="00537458" w:rsidRPr="00B76BB1" w:rsidRDefault="00537458" w:rsidP="008A49B6">
      <w:pPr>
        <w:pStyle w:val="ListParagraph"/>
        <w:ind w:left="1440" w:hanging="360"/>
        <w:contextualSpacing w:val="0"/>
      </w:pPr>
      <w:r w:rsidRPr="00B76BB1">
        <w:t>4.</w:t>
      </w:r>
      <w:r w:rsidRPr="00B76BB1">
        <w:tab/>
        <w:t>Recommend actions to prevent recurrence of this or similar problems</w:t>
      </w:r>
      <w:r w:rsidR="00EA393C">
        <w:t>,</w:t>
      </w:r>
    </w:p>
    <w:p w14:paraId="30EA5B11" w14:textId="799EC7ED" w:rsidR="00537458" w:rsidRPr="00B76BB1" w:rsidRDefault="00537458" w:rsidP="008A49B6">
      <w:pPr>
        <w:pStyle w:val="ListParagraph"/>
        <w:ind w:left="1440" w:hanging="360"/>
        <w:contextualSpacing w:val="0"/>
      </w:pPr>
      <w:r w:rsidRPr="00B76BB1">
        <w:t>5.</w:t>
      </w:r>
      <w:r w:rsidRPr="00B76BB1">
        <w:tab/>
        <w:t xml:space="preserve">Assign responsibility for </w:t>
      </w:r>
      <w:r w:rsidRPr="00152C31">
        <w:t xml:space="preserve">developing and implementing </w:t>
      </w:r>
      <w:r w:rsidRPr="00B76BB1">
        <w:t>corrective action</w:t>
      </w:r>
      <w:r w:rsidR="00EA393C">
        <w:t>,</w:t>
      </w:r>
    </w:p>
    <w:p w14:paraId="29B46701" w14:textId="5B68C509" w:rsidR="00537458" w:rsidRPr="00B76BB1" w:rsidRDefault="00537458" w:rsidP="008A49B6">
      <w:pPr>
        <w:pStyle w:val="ListParagraph"/>
        <w:ind w:left="1440" w:hanging="360"/>
        <w:contextualSpacing w:val="0"/>
      </w:pPr>
      <w:r w:rsidRPr="00B76BB1">
        <w:t>6.</w:t>
      </w:r>
      <w:r w:rsidRPr="00B76BB1">
        <w:tab/>
        <w:t>Implement new process or quality controls as necessary</w:t>
      </w:r>
      <w:r w:rsidR="00EA393C">
        <w:t>,</w:t>
      </w:r>
    </w:p>
    <w:p w14:paraId="08E06450" w14:textId="5D5BC083" w:rsidR="00537458" w:rsidRPr="00B76BB1" w:rsidRDefault="00537458" w:rsidP="008A49B6">
      <w:pPr>
        <w:pStyle w:val="ListParagraph"/>
        <w:ind w:left="1440" w:hanging="360"/>
        <w:contextualSpacing w:val="0"/>
      </w:pPr>
      <w:r w:rsidRPr="00B76BB1">
        <w:t>7.</w:t>
      </w:r>
      <w:r w:rsidRPr="00B76BB1">
        <w:tab/>
        <w:t>Determine what to do with failed items/</w:t>
      </w:r>
      <w:r w:rsidRPr="00152C31">
        <w:t>deliverables</w:t>
      </w:r>
      <w:r w:rsidR="00EA393C">
        <w:t>,</w:t>
      </w:r>
      <w:r w:rsidR="00EA393C" w:rsidRPr="00B76BB1">
        <w:t xml:space="preserve"> </w:t>
      </w:r>
      <w:r w:rsidRPr="00B76BB1">
        <w:t>and</w:t>
      </w:r>
    </w:p>
    <w:p w14:paraId="23750776" w14:textId="77777777" w:rsidR="00537458" w:rsidRDefault="00537458" w:rsidP="008A49B6">
      <w:pPr>
        <w:pStyle w:val="ListParagraph"/>
        <w:spacing w:after="240"/>
        <w:ind w:left="1440" w:hanging="360"/>
        <w:contextualSpacing w:val="0"/>
      </w:pPr>
      <w:r>
        <w:t>8.</w:t>
      </w:r>
      <w:r>
        <w:tab/>
        <w:t>Record permanent changes in process documentation.</w:t>
      </w:r>
    </w:p>
    <w:p w14:paraId="72BF20F5" w14:textId="5942A500" w:rsidR="00537458" w:rsidRPr="00637549" w:rsidRDefault="00537458" w:rsidP="001B373C">
      <w:pPr>
        <w:pStyle w:val="Heading4"/>
      </w:pPr>
      <w:r w:rsidRPr="00637549">
        <w:t xml:space="preserve">2.2 Annual </w:t>
      </w:r>
      <w:r w:rsidR="00B55D82">
        <w:t xml:space="preserve">Formative </w:t>
      </w:r>
      <w:r w:rsidR="00EA393C" w:rsidRPr="00637549">
        <w:t>Evaluation</w:t>
      </w:r>
      <w:r w:rsidRPr="00637549">
        <w:t xml:space="preserve"> Report </w:t>
      </w:r>
    </w:p>
    <w:p w14:paraId="29605A34" w14:textId="7CB23184" w:rsidR="00537458" w:rsidRPr="00637549" w:rsidRDefault="00537458" w:rsidP="00537458">
      <w:pPr>
        <w:spacing w:after="240"/>
        <w:rPr>
          <w:rFonts w:cs="Arial"/>
          <w:szCs w:val="24"/>
        </w:rPr>
      </w:pPr>
      <w:r w:rsidRPr="00637549">
        <w:rPr>
          <w:rFonts w:cs="Arial"/>
          <w:szCs w:val="24"/>
        </w:rPr>
        <w:t xml:space="preserve">The Technical Proposal must describe in detail the process for delivering </w:t>
      </w:r>
      <w:r w:rsidR="00B55D82">
        <w:rPr>
          <w:rFonts w:cs="Arial"/>
          <w:szCs w:val="24"/>
        </w:rPr>
        <w:t xml:space="preserve">an </w:t>
      </w:r>
      <w:r w:rsidRPr="00637549">
        <w:rPr>
          <w:rFonts w:cs="Arial"/>
          <w:szCs w:val="24"/>
        </w:rPr>
        <w:t xml:space="preserve">annual </w:t>
      </w:r>
      <w:r w:rsidR="00B55D82">
        <w:rPr>
          <w:rFonts w:cs="Arial"/>
          <w:szCs w:val="24"/>
        </w:rPr>
        <w:t xml:space="preserve">formative evaluation </w:t>
      </w:r>
      <w:r w:rsidRPr="00637549">
        <w:rPr>
          <w:rFonts w:cs="Arial"/>
          <w:szCs w:val="24"/>
        </w:rPr>
        <w:t>report</w:t>
      </w:r>
      <w:r w:rsidR="00B55D82">
        <w:rPr>
          <w:rFonts w:cs="Arial"/>
          <w:szCs w:val="24"/>
        </w:rPr>
        <w:t xml:space="preserve"> (Annual Report)</w:t>
      </w:r>
      <w:r w:rsidR="00C47AE7">
        <w:rPr>
          <w:rFonts w:cs="Arial"/>
          <w:szCs w:val="24"/>
        </w:rPr>
        <w:t>, including a final/comprehensive report in 2031</w:t>
      </w:r>
      <w:r w:rsidRPr="00637549">
        <w:rPr>
          <w:rFonts w:cs="Arial"/>
          <w:szCs w:val="24"/>
        </w:rPr>
        <w:t xml:space="preserve">. The Technical Proposal must acknowledge and ensure that at the end of each year, the successful bidder will email the </w:t>
      </w:r>
      <w:r w:rsidR="00BF631F" w:rsidRPr="00637549">
        <w:rPr>
          <w:rFonts w:cs="Arial"/>
          <w:szCs w:val="24"/>
        </w:rPr>
        <w:t xml:space="preserve">draft </w:t>
      </w:r>
      <w:r w:rsidR="00E2460C">
        <w:rPr>
          <w:rFonts w:cs="Arial"/>
          <w:szCs w:val="24"/>
        </w:rPr>
        <w:t>Annual</w:t>
      </w:r>
      <w:r w:rsidR="00AD59E0">
        <w:rPr>
          <w:rFonts w:cs="Arial"/>
          <w:szCs w:val="24"/>
        </w:rPr>
        <w:t xml:space="preserve"> R</w:t>
      </w:r>
      <w:r w:rsidRPr="00637549">
        <w:rPr>
          <w:rFonts w:cs="Arial"/>
          <w:szCs w:val="24"/>
        </w:rPr>
        <w:t xml:space="preserve">eport to the CDE no later than the last Friday in </w:t>
      </w:r>
      <w:r w:rsidR="00EA393C" w:rsidRPr="00637549">
        <w:rPr>
          <w:rFonts w:cs="Arial"/>
          <w:szCs w:val="24"/>
        </w:rPr>
        <w:t>September</w:t>
      </w:r>
      <w:r w:rsidR="00BF631F" w:rsidRPr="00637549">
        <w:rPr>
          <w:rFonts w:cs="Arial"/>
          <w:szCs w:val="24"/>
        </w:rPr>
        <w:t xml:space="preserve">. The Technical Proposal must describe in detail the process for working with </w:t>
      </w:r>
      <w:r w:rsidR="00F119FE" w:rsidRPr="00637549">
        <w:rPr>
          <w:rFonts w:cs="Arial"/>
          <w:szCs w:val="24"/>
        </w:rPr>
        <w:t xml:space="preserve">the </w:t>
      </w:r>
      <w:r w:rsidR="00BF631F" w:rsidRPr="00637549">
        <w:rPr>
          <w:rFonts w:cs="Arial"/>
          <w:szCs w:val="24"/>
        </w:rPr>
        <w:t>CDE collaboratively on finalizing the report by December 1 of each year</w:t>
      </w:r>
      <w:r w:rsidRPr="00637549">
        <w:rPr>
          <w:rFonts w:cs="Arial"/>
          <w:szCs w:val="24"/>
        </w:rPr>
        <w:t>.</w:t>
      </w:r>
    </w:p>
    <w:p w14:paraId="19953038" w14:textId="460F5F2E" w:rsidR="00D430FB" w:rsidRDefault="00D430FB" w:rsidP="00FC3C79">
      <w:pPr>
        <w:pBdr>
          <w:top w:val="nil"/>
          <w:left w:val="nil"/>
          <w:bottom w:val="nil"/>
          <w:right w:val="nil"/>
          <w:between w:val="nil"/>
        </w:pBdr>
        <w:tabs>
          <w:tab w:val="left" w:pos="900"/>
        </w:tabs>
        <w:spacing w:after="240"/>
        <w:rPr>
          <w:rFonts w:eastAsia="Arial" w:cs="Arial"/>
          <w:szCs w:val="24"/>
        </w:rPr>
      </w:pPr>
      <w:r>
        <w:rPr>
          <w:rFonts w:eastAsia="Arial" w:cs="Arial"/>
          <w:szCs w:val="24"/>
        </w:rPr>
        <w:t xml:space="preserve">The </w:t>
      </w:r>
      <w:r w:rsidR="00E63530">
        <w:rPr>
          <w:rFonts w:eastAsia="Arial" w:cs="Arial"/>
          <w:szCs w:val="24"/>
        </w:rPr>
        <w:t xml:space="preserve">Technical Proposal must describe in detail how the successful bidder </w:t>
      </w:r>
      <w:r>
        <w:rPr>
          <w:rFonts w:eastAsia="Arial" w:cs="Arial"/>
          <w:szCs w:val="24"/>
        </w:rPr>
        <w:t>will write an Annual Report that summarizes project findings and recommendations</w:t>
      </w:r>
      <w:r w:rsidR="00B55D82">
        <w:rPr>
          <w:rFonts w:eastAsia="Arial" w:cs="Arial"/>
          <w:szCs w:val="24"/>
        </w:rPr>
        <w:t>, refer to Task 4.1</w:t>
      </w:r>
      <w:r>
        <w:rPr>
          <w:rFonts w:eastAsia="Arial" w:cs="Arial"/>
          <w:szCs w:val="24"/>
        </w:rPr>
        <w:t xml:space="preserve">. The </w:t>
      </w:r>
      <w:r w:rsidR="00E63530">
        <w:rPr>
          <w:rFonts w:eastAsia="Arial" w:cs="Arial"/>
          <w:szCs w:val="24"/>
        </w:rPr>
        <w:t xml:space="preserve">Technical Proposal must detail how the </w:t>
      </w:r>
      <w:r w:rsidR="005F00D5">
        <w:rPr>
          <w:rFonts w:eastAsia="Arial" w:cs="Arial"/>
          <w:szCs w:val="24"/>
        </w:rPr>
        <w:t xml:space="preserve">Annual Report </w:t>
      </w:r>
      <w:r>
        <w:rPr>
          <w:rFonts w:eastAsia="Arial" w:cs="Arial"/>
          <w:szCs w:val="24"/>
        </w:rPr>
        <w:t xml:space="preserve">and recommendations for this project will include a section dedicated to summarizing the findings on the elements of the evaluation including data collection, analysis, and findings as conducted through this contract. </w:t>
      </w:r>
      <w:r w:rsidR="00C47AE7">
        <w:rPr>
          <w:rFonts w:eastAsia="Arial" w:cs="Arial"/>
          <w:szCs w:val="24"/>
        </w:rPr>
        <w:t xml:space="preserve">The Technical Proposal must describe in detail how the final comprehensive report will show program development and data over the life of the program. </w:t>
      </w:r>
      <w:r>
        <w:rPr>
          <w:rFonts w:eastAsia="Arial" w:cs="Arial"/>
          <w:szCs w:val="24"/>
        </w:rPr>
        <w:t xml:space="preserve">In addition, the </w:t>
      </w:r>
      <w:r w:rsidR="00E63530">
        <w:rPr>
          <w:rFonts w:eastAsia="Arial" w:cs="Arial"/>
          <w:szCs w:val="24"/>
        </w:rPr>
        <w:t xml:space="preserve">Technical Proposal must acknowledge that the </w:t>
      </w:r>
      <w:r w:rsidR="005F00D5">
        <w:rPr>
          <w:rFonts w:eastAsia="Arial" w:cs="Arial"/>
          <w:szCs w:val="24"/>
        </w:rPr>
        <w:t xml:space="preserve">Annual Report </w:t>
      </w:r>
      <w:r>
        <w:rPr>
          <w:rFonts w:eastAsia="Arial" w:cs="Arial"/>
          <w:szCs w:val="24"/>
        </w:rPr>
        <w:t xml:space="preserve">will include a table of contents, an executive summary, an introduction, a methods section, a section on policy implications, </w:t>
      </w:r>
      <w:r w:rsidR="00043A24">
        <w:rPr>
          <w:rFonts w:eastAsia="Arial" w:cs="Arial"/>
          <w:szCs w:val="24"/>
        </w:rPr>
        <w:t>recommendations,</w:t>
      </w:r>
      <w:r>
        <w:rPr>
          <w:rFonts w:eastAsia="Arial" w:cs="Arial"/>
          <w:szCs w:val="24"/>
        </w:rPr>
        <w:t xml:space="preserve"> and appendices</w:t>
      </w:r>
      <w:r w:rsidR="00E63530">
        <w:rPr>
          <w:rFonts w:eastAsia="Arial" w:cs="Arial"/>
          <w:szCs w:val="24"/>
        </w:rPr>
        <w:t xml:space="preserve"> for each Annual Report</w:t>
      </w:r>
      <w:r>
        <w:rPr>
          <w:rFonts w:eastAsia="Arial" w:cs="Arial"/>
          <w:szCs w:val="24"/>
        </w:rPr>
        <w:t>.</w:t>
      </w:r>
    </w:p>
    <w:p w14:paraId="1E98AC0A" w14:textId="56C34FF9" w:rsidR="00D430FB" w:rsidRDefault="00D47AE2" w:rsidP="00FC3C79">
      <w:pPr>
        <w:pBdr>
          <w:top w:val="nil"/>
          <w:left w:val="nil"/>
          <w:bottom w:val="nil"/>
          <w:right w:val="nil"/>
          <w:between w:val="nil"/>
        </w:pBdr>
        <w:tabs>
          <w:tab w:val="left" w:pos="900"/>
        </w:tabs>
        <w:spacing w:after="240"/>
        <w:rPr>
          <w:rFonts w:eastAsia="Arial" w:cs="Arial"/>
          <w:szCs w:val="24"/>
        </w:rPr>
      </w:pPr>
      <w:r>
        <w:rPr>
          <w:rFonts w:eastAsia="Arial" w:cs="Arial"/>
          <w:szCs w:val="24"/>
        </w:rPr>
        <w:t xml:space="preserve">The Technical Proposal must acknowledge that </w:t>
      </w:r>
      <w:r w:rsidR="00D430FB">
        <w:rPr>
          <w:rFonts w:eastAsia="Arial" w:cs="Arial"/>
          <w:szCs w:val="24"/>
        </w:rPr>
        <w:t xml:space="preserve">the </w:t>
      </w:r>
      <w:r w:rsidR="00B55D82">
        <w:rPr>
          <w:rFonts w:eastAsia="Arial" w:cs="Arial"/>
          <w:szCs w:val="24"/>
        </w:rPr>
        <w:t xml:space="preserve">Annual Report </w:t>
      </w:r>
      <w:r w:rsidR="00D430FB">
        <w:rPr>
          <w:rFonts w:eastAsia="Arial" w:cs="Arial"/>
          <w:szCs w:val="24"/>
        </w:rPr>
        <w:t xml:space="preserve">draft, including policy and process recommendations will be submitted to CDE no later than </w:t>
      </w:r>
      <w:r w:rsidR="005F00D5">
        <w:rPr>
          <w:rFonts w:eastAsia="Arial" w:cs="Arial"/>
          <w:szCs w:val="24"/>
        </w:rPr>
        <w:t>the last Friday in September</w:t>
      </w:r>
      <w:r w:rsidR="00D430FB">
        <w:rPr>
          <w:rFonts w:eastAsia="Arial" w:cs="Arial"/>
          <w:szCs w:val="24"/>
        </w:rPr>
        <w:t xml:space="preserve"> annually</w:t>
      </w:r>
      <w:r>
        <w:rPr>
          <w:rFonts w:eastAsia="Arial" w:cs="Arial"/>
          <w:szCs w:val="24"/>
        </w:rPr>
        <w:t xml:space="preserve"> for review and approval</w:t>
      </w:r>
      <w:r w:rsidR="00D430FB">
        <w:rPr>
          <w:rFonts w:eastAsia="Arial" w:cs="Arial"/>
          <w:szCs w:val="24"/>
        </w:rPr>
        <w:t>.</w:t>
      </w:r>
    </w:p>
    <w:p w14:paraId="1EF690B2" w14:textId="1DDFE6F7" w:rsidR="00D430FB" w:rsidRDefault="00D430FB" w:rsidP="00FC3C79">
      <w:pPr>
        <w:pBdr>
          <w:top w:val="nil"/>
          <w:left w:val="nil"/>
          <w:bottom w:val="nil"/>
          <w:right w:val="nil"/>
          <w:between w:val="nil"/>
        </w:pBdr>
        <w:tabs>
          <w:tab w:val="left" w:pos="900"/>
        </w:tabs>
        <w:spacing w:after="240"/>
        <w:rPr>
          <w:rFonts w:eastAsia="Arial" w:cs="Arial"/>
          <w:szCs w:val="24"/>
        </w:rPr>
      </w:pPr>
      <w:r>
        <w:rPr>
          <w:rFonts w:eastAsia="Arial" w:cs="Arial"/>
          <w:szCs w:val="24"/>
        </w:rPr>
        <w:t xml:space="preserve">The </w:t>
      </w:r>
      <w:r w:rsidR="00D47AE2">
        <w:rPr>
          <w:rFonts w:eastAsia="Arial" w:cs="Arial"/>
          <w:szCs w:val="24"/>
        </w:rPr>
        <w:t xml:space="preserve">Technical Proposal must describe in detail how the successful bidder will submit the </w:t>
      </w:r>
      <w:r w:rsidR="005F00D5">
        <w:rPr>
          <w:rFonts w:eastAsia="Arial" w:cs="Arial"/>
          <w:szCs w:val="24"/>
        </w:rPr>
        <w:t xml:space="preserve">Annual Report </w:t>
      </w:r>
      <w:r>
        <w:rPr>
          <w:rFonts w:eastAsia="Arial" w:cs="Arial"/>
          <w:szCs w:val="24"/>
        </w:rPr>
        <w:t xml:space="preserve">draft </w:t>
      </w:r>
      <w:r w:rsidR="005F00D5">
        <w:rPr>
          <w:rFonts w:eastAsia="Arial" w:cs="Arial"/>
          <w:szCs w:val="24"/>
        </w:rPr>
        <w:t xml:space="preserve">to the CDE and the S-TAC, which </w:t>
      </w:r>
      <w:r>
        <w:rPr>
          <w:rFonts w:eastAsia="Arial" w:cs="Arial"/>
          <w:szCs w:val="24"/>
        </w:rPr>
        <w:t xml:space="preserve">will be shared with </w:t>
      </w:r>
      <w:r>
        <w:rPr>
          <w:rFonts w:cs="Arial"/>
          <w:bCs/>
          <w:color w:val="202124"/>
          <w:szCs w:val="24"/>
          <w:shd w:val="clear" w:color="auto" w:fill="FFFFFF"/>
        </w:rPr>
        <w:t>the UCLA Center for Community Schooling, Californians for Justice, National Education Association, and the State Board of Education</w:t>
      </w:r>
      <w:r w:rsidR="00D47AE2">
        <w:rPr>
          <w:rFonts w:cs="Arial"/>
          <w:bCs/>
          <w:color w:val="202124"/>
          <w:szCs w:val="24"/>
          <w:shd w:val="clear" w:color="auto" w:fill="FFFFFF"/>
        </w:rPr>
        <w:t xml:space="preserve"> for input</w:t>
      </w:r>
      <w:r>
        <w:rPr>
          <w:rFonts w:eastAsia="Arial" w:cs="Arial"/>
          <w:szCs w:val="24"/>
        </w:rPr>
        <w:t xml:space="preserve">. The </w:t>
      </w:r>
      <w:r w:rsidR="00D47AE2">
        <w:rPr>
          <w:rFonts w:eastAsia="Arial" w:cs="Arial"/>
          <w:szCs w:val="24"/>
        </w:rPr>
        <w:t xml:space="preserve">Technical Proposal must acknowledge that the successful </w:t>
      </w:r>
      <w:r>
        <w:rPr>
          <w:rFonts w:eastAsia="Arial" w:cs="Arial"/>
          <w:szCs w:val="24"/>
        </w:rPr>
        <w:t xml:space="preserve">bidder </w:t>
      </w:r>
      <w:r w:rsidR="00D47AE2">
        <w:rPr>
          <w:rFonts w:eastAsia="Arial" w:cs="Arial"/>
          <w:szCs w:val="24"/>
        </w:rPr>
        <w:t xml:space="preserve">will </w:t>
      </w:r>
      <w:r>
        <w:rPr>
          <w:rFonts w:eastAsia="Arial" w:cs="Arial"/>
          <w:szCs w:val="24"/>
        </w:rPr>
        <w:t>be available to respond to questions and recommendations.</w:t>
      </w:r>
    </w:p>
    <w:p w14:paraId="1A3EF2F7" w14:textId="31AC4D99" w:rsidR="00D430FB" w:rsidRDefault="00D430FB" w:rsidP="00FC3C79">
      <w:pPr>
        <w:pBdr>
          <w:top w:val="nil"/>
          <w:left w:val="nil"/>
          <w:bottom w:val="nil"/>
          <w:right w:val="nil"/>
          <w:between w:val="nil"/>
        </w:pBdr>
        <w:tabs>
          <w:tab w:val="left" w:pos="900"/>
        </w:tabs>
        <w:spacing w:after="240"/>
        <w:rPr>
          <w:rFonts w:eastAsia="Arial" w:cs="Arial"/>
          <w:szCs w:val="24"/>
          <w:highlight w:val="white"/>
        </w:rPr>
      </w:pPr>
      <w:r>
        <w:rPr>
          <w:rFonts w:eastAsia="Arial" w:cs="Arial"/>
          <w:szCs w:val="24"/>
          <w:highlight w:val="white"/>
        </w:rPr>
        <w:t xml:space="preserve">The </w:t>
      </w:r>
      <w:r w:rsidR="00850B06">
        <w:rPr>
          <w:rFonts w:eastAsia="Arial" w:cs="Arial"/>
          <w:szCs w:val="24"/>
          <w:highlight w:val="white"/>
        </w:rPr>
        <w:t xml:space="preserve">Technical Proposal must describe in detail how the successful </w:t>
      </w:r>
      <w:r>
        <w:rPr>
          <w:rFonts w:eastAsia="Arial" w:cs="Arial"/>
          <w:szCs w:val="24"/>
          <w:highlight w:val="white"/>
        </w:rPr>
        <w:t xml:space="preserve">bidder will provide an outline, draft materials, and any other material developed to the CDE for review and approval </w:t>
      </w:r>
      <w:r w:rsidR="00850B06">
        <w:rPr>
          <w:rFonts w:eastAsia="Arial" w:cs="Arial"/>
          <w:szCs w:val="24"/>
          <w:highlight w:val="white"/>
        </w:rPr>
        <w:t xml:space="preserve">by </w:t>
      </w:r>
      <w:r w:rsidR="005F00D5">
        <w:rPr>
          <w:rFonts w:eastAsia="Arial" w:cs="Arial"/>
          <w:szCs w:val="24"/>
          <w:highlight w:val="white"/>
        </w:rPr>
        <w:t xml:space="preserve">the last Friday in August </w:t>
      </w:r>
      <w:r>
        <w:rPr>
          <w:rFonts w:eastAsia="Arial" w:cs="Arial"/>
          <w:szCs w:val="24"/>
          <w:highlight w:val="white"/>
        </w:rPr>
        <w:t xml:space="preserve">prior to production of the </w:t>
      </w:r>
      <w:r w:rsidR="005F00D5">
        <w:rPr>
          <w:rFonts w:eastAsia="Arial" w:cs="Arial"/>
          <w:szCs w:val="24"/>
          <w:highlight w:val="white"/>
        </w:rPr>
        <w:t>Annual Report</w:t>
      </w:r>
      <w:r>
        <w:rPr>
          <w:rFonts w:eastAsia="Arial" w:cs="Arial"/>
          <w:szCs w:val="24"/>
          <w:highlight w:val="white"/>
        </w:rPr>
        <w:t>.</w:t>
      </w:r>
    </w:p>
    <w:p w14:paraId="02949B34" w14:textId="72D53E3D" w:rsidR="00D430FB" w:rsidRDefault="00D430FB" w:rsidP="00FC3C79">
      <w:pPr>
        <w:pBdr>
          <w:top w:val="nil"/>
          <w:left w:val="nil"/>
          <w:bottom w:val="nil"/>
          <w:right w:val="nil"/>
          <w:between w:val="nil"/>
        </w:pBdr>
        <w:tabs>
          <w:tab w:val="left" w:pos="900"/>
        </w:tabs>
        <w:spacing w:after="240"/>
        <w:rPr>
          <w:rFonts w:eastAsia="Arial" w:cs="Arial"/>
          <w:szCs w:val="24"/>
          <w:highlight w:val="white"/>
        </w:rPr>
      </w:pPr>
      <w:r>
        <w:rPr>
          <w:rFonts w:eastAsia="Arial" w:cs="Arial"/>
          <w:szCs w:val="24"/>
          <w:highlight w:val="white"/>
        </w:rPr>
        <w:lastRenderedPageBreak/>
        <w:t xml:space="preserve">The </w:t>
      </w:r>
      <w:r w:rsidR="00850B06">
        <w:rPr>
          <w:rFonts w:eastAsia="Arial" w:cs="Arial"/>
          <w:szCs w:val="24"/>
        </w:rPr>
        <w:t xml:space="preserve">Technical Proposal must describe in detail how the successful bidder will ensure that the </w:t>
      </w:r>
      <w:r>
        <w:rPr>
          <w:rFonts w:eastAsia="Arial" w:cs="Arial"/>
          <w:szCs w:val="24"/>
          <w:highlight w:val="white"/>
        </w:rPr>
        <w:t xml:space="preserve">final </w:t>
      </w:r>
      <w:r w:rsidR="005F00D5">
        <w:rPr>
          <w:rFonts w:eastAsia="Arial" w:cs="Arial"/>
          <w:szCs w:val="24"/>
          <w:highlight w:val="white"/>
        </w:rPr>
        <w:t xml:space="preserve">Annual Report </w:t>
      </w:r>
      <w:r>
        <w:rPr>
          <w:rFonts w:eastAsia="Arial" w:cs="Arial"/>
          <w:szCs w:val="24"/>
          <w:highlight w:val="white"/>
        </w:rPr>
        <w:t>address</w:t>
      </w:r>
      <w:r w:rsidR="00850B06">
        <w:rPr>
          <w:rFonts w:eastAsia="Arial" w:cs="Arial"/>
          <w:szCs w:val="24"/>
          <w:highlight w:val="white"/>
        </w:rPr>
        <w:t>es</w:t>
      </w:r>
      <w:r>
        <w:rPr>
          <w:rFonts w:eastAsia="Arial" w:cs="Arial"/>
          <w:szCs w:val="24"/>
          <w:highlight w:val="white"/>
        </w:rPr>
        <w:t xml:space="preserve"> all input and revisions provided to the bidder during review of the final </w:t>
      </w:r>
      <w:r w:rsidR="00C47AE7">
        <w:rPr>
          <w:rFonts w:eastAsia="Arial" w:cs="Arial"/>
          <w:szCs w:val="24"/>
          <w:highlight w:val="white"/>
        </w:rPr>
        <w:t xml:space="preserve">Annual Report </w:t>
      </w:r>
      <w:r>
        <w:rPr>
          <w:rFonts w:eastAsia="Arial" w:cs="Arial"/>
          <w:szCs w:val="24"/>
          <w:highlight w:val="white"/>
        </w:rPr>
        <w:t>draft</w:t>
      </w:r>
      <w:r w:rsidR="00850B06">
        <w:rPr>
          <w:rFonts w:eastAsia="Arial" w:cs="Arial"/>
          <w:szCs w:val="24"/>
          <w:highlight w:val="white"/>
        </w:rPr>
        <w:t xml:space="preserve"> from CDE and others</w:t>
      </w:r>
      <w:r>
        <w:rPr>
          <w:rFonts w:eastAsia="Arial" w:cs="Arial"/>
          <w:szCs w:val="24"/>
          <w:highlight w:val="white"/>
        </w:rPr>
        <w:t xml:space="preserve">. The </w:t>
      </w:r>
      <w:r w:rsidR="00850B06">
        <w:rPr>
          <w:rFonts w:eastAsia="Arial" w:cs="Arial"/>
          <w:szCs w:val="24"/>
        </w:rPr>
        <w:t xml:space="preserve">Technical Proposal must describe in detail how the successful bidder will submit the </w:t>
      </w:r>
      <w:r>
        <w:rPr>
          <w:rFonts w:eastAsia="Arial" w:cs="Arial"/>
          <w:szCs w:val="24"/>
          <w:highlight w:val="white"/>
        </w:rPr>
        <w:t xml:space="preserve">final </w:t>
      </w:r>
      <w:r w:rsidR="005F00D5">
        <w:rPr>
          <w:rFonts w:eastAsia="Arial" w:cs="Arial"/>
          <w:szCs w:val="24"/>
          <w:highlight w:val="white"/>
        </w:rPr>
        <w:t xml:space="preserve">Annual Report </w:t>
      </w:r>
      <w:r>
        <w:rPr>
          <w:rFonts w:eastAsia="Arial" w:cs="Arial"/>
          <w:szCs w:val="24"/>
          <w:highlight w:val="white"/>
        </w:rPr>
        <w:t xml:space="preserve">in </w:t>
      </w:r>
      <w:r w:rsidR="00043A24">
        <w:rPr>
          <w:rFonts w:eastAsia="Arial" w:cs="Arial"/>
          <w:szCs w:val="24"/>
          <w:highlight w:val="white"/>
        </w:rPr>
        <w:t xml:space="preserve">Word </w:t>
      </w:r>
      <w:r>
        <w:rPr>
          <w:rFonts w:eastAsia="Arial" w:cs="Arial"/>
          <w:szCs w:val="24"/>
          <w:highlight w:val="white"/>
        </w:rPr>
        <w:t xml:space="preserve">and PDF and include the </w:t>
      </w:r>
      <w:proofErr w:type="gramStart"/>
      <w:r>
        <w:rPr>
          <w:rFonts w:eastAsia="Arial" w:cs="Arial"/>
          <w:szCs w:val="24"/>
          <w:highlight w:val="white"/>
        </w:rPr>
        <w:t>aforementioned minimum</w:t>
      </w:r>
      <w:proofErr w:type="gramEnd"/>
      <w:r>
        <w:rPr>
          <w:rFonts w:eastAsia="Arial" w:cs="Arial"/>
          <w:szCs w:val="24"/>
          <w:highlight w:val="white"/>
        </w:rPr>
        <w:t xml:space="preserve"> requirements for the final </w:t>
      </w:r>
      <w:r w:rsidR="005F00D5">
        <w:rPr>
          <w:rFonts w:eastAsia="Arial" w:cs="Arial"/>
          <w:szCs w:val="24"/>
          <w:highlight w:val="white"/>
        </w:rPr>
        <w:t xml:space="preserve">Annual Report </w:t>
      </w:r>
      <w:r>
        <w:rPr>
          <w:rFonts w:eastAsia="Arial" w:cs="Arial"/>
          <w:szCs w:val="24"/>
          <w:highlight w:val="white"/>
        </w:rPr>
        <w:t xml:space="preserve">draft. The final </w:t>
      </w:r>
      <w:r w:rsidR="005F00D5">
        <w:rPr>
          <w:rFonts w:eastAsia="Arial" w:cs="Arial"/>
          <w:szCs w:val="24"/>
          <w:highlight w:val="white"/>
        </w:rPr>
        <w:t xml:space="preserve">Annual Report </w:t>
      </w:r>
      <w:r>
        <w:rPr>
          <w:rFonts w:eastAsia="Arial" w:cs="Arial"/>
          <w:szCs w:val="24"/>
          <w:highlight w:val="white"/>
        </w:rPr>
        <w:t>is due to the CDE Contract Monitor no later than December 1 annually.</w:t>
      </w:r>
    </w:p>
    <w:p w14:paraId="39463000" w14:textId="608CC524" w:rsidR="00BF631F" w:rsidRPr="006E1B72" w:rsidRDefault="00F119FE" w:rsidP="00FC3C79">
      <w:pPr>
        <w:spacing w:after="240"/>
      </w:pPr>
      <w:r w:rsidRPr="00FC3C79">
        <w:t xml:space="preserve">The </w:t>
      </w:r>
      <w:r w:rsidR="00FC3C79" w:rsidRPr="00FC3C79">
        <w:rPr>
          <w:rFonts w:eastAsia="Arial" w:cs="Arial"/>
          <w:szCs w:val="24"/>
        </w:rPr>
        <w:t>Technical Proposal must describe in detail how the successful bidder will ensure that the</w:t>
      </w:r>
      <w:r w:rsidR="002B0D4E">
        <w:rPr>
          <w:rFonts w:eastAsia="Arial" w:cs="Arial"/>
          <w:szCs w:val="24"/>
        </w:rPr>
        <w:t xml:space="preserve"> Annual</w:t>
      </w:r>
      <w:r w:rsidR="00FC3C79" w:rsidRPr="00FC3C79">
        <w:rPr>
          <w:rFonts w:eastAsia="Arial" w:cs="Arial"/>
          <w:szCs w:val="24"/>
        </w:rPr>
        <w:t xml:space="preserve"> </w:t>
      </w:r>
      <w:r w:rsidR="002B0D4E">
        <w:t>R</w:t>
      </w:r>
      <w:r w:rsidRPr="00FC3C79">
        <w:t>eport follow</w:t>
      </w:r>
      <w:r w:rsidR="00FC3C79" w:rsidRPr="00FC3C79">
        <w:t>s</w:t>
      </w:r>
      <w:r w:rsidRPr="00FC3C79">
        <w:t xml:space="preserve"> the CDE’s Legislative Report template which, at a minimum includes a cover page, table of contents, executive summary, information and findings from the formative evaluation, and conclusions.</w:t>
      </w:r>
      <w:r w:rsidR="002B0D4E">
        <w:t xml:space="preserve"> Examples of legislative reports can be found on the CDE’s </w:t>
      </w:r>
      <w:r w:rsidR="002B0D4E" w:rsidRPr="006E1B72">
        <w:t xml:space="preserve">Legislative Reports web page at, </w:t>
      </w:r>
      <w:hyperlink r:id="rId33" w:tooltip="CDE Legislative Reports" w:history="1">
        <w:r w:rsidR="002B0D4E" w:rsidRPr="00514073">
          <w:rPr>
            <w:rStyle w:val="Hyperlink"/>
            <w:color w:val="0033CC"/>
          </w:rPr>
          <w:t>https://www.cde.ca.gov/re/lr/lr/ap/</w:t>
        </w:r>
      </w:hyperlink>
      <w:r w:rsidR="002B0D4E" w:rsidRPr="006E1B72">
        <w:t>.</w:t>
      </w:r>
    </w:p>
    <w:p w14:paraId="0125A3DA" w14:textId="43583C88" w:rsidR="00EA393C" w:rsidRPr="006E1B72" w:rsidRDefault="00EA393C" w:rsidP="00FC3C79">
      <w:pPr>
        <w:spacing w:after="240"/>
        <w:rPr>
          <w:rFonts w:cs="Arial"/>
          <w:szCs w:val="24"/>
        </w:rPr>
      </w:pPr>
      <w:r w:rsidRPr="006E1B72">
        <w:t xml:space="preserve">The </w:t>
      </w:r>
      <w:r w:rsidR="00FC3C79" w:rsidRPr="006E1B72">
        <w:rPr>
          <w:rFonts w:eastAsia="Arial" w:cs="Arial"/>
          <w:szCs w:val="24"/>
        </w:rPr>
        <w:t xml:space="preserve">Technical Proposal must describe in detail how the successful bidder will ensure that the </w:t>
      </w:r>
      <w:r w:rsidRPr="006E1B72">
        <w:t>contents specified in Tasks 4 and 5</w:t>
      </w:r>
      <w:r w:rsidR="002B0D4E" w:rsidRPr="006E1B72">
        <w:t xml:space="preserve"> are included in the Annual Report</w:t>
      </w:r>
      <w:r w:rsidRPr="006E1B72">
        <w:t>.</w:t>
      </w:r>
    </w:p>
    <w:p w14:paraId="476991FC" w14:textId="3301ABF7" w:rsidR="00537458" w:rsidRPr="00EB0CA6" w:rsidRDefault="00537458" w:rsidP="001B373C">
      <w:pPr>
        <w:pStyle w:val="Heading4"/>
      </w:pPr>
      <w:r w:rsidRPr="00AC163A">
        <w:t>2.3</w:t>
      </w:r>
      <w:r w:rsidRPr="00BA3573">
        <w:t xml:space="preserve"> Data Files, Reports, and </w:t>
      </w:r>
      <w:r w:rsidRPr="00EB0CA6">
        <w:t>Final Documents</w:t>
      </w:r>
    </w:p>
    <w:p w14:paraId="381249CA" w14:textId="6053170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the successful bidder will adhere to the </w:t>
      </w:r>
      <w:r w:rsidRPr="00B76BB1">
        <w:rPr>
          <w:rFonts w:eastAsia="Times New Roman"/>
          <w:snapToGrid w:val="0"/>
          <w:szCs w:val="20"/>
        </w:rPr>
        <w:t xml:space="preserve">CDE Style </w:t>
      </w:r>
      <w:r w:rsidRPr="00152C31">
        <w:rPr>
          <w:rFonts w:eastAsia="Times New Roman"/>
          <w:snapToGrid w:val="0"/>
          <w:szCs w:val="20"/>
        </w:rPr>
        <w:t>Manual, Correspondence Guide</w:t>
      </w:r>
      <w:r w:rsidRPr="00B76BB1">
        <w:rPr>
          <w:rFonts w:eastAsia="Times New Roman"/>
          <w:snapToGrid w:val="0"/>
          <w:szCs w:val="20"/>
        </w:rPr>
        <w:t xml:space="preserve">, </w:t>
      </w:r>
      <w:r w:rsidR="003F2FA9">
        <w:rPr>
          <w:rFonts w:eastAsia="Times New Roman"/>
          <w:snapToGrid w:val="0"/>
          <w:szCs w:val="20"/>
        </w:rPr>
        <w:t>w</w:t>
      </w:r>
      <w:r w:rsidRPr="00B76BB1">
        <w:rPr>
          <w:rFonts w:eastAsia="Times New Roman"/>
          <w:snapToGrid w:val="0"/>
          <w:szCs w:val="20"/>
        </w:rPr>
        <w:t xml:space="preserve">eb standards, and data file requirements. The CDE Style </w:t>
      </w:r>
      <w:r w:rsidRPr="00152C31">
        <w:rPr>
          <w:rFonts w:eastAsia="Times New Roman"/>
          <w:snapToGrid w:val="0"/>
          <w:szCs w:val="20"/>
        </w:rPr>
        <w:t>Manual, Correspondence Guide</w:t>
      </w:r>
      <w:r w:rsidRPr="00B76BB1">
        <w:rPr>
          <w:rFonts w:eastAsia="Times New Roman"/>
          <w:snapToGrid w:val="0"/>
          <w:szCs w:val="20"/>
        </w:rPr>
        <w:t xml:space="preserve">, </w:t>
      </w:r>
      <w:r w:rsidRPr="009715D3">
        <w:rPr>
          <w:rFonts w:eastAsia="Times New Roman"/>
          <w:snapToGrid w:val="0"/>
          <w:szCs w:val="20"/>
        </w:rPr>
        <w:t xml:space="preserve">and </w:t>
      </w:r>
      <w:r w:rsidR="003F2FA9">
        <w:rPr>
          <w:rFonts w:eastAsia="Times New Roman"/>
          <w:snapToGrid w:val="0"/>
          <w:szCs w:val="20"/>
        </w:rPr>
        <w:t>w</w:t>
      </w:r>
      <w:r w:rsidRPr="009715D3">
        <w:rPr>
          <w:rFonts w:eastAsia="Times New Roman"/>
          <w:snapToGrid w:val="0"/>
          <w:szCs w:val="20"/>
        </w:rPr>
        <w:t xml:space="preserve">eb standards are posted on the CDE </w:t>
      </w:r>
      <w:r w:rsidR="003F2FA9">
        <w:rPr>
          <w:rFonts w:eastAsia="Times New Roman"/>
          <w:snapToGrid w:val="0"/>
          <w:szCs w:val="20"/>
        </w:rPr>
        <w:t>w</w:t>
      </w:r>
      <w:r w:rsidRPr="009715D3">
        <w:rPr>
          <w:rFonts w:eastAsia="Times New Roman"/>
          <w:snapToGrid w:val="0"/>
          <w:szCs w:val="20"/>
        </w:rPr>
        <w:t xml:space="preserve">eb </w:t>
      </w:r>
      <w:r w:rsidR="003F2FA9">
        <w:rPr>
          <w:rFonts w:eastAsia="Times New Roman"/>
          <w:snapToGrid w:val="0"/>
          <w:szCs w:val="20"/>
        </w:rPr>
        <w:t>s</w:t>
      </w:r>
      <w:r w:rsidRPr="009715D3">
        <w:rPr>
          <w:rFonts w:eastAsia="Times New Roman"/>
          <w:snapToGrid w:val="0"/>
          <w:szCs w:val="20"/>
        </w:rPr>
        <w:t xml:space="preserve">tandards </w:t>
      </w:r>
      <w:r w:rsidR="003F2FA9">
        <w:rPr>
          <w:rFonts w:eastAsia="Times New Roman"/>
          <w:snapToGrid w:val="0"/>
          <w:szCs w:val="20"/>
        </w:rPr>
        <w:t>w</w:t>
      </w:r>
      <w:r w:rsidRPr="009715D3">
        <w:rPr>
          <w:rFonts w:eastAsia="Times New Roman"/>
          <w:snapToGrid w:val="0"/>
          <w:szCs w:val="20"/>
        </w:rPr>
        <w:t xml:space="preserve">eb </w:t>
      </w:r>
      <w:r w:rsidR="003F2FA9">
        <w:rPr>
          <w:rFonts w:eastAsia="Times New Roman"/>
          <w:snapToGrid w:val="0"/>
          <w:szCs w:val="20"/>
        </w:rPr>
        <w:t>p</w:t>
      </w:r>
      <w:r w:rsidRPr="009715D3">
        <w:rPr>
          <w:rFonts w:eastAsia="Times New Roman"/>
          <w:snapToGrid w:val="0"/>
          <w:szCs w:val="20"/>
        </w:rPr>
        <w:t xml:space="preserve">age </w:t>
      </w:r>
      <w:r>
        <w:rPr>
          <w:rFonts w:eastAsia="Times New Roman"/>
          <w:snapToGrid w:val="0"/>
          <w:szCs w:val="20"/>
        </w:rPr>
        <w:t xml:space="preserve">which can be found at </w:t>
      </w:r>
      <w:hyperlink r:id="rId34" w:tooltip="CDE Web Standards Web Page" w:history="1">
        <w:r w:rsidRPr="00514073">
          <w:rPr>
            <w:rStyle w:val="Hyperlink"/>
            <w:rFonts w:eastAsia="Times New Roman"/>
            <w:snapToGrid w:val="0"/>
            <w:color w:val="0033CC"/>
            <w:szCs w:val="20"/>
          </w:rPr>
          <w:t>http://www.cde.ca.gov/re/di/ws/webstandards.asp</w:t>
        </w:r>
      </w:hyperlink>
      <w:r>
        <w:rPr>
          <w:rFonts w:eastAsia="Times New Roman"/>
          <w:snapToGrid w:val="0"/>
          <w:szCs w:val="20"/>
        </w:rPr>
        <w:t>.</w:t>
      </w:r>
    </w:p>
    <w:p w14:paraId="30A58AAC" w14:textId="23B628E1" w:rsidR="00537458"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unless otherwise specified in this RFP, all final documents must be provided in Microsoft Word 2013 or later format. With prior approval from </w:t>
      </w:r>
      <w:r w:rsidR="00043A24">
        <w:rPr>
          <w:rFonts w:eastAsia="Times New Roman"/>
          <w:snapToGrid w:val="0"/>
          <w:szCs w:val="20"/>
        </w:rPr>
        <w:t xml:space="preserve">the </w:t>
      </w:r>
      <w:r w:rsidRPr="009715D3">
        <w:rPr>
          <w:rFonts w:eastAsia="Times New Roman"/>
          <w:snapToGrid w:val="0"/>
          <w:szCs w:val="20"/>
        </w:rPr>
        <w:t xml:space="preserve">CDE, the </w:t>
      </w:r>
      <w:r w:rsidR="00EE5ED2">
        <w:rPr>
          <w:rFonts w:eastAsia="Times New Roman"/>
          <w:snapToGrid w:val="0"/>
          <w:szCs w:val="20"/>
        </w:rPr>
        <w:t>successful bidder</w:t>
      </w:r>
      <w:r w:rsidRPr="009715D3">
        <w:rPr>
          <w:rFonts w:eastAsia="Times New Roman"/>
          <w:snapToGrid w:val="0"/>
          <w:szCs w:val="20"/>
        </w:rPr>
        <w:t xml:space="preserve"> may also use Adobe Acrobat or any other CDE approved software. The Technical Proposal must acknowledge and ensure that any document (e.g., </w:t>
      </w:r>
      <w:r w:rsidR="003F2FA9">
        <w:rPr>
          <w:rFonts w:eastAsia="Times New Roman"/>
          <w:snapToGrid w:val="0"/>
          <w:szCs w:val="20"/>
        </w:rPr>
        <w:t>w</w:t>
      </w:r>
      <w:r w:rsidRPr="009715D3">
        <w:rPr>
          <w:rFonts w:eastAsia="Times New Roman"/>
          <w:snapToGrid w:val="0"/>
          <w:szCs w:val="20"/>
        </w:rPr>
        <w:t xml:space="preserve">eb page, document, survey, application) to be posted on the Internet (not just any CDE </w:t>
      </w:r>
      <w:r w:rsidR="003F2FA9">
        <w:rPr>
          <w:rFonts w:eastAsia="Times New Roman"/>
          <w:snapToGrid w:val="0"/>
          <w:szCs w:val="20"/>
        </w:rPr>
        <w:t>w</w:t>
      </w:r>
      <w:r w:rsidRPr="009715D3">
        <w:rPr>
          <w:rFonts w:eastAsia="Times New Roman"/>
          <w:snapToGrid w:val="0"/>
          <w:szCs w:val="20"/>
        </w:rPr>
        <w:t xml:space="preserve">ebsite but any </w:t>
      </w:r>
      <w:r w:rsidR="003F2FA9">
        <w:rPr>
          <w:rFonts w:eastAsia="Times New Roman"/>
          <w:snapToGrid w:val="0"/>
          <w:szCs w:val="20"/>
        </w:rPr>
        <w:t>w</w:t>
      </w:r>
      <w:r w:rsidRPr="009715D3">
        <w:rPr>
          <w:rFonts w:eastAsia="Times New Roman"/>
          <w:snapToGrid w:val="0"/>
          <w:szCs w:val="20"/>
        </w:rPr>
        <w:t xml:space="preserve">ebsite) meets the CDE’s </w:t>
      </w:r>
      <w:r w:rsidR="003F2FA9">
        <w:rPr>
          <w:rFonts w:eastAsia="Times New Roman"/>
          <w:snapToGrid w:val="0"/>
          <w:szCs w:val="20"/>
        </w:rPr>
        <w:t>w</w:t>
      </w:r>
      <w:r w:rsidRPr="009715D3">
        <w:rPr>
          <w:rFonts w:eastAsia="Times New Roman"/>
          <w:snapToGrid w:val="0"/>
          <w:szCs w:val="20"/>
        </w:rPr>
        <w:t xml:space="preserve">eb standards, including but not limited to the CDE Style Guidelines and </w:t>
      </w:r>
      <w:r w:rsidR="003F2FA9">
        <w:rPr>
          <w:rFonts w:eastAsia="Times New Roman"/>
          <w:snapToGrid w:val="0"/>
          <w:szCs w:val="20"/>
        </w:rPr>
        <w:t>w</w:t>
      </w:r>
      <w:r w:rsidRPr="009715D3">
        <w:rPr>
          <w:rFonts w:eastAsia="Times New Roman"/>
          <w:snapToGrid w:val="0"/>
          <w:szCs w:val="20"/>
        </w:rPr>
        <w:t xml:space="preserve">eb standards and CDE Accessibility Standards. The Technical Proposal must acknowledge and ensure that whether documents are provided as </w:t>
      </w:r>
      <w:r w:rsidR="00043A24">
        <w:rPr>
          <w:rFonts w:eastAsia="Times New Roman"/>
          <w:snapToGrid w:val="0"/>
          <w:szCs w:val="20"/>
        </w:rPr>
        <w:t>W</w:t>
      </w:r>
      <w:r w:rsidR="00043A24" w:rsidRPr="009715D3">
        <w:rPr>
          <w:rFonts w:eastAsia="Times New Roman"/>
          <w:snapToGrid w:val="0"/>
          <w:szCs w:val="20"/>
        </w:rPr>
        <w:t xml:space="preserve">ord </w:t>
      </w:r>
      <w:r w:rsidRPr="009715D3">
        <w:rPr>
          <w:rFonts w:eastAsia="Times New Roman"/>
          <w:snapToGrid w:val="0"/>
          <w:szCs w:val="20"/>
        </w:rPr>
        <w:t>or PDF, the documents must be fully accessible to persons with disabilities including at a minimum that they are text-based, have the correct reading order, and all non-text elements (e.g., pictures, charts, and graphs) have fully equivalent alternative text and alt</w:t>
      </w:r>
      <w:r>
        <w:rPr>
          <w:rFonts w:eastAsia="Times New Roman"/>
          <w:snapToGrid w:val="0"/>
          <w:szCs w:val="20"/>
        </w:rPr>
        <w:t>ernative</w:t>
      </w:r>
      <w:r w:rsidRPr="009715D3">
        <w:rPr>
          <w:rFonts w:eastAsia="Times New Roman"/>
          <w:snapToGrid w:val="0"/>
          <w:szCs w:val="20"/>
        </w:rPr>
        <w:t xml:space="preserve"> text tags.</w:t>
      </w:r>
    </w:p>
    <w:p w14:paraId="59C5BC7A" w14:textId="73A97BAC"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after a document has been fully approved by the CDE, the successful bidder must ensure that the material meets the CDE Accessibility Standards. </w:t>
      </w:r>
      <w:r w:rsidRPr="00410AC9">
        <w:rPr>
          <w:rFonts w:eastAsia="Times New Roman"/>
          <w:snapToGrid w:val="0"/>
          <w:szCs w:val="20"/>
        </w:rPr>
        <w:t xml:space="preserve">Additionally, PDF documents must be tagged for accessibility. The </w:t>
      </w:r>
      <w:r w:rsidR="003F2FA9">
        <w:rPr>
          <w:rFonts w:eastAsia="Times New Roman"/>
          <w:snapToGrid w:val="0"/>
          <w:szCs w:val="20"/>
        </w:rPr>
        <w:t>T</w:t>
      </w:r>
      <w:r w:rsidRPr="00410AC9">
        <w:rPr>
          <w:rFonts w:eastAsia="Times New Roman"/>
          <w:snapToGrid w:val="0"/>
          <w:szCs w:val="20"/>
        </w:rPr>
        <w:t xml:space="preserve">echnical </w:t>
      </w:r>
      <w:r w:rsidR="003F2FA9">
        <w:rPr>
          <w:rFonts w:eastAsia="Times New Roman"/>
          <w:snapToGrid w:val="0"/>
          <w:szCs w:val="20"/>
        </w:rPr>
        <w:t>P</w:t>
      </w:r>
      <w:r w:rsidRPr="00410AC9">
        <w:rPr>
          <w:rFonts w:eastAsia="Times New Roman"/>
          <w:snapToGrid w:val="0"/>
          <w:szCs w:val="20"/>
        </w:rPr>
        <w:t xml:space="preserve">roposal must acknowledge and ensure that accessibility requirements are not waived because content is received from schools or any other </w:t>
      </w:r>
      <w:r w:rsidR="00645B5B">
        <w:rPr>
          <w:rFonts w:eastAsia="Times New Roman"/>
          <w:snapToGrid w:val="0"/>
          <w:szCs w:val="20"/>
        </w:rPr>
        <w:t>thi</w:t>
      </w:r>
      <w:r w:rsidRPr="00410AC9">
        <w:rPr>
          <w:rFonts w:eastAsia="Times New Roman"/>
          <w:snapToGrid w:val="0"/>
          <w:szCs w:val="20"/>
        </w:rPr>
        <w:t>rd party</w:t>
      </w:r>
      <w:r>
        <w:rPr>
          <w:rFonts w:eastAsia="Times New Roman"/>
          <w:snapToGrid w:val="0"/>
          <w:szCs w:val="20"/>
        </w:rPr>
        <w:t xml:space="preserve">. </w:t>
      </w:r>
      <w:r w:rsidRPr="009715D3">
        <w:rPr>
          <w:rFonts w:eastAsia="Times New Roman"/>
          <w:snapToGrid w:val="0"/>
          <w:szCs w:val="20"/>
        </w:rPr>
        <w:t xml:space="preserve">The Technical Proposal must acknowledge and ensure that all fully approved PowerPoint documents, for posting on the Internet, must be delivered to the CDE with a text only Word version, with fully equivalent alternative text for every non-text element (e.g., graphics, pictures, charts, graphs). Videos or </w:t>
      </w:r>
      <w:r w:rsidR="003F2FA9">
        <w:rPr>
          <w:rFonts w:eastAsia="Times New Roman"/>
          <w:snapToGrid w:val="0"/>
          <w:szCs w:val="20"/>
        </w:rPr>
        <w:t>w</w:t>
      </w:r>
      <w:r w:rsidRPr="009715D3">
        <w:rPr>
          <w:rFonts w:eastAsia="Times New Roman"/>
          <w:snapToGrid w:val="0"/>
          <w:szCs w:val="20"/>
        </w:rPr>
        <w:t xml:space="preserve">ebinars that are posted to any </w:t>
      </w:r>
      <w:r w:rsidR="00043A24">
        <w:rPr>
          <w:rFonts w:eastAsia="Times New Roman"/>
          <w:snapToGrid w:val="0"/>
          <w:szCs w:val="20"/>
        </w:rPr>
        <w:t>w</w:t>
      </w:r>
      <w:r w:rsidRPr="009715D3">
        <w:rPr>
          <w:rFonts w:eastAsia="Times New Roman"/>
          <w:snapToGrid w:val="0"/>
          <w:szCs w:val="20"/>
        </w:rPr>
        <w:t xml:space="preserve">ebsite must be fully captioned and meet the CDE </w:t>
      </w:r>
      <w:r w:rsidR="003F2FA9">
        <w:rPr>
          <w:rFonts w:eastAsia="Times New Roman"/>
          <w:snapToGrid w:val="0"/>
          <w:szCs w:val="20"/>
        </w:rPr>
        <w:t>w</w:t>
      </w:r>
      <w:r w:rsidRPr="009715D3">
        <w:rPr>
          <w:rFonts w:eastAsia="Times New Roman"/>
          <w:snapToGrid w:val="0"/>
          <w:szCs w:val="20"/>
        </w:rPr>
        <w:t>eb standards.</w:t>
      </w:r>
    </w:p>
    <w:p w14:paraId="11DC85EA" w14:textId="7777777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describe in detail that </w:t>
      </w:r>
      <w:r>
        <w:rPr>
          <w:rFonts w:eastAsia="Times New Roman"/>
          <w:snapToGrid w:val="0"/>
          <w:szCs w:val="20"/>
        </w:rPr>
        <w:t>the successful bidder has</w:t>
      </w:r>
      <w:r w:rsidRPr="009715D3">
        <w:rPr>
          <w:rFonts w:eastAsia="Times New Roman"/>
          <w:snapToGrid w:val="0"/>
          <w:szCs w:val="20"/>
        </w:rPr>
        <w:t xml:space="preserve"> the resources, staff, knowledge, skills, and abilities to deliver Section 508 accessible products. If needed during the contract period, the successful bidder may request to meet with the CDE Web Application </w:t>
      </w:r>
      <w:r w:rsidRPr="009715D3">
        <w:rPr>
          <w:rFonts w:eastAsia="Times New Roman"/>
          <w:snapToGrid w:val="0"/>
          <w:szCs w:val="20"/>
        </w:rPr>
        <w:lastRenderedPageBreak/>
        <w:t>Review Team (Web ART) to answer questions about proposed accessibility strategies and request Web ART to review a small sample of a deliverable to help guide the process.</w:t>
      </w:r>
    </w:p>
    <w:p w14:paraId="540A2392" w14:textId="3F0AB3AD"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acknowledge and ensure that unless otherwise specified, all data files must be delivered in text files using tab delimited and comma separated values (CSV) format with double quote field delimiters. The file must be encrypted using Federal Information Processing Standards (FIPS) 140-2 validation product that can be incorporated into Microsoft Access and Microsoft Structured Query Language (SQL) Server.</w:t>
      </w:r>
      <w:r w:rsidR="00C7538B">
        <w:rPr>
          <w:rFonts w:eastAsia="Times New Roman"/>
          <w:snapToGrid w:val="0"/>
          <w:szCs w:val="20"/>
        </w:rPr>
        <w:t xml:space="preserve"> The data must be transferred in a secure manner and must comply with all data privacy laws, policies, and best practices as defined by the CDE.</w:t>
      </w:r>
    </w:p>
    <w:p w14:paraId="24036F68" w14:textId="14084D81"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specify that the CDE must approve all material and/or deliverables developed in conjunction with this contract. (S</w:t>
      </w:r>
      <w:r>
        <w:rPr>
          <w:rFonts w:eastAsia="Times New Roman"/>
          <w:snapToGrid w:val="0"/>
          <w:szCs w:val="20"/>
        </w:rPr>
        <w:t xml:space="preserve">ee Task </w:t>
      </w:r>
      <w:r w:rsidRPr="00EF0BF3">
        <w:rPr>
          <w:rFonts w:eastAsia="Times New Roman"/>
          <w:snapToGrid w:val="0"/>
          <w:szCs w:val="20"/>
        </w:rPr>
        <w:t>1.</w:t>
      </w:r>
      <w:r w:rsidR="003F2FA9" w:rsidRPr="00EF0BF3">
        <w:rPr>
          <w:rFonts w:eastAsia="Times New Roman"/>
          <w:snapToGrid w:val="0"/>
          <w:szCs w:val="20"/>
        </w:rPr>
        <w:t>5</w:t>
      </w:r>
      <w:r w:rsidRPr="00EF0BF3">
        <w:rPr>
          <w:rFonts w:eastAsia="Times New Roman"/>
          <w:snapToGrid w:val="0"/>
          <w:szCs w:val="20"/>
        </w:rPr>
        <w:t xml:space="preserve"> </w:t>
      </w:r>
      <w:r w:rsidRPr="00EF0BF3">
        <w:t>–</w:t>
      </w:r>
      <w:r w:rsidRPr="00EF0BF3">
        <w:rPr>
          <w:rFonts w:eastAsia="Times New Roman"/>
          <w:snapToGrid w:val="0"/>
          <w:szCs w:val="20"/>
        </w:rPr>
        <w:t xml:space="preserve"> </w:t>
      </w:r>
      <w:r w:rsidRPr="009715D3">
        <w:rPr>
          <w:rFonts w:eastAsia="Times New Roman"/>
          <w:snapToGrid w:val="0"/>
          <w:szCs w:val="20"/>
        </w:rPr>
        <w:t xml:space="preserve">CDE Approval Schedule Requirements). The Technical Proposal must acknowledge and ensure that the successful bidder will not disseminate any written information, materials, or deliverables to the field, public, or any other third party without written approval by the CDE. The Technical Proposal must acknowledge and ensure that the successful bidder is responsible for allowing sufficient time for the CDE to review the materials and/or deliverables, and if necessary, for the </w:t>
      </w:r>
      <w:r w:rsidR="003F2FA9">
        <w:rPr>
          <w:rFonts w:eastAsia="Times New Roman"/>
          <w:snapToGrid w:val="0"/>
          <w:szCs w:val="20"/>
        </w:rPr>
        <w:t>successful bidder</w:t>
      </w:r>
      <w:r w:rsidRPr="009715D3">
        <w:rPr>
          <w:rFonts w:eastAsia="Times New Roman"/>
          <w:snapToGrid w:val="0"/>
          <w:szCs w:val="20"/>
        </w:rPr>
        <w:t xml:space="preserve"> to make modifications as directed by the CDE to review and sign-off on the revised submission</w:t>
      </w:r>
      <w:r>
        <w:rPr>
          <w:rFonts w:eastAsia="Times New Roman"/>
          <w:snapToGrid w:val="0"/>
          <w:szCs w:val="20"/>
        </w:rPr>
        <w:t xml:space="preserve"> (</w:t>
      </w:r>
      <w:r w:rsidRPr="005C528E">
        <w:rPr>
          <w:rFonts w:cs="Arial"/>
          <w:color w:val="000000"/>
          <w:szCs w:val="24"/>
        </w:rPr>
        <w:t>See Task 1</w:t>
      </w:r>
      <w:r w:rsidRPr="00EF0BF3">
        <w:rPr>
          <w:rFonts w:cs="Arial"/>
          <w:szCs w:val="24"/>
        </w:rPr>
        <w:t>.</w:t>
      </w:r>
      <w:r w:rsidR="003F2FA9" w:rsidRPr="00EF0BF3">
        <w:rPr>
          <w:rFonts w:cs="Arial"/>
          <w:szCs w:val="24"/>
        </w:rPr>
        <w:t>5</w:t>
      </w:r>
      <w:r w:rsidRPr="00EF0BF3">
        <w:rPr>
          <w:rFonts w:cs="Arial"/>
          <w:szCs w:val="24"/>
        </w:rPr>
        <w:t xml:space="preserve"> </w:t>
      </w:r>
      <w:r w:rsidRPr="00EF0BF3">
        <w:t xml:space="preserve">– </w:t>
      </w:r>
      <w:r>
        <w:t>CDE Approval Schedule Requirements)</w:t>
      </w:r>
      <w:r w:rsidRPr="009715D3">
        <w:rPr>
          <w:rFonts w:eastAsia="Times New Roman"/>
          <w:snapToGrid w:val="0"/>
          <w:szCs w:val="20"/>
        </w:rPr>
        <w:t>. The Technical Proposal must acknowledge and ensure that the successful bidder is responsible for any costs associated with making modifications to materials and deliverables necessary to obtain sign-off by the CDE.</w:t>
      </w:r>
    </w:p>
    <w:p w14:paraId="4C676D24" w14:textId="3A29C571" w:rsidR="00537458" w:rsidRPr="008A49B6" w:rsidRDefault="00537458" w:rsidP="008A49B6">
      <w:pPr>
        <w:spacing w:before="240" w:after="240"/>
        <w:rPr>
          <w:rFonts w:eastAsia="Times New Roman"/>
          <w:snapToGrid w:val="0"/>
          <w:szCs w:val="20"/>
        </w:rPr>
      </w:pPr>
      <w:r w:rsidRPr="009715D3">
        <w:rPr>
          <w:rFonts w:eastAsia="Times New Roman"/>
          <w:snapToGrid w:val="0"/>
          <w:szCs w:val="20"/>
        </w:rPr>
        <w:t>The Technical Proposal must acknowledge and ensure that the CDE and all authorized state control agencies must have access to all internal and external reports, documents, data and working papers used by the successful bidder and potential subcontractors in the performance and administration of this contract. The Technical Proposal must acknowledge and ensure that the successful bidder shall allow the CDE to monitor all aspects of the successful bidder's performance.</w:t>
      </w:r>
    </w:p>
    <w:p w14:paraId="5CAE1458" w14:textId="77777777" w:rsidR="00E45C40" w:rsidRDefault="00E45C40">
      <w:pPr>
        <w:rPr>
          <w:b/>
          <w:snapToGrid w:val="0"/>
          <w:sz w:val="36"/>
          <w:szCs w:val="36"/>
        </w:rPr>
      </w:pPr>
      <w:r>
        <w:br w:type="page"/>
      </w:r>
    </w:p>
    <w:p w14:paraId="36D2E64E" w14:textId="6F88583D" w:rsidR="00537458" w:rsidRPr="00B76BB1" w:rsidRDefault="00537458" w:rsidP="003E4C84">
      <w:pPr>
        <w:pStyle w:val="Heading3"/>
        <w:rPr>
          <w:sz w:val="24"/>
        </w:rPr>
      </w:pPr>
      <w:r w:rsidRPr="00507719">
        <w:lastRenderedPageBreak/>
        <w:t xml:space="preserve">TASK 3 – COMPREHENSIVE PLAN AND SCHEDULE FOR </w:t>
      </w:r>
      <w:r w:rsidRPr="00B76BB1">
        <w:t>PROJECT ACTIVITIES AND DELIVERABLES</w:t>
      </w:r>
    </w:p>
    <w:p w14:paraId="53DA0B36" w14:textId="3626F58E" w:rsidR="00537458" w:rsidRDefault="00537458" w:rsidP="00537458">
      <w:pPr>
        <w:spacing w:after="240"/>
      </w:pPr>
      <w:r w:rsidRPr="00152C31">
        <w:t>This section of the Technical Proposal must acknowledge the bidder’s commitment to completing all the requirements specified below in Task 3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3.</w:t>
      </w:r>
    </w:p>
    <w:p w14:paraId="0FA723C7" w14:textId="1A143EF2" w:rsidR="00B120B0" w:rsidRPr="00152C31" w:rsidRDefault="00B120B0" w:rsidP="00537458">
      <w:pPr>
        <w:spacing w:after="240"/>
      </w:pPr>
      <w:r>
        <w:t xml:space="preserve">The successful bidder must adhere to the CDE Approval Schedule Requirements as stated in </w:t>
      </w:r>
      <w:r w:rsidRPr="00EF0BF3">
        <w:t xml:space="preserve">Task 1.5 – </w:t>
      </w:r>
      <w:r w:rsidRPr="00EF0BF3">
        <w:rPr>
          <w:snapToGrid w:val="0"/>
        </w:rPr>
        <w:t xml:space="preserve">CDE Approval Schedule Requirements </w:t>
      </w:r>
      <w:r w:rsidRPr="00EF0BF3">
        <w:t>for generating and delivering required reports/deliverables</w:t>
      </w:r>
      <w:r>
        <w:t>.</w:t>
      </w:r>
    </w:p>
    <w:p w14:paraId="6EECFE64" w14:textId="77777777" w:rsidR="00537458" w:rsidRPr="00152C31" w:rsidRDefault="00537458" w:rsidP="00537458">
      <w:pPr>
        <w:spacing w:after="240"/>
        <w:rPr>
          <w:rFonts w:cs="Arial"/>
          <w:szCs w:val="24"/>
        </w:rPr>
      </w:pPr>
      <w:r w:rsidRPr="00152C31">
        <w:rPr>
          <w:rFonts w:cs="Arial"/>
          <w:szCs w:val="24"/>
        </w:rPr>
        <w:t>The Technical Proposal must include a narrative schedule and timeline which will be used as a monitoring document to ensure timely completion of tasks as proposed by the successful bidder; the narrative schedules and timeline must include the following information:</w:t>
      </w:r>
    </w:p>
    <w:p w14:paraId="14E83220" w14:textId="77777777" w:rsidR="00537458" w:rsidRPr="00B76BB1" w:rsidRDefault="00537458" w:rsidP="001B373C">
      <w:pPr>
        <w:pStyle w:val="Heading4"/>
      </w:pPr>
      <w:r w:rsidRPr="00B76BB1">
        <w:t>3.1 Narrative Schedule and Timeline</w:t>
      </w:r>
    </w:p>
    <w:p w14:paraId="2AD7A967" w14:textId="4FB64E81" w:rsidR="00537458" w:rsidRPr="00B76BB1" w:rsidRDefault="00537458" w:rsidP="00537458">
      <w:pPr>
        <w:tabs>
          <w:tab w:val="left" w:pos="360"/>
          <w:tab w:val="left" w:pos="720"/>
        </w:tabs>
        <w:spacing w:before="240" w:after="240"/>
        <w:rPr>
          <w:rFonts w:cs="Arial"/>
          <w:szCs w:val="24"/>
        </w:rPr>
      </w:pPr>
      <w:r w:rsidRPr="00B76BB1">
        <w:rPr>
          <w:rFonts w:cs="Arial"/>
          <w:szCs w:val="24"/>
        </w:rPr>
        <w:t xml:space="preserve">The Technical Proposal must include a comprehensive plan to address all activities described in Section </w:t>
      </w:r>
      <w:r w:rsidR="00DC395C">
        <w:rPr>
          <w:rFonts w:cs="Arial"/>
          <w:szCs w:val="24"/>
        </w:rPr>
        <w:t>7</w:t>
      </w:r>
      <w:r w:rsidRPr="00B76BB1">
        <w:rPr>
          <w:rFonts w:cs="Arial"/>
          <w:szCs w:val="24"/>
        </w:rPr>
        <w:t>, Scope of Project.</w:t>
      </w:r>
    </w:p>
    <w:p w14:paraId="172635DB" w14:textId="3AA96247" w:rsidR="00B120B0" w:rsidRPr="00E45C40" w:rsidRDefault="00537458" w:rsidP="00E45C40">
      <w:pPr>
        <w:rPr>
          <w:b/>
          <w:sz w:val="36"/>
          <w:szCs w:val="36"/>
        </w:rPr>
      </w:pPr>
      <w:r w:rsidRPr="00B76BB1">
        <w:rPr>
          <w:rFonts w:cs="Arial"/>
          <w:szCs w:val="24"/>
        </w:rPr>
        <w:t xml:space="preserve">This section of the Technical Proposal must include a detailed narrative schedule and timeline that outlines, for all fiscal years and parts thereof, both by task/subtask and chronology for each activity to be performed for the entire contract term. The schedule and timeline must list all tasks, subtasks, activities, and deliverables to be performed in each fiscal year, or part thereof, as set forth in the Scope of Project in Section </w:t>
      </w:r>
      <w:r w:rsidR="00DC395C">
        <w:rPr>
          <w:rFonts w:cs="Arial"/>
          <w:szCs w:val="24"/>
        </w:rPr>
        <w:t>7</w:t>
      </w:r>
      <w:r w:rsidRPr="00B76BB1">
        <w:rPr>
          <w:rFonts w:cs="Arial"/>
          <w:szCs w:val="24"/>
        </w:rPr>
        <w:t xml:space="preserve">. The chronological schedule and timeline must include proposed task/subtask initiation dates, completion dates, effort required, dependencies between deliverables and activities, and person(s) assigned, for each fiscal year covered under the proposed contract, or part thereof. The schedule and timeline will also serve as a monitoring document to ensure timely completion of tasks as proposed by the successful bidder. The Technical Proposal’s comprehensive plan and schedule must conform to the CDE approval </w:t>
      </w:r>
      <w:r w:rsidRPr="00EF0BF3">
        <w:rPr>
          <w:rFonts w:cs="Arial"/>
          <w:szCs w:val="24"/>
        </w:rPr>
        <w:t>schedule and must be updated and maintained throughout the term of the contract. (See Task 1.</w:t>
      </w:r>
      <w:r w:rsidR="00EF0BF3" w:rsidRPr="00EF0BF3">
        <w:rPr>
          <w:rFonts w:cs="Arial"/>
          <w:szCs w:val="24"/>
        </w:rPr>
        <w:t xml:space="preserve">5 </w:t>
      </w:r>
      <w:r w:rsidRPr="00EF0BF3">
        <w:rPr>
          <w:rFonts w:cs="Arial"/>
          <w:szCs w:val="24"/>
        </w:rPr>
        <w:t xml:space="preserve">CDE </w:t>
      </w:r>
      <w:r w:rsidRPr="00B76BB1">
        <w:rPr>
          <w:rFonts w:cs="Arial"/>
          <w:szCs w:val="24"/>
        </w:rPr>
        <w:t>Approval Schedule Requirements.)</w:t>
      </w:r>
    </w:p>
    <w:p w14:paraId="290979BC" w14:textId="77777777" w:rsidR="00E45C40" w:rsidRDefault="00E45C40">
      <w:pPr>
        <w:rPr>
          <w:b/>
          <w:snapToGrid w:val="0"/>
          <w:sz w:val="36"/>
          <w:szCs w:val="36"/>
        </w:rPr>
      </w:pPr>
      <w:r>
        <w:br w:type="page"/>
      </w:r>
    </w:p>
    <w:p w14:paraId="16802BDA" w14:textId="0F2C140A" w:rsidR="00537458" w:rsidRPr="00152C31" w:rsidRDefault="00537458" w:rsidP="003E4C84">
      <w:pPr>
        <w:pStyle w:val="Heading3"/>
      </w:pPr>
      <w:r>
        <w:lastRenderedPageBreak/>
        <w:t>T</w:t>
      </w:r>
      <w:r w:rsidRPr="00152C31">
        <w:t xml:space="preserve">ASK 4 – </w:t>
      </w:r>
      <w:r w:rsidR="00EA393C" w:rsidRPr="002D4DF4">
        <w:t>DESIGN AND IMPLEMENT A FORMATIVE EVALUATION FOR THE CCSPP</w:t>
      </w:r>
    </w:p>
    <w:p w14:paraId="4337C096" w14:textId="77777777" w:rsidR="005117C7" w:rsidRDefault="00537458" w:rsidP="00E43B4A">
      <w:pPr>
        <w:spacing w:after="240"/>
        <w:rPr>
          <w:rFonts w:cs="Arial"/>
          <w:szCs w:val="24"/>
        </w:rPr>
      </w:pPr>
      <w:r w:rsidRPr="00DA4EC0">
        <w:rPr>
          <w:rFonts w:cs="Arial"/>
          <w:szCs w:val="24"/>
        </w:rPr>
        <w:t>This section of the Technical Proposal must acknowledge the bidder’s commitment to completing all the requirements specified below in Task 4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4.</w:t>
      </w:r>
    </w:p>
    <w:p w14:paraId="000FA678" w14:textId="621026D5" w:rsidR="009F4837" w:rsidRDefault="005117C7" w:rsidP="00E43B4A">
      <w:pPr>
        <w:spacing w:after="240"/>
      </w:pPr>
      <w:r w:rsidRPr="00EF0BF3">
        <w:t xml:space="preserve">The successful bidder must adhere to the CDE Approval Schedule Requirements as stated in Task 1.5 – </w:t>
      </w:r>
      <w:r w:rsidRPr="00EF0BF3">
        <w:rPr>
          <w:snapToGrid w:val="0"/>
        </w:rPr>
        <w:t xml:space="preserve">CDE Approval Schedule Requirements </w:t>
      </w:r>
      <w:r w:rsidRPr="00EF0BF3">
        <w:t>for generating and delivering required reports/deliverables.</w:t>
      </w:r>
    </w:p>
    <w:p w14:paraId="606D38AE" w14:textId="060581E7" w:rsidR="009F4837" w:rsidRPr="00EF0BF3" w:rsidRDefault="009F4837" w:rsidP="00E43B4A">
      <w:pPr>
        <w:spacing w:after="240"/>
      </w:pPr>
      <w:r w:rsidRPr="005C528E">
        <w:rPr>
          <w:rFonts w:cs="Arial"/>
          <w:color w:val="000000"/>
          <w:szCs w:val="24"/>
        </w:rPr>
        <w:t xml:space="preserve">The bidder’s proposal must include the following information to address Task </w:t>
      </w:r>
      <w:r>
        <w:rPr>
          <w:rFonts w:cs="Arial"/>
          <w:color w:val="000000"/>
          <w:szCs w:val="24"/>
        </w:rPr>
        <w:t>4</w:t>
      </w:r>
      <w:r w:rsidRPr="005C528E">
        <w:rPr>
          <w:rFonts w:cs="Arial"/>
          <w:color w:val="000000"/>
          <w:szCs w:val="24"/>
        </w:rPr>
        <w:t xml:space="preserve"> activities which include the following subtasks. The Task </w:t>
      </w:r>
      <w:r>
        <w:rPr>
          <w:rFonts w:cs="Arial"/>
          <w:color w:val="000000"/>
          <w:szCs w:val="24"/>
        </w:rPr>
        <w:t>4</w:t>
      </w:r>
      <w:r w:rsidRPr="005C528E">
        <w:rPr>
          <w:rFonts w:cs="Arial"/>
          <w:color w:val="000000"/>
          <w:szCs w:val="24"/>
        </w:rPr>
        <w:t xml:space="preserve"> activities include, but are not limited to, the following subtasks.</w:t>
      </w:r>
    </w:p>
    <w:p w14:paraId="074093B2" w14:textId="60A37599" w:rsidR="00EF0BF3" w:rsidRDefault="00EF0BF3" w:rsidP="001B373C">
      <w:pPr>
        <w:pStyle w:val="Heading4"/>
      </w:pPr>
      <w:r>
        <w:t>4.1 Formative Evaluation Design</w:t>
      </w:r>
    </w:p>
    <w:p w14:paraId="3FF1A2D6" w14:textId="18FF6249" w:rsidR="00EF0BF3" w:rsidRPr="001B31F0" w:rsidRDefault="00EA393C" w:rsidP="00EF0BF3">
      <w:pPr>
        <w:spacing w:after="240"/>
      </w:pPr>
      <w:r w:rsidRPr="00EF0BF3">
        <w:t xml:space="preserve">The </w:t>
      </w:r>
      <w:r w:rsidR="00EF0BF3">
        <w:t>Technical Proposal must</w:t>
      </w:r>
      <w:r w:rsidRPr="00EF0BF3">
        <w:t xml:space="preserve"> describe and demonstrate in detail </w:t>
      </w:r>
      <w:r w:rsidR="00EF0BF3">
        <w:t xml:space="preserve">the successful </w:t>
      </w:r>
      <w:r w:rsidR="00712564">
        <w:t>bidder’s</w:t>
      </w:r>
      <w:r w:rsidRPr="00EF0BF3">
        <w:t xml:space="preserve"> approach to formative evaluation design specific to the CCSPP</w:t>
      </w:r>
      <w:r w:rsidR="00326B1F">
        <w:t xml:space="preserve"> and </w:t>
      </w:r>
      <w:r w:rsidR="00712564">
        <w:t xml:space="preserve">ensure </w:t>
      </w:r>
      <w:r w:rsidR="00EF0BF3" w:rsidRPr="001B31F0">
        <w:t xml:space="preserve">that </w:t>
      </w:r>
      <w:r w:rsidR="00712564">
        <w:t xml:space="preserve">it </w:t>
      </w:r>
      <w:r w:rsidR="00EF0BF3" w:rsidRPr="001B31F0">
        <w:t xml:space="preserve">is aligned to the </w:t>
      </w:r>
      <w:r w:rsidR="00D84533">
        <w:t>California Community Schools</w:t>
      </w:r>
      <w:r w:rsidR="00D84533" w:rsidRPr="001B31F0">
        <w:t xml:space="preserve"> </w:t>
      </w:r>
      <w:r w:rsidR="00EF0BF3" w:rsidRPr="001B31F0">
        <w:t xml:space="preserve">Framework, measures the impact of the grant program in achieving the goals of the CCSPP and informs improvement in all areas of CCSPP implementation. Specifically, the </w:t>
      </w:r>
      <w:r w:rsidR="00326B1F">
        <w:t>Technical Proposal must describe the</w:t>
      </w:r>
      <w:r w:rsidR="00EF0BF3" w:rsidRPr="001B31F0">
        <w:t xml:space="preserve"> design instruments that </w:t>
      </w:r>
      <w:r w:rsidR="00326B1F">
        <w:t xml:space="preserve">the successful bidder will use to </w:t>
      </w:r>
      <w:r w:rsidR="00EF0BF3" w:rsidRPr="001B31F0">
        <w:t>measure areas of progress and degrees of challenge in the many facets of CCSPP implementation</w:t>
      </w:r>
      <w:r w:rsidR="005B095E">
        <w:t>,</w:t>
      </w:r>
      <w:r w:rsidR="00EF0BF3" w:rsidRPr="001B31F0">
        <w:t xml:space="preserve"> including:</w:t>
      </w:r>
    </w:p>
    <w:p w14:paraId="3400B519" w14:textId="6B8FDA51" w:rsidR="00EF0BF3" w:rsidRPr="001B31F0" w:rsidRDefault="00EF0BF3" w:rsidP="00EF0BF3">
      <w:pPr>
        <w:pStyle w:val="ListParagraph"/>
        <w:numPr>
          <w:ilvl w:val="0"/>
          <w:numId w:val="57"/>
        </w:numPr>
        <w:spacing w:after="240"/>
      </w:pPr>
      <w:r w:rsidRPr="001B31F0">
        <w:t>Inputs at district and school levels, including integrated supports, expanded learning time, social-emotional supports, family engagement, community partnerships, community-connected and culturally relevant instruction, and collaborative decision-making practices.</w:t>
      </w:r>
    </w:p>
    <w:p w14:paraId="1A305341" w14:textId="08B73809" w:rsidR="00EF0BF3" w:rsidRPr="001B31F0" w:rsidRDefault="00EF0BF3" w:rsidP="00EF0BF3">
      <w:pPr>
        <w:pStyle w:val="ListParagraph"/>
        <w:numPr>
          <w:ilvl w:val="0"/>
          <w:numId w:val="57"/>
        </w:numPr>
        <w:spacing w:after="240"/>
      </w:pPr>
      <w:r w:rsidRPr="001B31F0">
        <w:t>Implementation supports at the state, county, and district level, including professional learning opportunities and technical assistance related to each pillar of the CCSPP</w:t>
      </w:r>
      <w:r w:rsidR="002B1987">
        <w:t>.</w:t>
      </w:r>
    </w:p>
    <w:p w14:paraId="4AF6AFEA" w14:textId="0B5CCD1D" w:rsidR="00EF0BF3" w:rsidRPr="001B31F0" w:rsidRDefault="00EF0BF3" w:rsidP="00EF0BF3">
      <w:pPr>
        <w:pStyle w:val="ListParagraph"/>
        <w:numPr>
          <w:ilvl w:val="0"/>
          <w:numId w:val="57"/>
        </w:numPr>
        <w:spacing w:after="240"/>
        <w:rPr>
          <w:b/>
          <w:bCs/>
          <w:szCs w:val="24"/>
        </w:rPr>
      </w:pPr>
      <w:r w:rsidRPr="001B31F0">
        <w:rPr>
          <w:szCs w:val="24"/>
        </w:rPr>
        <w:t>The CCSPP has a robust TA system comprised of a lead TA provider, the S-TAC, eight R-TACs and COEs. The bidder will be expected to tap useful data from these sources, including analyses and evaluations of professional development offerings, schools’ and districts’ needs assessments and stated needs, and data from surveys the TACs may have conducted.</w:t>
      </w:r>
    </w:p>
    <w:p w14:paraId="74C792E6" w14:textId="77ED663E" w:rsidR="00EF0BF3" w:rsidRPr="001B31F0" w:rsidRDefault="00EF0BF3" w:rsidP="00EF0BF3">
      <w:pPr>
        <w:pStyle w:val="ListParagraph"/>
        <w:numPr>
          <w:ilvl w:val="0"/>
          <w:numId w:val="57"/>
        </w:numPr>
        <w:spacing w:after="240"/>
        <w:rPr>
          <w:b/>
          <w:bCs/>
          <w:szCs w:val="24"/>
        </w:rPr>
      </w:pPr>
      <w:r w:rsidRPr="001B31F0">
        <w:rPr>
          <w:bCs/>
        </w:rPr>
        <w:t>Outcome indicators, such as school climate and discipline, attendance, student and family engagement, stability in staffing and enrollment, academic</w:t>
      </w:r>
      <w:r w:rsidRPr="001B31F0">
        <w:t xml:space="preserve"> growth, graduation rates, and locally developed and tracked outcomes (Oakes et al). Each of these indicators can be studied longitudinally at the conclusion of the implementation period (summative evaluation) and ideally throughout the implementation timeline (formative evaluation). These outcomes and indicators should be reported, where possible, for each important subgroup, such as race, language, income status</w:t>
      </w:r>
      <w:r w:rsidR="002B1987">
        <w:t>,</w:t>
      </w:r>
      <w:r w:rsidRPr="001B31F0">
        <w:t xml:space="preserve"> and disability to determine the extent to which CCSPP outcomes meet the equity goals that are the foundation and purpose of this investment.</w:t>
      </w:r>
    </w:p>
    <w:p w14:paraId="570E469A" w14:textId="0F4DC680" w:rsidR="00EA393C" w:rsidRPr="00EF0BF3" w:rsidRDefault="00EA393C" w:rsidP="00EA393C">
      <w:pPr>
        <w:spacing w:after="240"/>
      </w:pPr>
      <w:r w:rsidRPr="00EF0BF3">
        <w:lastRenderedPageBreak/>
        <w:t xml:space="preserve">The </w:t>
      </w:r>
      <w:r w:rsidR="00C33669">
        <w:t>Technical Proposal must describe in detail how the successful bidder will</w:t>
      </w:r>
      <w:r w:rsidRPr="00EF0BF3">
        <w:t xml:space="preserve"> include the following elements</w:t>
      </w:r>
      <w:r w:rsidR="00712564">
        <w:t xml:space="preserve"> in the formative evaluation design</w:t>
      </w:r>
      <w:r w:rsidRPr="00EF0BF3">
        <w:t>:</w:t>
      </w:r>
    </w:p>
    <w:p w14:paraId="6640CD80" w14:textId="77777777" w:rsidR="003A0923" w:rsidRPr="00EF0BF3" w:rsidRDefault="00EA393C" w:rsidP="00EE244E">
      <w:pPr>
        <w:pStyle w:val="ListParagraph"/>
        <w:numPr>
          <w:ilvl w:val="0"/>
          <w:numId w:val="63"/>
        </w:numPr>
        <w:spacing w:after="240"/>
        <w:ind w:left="720" w:hanging="360"/>
      </w:pPr>
      <w:r w:rsidRPr="00EF0BF3">
        <w:t>Overall program design, approach, contextual application, and fidelity of implementation</w:t>
      </w:r>
      <w:r w:rsidR="00EE244E" w:rsidRPr="00EF0BF3">
        <w:t xml:space="preserve"> including</w:t>
      </w:r>
      <w:r w:rsidR="003A0923" w:rsidRPr="00EF0BF3">
        <w:t>:</w:t>
      </w:r>
    </w:p>
    <w:p w14:paraId="7F66C243" w14:textId="77777777" w:rsidR="003A0923" w:rsidRPr="00EF0BF3" w:rsidRDefault="003A0923" w:rsidP="00712564">
      <w:pPr>
        <w:pStyle w:val="ListParagraph"/>
        <w:numPr>
          <w:ilvl w:val="1"/>
          <w:numId w:val="63"/>
        </w:numPr>
        <w:spacing w:after="240"/>
        <w:ind w:left="1440"/>
      </w:pPr>
      <w:r w:rsidRPr="00EF0BF3">
        <w:rPr>
          <w:rFonts w:eastAsia="Times New Roman" w:cs="Arial"/>
          <w:szCs w:val="24"/>
        </w:rPr>
        <w:t>A</w:t>
      </w:r>
      <w:r w:rsidR="00EE244E" w:rsidRPr="00EF0BF3">
        <w:rPr>
          <w:rFonts w:eastAsia="Times New Roman" w:cs="Arial"/>
          <w:szCs w:val="24"/>
        </w:rPr>
        <w:t>n analysis of the nature and kind of services schools have provided</w:t>
      </w:r>
      <w:r w:rsidRPr="00EF0BF3">
        <w:rPr>
          <w:rFonts w:eastAsia="Times New Roman" w:cs="Arial"/>
          <w:szCs w:val="24"/>
        </w:rPr>
        <w:t>.</w:t>
      </w:r>
    </w:p>
    <w:p w14:paraId="2A4A12E9" w14:textId="6EBBA699" w:rsidR="00EE244E" w:rsidRPr="00EF0BF3" w:rsidRDefault="003A0923" w:rsidP="00712564">
      <w:pPr>
        <w:pStyle w:val="ListParagraph"/>
        <w:numPr>
          <w:ilvl w:val="1"/>
          <w:numId w:val="63"/>
        </w:numPr>
        <w:spacing w:after="240"/>
        <w:ind w:left="1440"/>
      </w:pPr>
      <w:r w:rsidRPr="00EF0BF3">
        <w:rPr>
          <w:rFonts w:eastAsia="Times New Roman" w:cs="Arial"/>
          <w:szCs w:val="24"/>
        </w:rPr>
        <w:t>C</w:t>
      </w:r>
      <w:r w:rsidR="00EE244E" w:rsidRPr="00EF0BF3">
        <w:rPr>
          <w:rFonts w:eastAsia="Times New Roman" w:cs="Arial"/>
          <w:szCs w:val="24"/>
        </w:rPr>
        <w:t>hanges made within schools, areas of progress, and challenges to be addressed.</w:t>
      </w:r>
    </w:p>
    <w:p w14:paraId="07F9F372" w14:textId="67DD67B8" w:rsidR="003A0923" w:rsidRPr="00EF0BF3" w:rsidRDefault="003A0923" w:rsidP="00712564">
      <w:pPr>
        <w:pStyle w:val="ListParagraph"/>
        <w:numPr>
          <w:ilvl w:val="1"/>
          <w:numId w:val="63"/>
        </w:numPr>
        <w:spacing w:after="240"/>
        <w:ind w:left="1440"/>
      </w:pPr>
      <w:r w:rsidRPr="00EF0BF3">
        <w:t>An analysis of LEA plans for programmatic and financial sustainability of CCSPP goals.</w:t>
      </w:r>
    </w:p>
    <w:p w14:paraId="69128DA8" w14:textId="314EB948" w:rsidR="00EA393C" w:rsidRPr="00EF0BF3" w:rsidRDefault="00EA393C" w:rsidP="00EA393C">
      <w:pPr>
        <w:pStyle w:val="ListParagraph"/>
        <w:numPr>
          <w:ilvl w:val="0"/>
          <w:numId w:val="63"/>
        </w:numPr>
        <w:spacing w:after="240"/>
        <w:ind w:left="720" w:hanging="360"/>
      </w:pPr>
      <w:r w:rsidRPr="00EF0BF3">
        <w:t>Identification, description</w:t>
      </w:r>
      <w:r w:rsidR="00043A24">
        <w:t>,</w:t>
      </w:r>
      <w:r w:rsidRPr="00EF0BF3">
        <w:t xml:space="preserve"> and selection rationale for process data points to be collected and considered in the evaluation design</w:t>
      </w:r>
      <w:r w:rsidR="00305C9B" w:rsidRPr="00EF0BF3">
        <w:t>.</w:t>
      </w:r>
    </w:p>
    <w:p w14:paraId="07D15681" w14:textId="3C7A8C0E" w:rsidR="00EA393C" w:rsidRPr="00EF0BF3" w:rsidRDefault="00EA393C" w:rsidP="00EA393C">
      <w:pPr>
        <w:pStyle w:val="ListParagraph"/>
        <w:numPr>
          <w:ilvl w:val="0"/>
          <w:numId w:val="63"/>
        </w:numPr>
        <w:spacing w:after="240"/>
        <w:ind w:left="720" w:hanging="360"/>
      </w:pPr>
      <w:r w:rsidRPr="00EF0BF3">
        <w:t>Approach to analysis of data points and key indicators of implementation progress across the layers and levels of the CCSPP</w:t>
      </w:r>
      <w:r w:rsidR="00305C9B" w:rsidRPr="00EF0BF3">
        <w:t>.</w:t>
      </w:r>
    </w:p>
    <w:p w14:paraId="04F038A2" w14:textId="35D03B2D" w:rsidR="00EA393C" w:rsidRPr="00EF0BF3" w:rsidRDefault="00EA393C" w:rsidP="00EA393C">
      <w:pPr>
        <w:pStyle w:val="ListParagraph"/>
        <w:numPr>
          <w:ilvl w:val="0"/>
          <w:numId w:val="63"/>
        </w:numPr>
        <w:spacing w:after="240"/>
        <w:ind w:left="720" w:hanging="360"/>
      </w:pPr>
      <w:r w:rsidRPr="00EF0BF3">
        <w:t>Engagement strategy for data collection, process observation and bi-directional feedback</w:t>
      </w:r>
      <w:r w:rsidR="00305C9B" w:rsidRPr="00EF0BF3">
        <w:t>.</w:t>
      </w:r>
    </w:p>
    <w:p w14:paraId="0EB940F3" w14:textId="5E2FD35B" w:rsidR="00EA393C" w:rsidRPr="00EF0BF3" w:rsidRDefault="00C33669" w:rsidP="00EA393C">
      <w:pPr>
        <w:spacing w:after="240"/>
      </w:pPr>
      <w:bookmarkStart w:id="22" w:name="_Hlk132128041"/>
      <w:r>
        <w:t xml:space="preserve">The Technical Proposal must describe in detail how the successful bidder will ensure that </w:t>
      </w:r>
      <w:r w:rsidR="00EA393C" w:rsidRPr="00EF0BF3">
        <w:t>School-Level and Program Outcome Measures</w:t>
      </w:r>
      <w:r>
        <w:t xml:space="preserve"> are addressed and</w:t>
      </w:r>
      <w:r w:rsidRPr="00EF0BF3">
        <w:t xml:space="preserve"> </w:t>
      </w:r>
      <w:r w:rsidR="00EA393C" w:rsidRPr="00EF0BF3">
        <w:t>include metrics such as the following</w:t>
      </w:r>
      <w:r w:rsidR="0020505A">
        <w:t xml:space="preserve"> in the design of the formative evaluation</w:t>
      </w:r>
      <w:r w:rsidR="00EA393C" w:rsidRPr="00EF0BF3">
        <w:t>:</w:t>
      </w:r>
    </w:p>
    <w:p w14:paraId="73FD5030" w14:textId="77777777" w:rsidR="00EA393C" w:rsidRPr="00EF0BF3" w:rsidRDefault="00EA393C" w:rsidP="000A5255">
      <w:pPr>
        <w:pStyle w:val="ListParagraph"/>
        <w:numPr>
          <w:ilvl w:val="0"/>
          <w:numId w:val="73"/>
        </w:numPr>
        <w:spacing w:after="240"/>
      </w:pPr>
      <w:r w:rsidRPr="00EF0BF3">
        <w:t>School-Level Outcome Measures</w:t>
      </w:r>
    </w:p>
    <w:p w14:paraId="57FA3E31" w14:textId="0AFA1353" w:rsidR="00EA393C" w:rsidRPr="00EF0BF3" w:rsidRDefault="00EA393C" w:rsidP="00EA393C">
      <w:pPr>
        <w:spacing w:after="240"/>
        <w:ind w:left="720"/>
      </w:pPr>
      <w:r w:rsidRPr="00EF0BF3">
        <w:t xml:space="preserve">Outcome measures will assess both the conditions and opportunities for learning, as well as student outcomes. Measures </w:t>
      </w:r>
      <w:r w:rsidR="0020505A">
        <w:t>are to</w:t>
      </w:r>
      <w:r w:rsidRPr="00EF0BF3">
        <w:t xml:space="preserve"> include improvements in attendance; grade promotion, credit accrual and graduation rates; achievement indicators (e.g., grade point average, test scores and others); child and adolescent health and well-being; school climate indicators; college and career readiness indicators; and reductions in: chronic absenteeism, suspensions or expulsions, recidivism for students who have been involved in the justice system, dropout rates, and referrals to alternative schools.</w:t>
      </w:r>
      <w:r w:rsidR="0020505A">
        <w:t xml:space="preserve"> The information should come from data available on the CDE’s website and results from grantee annual reporting.</w:t>
      </w:r>
    </w:p>
    <w:p w14:paraId="3630C846" w14:textId="77777777" w:rsidR="00EA393C" w:rsidRPr="00EF0BF3" w:rsidRDefault="00EA393C" w:rsidP="000A5255">
      <w:pPr>
        <w:pStyle w:val="ListParagraph"/>
        <w:numPr>
          <w:ilvl w:val="0"/>
          <w:numId w:val="73"/>
        </w:numPr>
        <w:spacing w:after="240"/>
      </w:pPr>
      <w:r w:rsidRPr="00EF0BF3">
        <w:t>Program Outcome Measures</w:t>
      </w:r>
    </w:p>
    <w:p w14:paraId="0880038B" w14:textId="32E0BFF0" w:rsidR="00EA393C" w:rsidRDefault="00EA393C" w:rsidP="00EA393C">
      <w:pPr>
        <w:spacing w:after="240"/>
        <w:ind w:left="720"/>
      </w:pPr>
      <w:r w:rsidRPr="00EF0BF3">
        <w:t>An assessment of programmatic impact should reflect the community school’s or schools’ strategic implementation priorities as determined by the community school leadership team(s) (a collaborative body of educators, administrators, families, students, community and civic partners) and designed to be able to measure progress from baseline assessment data of student outcomes, as well as input measures that assess availability and access to learning supports and opportunities</w:t>
      </w:r>
      <w:r w:rsidR="0020505A">
        <w:t>. Data points should include</w:t>
      </w:r>
      <w:r w:rsidRPr="00EF0BF3">
        <w:t xml:space="preserve"> health, mental health</w:t>
      </w:r>
      <w:r w:rsidR="0020505A">
        <w:t>,</w:t>
      </w:r>
      <w:r w:rsidRPr="00EF0BF3">
        <w:t xml:space="preserve"> and social services; extended learning and summer school and in-school supports for learning enrichment and recovery; and engagement in social-emotional learning and restorative practices. The baseline assessments will help applicants and grantees develop and improve community school implementation plans and track progress.</w:t>
      </w:r>
    </w:p>
    <w:p w14:paraId="4C9481CA" w14:textId="50A01FD0" w:rsidR="00D03F2B" w:rsidRPr="00EF0BF3" w:rsidRDefault="00D03F2B" w:rsidP="000A5255">
      <w:pPr>
        <w:spacing w:after="240"/>
        <w:ind w:left="720"/>
      </w:pPr>
      <w:r>
        <w:t>The Technical Proposal must describe in detail how the successful bidder will ensure that</w:t>
      </w:r>
      <w:r w:rsidRPr="00EF0BF3">
        <w:t xml:space="preserve"> program outcome measures </w:t>
      </w:r>
      <w:r>
        <w:t>will</w:t>
      </w:r>
      <w:r w:rsidRPr="00EF0BF3">
        <w:t xml:space="preserve"> include measurement of the following</w:t>
      </w:r>
      <w:r w:rsidRPr="00EF0BF3">
        <w:rPr>
          <w:szCs w:val="24"/>
        </w:rPr>
        <w:t>:</w:t>
      </w:r>
    </w:p>
    <w:p w14:paraId="7843FEB1" w14:textId="3E7D5CDA" w:rsidR="00D03F2B" w:rsidRPr="00EF0BF3" w:rsidRDefault="00D03F2B" w:rsidP="000A5255">
      <w:pPr>
        <w:pStyle w:val="CommentText"/>
        <w:numPr>
          <w:ilvl w:val="0"/>
          <w:numId w:val="62"/>
        </w:numPr>
        <w:ind w:left="1440"/>
        <w:rPr>
          <w:sz w:val="24"/>
          <w:szCs w:val="24"/>
        </w:rPr>
      </w:pPr>
      <w:r w:rsidRPr="00EF0BF3">
        <w:rPr>
          <w:b/>
          <w:bCs/>
          <w:sz w:val="24"/>
          <w:szCs w:val="24"/>
        </w:rPr>
        <w:lastRenderedPageBreak/>
        <w:t>Integrated Supports</w:t>
      </w:r>
      <w:r w:rsidRPr="00EF0BF3">
        <w:rPr>
          <w:bCs/>
          <w:sz w:val="24"/>
          <w:szCs w:val="24"/>
        </w:rPr>
        <w:t xml:space="preserve">, including the extent </w:t>
      </w:r>
      <w:r w:rsidR="00043A24">
        <w:rPr>
          <w:bCs/>
          <w:sz w:val="24"/>
          <w:szCs w:val="24"/>
        </w:rPr>
        <w:t xml:space="preserve">to which </w:t>
      </w:r>
      <w:r w:rsidRPr="00EF0BF3">
        <w:rPr>
          <w:bCs/>
          <w:sz w:val="24"/>
          <w:szCs w:val="24"/>
        </w:rPr>
        <w:t>health and mental health services, social services, nutrition services and academic supports (including tutors and intervention/academic specialists) are available to students and families.</w:t>
      </w:r>
    </w:p>
    <w:p w14:paraId="638EC41C" w14:textId="77777777" w:rsidR="00D03F2B" w:rsidRPr="00EF0BF3" w:rsidRDefault="00D03F2B" w:rsidP="000A5255">
      <w:pPr>
        <w:pStyle w:val="CommentText"/>
        <w:numPr>
          <w:ilvl w:val="0"/>
          <w:numId w:val="62"/>
        </w:numPr>
        <w:ind w:left="1440"/>
        <w:rPr>
          <w:sz w:val="24"/>
          <w:szCs w:val="24"/>
        </w:rPr>
      </w:pPr>
      <w:r w:rsidRPr="00EF0BF3">
        <w:rPr>
          <w:b/>
          <w:bCs/>
          <w:sz w:val="24"/>
          <w:szCs w:val="24"/>
        </w:rPr>
        <w:t>Expanded Learning Time</w:t>
      </w:r>
      <w:r w:rsidRPr="00EF0BF3">
        <w:rPr>
          <w:bCs/>
          <w:sz w:val="24"/>
          <w:szCs w:val="24"/>
        </w:rPr>
        <w:t>, including the extent to which before and after school and summer learning and enrichment opportunities are available to students.</w:t>
      </w:r>
    </w:p>
    <w:p w14:paraId="77065117" w14:textId="42748354" w:rsidR="00D03F2B" w:rsidRPr="00EF0BF3" w:rsidRDefault="00D03F2B" w:rsidP="000A5255">
      <w:pPr>
        <w:pStyle w:val="CommentText"/>
        <w:numPr>
          <w:ilvl w:val="0"/>
          <w:numId w:val="62"/>
        </w:numPr>
        <w:ind w:left="1440"/>
        <w:rPr>
          <w:sz w:val="24"/>
          <w:szCs w:val="24"/>
        </w:rPr>
      </w:pPr>
      <w:r w:rsidRPr="00EF0BF3">
        <w:rPr>
          <w:b/>
          <w:bCs/>
          <w:sz w:val="24"/>
          <w:szCs w:val="24"/>
        </w:rPr>
        <w:t>Social-Emotional Supports</w:t>
      </w:r>
      <w:r w:rsidRPr="00EF0BF3">
        <w:rPr>
          <w:bCs/>
          <w:sz w:val="24"/>
          <w:szCs w:val="24"/>
        </w:rPr>
        <w:t xml:space="preserve">, including </w:t>
      </w:r>
      <w:r w:rsidR="00043A24" w:rsidRPr="00EF0BF3">
        <w:rPr>
          <w:bCs/>
          <w:sz w:val="24"/>
          <w:szCs w:val="24"/>
        </w:rPr>
        <w:t>t</w:t>
      </w:r>
      <w:r w:rsidR="00043A24">
        <w:rPr>
          <w:bCs/>
          <w:sz w:val="24"/>
          <w:szCs w:val="24"/>
        </w:rPr>
        <w:t>he</w:t>
      </w:r>
      <w:r w:rsidR="00043A24" w:rsidRPr="00EF0BF3">
        <w:rPr>
          <w:bCs/>
          <w:sz w:val="24"/>
          <w:szCs w:val="24"/>
        </w:rPr>
        <w:t xml:space="preserve"> </w:t>
      </w:r>
      <w:r w:rsidRPr="00EF0BF3">
        <w:rPr>
          <w:bCs/>
          <w:sz w:val="24"/>
          <w:szCs w:val="24"/>
        </w:rPr>
        <w:t>extent to which social-emotional learning programs, restorative practices and advisory systems are in place.</w:t>
      </w:r>
    </w:p>
    <w:p w14:paraId="4861E746" w14:textId="77777777" w:rsidR="00D03F2B" w:rsidRPr="00EF0BF3" w:rsidRDefault="00D03F2B" w:rsidP="000A5255">
      <w:pPr>
        <w:pStyle w:val="CommentText"/>
        <w:numPr>
          <w:ilvl w:val="0"/>
          <w:numId w:val="62"/>
        </w:numPr>
        <w:ind w:left="1440"/>
        <w:rPr>
          <w:sz w:val="24"/>
          <w:szCs w:val="24"/>
        </w:rPr>
      </w:pPr>
      <w:r w:rsidRPr="00EF0BF3">
        <w:rPr>
          <w:b/>
          <w:bCs/>
          <w:sz w:val="24"/>
          <w:szCs w:val="24"/>
        </w:rPr>
        <w:t>Family Outreach and Involvement</w:t>
      </w:r>
      <w:r w:rsidRPr="00EF0BF3">
        <w:rPr>
          <w:bCs/>
          <w:sz w:val="24"/>
          <w:szCs w:val="24"/>
        </w:rPr>
        <w:t xml:space="preserve">, including implementation of family engagement programs (e.g., </w:t>
      </w:r>
      <w:r w:rsidRPr="00EF0BF3">
        <w:rPr>
          <w:sz w:val="24"/>
          <w:szCs w:val="24"/>
        </w:rPr>
        <w:t>home visits, family-student-teacher conferences), and family engagement in CCSPP decision-making council and other implementation activities.</w:t>
      </w:r>
    </w:p>
    <w:p w14:paraId="6EF25573" w14:textId="52565426" w:rsidR="00D03F2B" w:rsidRPr="00EF0BF3" w:rsidRDefault="00D03F2B" w:rsidP="000A5255">
      <w:pPr>
        <w:pStyle w:val="CommentText"/>
        <w:numPr>
          <w:ilvl w:val="0"/>
          <w:numId w:val="62"/>
        </w:numPr>
        <w:ind w:left="1440"/>
        <w:rPr>
          <w:sz w:val="24"/>
          <w:szCs w:val="24"/>
        </w:rPr>
      </w:pPr>
      <w:r w:rsidRPr="00EF0BF3">
        <w:rPr>
          <w:b/>
          <w:bCs/>
          <w:sz w:val="24"/>
          <w:szCs w:val="24"/>
        </w:rPr>
        <w:t>Community Connections</w:t>
      </w:r>
      <w:r w:rsidRPr="00EF0BF3">
        <w:rPr>
          <w:bCs/>
          <w:sz w:val="24"/>
          <w:szCs w:val="24"/>
        </w:rPr>
        <w:t>, including p</w:t>
      </w:r>
      <w:r w:rsidRPr="00EF0BF3">
        <w:rPr>
          <w:sz w:val="24"/>
          <w:szCs w:val="24"/>
        </w:rPr>
        <w:t>artnerships with community organizations that offer enrichment programs, provide social services and support youth development over the school year, weekends</w:t>
      </w:r>
      <w:r w:rsidR="00043A24">
        <w:rPr>
          <w:sz w:val="24"/>
          <w:szCs w:val="24"/>
        </w:rPr>
        <w:t>,</w:t>
      </w:r>
      <w:r w:rsidRPr="00EF0BF3">
        <w:rPr>
          <w:sz w:val="24"/>
          <w:szCs w:val="24"/>
        </w:rPr>
        <w:t xml:space="preserve"> and summer.</w:t>
      </w:r>
    </w:p>
    <w:p w14:paraId="61C501A1" w14:textId="69784278" w:rsidR="00D03F2B" w:rsidRPr="00EF0BF3" w:rsidRDefault="00D03F2B" w:rsidP="000A5255">
      <w:pPr>
        <w:pStyle w:val="CommentText"/>
        <w:numPr>
          <w:ilvl w:val="0"/>
          <w:numId w:val="62"/>
        </w:numPr>
        <w:ind w:left="1440"/>
        <w:rPr>
          <w:b/>
          <w:sz w:val="24"/>
          <w:szCs w:val="24"/>
        </w:rPr>
      </w:pPr>
      <w:r w:rsidRPr="00EF0BF3">
        <w:rPr>
          <w:b/>
          <w:sz w:val="24"/>
          <w:szCs w:val="24"/>
        </w:rPr>
        <w:t>Curriculum and Instructional connections</w:t>
      </w:r>
      <w:r w:rsidRPr="00EF0BF3">
        <w:rPr>
          <w:sz w:val="24"/>
          <w:szCs w:val="24"/>
        </w:rPr>
        <w:t>, including implementation of culturally relevant instructional practices, use of inclusive educational texts and instructional materials, student access to experiential learning opportunities, and internships and service-learning opportunities through community partnerships.</w:t>
      </w:r>
    </w:p>
    <w:p w14:paraId="5DDC6A35" w14:textId="77777777" w:rsidR="00D03F2B" w:rsidRPr="00EF0BF3" w:rsidRDefault="00D03F2B" w:rsidP="008065C8">
      <w:pPr>
        <w:pStyle w:val="CommentText"/>
        <w:numPr>
          <w:ilvl w:val="0"/>
          <w:numId w:val="62"/>
        </w:numPr>
        <w:spacing w:after="240"/>
        <w:ind w:left="1440"/>
        <w:rPr>
          <w:b/>
          <w:sz w:val="24"/>
          <w:szCs w:val="24"/>
        </w:rPr>
      </w:pPr>
      <w:r w:rsidRPr="00EF0BF3">
        <w:rPr>
          <w:b/>
          <w:sz w:val="24"/>
          <w:szCs w:val="24"/>
        </w:rPr>
        <w:t>Collaborative Decision-Making Practices</w:t>
      </w:r>
      <w:r w:rsidRPr="00EF0BF3">
        <w:rPr>
          <w:sz w:val="24"/>
          <w:szCs w:val="24"/>
        </w:rPr>
        <w:t>, including implementation of shared decision-making councils, processes to facilitate student, family and community participation, and annual interest-holder engaged reporting and planning processes.</w:t>
      </w:r>
    </w:p>
    <w:p w14:paraId="3214A45E" w14:textId="48BD68E3" w:rsidR="00EA393C" w:rsidRPr="00EF0BF3" w:rsidRDefault="009F4837" w:rsidP="00EA393C">
      <w:pPr>
        <w:spacing w:after="240"/>
      </w:pPr>
      <w:r>
        <w:t>The Technical Proposal must describe in detail how the successful bidder will ensure that a</w:t>
      </w:r>
      <w:r w:rsidR="00EA393C" w:rsidRPr="00EF0BF3">
        <w:t xml:space="preserve">ssessments of programmatic impact </w:t>
      </w:r>
      <w:r>
        <w:t>will</w:t>
      </w:r>
      <w:r w:rsidRPr="00EF0BF3">
        <w:t xml:space="preserve"> </w:t>
      </w:r>
      <w:r w:rsidR="00EA393C" w:rsidRPr="00EF0BF3">
        <w:t>examine the extent to which grantees plan to support and expand high-quality community school goals</w:t>
      </w:r>
      <w:r w:rsidR="00D03F2B">
        <w:t xml:space="preserve"> in the design of the formative evaluation</w:t>
      </w:r>
      <w:r w:rsidR="00EA393C" w:rsidRPr="00EF0BF3">
        <w:t>, to:</w:t>
      </w:r>
    </w:p>
    <w:p w14:paraId="5CF27ED1" w14:textId="77777777" w:rsidR="00EA393C" w:rsidRPr="00EF0BF3" w:rsidRDefault="00EA393C" w:rsidP="00EA393C">
      <w:pPr>
        <w:pStyle w:val="ListParagraph"/>
        <w:numPr>
          <w:ilvl w:val="0"/>
          <w:numId w:val="63"/>
        </w:numPr>
        <w:spacing w:after="240"/>
        <w:ind w:left="720" w:hanging="360"/>
      </w:pPr>
      <w:r w:rsidRPr="00EF0BF3">
        <w:t>Effectively and meaningfully engage students, teachers, families, and community partners,</w:t>
      </w:r>
    </w:p>
    <w:p w14:paraId="5DF7FB81" w14:textId="77777777" w:rsidR="00EA393C" w:rsidRPr="00EF0BF3" w:rsidRDefault="00EA393C" w:rsidP="00EA393C">
      <w:pPr>
        <w:pStyle w:val="ListParagraph"/>
        <w:numPr>
          <w:ilvl w:val="0"/>
          <w:numId w:val="63"/>
        </w:numPr>
        <w:spacing w:after="240"/>
        <w:ind w:left="720" w:hanging="360"/>
      </w:pPr>
      <w:r w:rsidRPr="00EF0BF3">
        <w:t>Establish and expand partnerships, supports, and services that intentionally address locally defined needs,</w:t>
      </w:r>
    </w:p>
    <w:p w14:paraId="0D786D11" w14:textId="77777777" w:rsidR="00EA393C" w:rsidRPr="00EF0BF3" w:rsidRDefault="00EA393C" w:rsidP="00EA393C">
      <w:pPr>
        <w:pStyle w:val="ListParagraph"/>
        <w:numPr>
          <w:ilvl w:val="0"/>
          <w:numId w:val="63"/>
        </w:numPr>
        <w:spacing w:after="240"/>
        <w:ind w:left="720" w:hanging="360"/>
      </w:pPr>
      <w:r w:rsidRPr="00EF0BF3">
        <w:t>Expand student-centered teaching practices and enrichment opportunities during and out of school time,</w:t>
      </w:r>
    </w:p>
    <w:p w14:paraId="5FFCD98D" w14:textId="77777777" w:rsidR="00EA393C" w:rsidRPr="00EF0BF3" w:rsidRDefault="00EA393C" w:rsidP="00EA393C">
      <w:pPr>
        <w:pStyle w:val="ListParagraph"/>
        <w:numPr>
          <w:ilvl w:val="0"/>
          <w:numId w:val="63"/>
        </w:numPr>
        <w:spacing w:after="240"/>
        <w:ind w:left="720" w:hanging="360"/>
      </w:pPr>
      <w:r w:rsidRPr="00EF0BF3">
        <w:t>Demonstrate collaborative leadership practices (inclusive of students, families, teachers, site administrators, and community partners), and</w:t>
      </w:r>
    </w:p>
    <w:p w14:paraId="0232CECB" w14:textId="77777777" w:rsidR="00EA393C" w:rsidRPr="00EF0BF3" w:rsidRDefault="00EA393C" w:rsidP="00EA393C">
      <w:pPr>
        <w:pStyle w:val="ListParagraph"/>
        <w:numPr>
          <w:ilvl w:val="0"/>
          <w:numId w:val="63"/>
        </w:numPr>
        <w:spacing w:after="240"/>
        <w:ind w:left="720" w:hanging="360"/>
      </w:pPr>
      <w:r w:rsidRPr="00EF0BF3">
        <w:t>Develop the systems and practices necessary to maintain the positive outcomes of the CCSPP.</w:t>
      </w:r>
    </w:p>
    <w:bookmarkEnd w:id="22"/>
    <w:p w14:paraId="54BEAB9A" w14:textId="459AEFCD" w:rsidR="00913859" w:rsidRPr="00913859" w:rsidRDefault="469F05C6" w:rsidP="16E62954">
      <w:pPr>
        <w:spacing w:after="240" w:line="259" w:lineRule="auto"/>
        <w:rPr>
          <w:rFonts w:cs="Arial"/>
        </w:rPr>
      </w:pPr>
      <w:r>
        <w:t xml:space="preserve">The </w:t>
      </w:r>
      <w:r w:rsidR="4261F023">
        <w:t xml:space="preserve">Technical Proposal must describe in detail the </w:t>
      </w:r>
      <w:r>
        <w:t>successful bidder</w:t>
      </w:r>
      <w:r w:rsidR="4261F023">
        <w:t xml:space="preserve">’s plan </w:t>
      </w:r>
      <w:r>
        <w:t>to meet with the CDE on a weekly basis regarding the development and progress of the formative evaluation</w:t>
      </w:r>
      <w:r w:rsidR="4261F023">
        <w:t xml:space="preserve"> beginning in </w:t>
      </w:r>
      <w:r w:rsidR="730F1013">
        <w:t>July 2024</w:t>
      </w:r>
      <w:r w:rsidR="4261F023">
        <w:t xml:space="preserve"> through </w:t>
      </w:r>
      <w:r w:rsidR="730F1013">
        <w:t xml:space="preserve">the last Friday in </w:t>
      </w:r>
      <w:r w:rsidR="22384178">
        <w:t>December</w:t>
      </w:r>
      <w:r w:rsidR="00E45C40">
        <w:t xml:space="preserve"> </w:t>
      </w:r>
      <w:r w:rsidR="4E229BC4">
        <w:t>20</w:t>
      </w:r>
      <w:r w:rsidR="71AF9111">
        <w:t>24</w:t>
      </w:r>
      <w:r w:rsidR="730F1013">
        <w:t>.</w:t>
      </w:r>
      <w:r>
        <w:t xml:space="preserve"> </w:t>
      </w:r>
      <w:r w:rsidR="48063963" w:rsidRPr="16E62954">
        <w:rPr>
          <w:rFonts w:cs="Arial"/>
        </w:rPr>
        <w:t xml:space="preserve">The Technical Proposal must ensure that all key personnel of the prime contractor and any subcontractor(s) including the management team (Project Manager and any other key personnel identified in RFP Section 3.1.3), task leaders, and significant subcontractors will meet with the CDE for up to </w:t>
      </w:r>
      <w:r w:rsidR="34A607E5" w:rsidRPr="16E62954">
        <w:rPr>
          <w:rFonts w:cs="Arial"/>
        </w:rPr>
        <w:t xml:space="preserve">two to three </w:t>
      </w:r>
      <w:r w:rsidR="48063963" w:rsidRPr="16E62954">
        <w:rPr>
          <w:rFonts w:cs="Arial"/>
        </w:rPr>
        <w:t xml:space="preserve">hours </w:t>
      </w:r>
      <w:r w:rsidR="4E229BC4" w:rsidRPr="16E62954">
        <w:rPr>
          <w:rFonts w:cs="Arial"/>
        </w:rPr>
        <w:t xml:space="preserve">per </w:t>
      </w:r>
      <w:r w:rsidR="694B6A3F">
        <w:t>month</w:t>
      </w:r>
      <w:r w:rsidR="4E229BC4" w:rsidRPr="16E62954">
        <w:rPr>
          <w:rFonts w:cs="Arial"/>
        </w:rPr>
        <w:t xml:space="preserve"> </w:t>
      </w:r>
      <w:r w:rsidR="48063963" w:rsidRPr="16E62954">
        <w:rPr>
          <w:rFonts w:cs="Arial"/>
        </w:rPr>
        <w:t>via teleconference/</w:t>
      </w:r>
      <w:r w:rsidR="4E229BC4" w:rsidRPr="16E62954">
        <w:rPr>
          <w:rFonts w:cs="Arial"/>
        </w:rPr>
        <w:t xml:space="preserve"> </w:t>
      </w:r>
      <w:r w:rsidR="48063963" w:rsidRPr="16E62954">
        <w:rPr>
          <w:rFonts w:cs="Arial"/>
        </w:rPr>
        <w:t xml:space="preserve">videoconference. The Technical Proposal must acknowledge and ensure that during the meeting, the successful bidder will provide an update of development and progress of the formative evaluation design. The </w:t>
      </w:r>
      <w:r w:rsidR="1436B049" w:rsidRPr="16E62954">
        <w:rPr>
          <w:rFonts w:cs="Arial"/>
        </w:rPr>
        <w:t xml:space="preserve">Technical Proposal must acknowledge and ensure that the </w:t>
      </w:r>
      <w:r w:rsidR="48063963" w:rsidRPr="16E62954">
        <w:rPr>
          <w:rFonts w:cs="Arial"/>
        </w:rPr>
        <w:t xml:space="preserve">successful bidder </w:t>
      </w:r>
      <w:r w:rsidR="1436B049" w:rsidRPr="16E62954">
        <w:rPr>
          <w:rFonts w:cs="Arial"/>
        </w:rPr>
        <w:t xml:space="preserve">will </w:t>
      </w:r>
      <w:r w:rsidR="48063963" w:rsidRPr="16E62954">
        <w:rPr>
          <w:rFonts w:cs="Arial"/>
        </w:rPr>
        <w:t xml:space="preserve">develop the meeting agenda in coordination with the CDE, take minutes, and, within five working days after the meeting, submit the meeting minutes to the </w:t>
      </w:r>
      <w:r w:rsidR="48063963" w:rsidRPr="16E62954">
        <w:rPr>
          <w:rFonts w:cs="Arial"/>
        </w:rPr>
        <w:lastRenderedPageBreak/>
        <w:t xml:space="preserve">CDE by email for review and approval. </w:t>
      </w:r>
      <w:r w:rsidR="730F1013">
        <w:t>These meetings can be combined with the meetings outlined in Task 1.</w:t>
      </w:r>
    </w:p>
    <w:p w14:paraId="1C08D9E9" w14:textId="3D23AD07" w:rsidR="009F4837" w:rsidRPr="00E2460C" w:rsidRDefault="655A558C" w:rsidP="16E62954">
      <w:pPr>
        <w:spacing w:after="240"/>
      </w:pPr>
      <w:r w:rsidRPr="00E2460C">
        <w:t xml:space="preserve">The Technical Proposal must describe in detail how the successful bidder will develop the formative evaluation design by </w:t>
      </w:r>
      <w:r w:rsidR="6CB758A5" w:rsidRPr="00E2460C">
        <w:t>the last Friday in October 2024</w:t>
      </w:r>
      <w:r w:rsidR="160E2385" w:rsidRPr="00E2460C">
        <w:t>,</w:t>
      </w:r>
      <w:r w:rsidRPr="00E2460C">
        <w:t xml:space="preserve"> for CDE’s review and approval. </w:t>
      </w:r>
      <w:r w:rsidR="469F05C6" w:rsidRPr="00E2460C">
        <w:t xml:space="preserve">The </w:t>
      </w:r>
      <w:r w:rsidR="48063963" w:rsidRPr="00E2460C">
        <w:t xml:space="preserve">Technical Proposal must describe in detail and affirm that the </w:t>
      </w:r>
      <w:r w:rsidR="469F05C6" w:rsidRPr="00E2460C">
        <w:t xml:space="preserve">formative evaluation design </w:t>
      </w:r>
      <w:r w:rsidR="48063963" w:rsidRPr="00E2460C">
        <w:t>will</w:t>
      </w:r>
      <w:r w:rsidR="469F05C6" w:rsidRPr="00E2460C">
        <w:t xml:space="preserve"> be completed by the end of </w:t>
      </w:r>
      <w:r w:rsidR="7FC00341" w:rsidRPr="00E2460C">
        <w:t>November</w:t>
      </w:r>
      <w:r w:rsidR="469F05C6" w:rsidRPr="00E2460C">
        <w:t xml:space="preserve"> 2024.</w:t>
      </w:r>
    </w:p>
    <w:p w14:paraId="01A266A5" w14:textId="5DF485C3" w:rsidR="003A02FC" w:rsidRDefault="003A02FC" w:rsidP="001B373C">
      <w:pPr>
        <w:pStyle w:val="Heading4"/>
      </w:pPr>
      <w:r>
        <w:t>4.2 Formative Evaluation Implementation</w:t>
      </w:r>
    </w:p>
    <w:p w14:paraId="2E4A315D" w14:textId="6AC79F93" w:rsidR="009D397E" w:rsidRDefault="3FC0D098" w:rsidP="00CA0025">
      <w:pPr>
        <w:spacing w:after="240"/>
      </w:pPr>
      <w:r>
        <w:t>The Technical Proposal must describe in detail how the successful bidder will collect, analyze, and interpret findings of CCSPP progress</w:t>
      </w:r>
      <w:r w:rsidR="48063963">
        <w:t xml:space="preserve"> on a </w:t>
      </w:r>
      <w:r w:rsidR="6CAD4C82">
        <w:t>quarterly</w:t>
      </w:r>
      <w:r w:rsidR="416F8951">
        <w:t xml:space="preserve"> </w:t>
      </w:r>
      <w:r w:rsidR="48063963">
        <w:t>basis</w:t>
      </w:r>
      <w:r>
        <w:t xml:space="preserve">. The </w:t>
      </w:r>
      <w:r w:rsidR="48063963">
        <w:t xml:space="preserve">Technical Proposal must describe how the </w:t>
      </w:r>
      <w:r>
        <w:t xml:space="preserve">successful bidder will show an understanding of the CCSPP program and implementation sequence and the CCSPP Framework. The Technical Proposal must demonstrate </w:t>
      </w:r>
      <w:r w:rsidR="48063963">
        <w:t xml:space="preserve">in detail </w:t>
      </w:r>
      <w:r>
        <w:t xml:space="preserve">how the successful bidder will utilize data gathered from existing sources such as data, CCSPP Sustainability Plans, and any other resources that can be provided by the S-TAC and R-TACs. </w:t>
      </w:r>
      <w:r w:rsidRPr="00792B6C">
        <w:t xml:space="preserve">The </w:t>
      </w:r>
      <w:r w:rsidR="48063963" w:rsidRPr="00792B6C">
        <w:t xml:space="preserve">Technical Proposal must demonstrate in detail how the </w:t>
      </w:r>
      <w:r w:rsidRPr="00792B6C">
        <w:t xml:space="preserve">successful bidder will access the annual reports filed by recipients of CCSPP grants regarding their activities and services </w:t>
      </w:r>
      <w:r w:rsidR="00043A24" w:rsidRPr="00792B6C">
        <w:t>provided</w:t>
      </w:r>
      <w:r w:rsidR="00F75E43" w:rsidRPr="00792B6C">
        <w:t>. The Technical Proposal must demonstrate</w:t>
      </w:r>
      <w:r w:rsidR="00043A24" w:rsidRPr="00792B6C">
        <w:t xml:space="preserve"> </w:t>
      </w:r>
      <w:r w:rsidR="00635358" w:rsidRPr="00792B6C">
        <w:t xml:space="preserve">in detail how the successful bidder will </w:t>
      </w:r>
      <w:r w:rsidR="48063963" w:rsidRPr="00792B6C">
        <w:t xml:space="preserve">access </w:t>
      </w:r>
      <w:r w:rsidRPr="00792B6C">
        <w:t>the state data</w:t>
      </w:r>
      <w:r w:rsidR="6CAD4C82" w:rsidRPr="00792B6C">
        <w:t xml:space="preserve"> which may include </w:t>
      </w:r>
      <w:r w:rsidR="00F75E43" w:rsidRPr="00792B6C">
        <w:t xml:space="preserve">CDE-generated </w:t>
      </w:r>
      <w:r w:rsidR="6CAD4C82" w:rsidRPr="00792B6C">
        <w:t>data</w:t>
      </w:r>
      <w:r w:rsidRPr="00792B6C">
        <w:t xml:space="preserve"> regarding school characteristics and outcomes</w:t>
      </w:r>
      <w:r w:rsidR="6CAD4C82" w:rsidRPr="00792B6C">
        <w:t xml:space="preserve">, which </w:t>
      </w:r>
      <w:r w:rsidR="160E2385" w:rsidRPr="00792B6C">
        <w:t>requires</w:t>
      </w:r>
      <w:r w:rsidR="6CAD4C82" w:rsidRPr="00792B6C">
        <w:t xml:space="preserve"> a data </w:t>
      </w:r>
      <w:r w:rsidR="00132C2E" w:rsidRPr="00792B6C">
        <w:t xml:space="preserve">request </w:t>
      </w:r>
      <w:r w:rsidR="6CAD4C82" w:rsidRPr="00792B6C">
        <w:t xml:space="preserve">with </w:t>
      </w:r>
      <w:r w:rsidR="00132C2E" w:rsidRPr="00792B6C">
        <w:t xml:space="preserve">the </w:t>
      </w:r>
      <w:r w:rsidR="6CAD4C82" w:rsidRPr="00792B6C">
        <w:t>CDE</w:t>
      </w:r>
      <w:r w:rsidR="00132C2E" w:rsidRPr="00792B6C">
        <w:t xml:space="preserve">; successful bidder will work with the </w:t>
      </w:r>
      <w:r w:rsidR="00043A24" w:rsidRPr="00792B6C">
        <w:t xml:space="preserve">CDE </w:t>
      </w:r>
      <w:r w:rsidR="00132C2E" w:rsidRPr="00792B6C">
        <w:t>contract monitor</w:t>
      </w:r>
      <w:r w:rsidR="604F018A" w:rsidRPr="00792B6C">
        <w:t>.</w:t>
      </w:r>
      <w:r w:rsidR="69E41953">
        <w:t xml:space="preserve"> The Technical Proposal must describe how the successful bidder will ensure </w:t>
      </w:r>
      <w:r w:rsidR="69E41953" w:rsidRPr="00E2460C">
        <w:t xml:space="preserve">implementation by </w:t>
      </w:r>
      <w:r w:rsidR="04481A0C" w:rsidRPr="00E2460C">
        <w:t>April</w:t>
      </w:r>
      <w:r w:rsidR="11367410" w:rsidRPr="00E2460C">
        <w:t xml:space="preserve"> 1, 202</w:t>
      </w:r>
      <w:r w:rsidR="1C4CC92C" w:rsidRPr="00E2460C">
        <w:t>5</w:t>
      </w:r>
      <w:r w:rsidR="69E41953" w:rsidRPr="00E2460C">
        <w:t>.</w:t>
      </w:r>
    </w:p>
    <w:p w14:paraId="22CD535F" w14:textId="0E3D7965" w:rsidR="00CA31C5" w:rsidRPr="00CA31C5" w:rsidRDefault="00CA31C5" w:rsidP="00CA0025">
      <w:pPr>
        <w:spacing w:after="240"/>
        <w:rPr>
          <w:rFonts w:eastAsia="Times New Roman" w:cs="Arial"/>
          <w:szCs w:val="24"/>
        </w:rPr>
      </w:pPr>
      <w:r w:rsidRPr="00CA31C5">
        <w:rPr>
          <w:rFonts w:eastAsia="Times New Roman" w:cs="Arial"/>
          <w:szCs w:val="24"/>
        </w:rPr>
        <w:t xml:space="preserve">The Technical Proposal </w:t>
      </w:r>
      <w:r>
        <w:rPr>
          <w:rFonts w:eastAsia="Times New Roman" w:cs="Arial"/>
          <w:szCs w:val="24"/>
        </w:rPr>
        <w:t>must</w:t>
      </w:r>
      <w:r w:rsidRPr="00CA31C5">
        <w:rPr>
          <w:rFonts w:eastAsia="Times New Roman" w:cs="Arial"/>
          <w:szCs w:val="24"/>
        </w:rPr>
        <w:t xml:space="preserve"> emphasize the bidder's commitment to a robust and multidimensional approach to data collection. The Technical Proposal must </w:t>
      </w:r>
      <w:r>
        <w:rPr>
          <w:rFonts w:eastAsia="Times New Roman" w:cs="Arial"/>
          <w:szCs w:val="24"/>
        </w:rPr>
        <w:t xml:space="preserve">describe in </w:t>
      </w:r>
      <w:r w:rsidRPr="00CA31C5">
        <w:rPr>
          <w:rFonts w:eastAsia="Times New Roman" w:cs="Arial"/>
          <w:szCs w:val="24"/>
        </w:rPr>
        <w:t>detail the tools and methodologies that will be employed to capture data on CCSPP progress comprehensively, this may include surveys</w:t>
      </w:r>
      <w:r w:rsidRPr="00B856B7">
        <w:rPr>
          <w:rFonts w:eastAsia="Times New Roman" w:cs="Arial"/>
          <w:szCs w:val="24"/>
        </w:rPr>
        <w:t>, in person or virtual</w:t>
      </w:r>
      <w:r w:rsidRPr="00CA31C5">
        <w:rPr>
          <w:rFonts w:eastAsia="Times New Roman" w:cs="Arial"/>
          <w:szCs w:val="24"/>
        </w:rPr>
        <w:t xml:space="preserve"> interviews, in person or virtual focus groups, and the use of data management software, among other techniques. Moreover, the Technical Proposal must highlight the bidder's </w:t>
      </w:r>
      <w:r w:rsidR="00951402" w:rsidRPr="00CA31C5">
        <w:rPr>
          <w:rFonts w:eastAsia="Times New Roman" w:cs="Arial"/>
          <w:szCs w:val="24"/>
        </w:rPr>
        <w:t>engag</w:t>
      </w:r>
      <w:r w:rsidR="00951402">
        <w:rPr>
          <w:rFonts w:eastAsia="Times New Roman" w:cs="Arial"/>
          <w:szCs w:val="24"/>
        </w:rPr>
        <w:t>ement</w:t>
      </w:r>
      <w:r w:rsidRPr="00CA31C5">
        <w:rPr>
          <w:rFonts w:eastAsia="Times New Roman" w:cs="Arial"/>
          <w:szCs w:val="24"/>
        </w:rPr>
        <w:t xml:space="preserve"> with CCSPP program stakeholders, such as school administrators, teachers, students, and community members, to gain a holistic perspective on the program's effectiveness.</w:t>
      </w:r>
    </w:p>
    <w:p w14:paraId="48E10170" w14:textId="4E0CF441" w:rsidR="00CA31C5" w:rsidRDefault="00CA31C5" w:rsidP="00CA0025">
      <w:pPr>
        <w:spacing w:after="240"/>
      </w:pPr>
      <w:r w:rsidRPr="00BD6050">
        <w:t>I</w:t>
      </w:r>
      <w:r>
        <w:t>f in</w:t>
      </w:r>
      <w:r w:rsidR="00043A24">
        <w:t>-</w:t>
      </w:r>
      <w:r>
        <w:t>person activities are proposed, the Technical Proposal must acknowledge that i</w:t>
      </w:r>
      <w:r w:rsidRPr="00BD6050">
        <w:t xml:space="preserve">n accordance with any recommendation(s) or order(s) contained in a Governor’s executive order, an advisory or order of the California Department of Public Health, or an advisory or order of a county health department with authority over the area in which this contract is to be performed or an advisory or order of a law enforcement authority, </w:t>
      </w:r>
      <w:r>
        <w:t>any</w:t>
      </w:r>
      <w:r w:rsidRPr="00BD6050">
        <w:t xml:space="preserve"> in-person meetings may be cancelled or changed to a virtual </w:t>
      </w:r>
      <w:r>
        <w:t>setting</w:t>
      </w:r>
      <w:r w:rsidRPr="00BD6050">
        <w:t xml:space="preserve"> at the discretion of the CDE. Therefore, any announcement for the event must state that the event may be in-person, virtual, or both. The CDE cannot reimburse the Contractor for any cancellation fees, deposit</w:t>
      </w:r>
      <w:r>
        <w:t>s,</w:t>
      </w:r>
      <w:r w:rsidRPr="00BD6050">
        <w:t xml:space="preserve"> or pre-payments under any circumstances, even if the CDE decides to cancel the event.</w:t>
      </w:r>
    </w:p>
    <w:p w14:paraId="1B47C2C4" w14:textId="566DE029" w:rsidR="00137D0D" w:rsidRDefault="7D8016A7" w:rsidP="16E62954">
      <w:pPr>
        <w:spacing w:after="240"/>
        <w:rPr>
          <w:rFonts w:eastAsia="Times New Roman" w:cs="Arial"/>
        </w:rPr>
      </w:pPr>
      <w:bookmarkStart w:id="23" w:name="_Hlk150333758"/>
      <w:r w:rsidRPr="16E62954">
        <w:rPr>
          <w:rFonts w:eastAsia="Times New Roman" w:cs="Arial"/>
        </w:rPr>
        <w:t xml:space="preserve">The Technical Proposal must describe in detail </w:t>
      </w:r>
      <w:r w:rsidR="354B9059" w:rsidRPr="16E62954">
        <w:rPr>
          <w:rFonts w:eastAsia="Times New Roman" w:cs="Arial"/>
        </w:rPr>
        <w:t>in Task 3, the</w:t>
      </w:r>
      <w:r w:rsidR="0C9DE59F" w:rsidRPr="16E62954">
        <w:rPr>
          <w:rFonts w:eastAsia="Times New Roman" w:cs="Arial"/>
        </w:rPr>
        <w:t xml:space="preserve"> </w:t>
      </w:r>
      <w:r w:rsidRPr="16E62954">
        <w:rPr>
          <w:rFonts w:eastAsia="Times New Roman" w:cs="Arial"/>
        </w:rPr>
        <w:t>timeline for data collection and analysis, specifying key milestones and deliverables throughout the project's duration</w:t>
      </w:r>
      <w:r w:rsidR="1CD1D6B8" w:rsidRPr="16E62954">
        <w:rPr>
          <w:rFonts w:eastAsia="Times New Roman" w:cs="Arial"/>
        </w:rPr>
        <w:t xml:space="preserve"> as specified in Task 4.1 (School Level Outcome Measures, and Program Outcome Measures)</w:t>
      </w:r>
      <w:r w:rsidRPr="16E62954">
        <w:rPr>
          <w:rFonts w:eastAsia="Times New Roman" w:cs="Arial"/>
        </w:rPr>
        <w:t>.</w:t>
      </w:r>
      <w:r w:rsidR="00137D0D">
        <w:rPr>
          <w:rFonts w:eastAsia="Times New Roman" w:cs="Arial"/>
        </w:rPr>
        <w:br w:type="page"/>
      </w:r>
    </w:p>
    <w:p w14:paraId="2BB0E0BA" w14:textId="0A9C8755" w:rsidR="367E3157" w:rsidRDefault="730B7CCA" w:rsidP="16E62954">
      <w:pPr>
        <w:pBdr>
          <w:top w:val="nil"/>
          <w:left w:val="nil"/>
          <w:bottom w:val="nil"/>
          <w:right w:val="nil"/>
          <w:between w:val="nil"/>
        </w:pBdr>
        <w:rPr>
          <w:rFonts w:eastAsia="Arial" w:cs="Arial"/>
          <w:b/>
          <w:bCs/>
          <w:color w:val="000000" w:themeColor="text1"/>
        </w:rPr>
      </w:pPr>
      <w:r w:rsidRPr="16E62954">
        <w:rPr>
          <w:rFonts w:eastAsia="Arial" w:cs="Arial"/>
          <w:b/>
          <w:bCs/>
        </w:rPr>
        <w:lastRenderedPageBreak/>
        <w:t>Data collection, cleaning, and quantitative and qualitative data analysis and synthesis</w:t>
      </w:r>
    </w:p>
    <w:tbl>
      <w:tblPr>
        <w:tblW w:w="10440" w:type="dxa"/>
        <w:tblInd w:w="-6" w:type="dxa"/>
        <w:tblLayout w:type="fixed"/>
        <w:tblLook w:val="0000" w:firstRow="0" w:lastRow="0" w:firstColumn="0" w:lastColumn="0" w:noHBand="0" w:noVBand="0"/>
        <w:tblDescription w:val="Deliverables and Due Dates for Data Collection."/>
      </w:tblPr>
      <w:tblGrid>
        <w:gridCol w:w="6074"/>
        <w:gridCol w:w="4366"/>
      </w:tblGrid>
      <w:tr w:rsidR="005304B2" w14:paraId="12B03337" w14:textId="77777777" w:rsidTr="00514073">
        <w:trPr>
          <w:trHeight w:val="288"/>
          <w:tblHeader/>
        </w:trPr>
        <w:tc>
          <w:tcPr>
            <w:tcW w:w="607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2000BBCB" w14:textId="77777777" w:rsidR="005304B2" w:rsidRDefault="005304B2" w:rsidP="00F93EB8">
            <w:pPr>
              <w:pBdr>
                <w:top w:val="nil"/>
                <w:left w:val="nil"/>
                <w:bottom w:val="nil"/>
                <w:right w:val="nil"/>
                <w:between w:val="nil"/>
              </w:pBdr>
              <w:ind w:left="90"/>
              <w:rPr>
                <w:rFonts w:eastAsia="Arial" w:cs="Arial"/>
                <w:b/>
                <w:color w:val="000000"/>
                <w:szCs w:val="24"/>
              </w:rPr>
            </w:pPr>
            <w:r>
              <w:rPr>
                <w:rFonts w:eastAsia="Arial" w:cs="Arial"/>
                <w:b/>
                <w:color w:val="000000"/>
                <w:szCs w:val="24"/>
              </w:rPr>
              <w:t>Deliverables</w:t>
            </w:r>
          </w:p>
        </w:tc>
        <w:tc>
          <w:tcPr>
            <w:tcW w:w="436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7312047" w14:textId="77777777" w:rsidR="005304B2" w:rsidRDefault="005304B2" w:rsidP="00F93EB8">
            <w:pPr>
              <w:pBdr>
                <w:top w:val="nil"/>
                <w:left w:val="nil"/>
                <w:bottom w:val="nil"/>
                <w:right w:val="nil"/>
                <w:between w:val="nil"/>
              </w:pBdr>
              <w:ind w:left="720"/>
              <w:rPr>
                <w:rFonts w:eastAsia="Arial" w:cs="Arial"/>
                <w:b/>
                <w:color w:val="000000"/>
                <w:szCs w:val="24"/>
              </w:rPr>
            </w:pPr>
            <w:r>
              <w:rPr>
                <w:rFonts w:eastAsia="Arial" w:cs="Arial"/>
                <w:b/>
                <w:color w:val="000000"/>
                <w:szCs w:val="24"/>
              </w:rPr>
              <w:t>Due Date</w:t>
            </w:r>
          </w:p>
        </w:tc>
      </w:tr>
      <w:tr w:rsidR="005304B2" w14:paraId="0B9BB98E" w14:textId="77777777" w:rsidTr="00514073">
        <w:trPr>
          <w:trHeight w:val="951"/>
        </w:trPr>
        <w:tc>
          <w:tcPr>
            <w:tcW w:w="60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249A2A" w14:textId="2F419C80" w:rsidR="005304B2" w:rsidRDefault="1CD1D6B8" w:rsidP="00C56492">
            <w:pPr>
              <w:ind w:left="90"/>
            </w:pPr>
            <w:r w:rsidRPr="16E62954">
              <w:rPr>
                <w:rFonts w:eastAsia="Arial" w:cs="Arial"/>
              </w:rPr>
              <w:t>The Contractor will</w:t>
            </w:r>
            <w:r>
              <w:t xml:space="preserve"> </w:t>
            </w:r>
            <w:r w:rsidRPr="16E62954">
              <w:rPr>
                <w:rFonts w:eastAsia="Arial" w:cs="Arial"/>
              </w:rPr>
              <w:t xml:space="preserve">identify and prioritize </w:t>
            </w:r>
            <w:r w:rsidR="00635358" w:rsidRPr="16E62954">
              <w:rPr>
                <w:rFonts w:eastAsia="Arial" w:cs="Arial"/>
              </w:rPr>
              <w:t>outcomes in</w:t>
            </w:r>
            <w:r w:rsidRPr="16E62954">
              <w:rPr>
                <w:rFonts w:eastAsia="Arial" w:cs="Arial"/>
              </w:rPr>
              <w:t xml:space="preserve"> Task 4.1 and, if needed, submit a data request to CDE for any data that is not publicly available. </w:t>
            </w:r>
          </w:p>
        </w:tc>
        <w:tc>
          <w:tcPr>
            <w:tcW w:w="43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07C812" w14:textId="1B009E5A" w:rsidR="00455CBD" w:rsidRDefault="00455CBD" w:rsidP="00455CBD">
            <w:pPr>
              <w:pStyle w:val="ListParagraph"/>
              <w:numPr>
                <w:ilvl w:val="0"/>
                <w:numId w:val="91"/>
              </w:numPr>
              <w:pBdr>
                <w:top w:val="nil"/>
                <w:left w:val="nil"/>
                <w:bottom w:val="nil"/>
                <w:right w:val="nil"/>
                <w:between w:val="nil"/>
              </w:pBdr>
              <w:spacing w:after="120"/>
              <w:rPr>
                <w:rFonts w:eastAsia="Arial" w:cs="Arial"/>
                <w:color w:val="000000"/>
                <w:szCs w:val="24"/>
              </w:rPr>
            </w:pPr>
            <w:r w:rsidRPr="004B4FED">
              <w:rPr>
                <w:rFonts w:eastAsia="Arial" w:cs="Arial"/>
                <w:color w:val="000000"/>
                <w:szCs w:val="24"/>
              </w:rPr>
              <w:t>July 2024 – June 2025</w:t>
            </w:r>
          </w:p>
          <w:p w14:paraId="01C7A815" w14:textId="083F5BB6" w:rsidR="00455CBD" w:rsidRDefault="00455CBD" w:rsidP="00455CBD">
            <w:pPr>
              <w:pStyle w:val="ListParagraph"/>
              <w:numPr>
                <w:ilvl w:val="0"/>
                <w:numId w:val="91"/>
              </w:numPr>
              <w:pBdr>
                <w:top w:val="nil"/>
                <w:left w:val="nil"/>
                <w:bottom w:val="nil"/>
                <w:right w:val="nil"/>
                <w:between w:val="nil"/>
              </w:pBdr>
              <w:spacing w:after="120"/>
              <w:rPr>
                <w:rFonts w:eastAsia="Arial" w:cs="Arial"/>
                <w:color w:val="000000"/>
                <w:szCs w:val="24"/>
              </w:rPr>
            </w:pPr>
            <w:r>
              <w:rPr>
                <w:rFonts w:eastAsia="Arial" w:cs="Arial"/>
                <w:color w:val="000000"/>
                <w:szCs w:val="24"/>
              </w:rPr>
              <w:t>July 2025 – June 2026</w:t>
            </w:r>
          </w:p>
          <w:p w14:paraId="01ADF724" w14:textId="0975B258" w:rsidR="00455CBD" w:rsidRDefault="00455CBD" w:rsidP="00455CBD">
            <w:pPr>
              <w:pStyle w:val="ListParagraph"/>
              <w:numPr>
                <w:ilvl w:val="0"/>
                <w:numId w:val="91"/>
              </w:numPr>
              <w:pBdr>
                <w:top w:val="nil"/>
                <w:left w:val="nil"/>
                <w:bottom w:val="nil"/>
                <w:right w:val="nil"/>
                <w:between w:val="nil"/>
              </w:pBdr>
              <w:spacing w:after="120"/>
              <w:rPr>
                <w:rFonts w:eastAsia="Arial" w:cs="Arial"/>
                <w:color w:val="000000"/>
                <w:szCs w:val="24"/>
              </w:rPr>
            </w:pPr>
            <w:r>
              <w:rPr>
                <w:rFonts w:eastAsia="Arial" w:cs="Arial"/>
                <w:color w:val="000000"/>
                <w:szCs w:val="24"/>
              </w:rPr>
              <w:t>July 2026 – June 2027</w:t>
            </w:r>
          </w:p>
          <w:p w14:paraId="03477E50" w14:textId="0361CAE0" w:rsidR="00455CBD" w:rsidRDefault="00455CBD" w:rsidP="00455CBD">
            <w:pPr>
              <w:pStyle w:val="ListParagraph"/>
              <w:numPr>
                <w:ilvl w:val="0"/>
                <w:numId w:val="91"/>
              </w:numPr>
              <w:pBdr>
                <w:top w:val="nil"/>
                <w:left w:val="nil"/>
                <w:bottom w:val="nil"/>
                <w:right w:val="nil"/>
                <w:between w:val="nil"/>
              </w:pBdr>
              <w:spacing w:after="120"/>
              <w:rPr>
                <w:rFonts w:eastAsia="Arial" w:cs="Arial"/>
                <w:color w:val="000000"/>
                <w:szCs w:val="24"/>
              </w:rPr>
            </w:pPr>
            <w:r>
              <w:rPr>
                <w:rFonts w:eastAsia="Arial" w:cs="Arial"/>
                <w:color w:val="000000"/>
                <w:szCs w:val="24"/>
              </w:rPr>
              <w:t>July 2027 – June 2028</w:t>
            </w:r>
          </w:p>
          <w:p w14:paraId="59B097A4" w14:textId="29F6DE63" w:rsidR="00455CBD" w:rsidRDefault="00455CBD" w:rsidP="00455CBD">
            <w:pPr>
              <w:pStyle w:val="ListParagraph"/>
              <w:numPr>
                <w:ilvl w:val="0"/>
                <w:numId w:val="91"/>
              </w:numPr>
              <w:pBdr>
                <w:top w:val="nil"/>
                <w:left w:val="nil"/>
                <w:bottom w:val="nil"/>
                <w:right w:val="nil"/>
                <w:between w:val="nil"/>
              </w:pBdr>
              <w:spacing w:after="120"/>
              <w:rPr>
                <w:rFonts w:eastAsia="Arial" w:cs="Arial"/>
                <w:color w:val="000000"/>
                <w:szCs w:val="24"/>
              </w:rPr>
            </w:pPr>
            <w:r>
              <w:rPr>
                <w:rFonts w:eastAsia="Arial" w:cs="Arial"/>
                <w:color w:val="000000"/>
                <w:szCs w:val="24"/>
              </w:rPr>
              <w:t xml:space="preserve">July 2028 – June 2029 </w:t>
            </w:r>
          </w:p>
          <w:p w14:paraId="3DB3BA71" w14:textId="2E1D89A4" w:rsidR="367E3157" w:rsidRDefault="367E3157">
            <w:pPr>
              <w:pStyle w:val="ListParagraph"/>
              <w:numPr>
                <w:ilvl w:val="0"/>
                <w:numId w:val="91"/>
              </w:numPr>
              <w:spacing w:after="120" w:line="259" w:lineRule="auto"/>
              <w:rPr>
                <w:rFonts w:eastAsia="Arial" w:cs="Arial"/>
                <w:color w:val="000000" w:themeColor="text1"/>
              </w:rPr>
            </w:pPr>
            <w:r w:rsidRPr="16E62954">
              <w:rPr>
                <w:rFonts w:eastAsia="Arial" w:cs="Arial"/>
                <w:color w:val="000000" w:themeColor="text1"/>
              </w:rPr>
              <w:t>Ju</w:t>
            </w:r>
            <w:r w:rsidR="0AD4D84C" w:rsidRPr="16E62954">
              <w:rPr>
                <w:rFonts w:eastAsia="Arial" w:cs="Arial"/>
                <w:color w:val="000000" w:themeColor="text1"/>
              </w:rPr>
              <w:t>ly</w:t>
            </w:r>
            <w:r w:rsidRPr="16E62954">
              <w:rPr>
                <w:rFonts w:eastAsia="Arial" w:cs="Arial"/>
                <w:color w:val="000000" w:themeColor="text1"/>
              </w:rPr>
              <w:t xml:space="preserve">2029 – </w:t>
            </w:r>
            <w:r w:rsidR="6336CC0C" w:rsidRPr="16E62954">
              <w:rPr>
                <w:rFonts w:eastAsia="Arial" w:cs="Arial"/>
                <w:color w:val="000000" w:themeColor="text1"/>
              </w:rPr>
              <w:t>June</w:t>
            </w:r>
            <w:r w:rsidR="69BC5F0D" w:rsidRPr="16E62954">
              <w:rPr>
                <w:rFonts w:eastAsia="Arial" w:cs="Arial"/>
                <w:color w:val="000000" w:themeColor="text1"/>
              </w:rPr>
              <w:t xml:space="preserve"> 2030</w:t>
            </w:r>
            <w:r w:rsidR="6336CC0C" w:rsidRPr="16E62954">
              <w:rPr>
                <w:rFonts w:eastAsia="Arial" w:cs="Arial"/>
                <w:color w:val="000000" w:themeColor="text1"/>
              </w:rPr>
              <w:t xml:space="preserve"> </w:t>
            </w:r>
          </w:p>
          <w:p w14:paraId="5B465862" w14:textId="3FAC2AE1" w:rsidR="473401AE" w:rsidRDefault="473401AE" w:rsidP="16E62954">
            <w:pPr>
              <w:pStyle w:val="ListParagraph"/>
              <w:numPr>
                <w:ilvl w:val="0"/>
                <w:numId w:val="91"/>
              </w:numPr>
              <w:spacing w:after="120" w:line="259" w:lineRule="auto"/>
              <w:rPr>
                <w:rFonts w:eastAsia="Arial" w:cs="Arial"/>
                <w:color w:val="000000" w:themeColor="text1"/>
              </w:rPr>
            </w:pPr>
            <w:r w:rsidRPr="16E62954">
              <w:rPr>
                <w:rFonts w:eastAsia="Arial" w:cs="Arial"/>
                <w:color w:val="000000" w:themeColor="text1"/>
              </w:rPr>
              <w:t>July 2030</w:t>
            </w:r>
            <w:r w:rsidR="351E1C4D" w:rsidRPr="16E62954">
              <w:rPr>
                <w:rFonts w:eastAsia="Arial" w:cs="Arial"/>
                <w:color w:val="000000" w:themeColor="text1"/>
              </w:rPr>
              <w:t xml:space="preserve"> – June </w:t>
            </w:r>
            <w:r w:rsidR="4F8EB539" w:rsidRPr="16E62954">
              <w:rPr>
                <w:rFonts w:eastAsia="Arial" w:cs="Arial"/>
                <w:color w:val="000000" w:themeColor="text1"/>
              </w:rPr>
              <w:t>2031</w:t>
            </w:r>
          </w:p>
          <w:p w14:paraId="3951A109" w14:textId="53417406" w:rsidR="005304B2" w:rsidRPr="00497098" w:rsidRDefault="62EAFDD6" w:rsidP="00497098">
            <w:pPr>
              <w:pStyle w:val="ListParagraph"/>
              <w:numPr>
                <w:ilvl w:val="0"/>
                <w:numId w:val="91"/>
              </w:numPr>
              <w:spacing w:after="120" w:line="259" w:lineRule="auto"/>
              <w:rPr>
                <w:rFonts w:eastAsia="Arial" w:cs="Arial"/>
                <w:color w:val="000000"/>
                <w:szCs w:val="24"/>
              </w:rPr>
            </w:pPr>
            <w:r w:rsidRPr="16E62954">
              <w:rPr>
                <w:rFonts w:eastAsia="Arial" w:cs="Arial"/>
                <w:color w:val="000000" w:themeColor="text1"/>
              </w:rPr>
              <w:t>July 2031 – December 2031</w:t>
            </w:r>
          </w:p>
        </w:tc>
      </w:tr>
      <w:tr w:rsidR="005304B2" w14:paraId="487105C5" w14:textId="77777777" w:rsidTr="00514073">
        <w:trPr>
          <w:trHeight w:val="735"/>
        </w:trPr>
        <w:tc>
          <w:tcPr>
            <w:tcW w:w="60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2A238C" w14:textId="0A97691D" w:rsidR="005304B2" w:rsidRDefault="005304B2" w:rsidP="00C56492">
            <w:pPr>
              <w:pBdr>
                <w:top w:val="nil"/>
                <w:left w:val="nil"/>
                <w:bottom w:val="nil"/>
                <w:right w:val="nil"/>
                <w:between w:val="nil"/>
              </w:pBdr>
              <w:ind w:left="90"/>
              <w:rPr>
                <w:rFonts w:eastAsia="Arial" w:cs="Arial"/>
                <w:color w:val="000000"/>
                <w:szCs w:val="24"/>
              </w:rPr>
            </w:pPr>
            <w:r>
              <w:rPr>
                <w:rFonts w:eastAsia="Arial" w:cs="Arial"/>
                <w:color w:val="000000"/>
                <w:szCs w:val="24"/>
              </w:rPr>
              <w:t>The Contractor will compile, clean and</w:t>
            </w:r>
            <w:r>
              <w:rPr>
                <w:rFonts w:eastAsia="Arial" w:cs="Arial"/>
                <w:szCs w:val="24"/>
              </w:rPr>
              <w:t xml:space="preserve"> </w:t>
            </w:r>
            <w:r>
              <w:rPr>
                <w:rFonts w:eastAsia="Arial" w:cs="Arial"/>
                <w:color w:val="000000"/>
                <w:szCs w:val="24"/>
              </w:rPr>
              <w:t>analyze student and program outcome data, and relevant demographic data.</w:t>
            </w:r>
          </w:p>
        </w:tc>
        <w:tc>
          <w:tcPr>
            <w:tcW w:w="43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C75919" w14:textId="3071862A" w:rsidR="00455CBD" w:rsidRDefault="00455CBD" w:rsidP="00455CBD">
            <w:pPr>
              <w:pStyle w:val="ListParagraph"/>
              <w:numPr>
                <w:ilvl w:val="0"/>
                <w:numId w:val="92"/>
              </w:numPr>
              <w:pBdr>
                <w:top w:val="nil"/>
                <w:left w:val="nil"/>
                <w:bottom w:val="nil"/>
                <w:right w:val="nil"/>
                <w:between w:val="nil"/>
              </w:pBdr>
              <w:spacing w:after="120"/>
              <w:rPr>
                <w:rFonts w:eastAsia="Arial" w:cs="Arial"/>
                <w:color w:val="000000"/>
                <w:szCs w:val="24"/>
              </w:rPr>
            </w:pPr>
            <w:r w:rsidRPr="004B4FED">
              <w:rPr>
                <w:rFonts w:eastAsia="Arial" w:cs="Arial"/>
                <w:color w:val="000000"/>
                <w:szCs w:val="24"/>
              </w:rPr>
              <w:t>July 2024 – June 2025</w:t>
            </w:r>
          </w:p>
          <w:p w14:paraId="0E34CF47" w14:textId="095C2F85" w:rsidR="00455CBD" w:rsidRPr="004B4FED" w:rsidRDefault="367E3157" w:rsidP="16E62954">
            <w:pPr>
              <w:pStyle w:val="ListParagraph"/>
              <w:numPr>
                <w:ilvl w:val="0"/>
                <w:numId w:val="92"/>
              </w:numPr>
              <w:pBdr>
                <w:top w:val="nil"/>
                <w:left w:val="nil"/>
                <w:bottom w:val="nil"/>
                <w:right w:val="nil"/>
                <w:between w:val="nil"/>
              </w:pBdr>
              <w:spacing w:after="120"/>
              <w:rPr>
                <w:rFonts w:eastAsia="Arial" w:cs="Arial"/>
                <w:color w:val="000000"/>
              </w:rPr>
            </w:pPr>
            <w:r w:rsidRPr="16E62954">
              <w:rPr>
                <w:rFonts w:eastAsia="Arial" w:cs="Arial"/>
                <w:color w:val="000000" w:themeColor="text1"/>
              </w:rPr>
              <w:t>July 2025 – Ju</w:t>
            </w:r>
            <w:r w:rsidR="0A9A6C2B" w:rsidRPr="16E62954">
              <w:rPr>
                <w:rFonts w:eastAsia="Arial" w:cs="Arial"/>
                <w:color w:val="000000" w:themeColor="text1"/>
              </w:rPr>
              <w:t>ne</w:t>
            </w:r>
            <w:r w:rsidRPr="16E62954">
              <w:rPr>
                <w:rFonts w:eastAsia="Arial" w:cs="Arial"/>
                <w:color w:val="000000" w:themeColor="text1"/>
              </w:rPr>
              <w:t xml:space="preserve"> 2026</w:t>
            </w:r>
          </w:p>
          <w:p w14:paraId="49A5D288" w14:textId="77777777" w:rsidR="00455CBD" w:rsidRDefault="00455CBD" w:rsidP="00455CBD">
            <w:pPr>
              <w:pStyle w:val="ListParagraph"/>
              <w:numPr>
                <w:ilvl w:val="0"/>
                <w:numId w:val="92"/>
              </w:numPr>
              <w:pBdr>
                <w:top w:val="nil"/>
                <w:left w:val="nil"/>
                <w:bottom w:val="nil"/>
                <w:right w:val="nil"/>
                <w:between w:val="nil"/>
              </w:pBdr>
              <w:spacing w:after="120"/>
              <w:rPr>
                <w:rFonts w:eastAsia="Arial" w:cs="Arial"/>
                <w:color w:val="000000"/>
                <w:szCs w:val="24"/>
              </w:rPr>
            </w:pPr>
            <w:r>
              <w:rPr>
                <w:rFonts w:eastAsia="Arial" w:cs="Arial"/>
                <w:color w:val="000000"/>
                <w:szCs w:val="24"/>
              </w:rPr>
              <w:t>July 2026 – June 2027</w:t>
            </w:r>
          </w:p>
          <w:p w14:paraId="798A85B1" w14:textId="3097A7D5" w:rsidR="00455CBD" w:rsidRDefault="367E3157" w:rsidP="16E62954">
            <w:pPr>
              <w:pStyle w:val="ListParagraph"/>
              <w:numPr>
                <w:ilvl w:val="0"/>
                <w:numId w:val="92"/>
              </w:numPr>
              <w:pBdr>
                <w:top w:val="nil"/>
                <w:left w:val="nil"/>
                <w:bottom w:val="nil"/>
                <w:right w:val="nil"/>
                <w:between w:val="nil"/>
              </w:pBdr>
              <w:spacing w:after="120"/>
              <w:rPr>
                <w:rFonts w:eastAsia="Arial" w:cs="Arial"/>
                <w:color w:val="000000"/>
              </w:rPr>
            </w:pPr>
            <w:r w:rsidRPr="16E62954">
              <w:rPr>
                <w:rFonts w:eastAsia="Arial" w:cs="Arial"/>
                <w:color w:val="000000" w:themeColor="text1"/>
              </w:rPr>
              <w:t>July 2027</w:t>
            </w:r>
            <w:r w:rsidR="13383D71" w:rsidRPr="16E62954">
              <w:rPr>
                <w:rFonts w:eastAsia="Arial" w:cs="Arial"/>
                <w:color w:val="000000" w:themeColor="text1"/>
              </w:rPr>
              <w:t xml:space="preserve"> </w:t>
            </w:r>
            <w:r w:rsidRPr="16E62954">
              <w:rPr>
                <w:rFonts w:eastAsia="Arial" w:cs="Arial"/>
                <w:color w:val="000000" w:themeColor="text1"/>
              </w:rPr>
              <w:t>– June 2028</w:t>
            </w:r>
          </w:p>
          <w:p w14:paraId="5237D2C8" w14:textId="77777777" w:rsidR="00455CBD" w:rsidRDefault="00455CBD" w:rsidP="00455CBD">
            <w:pPr>
              <w:pStyle w:val="ListParagraph"/>
              <w:numPr>
                <w:ilvl w:val="0"/>
                <w:numId w:val="92"/>
              </w:numPr>
              <w:pBdr>
                <w:top w:val="nil"/>
                <w:left w:val="nil"/>
                <w:bottom w:val="nil"/>
                <w:right w:val="nil"/>
                <w:between w:val="nil"/>
              </w:pBdr>
              <w:spacing w:after="120"/>
              <w:rPr>
                <w:rFonts w:eastAsia="Arial" w:cs="Arial"/>
                <w:color w:val="000000"/>
                <w:szCs w:val="24"/>
              </w:rPr>
            </w:pPr>
            <w:r>
              <w:rPr>
                <w:rFonts w:eastAsia="Arial" w:cs="Arial"/>
                <w:color w:val="000000"/>
                <w:szCs w:val="24"/>
              </w:rPr>
              <w:t xml:space="preserve">July 2028 – June 2029 </w:t>
            </w:r>
          </w:p>
          <w:p w14:paraId="0A9109F4" w14:textId="1B21287D" w:rsidR="00455CBD" w:rsidRPr="004B4FED" w:rsidRDefault="367E3157" w:rsidP="16E62954">
            <w:pPr>
              <w:pStyle w:val="ListParagraph"/>
              <w:numPr>
                <w:ilvl w:val="0"/>
                <w:numId w:val="92"/>
              </w:numPr>
              <w:pBdr>
                <w:top w:val="nil"/>
                <w:left w:val="nil"/>
                <w:bottom w:val="nil"/>
                <w:right w:val="nil"/>
                <w:between w:val="nil"/>
              </w:pBdr>
              <w:spacing w:after="120"/>
              <w:rPr>
                <w:rFonts w:eastAsia="Arial" w:cs="Arial"/>
                <w:color w:val="000000"/>
              </w:rPr>
            </w:pPr>
            <w:r w:rsidRPr="16E62954">
              <w:rPr>
                <w:rFonts w:eastAsia="Arial" w:cs="Arial"/>
                <w:color w:val="000000" w:themeColor="text1"/>
              </w:rPr>
              <w:t>Ju</w:t>
            </w:r>
            <w:r w:rsidR="7B5A5E85" w:rsidRPr="16E62954">
              <w:rPr>
                <w:rFonts w:eastAsia="Arial" w:cs="Arial"/>
                <w:color w:val="000000" w:themeColor="text1"/>
              </w:rPr>
              <w:t>ly</w:t>
            </w:r>
            <w:r w:rsidRPr="16E62954">
              <w:rPr>
                <w:rFonts w:eastAsia="Arial" w:cs="Arial"/>
                <w:color w:val="000000" w:themeColor="text1"/>
              </w:rPr>
              <w:t xml:space="preserve"> 2029 – Ju</w:t>
            </w:r>
            <w:r w:rsidR="6B84E81B" w:rsidRPr="16E62954">
              <w:rPr>
                <w:rFonts w:eastAsia="Arial" w:cs="Arial"/>
                <w:color w:val="000000" w:themeColor="text1"/>
              </w:rPr>
              <w:t>ne</w:t>
            </w:r>
            <w:r w:rsidRPr="16E62954">
              <w:rPr>
                <w:rFonts w:eastAsia="Arial" w:cs="Arial"/>
                <w:color w:val="000000" w:themeColor="text1"/>
              </w:rPr>
              <w:t xml:space="preserve"> </w:t>
            </w:r>
            <w:r w:rsidR="641A409B" w:rsidRPr="16E62954">
              <w:rPr>
                <w:rFonts w:eastAsia="Arial" w:cs="Arial"/>
                <w:color w:val="000000" w:themeColor="text1"/>
              </w:rPr>
              <w:t>2</w:t>
            </w:r>
            <w:r w:rsidRPr="16E62954">
              <w:rPr>
                <w:rFonts w:eastAsia="Arial" w:cs="Arial"/>
                <w:color w:val="000000" w:themeColor="text1"/>
              </w:rPr>
              <w:t>030</w:t>
            </w:r>
          </w:p>
          <w:p w14:paraId="73BE9278" w14:textId="7AB27CD1" w:rsidR="00455CBD" w:rsidRPr="004B4FED" w:rsidRDefault="1F29A650" w:rsidP="16E62954">
            <w:pPr>
              <w:pStyle w:val="ListParagraph"/>
              <w:numPr>
                <w:ilvl w:val="0"/>
                <w:numId w:val="92"/>
              </w:numPr>
              <w:pBdr>
                <w:top w:val="nil"/>
                <w:left w:val="nil"/>
                <w:bottom w:val="nil"/>
                <w:right w:val="nil"/>
                <w:between w:val="nil"/>
              </w:pBdr>
              <w:spacing w:after="120"/>
              <w:rPr>
                <w:rFonts w:eastAsia="Arial" w:cs="Arial"/>
                <w:color w:val="000000"/>
              </w:rPr>
            </w:pPr>
            <w:r w:rsidRPr="16E62954">
              <w:rPr>
                <w:rFonts w:eastAsia="Arial" w:cs="Arial"/>
                <w:color w:val="000000" w:themeColor="text1"/>
              </w:rPr>
              <w:t>July 2030 – June 2031</w:t>
            </w:r>
          </w:p>
          <w:p w14:paraId="1BA29D16" w14:textId="36424F4D" w:rsidR="00455CBD" w:rsidRPr="004B4FED" w:rsidRDefault="1F29A650" w:rsidP="16E62954">
            <w:pPr>
              <w:pStyle w:val="ListParagraph"/>
              <w:numPr>
                <w:ilvl w:val="0"/>
                <w:numId w:val="92"/>
              </w:numPr>
              <w:pBdr>
                <w:top w:val="nil"/>
                <w:left w:val="nil"/>
                <w:bottom w:val="nil"/>
                <w:right w:val="nil"/>
                <w:between w:val="nil"/>
              </w:pBdr>
              <w:spacing w:after="120"/>
              <w:rPr>
                <w:rFonts w:eastAsia="Arial" w:cs="Arial"/>
                <w:color w:val="000000"/>
              </w:rPr>
            </w:pPr>
            <w:r w:rsidRPr="16E62954">
              <w:rPr>
                <w:rFonts w:eastAsia="Arial" w:cs="Arial"/>
                <w:color w:val="000000" w:themeColor="text1"/>
              </w:rPr>
              <w:t>July 2031</w:t>
            </w:r>
            <w:r w:rsidR="6A78D7BA" w:rsidRPr="16E62954">
              <w:rPr>
                <w:rFonts w:eastAsia="Arial" w:cs="Arial"/>
                <w:color w:val="000000" w:themeColor="text1"/>
              </w:rPr>
              <w:t xml:space="preserve"> – D</w:t>
            </w:r>
            <w:r w:rsidRPr="16E62954">
              <w:rPr>
                <w:rFonts w:eastAsia="Arial" w:cs="Arial"/>
                <w:color w:val="000000" w:themeColor="text1"/>
              </w:rPr>
              <w:t>ecember 2031</w:t>
            </w:r>
          </w:p>
        </w:tc>
      </w:tr>
    </w:tbl>
    <w:p w14:paraId="15BFAB66" w14:textId="4D2A0ECB" w:rsidR="00CA31C5" w:rsidRPr="00CA31C5" w:rsidRDefault="1D1C7899" w:rsidP="00497098">
      <w:pPr>
        <w:spacing w:before="240" w:after="240"/>
        <w:rPr>
          <w:rFonts w:eastAsia="Times New Roman" w:cs="Arial"/>
        </w:rPr>
      </w:pPr>
      <w:r w:rsidRPr="16E62954">
        <w:rPr>
          <w:rFonts w:eastAsia="Times New Roman" w:cs="Arial"/>
        </w:rPr>
        <w:t>See table above.</w:t>
      </w:r>
      <w:r w:rsidR="7D8016A7" w:rsidRPr="16E62954">
        <w:rPr>
          <w:rFonts w:eastAsia="Times New Roman" w:cs="Arial"/>
        </w:rPr>
        <w:t xml:space="preserve"> </w:t>
      </w:r>
      <w:r w:rsidR="0C9DE59F" w:rsidRPr="16E62954">
        <w:rPr>
          <w:rFonts w:eastAsia="Times New Roman" w:cs="Arial"/>
        </w:rPr>
        <w:t>The Technical Proposal must describe how t</w:t>
      </w:r>
      <w:r w:rsidR="7D8016A7" w:rsidRPr="16E62954">
        <w:rPr>
          <w:rFonts w:eastAsia="Times New Roman" w:cs="Arial"/>
        </w:rPr>
        <w:t xml:space="preserve">his timeline </w:t>
      </w:r>
      <w:r w:rsidR="0C9DE59F" w:rsidRPr="16E62954">
        <w:rPr>
          <w:rFonts w:eastAsia="Times New Roman" w:cs="Arial"/>
        </w:rPr>
        <w:t>will</w:t>
      </w:r>
      <w:r w:rsidR="7D8016A7" w:rsidRPr="16E62954">
        <w:rPr>
          <w:rFonts w:eastAsia="Times New Roman" w:cs="Arial"/>
        </w:rPr>
        <w:t xml:space="preserve"> be designed to ensure timely and accurate reporting on CCSPP progress, </w:t>
      </w:r>
      <w:r w:rsidR="007536B0">
        <w:rPr>
          <w:rFonts w:eastAsia="Times New Roman" w:cs="Arial"/>
        </w:rPr>
        <w:t>t</w:t>
      </w:r>
      <w:r w:rsidR="007536B0" w:rsidRPr="16E62954">
        <w:rPr>
          <w:rFonts w:eastAsia="Times New Roman" w:cs="Arial"/>
        </w:rPr>
        <w:t xml:space="preserve">hereby </w:t>
      </w:r>
      <w:r w:rsidR="34472224" w:rsidRPr="16E62954">
        <w:rPr>
          <w:rFonts w:eastAsia="Times New Roman" w:cs="Arial"/>
        </w:rPr>
        <w:t>facilitating a data-driven decision-making process and fostering an environment of ongoing enhancement and refinement.</w:t>
      </w:r>
    </w:p>
    <w:p w14:paraId="5D55E712" w14:textId="3C94CAEF" w:rsidR="00CA31C5" w:rsidRDefault="0C9DE59F" w:rsidP="16E62954">
      <w:pPr>
        <w:spacing w:after="240"/>
        <w:rPr>
          <w:rFonts w:eastAsia="Times New Roman" w:cs="Arial"/>
          <w:color w:val="000000"/>
        </w:rPr>
      </w:pPr>
      <w:r w:rsidRPr="16E62954">
        <w:rPr>
          <w:rFonts w:eastAsia="Times New Roman" w:cs="Arial"/>
          <w:color w:val="000000" w:themeColor="text1"/>
        </w:rPr>
        <w:t>T</w:t>
      </w:r>
      <w:r w:rsidR="7D8016A7" w:rsidRPr="16E62954">
        <w:rPr>
          <w:rFonts w:eastAsia="Times New Roman" w:cs="Arial"/>
          <w:color w:val="000000" w:themeColor="text1"/>
        </w:rPr>
        <w:t xml:space="preserve">he Technical Proposal must </w:t>
      </w:r>
      <w:r w:rsidRPr="16E62954">
        <w:rPr>
          <w:rFonts w:eastAsia="Times New Roman" w:cs="Arial"/>
          <w:color w:val="000000" w:themeColor="text1"/>
        </w:rPr>
        <w:t xml:space="preserve">describe in detail </w:t>
      </w:r>
      <w:r w:rsidR="7D8016A7" w:rsidRPr="16E62954">
        <w:rPr>
          <w:rFonts w:eastAsia="Times New Roman" w:cs="Arial"/>
          <w:color w:val="000000" w:themeColor="text1"/>
        </w:rPr>
        <w:t>the bidder's commitment to data quality and integrity</w:t>
      </w:r>
      <w:r w:rsidRPr="16E62954">
        <w:rPr>
          <w:rFonts w:eastAsia="Times New Roman" w:cs="Arial"/>
          <w:color w:val="000000" w:themeColor="text1"/>
        </w:rPr>
        <w:t>, including</w:t>
      </w:r>
      <w:r w:rsidR="7D8016A7" w:rsidRPr="16E62954">
        <w:rPr>
          <w:rFonts w:eastAsia="Times New Roman" w:cs="Arial"/>
          <w:color w:val="000000" w:themeColor="text1"/>
        </w:rPr>
        <w:t xml:space="preserve"> outlining data validation processes, quality control measures, and safeguards to ensure the accuracy and reliability of the findings. The </w:t>
      </w:r>
      <w:r w:rsidRPr="16E62954">
        <w:rPr>
          <w:rFonts w:eastAsia="Times New Roman" w:cs="Arial"/>
          <w:color w:val="000000" w:themeColor="text1"/>
        </w:rPr>
        <w:t xml:space="preserve">Technical Proposal must describe in </w:t>
      </w:r>
      <w:r w:rsidR="7D8016A7" w:rsidRPr="16E62954">
        <w:rPr>
          <w:rFonts w:eastAsia="Times New Roman" w:cs="Arial"/>
          <w:color w:val="000000" w:themeColor="text1"/>
        </w:rPr>
        <w:t>detail how the</w:t>
      </w:r>
      <w:r w:rsidRPr="16E62954">
        <w:rPr>
          <w:rFonts w:eastAsia="Times New Roman" w:cs="Arial"/>
          <w:color w:val="000000" w:themeColor="text1"/>
        </w:rPr>
        <w:t xml:space="preserve"> successful bidder</w:t>
      </w:r>
      <w:r w:rsidR="7D8016A7" w:rsidRPr="16E62954">
        <w:rPr>
          <w:rFonts w:eastAsia="Times New Roman" w:cs="Arial"/>
          <w:color w:val="000000" w:themeColor="text1"/>
        </w:rPr>
        <w:t xml:space="preserve"> will </w:t>
      </w:r>
      <w:r w:rsidR="40E41DD6" w:rsidRPr="16E62954">
        <w:rPr>
          <w:rFonts w:eastAsia="Times New Roman" w:cs="Arial"/>
          <w:color w:val="000000" w:themeColor="text1"/>
        </w:rPr>
        <w:t xml:space="preserve">continuously address and </w:t>
      </w:r>
      <w:r w:rsidR="543EBAB5" w:rsidRPr="16E62954">
        <w:rPr>
          <w:rFonts w:eastAsia="Times New Roman" w:cs="Arial"/>
          <w:color w:val="000000" w:themeColor="text1"/>
        </w:rPr>
        <w:t>minimize</w:t>
      </w:r>
      <w:r w:rsidR="7D8016A7" w:rsidRPr="16E62954">
        <w:rPr>
          <w:rFonts w:eastAsia="Times New Roman" w:cs="Arial"/>
          <w:color w:val="000000" w:themeColor="text1"/>
        </w:rPr>
        <w:t xml:space="preserve"> data gaps, inconsistencies, and potential biases in their analysis </w:t>
      </w:r>
      <w:r w:rsidRPr="16E62954">
        <w:rPr>
          <w:rFonts w:eastAsia="Times New Roman" w:cs="Arial"/>
          <w:color w:val="000000" w:themeColor="text1"/>
        </w:rPr>
        <w:t xml:space="preserve">to ensure </w:t>
      </w:r>
      <w:r w:rsidR="7D8016A7" w:rsidRPr="16E62954">
        <w:rPr>
          <w:rFonts w:eastAsia="Times New Roman" w:cs="Arial"/>
          <w:color w:val="000000" w:themeColor="text1"/>
        </w:rPr>
        <w:t>their dedication to producing objective and unbiased results.</w:t>
      </w:r>
    </w:p>
    <w:bookmarkEnd w:id="23"/>
    <w:p w14:paraId="4C8E3C3B" w14:textId="6533EF37" w:rsidR="00137D0D" w:rsidRDefault="0C9DE59F" w:rsidP="00043A24">
      <w:pPr>
        <w:spacing w:before="120" w:after="240"/>
        <w:rPr>
          <w:rFonts w:eastAsia="Arial" w:cs="Arial"/>
        </w:rPr>
      </w:pPr>
      <w:r w:rsidRPr="16E62954">
        <w:rPr>
          <w:rFonts w:eastAsia="Times New Roman" w:cs="Arial"/>
          <w:color w:val="000000" w:themeColor="text1"/>
        </w:rPr>
        <w:t>The Technical P</w:t>
      </w:r>
      <w:r w:rsidR="7D8016A7" w:rsidRPr="16E62954">
        <w:rPr>
          <w:rFonts w:eastAsia="Times New Roman" w:cs="Arial"/>
          <w:color w:val="000000" w:themeColor="text1"/>
        </w:rPr>
        <w:t xml:space="preserve">roposal </w:t>
      </w:r>
      <w:r w:rsidRPr="16E62954">
        <w:rPr>
          <w:rFonts w:eastAsia="Times New Roman" w:cs="Arial"/>
          <w:color w:val="000000" w:themeColor="text1"/>
        </w:rPr>
        <w:t>must</w:t>
      </w:r>
      <w:r w:rsidR="7D8016A7" w:rsidRPr="16E62954">
        <w:rPr>
          <w:rFonts w:eastAsia="Times New Roman" w:cs="Arial"/>
          <w:color w:val="000000" w:themeColor="text1"/>
        </w:rPr>
        <w:t xml:space="preserve"> describe</w:t>
      </w:r>
      <w:r w:rsidRPr="16E62954">
        <w:rPr>
          <w:rFonts w:eastAsia="Times New Roman" w:cs="Arial"/>
          <w:color w:val="000000" w:themeColor="text1"/>
        </w:rPr>
        <w:t xml:space="preserve"> in detail</w:t>
      </w:r>
      <w:r w:rsidR="7D8016A7" w:rsidRPr="16E62954">
        <w:rPr>
          <w:rFonts w:eastAsia="Times New Roman" w:cs="Arial"/>
          <w:color w:val="000000" w:themeColor="text1"/>
        </w:rPr>
        <w:t xml:space="preserve"> the</w:t>
      </w:r>
      <w:r w:rsidRPr="16E62954">
        <w:rPr>
          <w:rFonts w:eastAsia="Times New Roman" w:cs="Arial"/>
          <w:color w:val="000000" w:themeColor="text1"/>
        </w:rPr>
        <w:t xml:space="preserve"> successful</w:t>
      </w:r>
      <w:r w:rsidR="7D8016A7" w:rsidRPr="16E62954">
        <w:rPr>
          <w:rFonts w:eastAsia="Times New Roman" w:cs="Arial"/>
          <w:color w:val="000000" w:themeColor="text1"/>
        </w:rPr>
        <w:t xml:space="preserve"> bidder's approach to</w:t>
      </w:r>
      <w:r w:rsidRPr="16E62954">
        <w:rPr>
          <w:rFonts w:eastAsia="Times New Roman" w:cs="Arial"/>
          <w:color w:val="000000" w:themeColor="text1"/>
        </w:rPr>
        <w:t xml:space="preserve"> develop</w:t>
      </w:r>
      <w:r w:rsidR="7D8016A7" w:rsidRPr="16E62954">
        <w:rPr>
          <w:rFonts w:eastAsia="Times New Roman" w:cs="Arial"/>
          <w:color w:val="000000" w:themeColor="text1"/>
        </w:rPr>
        <w:t xml:space="preserve"> </w:t>
      </w:r>
      <w:r w:rsidRPr="16E62954">
        <w:rPr>
          <w:rFonts w:eastAsia="Times New Roman" w:cs="Arial"/>
          <w:color w:val="000000" w:themeColor="text1"/>
        </w:rPr>
        <w:t xml:space="preserve">a </w:t>
      </w:r>
      <w:r w:rsidR="7D8016A7" w:rsidRPr="16E62954">
        <w:rPr>
          <w:rFonts w:eastAsia="Times New Roman" w:cs="Arial"/>
          <w:color w:val="000000" w:themeColor="text1"/>
        </w:rPr>
        <w:t>presentation and dissemination of findings</w:t>
      </w:r>
      <w:r w:rsidRPr="16E62954">
        <w:rPr>
          <w:rFonts w:eastAsia="Times New Roman" w:cs="Arial"/>
          <w:color w:val="000000" w:themeColor="text1"/>
        </w:rPr>
        <w:t>, which must</w:t>
      </w:r>
      <w:r w:rsidR="7D8016A7" w:rsidRPr="16E62954">
        <w:rPr>
          <w:rFonts w:eastAsia="Times New Roman" w:cs="Arial"/>
          <w:color w:val="000000" w:themeColor="text1"/>
        </w:rPr>
        <w:t xml:space="preserve"> encompass the creation of </w:t>
      </w:r>
      <w:r w:rsidR="604F018A" w:rsidRPr="16E62954">
        <w:rPr>
          <w:rFonts w:eastAsia="Times New Roman" w:cs="Arial"/>
          <w:color w:val="000000" w:themeColor="text1"/>
        </w:rPr>
        <w:t>the Annual Reports</w:t>
      </w:r>
      <w:r w:rsidRPr="16E62954">
        <w:rPr>
          <w:rFonts w:eastAsia="Times New Roman" w:cs="Arial"/>
          <w:color w:val="000000" w:themeColor="text1"/>
        </w:rPr>
        <w:t xml:space="preserve"> </w:t>
      </w:r>
      <w:r w:rsidR="7F2D082C" w:rsidRPr="16E62954">
        <w:rPr>
          <w:rFonts w:eastAsia="Times New Roman" w:cs="Arial"/>
          <w:color w:val="000000" w:themeColor="text1"/>
        </w:rPr>
        <w:t xml:space="preserve">described </w:t>
      </w:r>
      <w:r w:rsidR="7F2D082C" w:rsidRPr="00497098">
        <w:rPr>
          <w:rFonts w:eastAsia="Times New Roman" w:cs="Arial"/>
          <w:color w:val="000000" w:themeColor="text1"/>
        </w:rPr>
        <w:t xml:space="preserve">in </w:t>
      </w:r>
      <w:r w:rsidRPr="00497098">
        <w:rPr>
          <w:rFonts w:eastAsia="Times New Roman" w:cs="Arial"/>
          <w:color w:val="000000" w:themeColor="text1"/>
        </w:rPr>
        <w:t>Task 2.2</w:t>
      </w:r>
      <w:r w:rsidR="7D8016A7" w:rsidRPr="00497098">
        <w:rPr>
          <w:rFonts w:eastAsia="Times New Roman" w:cs="Arial"/>
          <w:color w:val="000000" w:themeColor="text1"/>
        </w:rPr>
        <w:t>, data visu</w:t>
      </w:r>
      <w:r w:rsidR="7D8016A7" w:rsidRPr="16E62954">
        <w:rPr>
          <w:rFonts w:eastAsia="Times New Roman" w:cs="Arial"/>
          <w:color w:val="000000" w:themeColor="text1"/>
        </w:rPr>
        <w:t xml:space="preserve">alizations, and other tools that effectively communicate the results to a diverse audience, including program stakeholders, policymakers, and the public. </w:t>
      </w:r>
      <w:r w:rsidR="632B0FB7" w:rsidRPr="16E62954">
        <w:rPr>
          <w:rFonts w:eastAsia="Times New Roman" w:cs="Arial"/>
          <w:color w:val="000000" w:themeColor="text1"/>
        </w:rPr>
        <w:t xml:space="preserve">The </w:t>
      </w:r>
      <w:r w:rsidR="007536B0">
        <w:rPr>
          <w:rFonts w:eastAsia="Times New Roman" w:cs="Arial"/>
          <w:color w:val="000000" w:themeColor="text1"/>
        </w:rPr>
        <w:t xml:space="preserve">Technical Proposal must acknowledge and ensure that the </w:t>
      </w:r>
      <w:r w:rsidR="632B0FB7" w:rsidRPr="16E62954">
        <w:rPr>
          <w:rFonts w:eastAsia="Times New Roman" w:cs="Arial"/>
          <w:color w:val="000000" w:themeColor="text1"/>
        </w:rPr>
        <w:t xml:space="preserve">successful bidder will </w:t>
      </w:r>
      <w:r w:rsidR="6A1B96E2" w:rsidRPr="16E62954">
        <w:rPr>
          <w:rFonts w:eastAsia="Times New Roman" w:cs="Arial"/>
          <w:color w:val="000000" w:themeColor="text1"/>
        </w:rPr>
        <w:t>email</w:t>
      </w:r>
      <w:r w:rsidR="632B0FB7" w:rsidRPr="16E62954">
        <w:rPr>
          <w:rFonts w:eastAsia="Times New Roman" w:cs="Arial"/>
          <w:color w:val="000000" w:themeColor="text1"/>
        </w:rPr>
        <w:t xml:space="preserve"> all presentation materials and related documents to the CDE </w:t>
      </w:r>
      <w:r w:rsidR="00043A24">
        <w:rPr>
          <w:rFonts w:eastAsia="Times New Roman" w:cs="Arial"/>
          <w:color w:val="000000" w:themeColor="text1"/>
        </w:rPr>
        <w:t>C</w:t>
      </w:r>
      <w:r w:rsidR="00043A24" w:rsidRPr="16E62954">
        <w:rPr>
          <w:rFonts w:eastAsia="Times New Roman" w:cs="Arial"/>
          <w:color w:val="000000" w:themeColor="text1"/>
        </w:rPr>
        <w:t xml:space="preserve">ontract </w:t>
      </w:r>
      <w:r w:rsidR="00043A24">
        <w:rPr>
          <w:rFonts w:eastAsia="Times New Roman" w:cs="Arial"/>
          <w:color w:val="000000" w:themeColor="text1"/>
        </w:rPr>
        <w:t>M</w:t>
      </w:r>
      <w:r w:rsidR="00043A24" w:rsidRPr="16E62954">
        <w:rPr>
          <w:rFonts w:eastAsia="Times New Roman" w:cs="Arial"/>
          <w:color w:val="000000" w:themeColor="text1"/>
        </w:rPr>
        <w:t>onitor</w:t>
      </w:r>
      <w:r w:rsidR="632B0FB7" w:rsidRPr="16E62954">
        <w:rPr>
          <w:rFonts w:eastAsia="Times New Roman" w:cs="Arial"/>
          <w:color w:val="000000" w:themeColor="text1"/>
        </w:rPr>
        <w:t xml:space="preserve">, a minimum of 10 working </w:t>
      </w:r>
      <w:r w:rsidR="7BF87ADA" w:rsidRPr="16E62954">
        <w:rPr>
          <w:rFonts w:eastAsia="Times New Roman" w:cs="Arial"/>
          <w:color w:val="000000" w:themeColor="text1"/>
        </w:rPr>
        <w:t>days prior to the formal presentation date and publication of materials.</w:t>
      </w:r>
      <w:r w:rsidR="632B0FB7" w:rsidRPr="16E62954">
        <w:rPr>
          <w:rFonts w:eastAsia="Times New Roman" w:cs="Arial"/>
          <w:color w:val="000000" w:themeColor="text1"/>
        </w:rPr>
        <w:t xml:space="preserve"> </w:t>
      </w:r>
      <w:r w:rsidR="3F4A2E67" w:rsidRPr="16E62954">
        <w:rPr>
          <w:rFonts w:eastAsia="Arial" w:cs="Arial"/>
        </w:rPr>
        <w:t xml:space="preserve">The </w:t>
      </w:r>
      <w:r w:rsidR="604F018A" w:rsidRPr="16E62954">
        <w:rPr>
          <w:rFonts w:eastAsia="Arial" w:cs="Arial"/>
        </w:rPr>
        <w:t xml:space="preserve">Technical Proposal must describe in detail how the </w:t>
      </w:r>
      <w:r w:rsidR="504A857E" w:rsidRPr="16E62954">
        <w:rPr>
          <w:rFonts w:eastAsia="Arial" w:cs="Arial"/>
        </w:rPr>
        <w:t xml:space="preserve">successful </w:t>
      </w:r>
      <w:r w:rsidR="7F2D082C" w:rsidRPr="16E62954">
        <w:rPr>
          <w:rFonts w:eastAsia="Arial" w:cs="Arial"/>
        </w:rPr>
        <w:t>bidder</w:t>
      </w:r>
      <w:r w:rsidR="3F4A2E67" w:rsidRPr="16E62954">
        <w:rPr>
          <w:rFonts w:eastAsia="Arial" w:cs="Arial"/>
        </w:rPr>
        <w:t xml:space="preserve"> will coordinate </w:t>
      </w:r>
      <w:r w:rsidR="504A857E" w:rsidRPr="16E62954">
        <w:rPr>
          <w:rFonts w:eastAsia="Arial" w:cs="Arial"/>
        </w:rPr>
        <w:t>2–5</w:t>
      </w:r>
      <w:r w:rsidR="3F4A2E67" w:rsidRPr="16E62954">
        <w:rPr>
          <w:rFonts w:eastAsia="Arial" w:cs="Arial"/>
        </w:rPr>
        <w:t xml:space="preserve"> virtual educational partner engagement sessions</w:t>
      </w:r>
      <w:r w:rsidR="00497098">
        <w:rPr>
          <w:rFonts w:eastAsia="Arial" w:cs="Arial"/>
        </w:rPr>
        <w:t xml:space="preserve"> annually</w:t>
      </w:r>
      <w:r w:rsidR="3F4A2E67" w:rsidRPr="16E62954">
        <w:rPr>
          <w:rFonts w:eastAsia="Arial" w:cs="Arial"/>
        </w:rPr>
        <w:t>, to present key findings and recommendations.</w:t>
      </w:r>
      <w:r w:rsidR="1161DE7F" w:rsidRPr="16E62954">
        <w:rPr>
          <w:rFonts w:eastAsia="Arial" w:cs="Arial"/>
        </w:rPr>
        <w:t xml:space="preserve"> </w:t>
      </w:r>
      <w:r w:rsidR="5880291D" w:rsidRPr="16E62954">
        <w:rPr>
          <w:rFonts w:eastAsia="Arial" w:cs="Arial"/>
        </w:rPr>
        <w:t xml:space="preserve">The </w:t>
      </w:r>
      <w:r w:rsidR="00497098">
        <w:rPr>
          <w:rFonts w:eastAsia="Arial" w:cs="Arial"/>
        </w:rPr>
        <w:t xml:space="preserve">Technical Proposal must acknowledge and ensure that each </w:t>
      </w:r>
      <w:r w:rsidR="5880291D" w:rsidRPr="16E62954">
        <w:rPr>
          <w:rFonts w:eastAsia="Arial" w:cs="Arial"/>
        </w:rPr>
        <w:t xml:space="preserve">presentation </w:t>
      </w:r>
      <w:r w:rsidR="00497098">
        <w:rPr>
          <w:rFonts w:eastAsia="Arial" w:cs="Arial"/>
        </w:rPr>
        <w:t>will</w:t>
      </w:r>
      <w:r w:rsidR="00497098" w:rsidRPr="16E62954">
        <w:rPr>
          <w:rFonts w:eastAsia="Arial" w:cs="Arial"/>
        </w:rPr>
        <w:t xml:space="preserve"> </w:t>
      </w:r>
      <w:r w:rsidR="5880291D" w:rsidRPr="16E62954">
        <w:rPr>
          <w:rFonts w:eastAsia="Arial" w:cs="Arial"/>
        </w:rPr>
        <w:t>be a minimum of 60 minutes</w:t>
      </w:r>
      <w:r w:rsidR="5D780712" w:rsidRPr="16E62954">
        <w:rPr>
          <w:rFonts w:eastAsia="Arial" w:cs="Arial"/>
        </w:rPr>
        <w:t xml:space="preserve"> total</w:t>
      </w:r>
      <w:r w:rsidR="5880291D" w:rsidRPr="16E62954">
        <w:rPr>
          <w:rFonts w:eastAsia="Arial" w:cs="Arial"/>
        </w:rPr>
        <w:t>, which includ</w:t>
      </w:r>
      <w:r w:rsidR="114D9B25" w:rsidRPr="16E62954">
        <w:rPr>
          <w:rFonts w:eastAsia="Arial" w:cs="Arial"/>
        </w:rPr>
        <w:t xml:space="preserve">es a </w:t>
      </w:r>
      <w:r w:rsidR="721381D0" w:rsidRPr="16E62954">
        <w:rPr>
          <w:rFonts w:eastAsia="Arial" w:cs="Arial"/>
        </w:rPr>
        <w:t>15-minute</w:t>
      </w:r>
      <w:r w:rsidR="114D9B25" w:rsidRPr="16E62954">
        <w:rPr>
          <w:rFonts w:eastAsia="Arial" w:cs="Arial"/>
        </w:rPr>
        <w:t xml:space="preserve"> Question and Answer session.</w:t>
      </w:r>
      <w:r w:rsidR="3F4A2E67" w:rsidRPr="16E62954">
        <w:rPr>
          <w:rFonts w:eastAsia="Arial" w:cs="Arial"/>
        </w:rPr>
        <w:t xml:space="preserve"> </w:t>
      </w:r>
      <w:r w:rsidR="604F018A" w:rsidRPr="16E62954">
        <w:rPr>
          <w:rFonts w:eastAsia="Arial" w:cs="Arial"/>
        </w:rPr>
        <w:t xml:space="preserve">The Technical Proposal must describe in detail how these </w:t>
      </w:r>
      <w:r w:rsidR="3F4A2E67" w:rsidRPr="16E62954">
        <w:rPr>
          <w:rFonts w:eastAsia="Arial" w:cs="Arial"/>
        </w:rPr>
        <w:t xml:space="preserve">set of engagements will aim to provide the </w:t>
      </w:r>
      <w:r w:rsidR="7F2D082C" w:rsidRPr="16E62954">
        <w:rPr>
          <w:rFonts w:eastAsia="Arial" w:cs="Arial"/>
        </w:rPr>
        <w:t>bidder</w:t>
      </w:r>
      <w:r w:rsidR="3F4A2E67" w:rsidRPr="16E62954">
        <w:rPr>
          <w:rFonts w:eastAsia="Arial" w:cs="Arial"/>
        </w:rPr>
        <w:t xml:space="preserve"> and the CDE with insight on (1) how some recommendations may need to be adjusted to account for needs and concerns expressed by educational partners, and (2) how to communicate findings and recommendations effectively to the public, including clearing up potential misconceptions.</w:t>
      </w:r>
      <w:r w:rsidR="00137D0D">
        <w:rPr>
          <w:rFonts w:eastAsia="Arial" w:cs="Arial"/>
        </w:rPr>
        <w:br w:type="page"/>
      </w:r>
    </w:p>
    <w:p w14:paraId="146D01D3" w14:textId="77777777" w:rsidR="00137D0D" w:rsidRDefault="00137D0D" w:rsidP="00043A24">
      <w:pPr>
        <w:spacing w:before="120" w:after="240"/>
        <w:rPr>
          <w:rFonts w:eastAsia="Arial" w:cs="Arial"/>
        </w:rPr>
      </w:pPr>
    </w:p>
    <w:p w14:paraId="0F681360" w14:textId="26BC0FC9" w:rsidR="00137D0D" w:rsidRDefault="00137D0D" w:rsidP="00137D0D">
      <w:pPr>
        <w:spacing w:before="120"/>
        <w:rPr>
          <w:rFonts w:eastAsia="Arial" w:cs="Arial"/>
          <w:szCs w:val="24"/>
        </w:rPr>
      </w:pPr>
      <w:r w:rsidRPr="16E62954">
        <w:rPr>
          <w:rFonts w:eastAsia="Arial" w:cs="Arial"/>
          <w:b/>
          <w:bCs/>
        </w:rPr>
        <w:t>Presentation of findings</w:t>
      </w:r>
    </w:p>
    <w:tbl>
      <w:tblPr>
        <w:tblW w:w="10350" w:type="dxa"/>
        <w:tblInd w:w="-6" w:type="dxa"/>
        <w:tblLayout w:type="fixed"/>
        <w:tblLook w:val="0000" w:firstRow="0" w:lastRow="0" w:firstColumn="0" w:lastColumn="0" w:noHBand="0" w:noVBand="0"/>
        <w:tblDescription w:val="Deliverables and Due Dates for 1.5 Presentation of findings and educational partner listening sessions for feedback on recommendations"/>
      </w:tblPr>
      <w:tblGrid>
        <w:gridCol w:w="5850"/>
        <w:gridCol w:w="4500"/>
      </w:tblGrid>
      <w:tr w:rsidR="007A79F8" w14:paraId="04FDDA80" w14:textId="77777777" w:rsidTr="007D30EE">
        <w:trPr>
          <w:trHeight w:val="288"/>
          <w:tblHeader/>
        </w:trPr>
        <w:tc>
          <w:tcPr>
            <w:tcW w:w="5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A47CEEB" w14:textId="77777777" w:rsidR="007A79F8" w:rsidRDefault="007A79F8" w:rsidP="00F93EB8">
            <w:pPr>
              <w:pBdr>
                <w:top w:val="nil"/>
                <w:left w:val="nil"/>
                <w:bottom w:val="nil"/>
                <w:right w:val="nil"/>
                <w:between w:val="nil"/>
              </w:pBdr>
              <w:ind w:left="144"/>
              <w:rPr>
                <w:rFonts w:eastAsia="Arial" w:cs="Arial"/>
                <w:b/>
                <w:color w:val="000000"/>
                <w:szCs w:val="24"/>
              </w:rPr>
            </w:pPr>
            <w:r>
              <w:rPr>
                <w:rFonts w:eastAsia="Arial" w:cs="Arial"/>
                <w:b/>
                <w:color w:val="000000"/>
                <w:szCs w:val="24"/>
              </w:rPr>
              <w:t>Deliverables</w:t>
            </w:r>
          </w:p>
        </w:tc>
        <w:tc>
          <w:tcPr>
            <w:tcW w:w="45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FD9E39E" w14:textId="77777777" w:rsidR="007A79F8" w:rsidRDefault="007A79F8" w:rsidP="00F93EB8">
            <w:pPr>
              <w:pBdr>
                <w:top w:val="nil"/>
                <w:left w:val="nil"/>
                <w:bottom w:val="nil"/>
                <w:right w:val="nil"/>
                <w:between w:val="nil"/>
              </w:pBdr>
              <w:ind w:left="144"/>
              <w:rPr>
                <w:rFonts w:eastAsia="Arial" w:cs="Arial"/>
                <w:b/>
                <w:color w:val="000000"/>
                <w:szCs w:val="24"/>
              </w:rPr>
            </w:pPr>
            <w:r>
              <w:rPr>
                <w:rFonts w:eastAsia="Arial" w:cs="Arial"/>
                <w:b/>
                <w:color w:val="000000"/>
                <w:szCs w:val="24"/>
              </w:rPr>
              <w:t>Due Date</w:t>
            </w:r>
          </w:p>
        </w:tc>
      </w:tr>
      <w:tr w:rsidR="007A79F8" w14:paraId="6720751A" w14:textId="77777777" w:rsidTr="007D30EE">
        <w:trPr>
          <w:trHeight w:val="810"/>
        </w:trPr>
        <w:tc>
          <w:tcPr>
            <w:tcW w:w="5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D86A13" w14:textId="43B01DF6" w:rsidR="007A79F8" w:rsidRDefault="007A79F8" w:rsidP="00F93EB8">
            <w:pPr>
              <w:pBdr>
                <w:top w:val="nil"/>
                <w:left w:val="nil"/>
                <w:bottom w:val="nil"/>
                <w:right w:val="nil"/>
                <w:between w:val="nil"/>
              </w:pBdr>
              <w:ind w:left="144" w:right="225"/>
              <w:rPr>
                <w:rFonts w:eastAsia="Arial" w:cs="Arial"/>
                <w:color w:val="000000"/>
                <w:szCs w:val="24"/>
              </w:rPr>
            </w:pPr>
            <w:r>
              <w:rPr>
                <w:rFonts w:eastAsia="Arial" w:cs="Arial"/>
                <w:szCs w:val="24"/>
              </w:rPr>
              <w:t xml:space="preserve">The bidder will present the study findings, at the request of the Contract Monitor, in up to </w:t>
            </w:r>
            <w:r w:rsidR="00497098">
              <w:rPr>
                <w:rFonts w:eastAsia="Arial" w:cs="Arial"/>
                <w:szCs w:val="24"/>
              </w:rPr>
              <w:t>2</w:t>
            </w:r>
            <w:r w:rsidRPr="006B2AA3">
              <w:rPr>
                <w:rFonts w:eastAsia="Arial" w:cs="Arial"/>
                <w:szCs w:val="24"/>
              </w:rPr>
              <w:t>–</w:t>
            </w:r>
            <w:r>
              <w:rPr>
                <w:rFonts w:eastAsia="Arial" w:cs="Arial"/>
                <w:szCs w:val="24"/>
              </w:rPr>
              <w:t>5 virtual educational partner engagement sessions</w:t>
            </w:r>
            <w:r w:rsidR="00497098">
              <w:rPr>
                <w:rFonts w:eastAsia="Arial" w:cs="Arial"/>
                <w:szCs w:val="24"/>
              </w:rPr>
              <w:t xml:space="preserve"> annually</w:t>
            </w:r>
            <w:r>
              <w:rPr>
                <w:rFonts w:eastAsia="Arial" w:cs="Arial"/>
                <w:szCs w:val="24"/>
              </w:rPr>
              <w:t>.</w:t>
            </w:r>
          </w:p>
        </w:tc>
        <w:tc>
          <w:tcPr>
            <w:tcW w:w="45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60B0FE" w14:textId="3B807620" w:rsidR="007A79F8" w:rsidRPr="00C56492" w:rsidRDefault="007A79F8" w:rsidP="00C56492">
            <w:pPr>
              <w:pStyle w:val="ListParagraph"/>
              <w:numPr>
                <w:ilvl w:val="0"/>
                <w:numId w:val="93"/>
              </w:numPr>
              <w:pBdr>
                <w:top w:val="nil"/>
                <w:left w:val="nil"/>
                <w:bottom w:val="nil"/>
                <w:right w:val="nil"/>
                <w:between w:val="nil"/>
              </w:pBdr>
              <w:ind w:left="616"/>
              <w:rPr>
                <w:rFonts w:eastAsia="Arial" w:cs="Arial"/>
                <w:szCs w:val="24"/>
              </w:rPr>
            </w:pPr>
            <w:r w:rsidRPr="00C56492">
              <w:rPr>
                <w:rFonts w:eastAsia="Arial" w:cs="Arial"/>
                <w:szCs w:val="24"/>
              </w:rPr>
              <w:t>January – April 2026</w:t>
            </w:r>
          </w:p>
          <w:p w14:paraId="545D1C31" w14:textId="686734ED" w:rsidR="007A79F8" w:rsidRPr="00C56492" w:rsidRDefault="007A79F8" w:rsidP="00C56492">
            <w:pPr>
              <w:pStyle w:val="ListParagraph"/>
              <w:numPr>
                <w:ilvl w:val="0"/>
                <w:numId w:val="93"/>
              </w:numPr>
              <w:pBdr>
                <w:top w:val="nil"/>
                <w:left w:val="nil"/>
                <w:bottom w:val="nil"/>
                <w:right w:val="nil"/>
                <w:between w:val="nil"/>
              </w:pBdr>
              <w:ind w:left="616"/>
              <w:rPr>
                <w:rFonts w:eastAsia="Arial" w:cs="Arial"/>
                <w:szCs w:val="24"/>
              </w:rPr>
            </w:pPr>
            <w:r w:rsidRPr="00C56492">
              <w:rPr>
                <w:rFonts w:eastAsia="Arial" w:cs="Arial"/>
                <w:szCs w:val="24"/>
              </w:rPr>
              <w:t>January – April 2027</w:t>
            </w:r>
          </w:p>
          <w:p w14:paraId="612F67D5" w14:textId="3E76993F" w:rsidR="007A79F8" w:rsidRPr="00C56492" w:rsidRDefault="00C4683C" w:rsidP="00C56492">
            <w:pPr>
              <w:pStyle w:val="ListParagraph"/>
              <w:numPr>
                <w:ilvl w:val="0"/>
                <w:numId w:val="93"/>
              </w:numPr>
              <w:pBdr>
                <w:top w:val="nil"/>
                <w:left w:val="nil"/>
                <w:bottom w:val="nil"/>
                <w:right w:val="nil"/>
                <w:between w:val="nil"/>
              </w:pBdr>
              <w:ind w:left="616"/>
              <w:rPr>
                <w:rFonts w:eastAsia="Arial" w:cs="Arial"/>
                <w:szCs w:val="24"/>
              </w:rPr>
            </w:pPr>
            <w:r w:rsidRPr="00C56492">
              <w:rPr>
                <w:rFonts w:eastAsia="Arial" w:cs="Arial"/>
                <w:szCs w:val="24"/>
              </w:rPr>
              <w:t>January</w:t>
            </w:r>
            <w:r w:rsidR="007A79F8" w:rsidRPr="00C56492">
              <w:rPr>
                <w:rFonts w:eastAsia="Arial" w:cs="Arial"/>
                <w:szCs w:val="24"/>
              </w:rPr>
              <w:t xml:space="preserve"> – April 2028</w:t>
            </w:r>
          </w:p>
          <w:p w14:paraId="2EE1FEE9" w14:textId="2804744E" w:rsidR="007A79F8" w:rsidRPr="00C56492" w:rsidRDefault="007A79F8" w:rsidP="00C56492">
            <w:pPr>
              <w:pStyle w:val="ListParagraph"/>
              <w:numPr>
                <w:ilvl w:val="0"/>
                <w:numId w:val="93"/>
              </w:numPr>
              <w:pBdr>
                <w:top w:val="nil"/>
                <w:left w:val="nil"/>
                <w:bottom w:val="nil"/>
                <w:right w:val="nil"/>
                <w:between w:val="nil"/>
              </w:pBdr>
              <w:ind w:left="616"/>
              <w:rPr>
                <w:rFonts w:eastAsia="Arial" w:cs="Arial"/>
                <w:szCs w:val="24"/>
              </w:rPr>
            </w:pPr>
            <w:r w:rsidRPr="00C56492">
              <w:rPr>
                <w:rFonts w:eastAsia="Arial" w:cs="Arial"/>
                <w:szCs w:val="24"/>
              </w:rPr>
              <w:t>January – April 2029</w:t>
            </w:r>
          </w:p>
          <w:p w14:paraId="06B2675A" w14:textId="21F57218" w:rsidR="007A79F8" w:rsidRPr="00C56492" w:rsidRDefault="007A79F8" w:rsidP="00C56492">
            <w:pPr>
              <w:pStyle w:val="ListParagraph"/>
              <w:numPr>
                <w:ilvl w:val="0"/>
                <w:numId w:val="93"/>
              </w:numPr>
              <w:pBdr>
                <w:top w:val="nil"/>
                <w:left w:val="nil"/>
                <w:bottom w:val="nil"/>
                <w:right w:val="nil"/>
                <w:between w:val="nil"/>
              </w:pBdr>
              <w:ind w:left="616"/>
              <w:rPr>
                <w:rFonts w:eastAsia="Arial" w:cs="Arial"/>
                <w:szCs w:val="24"/>
              </w:rPr>
            </w:pPr>
            <w:r w:rsidRPr="00C56492">
              <w:rPr>
                <w:rFonts w:eastAsia="Arial" w:cs="Arial"/>
                <w:szCs w:val="24"/>
              </w:rPr>
              <w:t>January – April 2030</w:t>
            </w:r>
          </w:p>
          <w:p w14:paraId="296A1E7D" w14:textId="66E1D861" w:rsidR="007A79F8" w:rsidRPr="00C56492" w:rsidRDefault="00C4683C" w:rsidP="00C56492">
            <w:pPr>
              <w:pStyle w:val="ListParagraph"/>
              <w:numPr>
                <w:ilvl w:val="0"/>
                <w:numId w:val="93"/>
              </w:numPr>
              <w:pBdr>
                <w:top w:val="nil"/>
                <w:left w:val="nil"/>
                <w:bottom w:val="nil"/>
                <w:right w:val="nil"/>
                <w:between w:val="nil"/>
              </w:pBdr>
              <w:ind w:left="616"/>
              <w:rPr>
                <w:rFonts w:eastAsia="Arial" w:cs="Arial"/>
                <w:szCs w:val="24"/>
              </w:rPr>
            </w:pPr>
            <w:r w:rsidRPr="00C56492">
              <w:rPr>
                <w:rFonts w:eastAsia="Arial" w:cs="Arial"/>
                <w:szCs w:val="24"/>
              </w:rPr>
              <w:t>January</w:t>
            </w:r>
            <w:r w:rsidR="007A79F8" w:rsidRPr="00C56492">
              <w:rPr>
                <w:rFonts w:eastAsia="Arial" w:cs="Arial"/>
                <w:szCs w:val="24"/>
              </w:rPr>
              <w:t xml:space="preserve"> – April 2031</w:t>
            </w:r>
          </w:p>
        </w:tc>
      </w:tr>
    </w:tbl>
    <w:p w14:paraId="3C913916" w14:textId="77777777" w:rsidR="007A79F8" w:rsidRDefault="007A79F8" w:rsidP="00AD5016">
      <w:pPr>
        <w:spacing w:before="120"/>
        <w:ind w:left="720"/>
        <w:rPr>
          <w:rFonts w:eastAsia="Arial" w:cs="Arial"/>
          <w:szCs w:val="24"/>
        </w:rPr>
      </w:pPr>
    </w:p>
    <w:p w14:paraId="394AFEBB" w14:textId="77777777" w:rsidR="00C64BC7" w:rsidRDefault="00C64BC7">
      <w:pPr>
        <w:rPr>
          <w:rFonts w:eastAsia="Times New Roman" w:cs="Arial"/>
          <w:sz w:val="16"/>
          <w:szCs w:val="16"/>
        </w:rPr>
      </w:pPr>
      <w:r>
        <w:rPr>
          <w:rFonts w:eastAsia="Times New Roman" w:cs="Arial"/>
          <w:sz w:val="16"/>
          <w:szCs w:val="16"/>
        </w:rPr>
        <w:br w:type="page"/>
      </w:r>
    </w:p>
    <w:p w14:paraId="2E43DABC" w14:textId="19A7112F" w:rsidR="00385D7F" w:rsidRPr="00385D7F" w:rsidRDefault="00385D7F" w:rsidP="00385D7F">
      <w:pPr>
        <w:pBdr>
          <w:bottom w:val="single" w:sz="6" w:space="1" w:color="auto"/>
        </w:pBdr>
        <w:jc w:val="center"/>
        <w:rPr>
          <w:rFonts w:eastAsia="Times New Roman" w:cs="Arial"/>
          <w:vanish/>
          <w:sz w:val="16"/>
          <w:szCs w:val="16"/>
        </w:rPr>
      </w:pPr>
      <w:r w:rsidRPr="00385D7F">
        <w:rPr>
          <w:rFonts w:eastAsia="Times New Roman" w:cs="Arial"/>
          <w:vanish/>
          <w:sz w:val="16"/>
          <w:szCs w:val="16"/>
        </w:rPr>
        <w:lastRenderedPageBreak/>
        <w:t>Top of Form</w:t>
      </w:r>
    </w:p>
    <w:p w14:paraId="4B499578" w14:textId="1C1B77CB" w:rsidR="00EA393C" w:rsidRPr="00152C31" w:rsidRDefault="00EA393C" w:rsidP="003E4C84">
      <w:pPr>
        <w:pStyle w:val="Heading3"/>
      </w:pPr>
      <w:r>
        <w:t>T</w:t>
      </w:r>
      <w:r w:rsidRPr="00152C31">
        <w:t xml:space="preserve">ASK </w:t>
      </w:r>
      <w:r w:rsidR="00FB05B2">
        <w:t>5</w:t>
      </w:r>
      <w:r w:rsidRPr="00EA73E8">
        <w:t xml:space="preserve"> –</w:t>
      </w:r>
      <w:r w:rsidRPr="00901403">
        <w:t xml:space="preserve"> </w:t>
      </w:r>
      <w:r w:rsidRPr="002D4DF4">
        <w:t xml:space="preserve">DEVELOP AND DISTRIBUTE A SET OF FORMATIVE EVALUATION TOOLS </w:t>
      </w:r>
    </w:p>
    <w:p w14:paraId="60F80737" w14:textId="76DB1E80" w:rsidR="00EA393C" w:rsidRDefault="00EA393C" w:rsidP="00EA393C">
      <w:pPr>
        <w:spacing w:after="240"/>
        <w:rPr>
          <w:rFonts w:cs="Arial"/>
          <w:szCs w:val="24"/>
        </w:rPr>
      </w:pPr>
      <w:r w:rsidRPr="00DA4EC0">
        <w:rPr>
          <w:rFonts w:cs="Arial"/>
          <w:szCs w:val="24"/>
        </w:rPr>
        <w:t xml:space="preserve">This section of the Technical Proposal must acknowledge the bidder’s commitment to completing all the requirements specified below in Task </w:t>
      </w:r>
      <w:r w:rsidR="00066832">
        <w:rPr>
          <w:rFonts w:cs="Arial"/>
          <w:szCs w:val="24"/>
        </w:rPr>
        <w:t>5</w:t>
      </w:r>
      <w:r w:rsidR="00066832" w:rsidRPr="00DA4EC0">
        <w:rPr>
          <w:rFonts w:cs="Arial"/>
          <w:szCs w:val="24"/>
        </w:rPr>
        <w:t xml:space="preserve"> </w:t>
      </w:r>
      <w:r w:rsidRPr="00DA4EC0">
        <w:rPr>
          <w:rFonts w:cs="Arial"/>
          <w:szCs w:val="24"/>
        </w:rPr>
        <w:t xml:space="preserve">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w:t>
      </w:r>
      <w:r w:rsidR="00066832">
        <w:rPr>
          <w:rFonts w:cs="Arial"/>
          <w:szCs w:val="24"/>
        </w:rPr>
        <w:t>5</w:t>
      </w:r>
      <w:r w:rsidRPr="00DA4EC0">
        <w:rPr>
          <w:rFonts w:cs="Arial"/>
          <w:szCs w:val="24"/>
        </w:rPr>
        <w:t>.</w:t>
      </w:r>
    </w:p>
    <w:p w14:paraId="2639B507" w14:textId="0A0CCFF2" w:rsidR="00EA393C" w:rsidRPr="009F4837" w:rsidRDefault="00EA393C" w:rsidP="00EA393C">
      <w:pPr>
        <w:spacing w:after="240"/>
      </w:pPr>
      <w:r w:rsidRPr="009F4837">
        <w:t>The successful bidder must adhere to the CDE Approval Schedule Requirements as stated in Task 1.</w:t>
      </w:r>
      <w:r w:rsidR="00305C9B" w:rsidRPr="009F4837">
        <w:t>5</w:t>
      </w:r>
      <w:r w:rsidRPr="009F4837">
        <w:t xml:space="preserve"> – </w:t>
      </w:r>
      <w:r w:rsidRPr="009F4837">
        <w:rPr>
          <w:snapToGrid w:val="0"/>
        </w:rPr>
        <w:t xml:space="preserve">CDE Approval Schedule Requirements </w:t>
      </w:r>
      <w:r w:rsidRPr="009F4837">
        <w:t>for generating and delivering required reports/deliverables.</w:t>
      </w:r>
    </w:p>
    <w:p w14:paraId="6C032BB9" w14:textId="102251D0" w:rsidR="009F4837" w:rsidRPr="00EF0BF3" w:rsidRDefault="009F4837" w:rsidP="009F4837">
      <w:pPr>
        <w:spacing w:after="240"/>
      </w:pPr>
      <w:r w:rsidRPr="005C528E">
        <w:rPr>
          <w:rFonts w:cs="Arial"/>
          <w:color w:val="000000"/>
          <w:szCs w:val="24"/>
        </w:rPr>
        <w:t xml:space="preserve">The bidder’s proposal must include the following information to address Task </w:t>
      </w:r>
      <w:r>
        <w:rPr>
          <w:rFonts w:cs="Arial"/>
          <w:color w:val="000000"/>
          <w:szCs w:val="24"/>
        </w:rPr>
        <w:t>5</w:t>
      </w:r>
      <w:r w:rsidRPr="005C528E">
        <w:rPr>
          <w:rFonts w:cs="Arial"/>
          <w:color w:val="000000"/>
          <w:szCs w:val="24"/>
        </w:rPr>
        <w:t xml:space="preserve"> activities which include the following subtasks. The Task </w:t>
      </w:r>
      <w:r>
        <w:rPr>
          <w:rFonts w:cs="Arial"/>
          <w:color w:val="000000"/>
          <w:szCs w:val="24"/>
        </w:rPr>
        <w:t>5</w:t>
      </w:r>
      <w:r w:rsidRPr="005C528E">
        <w:rPr>
          <w:rFonts w:cs="Arial"/>
          <w:color w:val="000000"/>
          <w:szCs w:val="24"/>
        </w:rPr>
        <w:t xml:space="preserve"> activities include, but are not limited to, the following subtasks.</w:t>
      </w:r>
    </w:p>
    <w:p w14:paraId="6F4F1550" w14:textId="569CABA9" w:rsidR="009F4837" w:rsidRDefault="009F4837" w:rsidP="001B373C">
      <w:pPr>
        <w:pStyle w:val="Heading4"/>
      </w:pPr>
      <w:r>
        <w:t>5.1 Develop Formative Evaluation Tools</w:t>
      </w:r>
    </w:p>
    <w:p w14:paraId="1CAF3318" w14:textId="79F8C0B9" w:rsidR="00436849" w:rsidRDefault="00EA393C" w:rsidP="00436849">
      <w:pPr>
        <w:spacing w:after="240"/>
      </w:pPr>
      <w:r w:rsidRPr="009F4837">
        <w:t xml:space="preserve">The </w:t>
      </w:r>
      <w:r w:rsidR="00066832">
        <w:t xml:space="preserve">Technical Proposal must describe in detail </w:t>
      </w:r>
      <w:r w:rsidR="00436849">
        <w:t xml:space="preserve">how the successful bidder will develop </w:t>
      </w:r>
      <w:r w:rsidRPr="009F4837">
        <w:t>strategies for document/artifact collection</w:t>
      </w:r>
      <w:r w:rsidR="00402495" w:rsidRPr="009F4837">
        <w:t xml:space="preserve"> (as identified in the Implementation Grant Request for Applications</w:t>
      </w:r>
      <w:r w:rsidR="00135044">
        <w:t>,</w:t>
      </w:r>
      <w:r w:rsidR="00135044" w:rsidRPr="00135044">
        <w:t xml:space="preserve"> </w:t>
      </w:r>
      <w:hyperlink r:id="rId35" w:tooltip="Implementation Grant Request for Applications" w:history="1">
        <w:r w:rsidR="00135044" w:rsidRPr="002334F1">
          <w:rPr>
            <w:rStyle w:val="Hyperlink"/>
          </w:rPr>
          <w:t>https://www.cde.ca.gov/fg/fo/r17/ccsppig22rfa.asp</w:t>
        </w:r>
      </w:hyperlink>
      <w:r w:rsidR="00402495" w:rsidRPr="009F4837">
        <w:t>)</w:t>
      </w:r>
      <w:r w:rsidRPr="009F4837">
        <w:t>, curation and analysis that can be replicated by COEs, LEAs</w:t>
      </w:r>
      <w:r w:rsidR="00CF08CB">
        <w:t>,</w:t>
      </w:r>
      <w:r w:rsidRPr="009F4837">
        <w:t xml:space="preserve"> and school sites. </w:t>
      </w:r>
      <w:bookmarkStart w:id="24" w:name="_Hlk132128299"/>
      <w:r w:rsidR="00135044">
        <w:t xml:space="preserve">Grantee applicants are required to provide </w:t>
      </w:r>
      <w:r w:rsidR="00CF08CB">
        <w:t xml:space="preserve">these </w:t>
      </w:r>
      <w:r w:rsidR="00135044">
        <w:t>documents (Implementation Plan, evidence of Needs/Asset mapping, evidence of alignment to the Framework, and evidence of a Shared Decision-Making Council) in their application</w:t>
      </w:r>
      <w:r w:rsidR="00436849">
        <w:t xml:space="preserve">, </w:t>
      </w:r>
      <w:r w:rsidR="00436849" w:rsidRPr="00C64BC7">
        <w:t>CDE will make the applications available to the successful bidder</w:t>
      </w:r>
      <w:r w:rsidR="00135044" w:rsidRPr="00C64BC7">
        <w:t>.</w:t>
      </w:r>
    </w:p>
    <w:p w14:paraId="493093AD" w14:textId="338C08A2" w:rsidR="00436849" w:rsidRDefault="00066832" w:rsidP="00436849">
      <w:pPr>
        <w:spacing w:after="240"/>
      </w:pPr>
      <w:r>
        <w:t xml:space="preserve">The Technical Proposal must describe in detail how the successful bidder will ensure that the </w:t>
      </w:r>
      <w:r w:rsidR="00135044">
        <w:t xml:space="preserve">data </w:t>
      </w:r>
      <w:r>
        <w:t>c</w:t>
      </w:r>
      <w:r w:rsidR="00EA393C" w:rsidRPr="009F4837">
        <w:t xml:space="preserve">ollection </w:t>
      </w:r>
      <w:r>
        <w:t>will</w:t>
      </w:r>
      <w:r w:rsidR="00EA393C" w:rsidRPr="009F4837">
        <w:t xml:space="preserve"> be designed to minimize burden on LEAs and schools, leveraging the state’s </w:t>
      </w:r>
      <w:bookmarkEnd w:id="24"/>
      <w:r w:rsidR="00141F81">
        <w:t>publicly available data</w:t>
      </w:r>
      <w:r w:rsidR="00EA393C" w:rsidRPr="009F4837">
        <w:t xml:space="preserve">. </w:t>
      </w:r>
      <w:r w:rsidR="00135044">
        <w:t xml:space="preserve">The </w:t>
      </w:r>
      <w:r w:rsidR="00EA393C" w:rsidRPr="009F4837">
        <w:t xml:space="preserve">CDE collects and reports publicly on absenteeism, assessments, discipline, graduation rates, dropout rate and A-G completion, at the LEA and school site level, and this information will be available to the successful </w:t>
      </w:r>
      <w:r w:rsidR="00436849">
        <w:t>bidder</w:t>
      </w:r>
      <w:r w:rsidR="00EA393C" w:rsidRPr="009F4837">
        <w:t>. Youth well-being information can be collected to an extent through the California Health Kids Survey, which is widely but not universally used.</w:t>
      </w:r>
    </w:p>
    <w:p w14:paraId="0EE2A48A" w14:textId="04C9F9AD" w:rsidR="00EA393C" w:rsidRDefault="00EA393C" w:rsidP="00436849">
      <w:pPr>
        <w:spacing w:after="240"/>
      </w:pPr>
      <w:r w:rsidRPr="009F4837">
        <w:t xml:space="preserve">The </w:t>
      </w:r>
      <w:r w:rsidR="00066832">
        <w:t xml:space="preserve">Technical Proposal must describe in detail </w:t>
      </w:r>
      <w:r w:rsidR="00436849">
        <w:t xml:space="preserve">how </w:t>
      </w:r>
      <w:r w:rsidR="00066832">
        <w:t>the successful bidder</w:t>
      </w:r>
      <w:r w:rsidR="00436849">
        <w:t xml:space="preserve"> will </w:t>
      </w:r>
      <w:r w:rsidRPr="009F4837">
        <w:t>delineate how existing evaluation tools can be adapted and newly designed tools c</w:t>
      </w:r>
      <w:r w:rsidR="00A446C6" w:rsidRPr="009F4837">
        <w:t>an</w:t>
      </w:r>
      <w:r w:rsidRPr="009F4837">
        <w:t xml:space="preserve"> be implemented at the county, district</w:t>
      </w:r>
      <w:r w:rsidR="00CF08CB">
        <w:t>,</w:t>
      </w:r>
      <w:r w:rsidRPr="009F4837">
        <w:t xml:space="preserve"> and school site levels. The </w:t>
      </w:r>
      <w:r w:rsidR="00066832">
        <w:t>Technical Proposal must describe in detail how the successful bidder will ensure</w:t>
      </w:r>
      <w:r w:rsidR="002B1987">
        <w:t>, with CDE’s review and approval,</w:t>
      </w:r>
      <w:r w:rsidR="00066832">
        <w:t xml:space="preserve"> </w:t>
      </w:r>
      <w:r w:rsidRPr="009F4837">
        <w:t>how adapted and new instruments c</w:t>
      </w:r>
      <w:r w:rsidR="00A446C6" w:rsidRPr="009F4837">
        <w:t>an</w:t>
      </w:r>
      <w:r w:rsidRPr="009F4837">
        <w:t xml:space="preserve"> be used by counties, LEAs and school sites to ensure wall</w:t>
      </w:r>
      <w:r w:rsidR="00A446C6" w:rsidRPr="009F4837">
        <w:t>-</w:t>
      </w:r>
      <w:r w:rsidRPr="009F4837">
        <w:t>to</w:t>
      </w:r>
      <w:r w:rsidR="00A446C6" w:rsidRPr="009F4837">
        <w:t>-</w:t>
      </w:r>
      <w:r w:rsidRPr="009F4837">
        <w:t>wall formative evaluation processes aligned with the Capacity Building Strategies developed by the S-TAC</w:t>
      </w:r>
      <w:r w:rsidR="002B1987">
        <w:t xml:space="preserve">, </w:t>
      </w:r>
      <w:hyperlink r:id="rId36" w:tooltip="Capacity Building Strategies " w:history="1">
        <w:r w:rsidR="002B1987" w:rsidRPr="002334F1">
          <w:rPr>
            <w:rStyle w:val="Hyperlink"/>
          </w:rPr>
          <w:t>https://drive.google.com/file/d/1Q93dwpo3QpuehVhaxmaJuKqjnHBxqRtm/view?usp=share_link</w:t>
        </w:r>
      </w:hyperlink>
      <w:r w:rsidRPr="009F4837">
        <w:t>.</w:t>
      </w:r>
    </w:p>
    <w:p w14:paraId="15D97600" w14:textId="3DDA820C" w:rsidR="009F4837" w:rsidRDefault="655A558C" w:rsidP="00436849">
      <w:pPr>
        <w:spacing w:after="240"/>
      </w:pPr>
      <w:r>
        <w:t>The Technical Proposal must describe in detail how the successful bidder will develop the formative evaluation tools by</w:t>
      </w:r>
      <w:r w:rsidR="17BA99CC">
        <w:t xml:space="preserve"> mid-February 2025</w:t>
      </w:r>
      <w:r>
        <w:t xml:space="preserve"> for CDE’s review and approval. The Technical Proposal must describe in detail how the successful bidder will finalize the final formative evaluation tools by </w:t>
      </w:r>
      <w:r w:rsidR="32E135F6">
        <w:t>mid-March 2025</w:t>
      </w:r>
      <w:r>
        <w:t>.</w:t>
      </w:r>
    </w:p>
    <w:p w14:paraId="2182D0D8" w14:textId="1FC27EE2" w:rsidR="009F4837" w:rsidRPr="009F4837" w:rsidRDefault="2678354B" w:rsidP="001B373C">
      <w:pPr>
        <w:pStyle w:val="Heading4"/>
      </w:pPr>
      <w:r>
        <w:lastRenderedPageBreak/>
        <w:t>5.2 Distribute Formative Evaluation Tools</w:t>
      </w:r>
    </w:p>
    <w:p w14:paraId="429E3765" w14:textId="6FA75DE9" w:rsidR="00134BC0" w:rsidRDefault="297C418E" w:rsidP="00066832">
      <w:pPr>
        <w:spacing w:after="240"/>
      </w:pPr>
      <w:r>
        <w:t xml:space="preserve">The Technical Proposal must describe in detail how the successful bidder will </w:t>
      </w:r>
      <w:r w:rsidR="1326E6C3">
        <w:t xml:space="preserve">collaborate with the S-TAC, R-TACS, and CDE to </w:t>
      </w:r>
      <w:r w:rsidR="662B9C61">
        <w:t>distribute the Formative Evaluation Tools</w:t>
      </w:r>
      <w:r w:rsidR="00132C2E">
        <w:t xml:space="preserve"> to the S-TACs, R-TACs, CDE, and CCSPP Grantees by </w:t>
      </w:r>
      <w:r w:rsidR="00132C2E" w:rsidRPr="001F07A7">
        <w:t xml:space="preserve">April 1, </w:t>
      </w:r>
      <w:r w:rsidR="00635358" w:rsidRPr="001F07A7">
        <w:t>2025</w:t>
      </w:r>
      <w:r w:rsidR="662B9C61">
        <w:t xml:space="preserve">.  </w:t>
      </w:r>
      <w:r w:rsidR="3D9891F0">
        <w:t xml:space="preserve">The Technical Proposal must describe in detail how the successful </w:t>
      </w:r>
      <w:r w:rsidR="662B9C61">
        <w:t>bidder will train and support the S-TAC and R-TACs</w:t>
      </w:r>
      <w:r w:rsidR="72E57A08">
        <w:t xml:space="preserve"> to</w:t>
      </w:r>
      <w:r w:rsidR="662B9C61">
        <w:t xml:space="preserve"> launch </w:t>
      </w:r>
      <w:r w:rsidR="72E57A08">
        <w:t>and</w:t>
      </w:r>
      <w:r w:rsidR="662B9C61">
        <w:t xml:space="preserve"> support grantees </w:t>
      </w:r>
      <w:r w:rsidR="72E57A08">
        <w:t>as they</w:t>
      </w:r>
      <w:r w:rsidR="662B9C61">
        <w:t xml:space="preserve"> navigate and use the tools. </w:t>
      </w:r>
      <w:r w:rsidR="4D8528B8">
        <w:t>The</w:t>
      </w:r>
      <w:r w:rsidR="00497098">
        <w:t xml:space="preserve"> </w:t>
      </w:r>
      <w:r w:rsidR="00B82BC4">
        <w:t>Technical Proposal must acknowledge and ensure that all</w:t>
      </w:r>
      <w:r w:rsidR="4D8528B8">
        <w:t xml:space="preserve"> tools will be</w:t>
      </w:r>
      <w:r w:rsidR="0B28DA04">
        <w:t xml:space="preserve"> released to the CDE and S-TAC in a web-ready format to be</w:t>
      </w:r>
      <w:r w:rsidR="4D8528B8">
        <w:t xml:space="preserve"> posted </w:t>
      </w:r>
      <w:r w:rsidR="00B82BC4">
        <w:t xml:space="preserve">on the internet </w:t>
      </w:r>
      <w:r w:rsidR="00497098">
        <w:t xml:space="preserve">by the </w:t>
      </w:r>
      <w:r w:rsidR="00B82BC4">
        <w:t>successful bidder as directed by the CDE</w:t>
      </w:r>
      <w:r w:rsidR="00F657EA">
        <w:t xml:space="preserve">, to </w:t>
      </w:r>
      <w:r w:rsidR="07FCAB5F">
        <w:t xml:space="preserve">the </w:t>
      </w:r>
      <w:r w:rsidR="00F657EA">
        <w:t xml:space="preserve">CDE’s </w:t>
      </w:r>
      <w:r w:rsidR="07FCAB5F">
        <w:t>California Educators Together CCSPP page</w:t>
      </w:r>
      <w:r w:rsidR="00132C2E">
        <w:t>.</w:t>
      </w:r>
    </w:p>
    <w:p w14:paraId="6D222408" w14:textId="7353CD7D" w:rsidR="00EA393C" w:rsidRDefault="3D9891F0" w:rsidP="007C1460">
      <w:pPr>
        <w:spacing w:after="240"/>
      </w:pPr>
      <w:r>
        <w:t>The Technical Proposal must describe in detail how the successful bidder will develop t</w:t>
      </w:r>
      <w:r w:rsidR="662B9C61">
        <w:t xml:space="preserve">ools </w:t>
      </w:r>
      <w:r w:rsidR="72E57A08">
        <w:t xml:space="preserve">in an </w:t>
      </w:r>
      <w:r w:rsidR="662B9C61">
        <w:t>online</w:t>
      </w:r>
      <w:r w:rsidR="72E57A08">
        <w:t xml:space="preserve"> format</w:t>
      </w:r>
      <w:r w:rsidR="662B9C61">
        <w:t xml:space="preserve"> </w:t>
      </w:r>
      <w:r>
        <w:t>to the CDE.</w:t>
      </w:r>
    </w:p>
    <w:p w14:paraId="32BF3D0A" w14:textId="77777777" w:rsidR="00EA393C" w:rsidRDefault="00EA393C" w:rsidP="00EA393C"/>
    <w:p w14:paraId="56EC014F" w14:textId="77777777" w:rsidR="00A97B34" w:rsidRPr="007C1460" w:rsidRDefault="00A97B34" w:rsidP="004F6398"/>
    <w:p w14:paraId="1C920186" w14:textId="77777777" w:rsidR="007C1460" w:rsidRDefault="007C1460">
      <w:r>
        <w:rPr>
          <w:b/>
          <w:bCs/>
          <w:iCs/>
        </w:rPr>
        <w:br w:type="page"/>
      </w:r>
    </w:p>
    <w:p w14:paraId="01219EAD" w14:textId="70703AF0" w:rsidR="00537458" w:rsidRDefault="00C426A0" w:rsidP="00DC35FD">
      <w:pPr>
        <w:pStyle w:val="Heading2"/>
      </w:pPr>
      <w:bookmarkStart w:id="25" w:name="_Toc152757064"/>
      <w:r>
        <w:lastRenderedPageBreak/>
        <w:t>8</w:t>
      </w:r>
      <w:r w:rsidR="00537458">
        <w:t xml:space="preserve">. </w:t>
      </w:r>
      <w:r w:rsidR="00537458" w:rsidRPr="007F3BBA">
        <w:t>BUDGET DETAIL AND PAYMENT PROVISIONS</w:t>
      </w:r>
      <w:bookmarkEnd w:id="25"/>
    </w:p>
    <w:p w14:paraId="01D0F398" w14:textId="63033395" w:rsidR="00537458" w:rsidRPr="00C83162" w:rsidRDefault="00C426A0" w:rsidP="003E4C84">
      <w:pPr>
        <w:pStyle w:val="Heading3"/>
        <w:rPr>
          <w:bCs/>
        </w:rPr>
      </w:pPr>
      <w:bookmarkStart w:id="26" w:name="_Toc500420521"/>
      <w:r>
        <w:t>8</w:t>
      </w:r>
      <w:r w:rsidR="00537458">
        <w:t>.1 Invoicing and Payment</w:t>
      </w:r>
      <w:bookmarkEnd w:id="26"/>
    </w:p>
    <w:p w14:paraId="481DD028" w14:textId="77777777" w:rsidR="00537458" w:rsidRPr="00C83162" w:rsidRDefault="00537458" w:rsidP="00537458">
      <w:pPr>
        <w:pStyle w:val="BodyTextIndent2"/>
        <w:spacing w:before="240" w:after="240"/>
        <w:ind w:left="0"/>
        <w:jc w:val="left"/>
        <w:rPr>
          <w:rFonts w:ascii="Arial" w:hAnsi="Arial" w:cs="Arial"/>
          <w:szCs w:val="24"/>
        </w:rPr>
      </w:pPr>
      <w:r w:rsidRPr="00C83162">
        <w:rPr>
          <w:rFonts w:ascii="Arial" w:hAnsi="Arial" w:cs="Arial"/>
          <w:szCs w:val="24"/>
        </w:rPr>
        <w:t>For services satisfactorily rendered, and upon receipt and approval of the invoices, the State agrees to compensate the Contractor for actual expenditures incurred in accordance with the rates specified herein, which is attached hereto and made a part of this agreement.</w:t>
      </w:r>
    </w:p>
    <w:p w14:paraId="3AC76DE0" w14:textId="6BE66323" w:rsidR="00537458" w:rsidRPr="00C83162" w:rsidRDefault="00537458" w:rsidP="00537458">
      <w:pPr>
        <w:spacing w:before="240" w:after="240"/>
        <w:rPr>
          <w:rFonts w:cs="Arial"/>
        </w:rPr>
      </w:pPr>
      <w:r w:rsidRPr="00C83162">
        <w:rPr>
          <w:rFonts w:cs="Arial"/>
        </w:rPr>
        <w:t>Payment of the invoice will not be made until the CDE accepts and approves the invoice</w:t>
      </w:r>
      <w:r w:rsidRPr="00771A39">
        <w:rPr>
          <w:rFonts w:cs="Arial"/>
        </w:rPr>
        <w:t xml:space="preserve">. </w:t>
      </w:r>
      <w:r w:rsidRPr="00C83162">
        <w:rPr>
          <w:rFonts w:cs="Arial"/>
        </w:rPr>
        <w:t>To be approved the invoice must include the level of detail described in the Budget</w:t>
      </w:r>
      <w:r>
        <w:rPr>
          <w:rFonts w:cs="Arial"/>
        </w:rPr>
        <w:t xml:space="preserve"> (Cost Proposal)</w:t>
      </w:r>
      <w:r w:rsidRPr="00C83162">
        <w:rPr>
          <w:rFonts w:cs="Arial"/>
        </w:rPr>
        <w:t xml:space="preserve"> for each task and for the fiscal year in which the expense was incurred. Further, the invoice must be easily comparable by CDE staff to the Budget contained herein. No line item invoiced may exceed the corresponding </w:t>
      </w:r>
      <w:proofErr w:type="gramStart"/>
      <w:r w:rsidRPr="00C83162">
        <w:rPr>
          <w:rFonts w:cs="Arial"/>
        </w:rPr>
        <w:t>line item</w:t>
      </w:r>
      <w:proofErr w:type="gramEnd"/>
      <w:r w:rsidRPr="00C83162">
        <w:rPr>
          <w:rFonts w:cs="Arial"/>
        </w:rPr>
        <w:t xml:space="preserve"> amount stated in the Budget</w:t>
      </w:r>
      <w:r>
        <w:rPr>
          <w:rFonts w:cs="Arial"/>
        </w:rPr>
        <w:t>.</w:t>
      </w:r>
    </w:p>
    <w:p w14:paraId="0FCF05B7" w14:textId="122B363C" w:rsidR="00537458" w:rsidRPr="00B51056" w:rsidRDefault="00537458" w:rsidP="00537458">
      <w:pPr>
        <w:spacing w:before="240" w:after="240"/>
        <w:rPr>
          <w:rFonts w:cs="Arial"/>
          <w:szCs w:val="24"/>
        </w:rPr>
      </w:pPr>
      <w:r w:rsidRPr="00B51056">
        <w:rPr>
          <w:rFonts w:cs="Arial"/>
          <w:szCs w:val="24"/>
        </w:rPr>
        <w:t xml:space="preserve">The </w:t>
      </w:r>
      <w:r w:rsidR="00B120B0">
        <w:rPr>
          <w:rFonts w:cs="Arial"/>
          <w:szCs w:val="24"/>
        </w:rPr>
        <w:t>C</w:t>
      </w:r>
      <w:r w:rsidRPr="00B51056">
        <w:rPr>
          <w:rFonts w:cs="Arial"/>
          <w:szCs w:val="24"/>
        </w:rPr>
        <w:t xml:space="preserve">ontractor must retain and update records and accounts </w:t>
      </w:r>
      <w:proofErr w:type="gramStart"/>
      <w:r w:rsidRPr="00B51056">
        <w:rPr>
          <w:rFonts w:cs="Arial"/>
          <w:szCs w:val="24"/>
        </w:rPr>
        <w:t>on a monthly basis</w:t>
      </w:r>
      <w:proofErr w:type="gramEnd"/>
      <w:r w:rsidRPr="00B51056">
        <w:rPr>
          <w:rFonts w:cs="Arial"/>
          <w:szCs w:val="24"/>
        </w:rPr>
        <w:t xml:space="preserve"> and must be able to prepare and submit statistical, narrative, and/or financial and program reports and summaries related to this contract as requested by </w:t>
      </w:r>
      <w:r>
        <w:rPr>
          <w:rFonts w:cs="Arial"/>
          <w:szCs w:val="24"/>
        </w:rPr>
        <w:t xml:space="preserve">the </w:t>
      </w:r>
      <w:r w:rsidRPr="00B51056">
        <w:rPr>
          <w:rFonts w:cs="Arial"/>
          <w:szCs w:val="24"/>
        </w:rPr>
        <w:t>CDE.</w:t>
      </w:r>
    </w:p>
    <w:p w14:paraId="141B0112" w14:textId="5CCACBC6" w:rsidR="00537458" w:rsidRDefault="00537458" w:rsidP="00537458">
      <w:pPr>
        <w:pStyle w:val="BodyTextIndent2"/>
        <w:spacing w:before="240" w:after="240"/>
        <w:ind w:left="0"/>
        <w:jc w:val="left"/>
        <w:rPr>
          <w:rFonts w:ascii="Arial" w:hAnsi="Arial" w:cs="Arial"/>
          <w:szCs w:val="24"/>
        </w:rPr>
      </w:pPr>
      <w:r w:rsidRPr="00B51056">
        <w:rPr>
          <w:rFonts w:ascii="Arial" w:hAnsi="Arial" w:cs="Arial"/>
          <w:szCs w:val="24"/>
        </w:rPr>
        <w:t xml:space="preserve">Invoices shall be itemized per </w:t>
      </w:r>
      <w:r>
        <w:rPr>
          <w:rFonts w:ascii="Arial" w:hAnsi="Arial" w:cs="Arial"/>
          <w:szCs w:val="24"/>
        </w:rPr>
        <w:t>the</w:t>
      </w:r>
      <w:r w:rsidRPr="00B51056">
        <w:rPr>
          <w:rFonts w:ascii="Arial" w:hAnsi="Arial" w:cs="Arial"/>
          <w:szCs w:val="24"/>
        </w:rPr>
        <w:t xml:space="preserve"> Cost Proposal and shall include the </w:t>
      </w:r>
      <w:r w:rsidRPr="001D2E4E">
        <w:rPr>
          <w:rFonts w:ascii="Arial" w:hAnsi="Arial" w:cs="Arial"/>
          <w:bCs/>
          <w:szCs w:val="24"/>
        </w:rPr>
        <w:t>Agreement Number</w:t>
      </w:r>
      <w:r w:rsidR="00EA483F">
        <w:rPr>
          <w:rFonts w:ascii="Arial" w:hAnsi="Arial" w:cs="Arial"/>
          <w:bCs/>
          <w:szCs w:val="24"/>
        </w:rPr>
        <w:t xml:space="preserve"> (CN240004)</w:t>
      </w:r>
      <w:r w:rsidRPr="00B51056">
        <w:rPr>
          <w:rFonts w:ascii="Arial" w:hAnsi="Arial" w:cs="Arial"/>
          <w:szCs w:val="24"/>
        </w:rPr>
        <w:t xml:space="preserve">, dates of services, number of hours by job position, other direct expenses as applicable </w:t>
      </w:r>
      <w:r>
        <w:rPr>
          <w:rFonts w:ascii="Arial" w:hAnsi="Arial" w:cs="Arial"/>
          <w:szCs w:val="24"/>
        </w:rPr>
        <w:t>from the Cost Proposal</w:t>
      </w:r>
      <w:r w:rsidRPr="00B51056">
        <w:rPr>
          <w:rFonts w:ascii="Arial" w:hAnsi="Arial" w:cs="Arial"/>
          <w:szCs w:val="24"/>
        </w:rPr>
        <w:t xml:space="preserve">, and shall be submitted in arrears, along with a progress </w:t>
      </w:r>
      <w:r w:rsidRPr="00A83658">
        <w:rPr>
          <w:rFonts w:ascii="Arial" w:hAnsi="Arial" w:cs="Arial"/>
          <w:szCs w:val="24"/>
        </w:rPr>
        <w:t>report (See Task 2.1, Monthly Written Progress Reports), not m</w:t>
      </w:r>
      <w:r w:rsidRPr="00B51056">
        <w:rPr>
          <w:rFonts w:ascii="Arial" w:hAnsi="Arial" w:cs="Arial"/>
          <w:szCs w:val="24"/>
        </w:rPr>
        <w:t>ore frequently than monthly in duplicate to:</w:t>
      </w:r>
    </w:p>
    <w:p w14:paraId="6B04BCDE" w14:textId="77777777" w:rsidR="00537458" w:rsidRPr="00882E84" w:rsidRDefault="00537458" w:rsidP="00537458">
      <w:pPr>
        <w:jc w:val="center"/>
      </w:pPr>
      <w:r w:rsidRPr="00882E84">
        <w:t>California Department of Education</w:t>
      </w:r>
    </w:p>
    <w:p w14:paraId="2FCE8CBB" w14:textId="29D1BEB2" w:rsidR="00537458" w:rsidRPr="00882E84" w:rsidRDefault="00EA393C" w:rsidP="00537458">
      <w:pPr>
        <w:jc w:val="center"/>
      </w:pPr>
      <w:r w:rsidRPr="00882E84">
        <w:t xml:space="preserve">Career and College Transition </w:t>
      </w:r>
      <w:r w:rsidR="00537458" w:rsidRPr="00882E84">
        <w:t>Division</w:t>
      </w:r>
    </w:p>
    <w:p w14:paraId="21F9B3FB" w14:textId="04BD0A28" w:rsidR="00537458" w:rsidRPr="00882E84" w:rsidRDefault="00537458" w:rsidP="00537458">
      <w:pPr>
        <w:jc w:val="center"/>
      </w:pPr>
      <w:r w:rsidRPr="00882E84">
        <w:t xml:space="preserve">1430 N Street, Suite </w:t>
      </w:r>
      <w:r w:rsidR="00EA393C" w:rsidRPr="00882E84">
        <w:t>4202</w:t>
      </w:r>
    </w:p>
    <w:p w14:paraId="037A7A0E" w14:textId="77777777" w:rsidR="00537458" w:rsidRPr="00882E84" w:rsidRDefault="00537458" w:rsidP="00537458">
      <w:pPr>
        <w:jc w:val="center"/>
      </w:pPr>
      <w:r w:rsidRPr="00882E84">
        <w:t>Sacramento, CA 95814</w:t>
      </w:r>
    </w:p>
    <w:p w14:paraId="0CA924B6" w14:textId="1FD52D81" w:rsidR="00537458" w:rsidRPr="00882E84" w:rsidRDefault="00537458" w:rsidP="00537458">
      <w:pPr>
        <w:jc w:val="center"/>
      </w:pPr>
      <w:r w:rsidRPr="00882E84">
        <w:t xml:space="preserve">Attention: </w:t>
      </w:r>
      <w:r w:rsidR="00EA393C" w:rsidRPr="00882E84">
        <w:t xml:space="preserve">Lisa </w:t>
      </w:r>
      <w:r w:rsidR="00CF08CB">
        <w:t>Clark-Devine</w:t>
      </w:r>
      <w:r w:rsidR="00CF08CB" w:rsidRPr="00882E84">
        <w:t xml:space="preserve"> </w:t>
      </w:r>
    </w:p>
    <w:p w14:paraId="5CD9CD02" w14:textId="03D7A05A" w:rsidR="001E7DBA" w:rsidRPr="00882E84" w:rsidRDefault="001E7DBA" w:rsidP="00537458">
      <w:pPr>
        <w:jc w:val="center"/>
      </w:pPr>
      <w:r w:rsidRPr="00882E84">
        <w:t xml:space="preserve">Email: </w:t>
      </w:r>
      <w:hyperlink r:id="rId37" w:history="1">
        <w:r w:rsidR="00882E84" w:rsidRPr="00A85433">
          <w:rPr>
            <w:rStyle w:val="Hyperlink"/>
          </w:rPr>
          <w:t>CCSPP@cde.ca.gov</w:t>
        </w:r>
      </w:hyperlink>
      <w:r w:rsidR="00882E84" w:rsidRPr="00882E84">
        <w:t xml:space="preserve"> </w:t>
      </w:r>
    </w:p>
    <w:p w14:paraId="4FF20161" w14:textId="77777777" w:rsidR="00537458" w:rsidRPr="00C83162" w:rsidRDefault="00537458" w:rsidP="00537458">
      <w:pPr>
        <w:pStyle w:val="BodyTextIndent2"/>
        <w:spacing w:before="240" w:after="240"/>
        <w:ind w:left="0"/>
        <w:jc w:val="left"/>
        <w:rPr>
          <w:rFonts w:ascii="Arial" w:hAnsi="Arial" w:cs="Arial"/>
          <w:szCs w:val="24"/>
        </w:rPr>
      </w:pPr>
      <w:r w:rsidRPr="00863501">
        <w:rPr>
          <w:rFonts w:ascii="Arial" w:hAnsi="Arial" w:cs="Arial"/>
          <w:szCs w:val="24"/>
        </w:rPr>
        <w:t xml:space="preserve">Any subcontracts entered into </w:t>
      </w:r>
      <w:proofErr w:type="gramStart"/>
      <w:r w:rsidRPr="00863501">
        <w:rPr>
          <w:rFonts w:ascii="Arial" w:hAnsi="Arial" w:cs="Arial"/>
          <w:szCs w:val="24"/>
        </w:rPr>
        <w:t>as a result of</w:t>
      </w:r>
      <w:proofErr w:type="gramEnd"/>
      <w:r w:rsidRPr="00863501">
        <w:rPr>
          <w:rFonts w:ascii="Arial" w:hAnsi="Arial" w:cs="Arial"/>
          <w:szCs w:val="24"/>
        </w:rPr>
        <w:t xml:space="preserve"> this Agreement shall </w:t>
      </w:r>
      <w:r>
        <w:rPr>
          <w:rFonts w:ascii="Arial" w:hAnsi="Arial" w:cs="Arial"/>
          <w:szCs w:val="24"/>
        </w:rPr>
        <w:t>meet</w:t>
      </w:r>
      <w:r w:rsidRPr="00863501">
        <w:rPr>
          <w:rFonts w:ascii="Arial" w:hAnsi="Arial" w:cs="Arial"/>
          <w:szCs w:val="24"/>
        </w:rPr>
        <w:t xml:space="preserve"> all of the provisions of this article.</w:t>
      </w:r>
    </w:p>
    <w:p w14:paraId="122BC6F9" w14:textId="56AC0172" w:rsidR="00537458" w:rsidRPr="00C83162" w:rsidRDefault="00C426A0" w:rsidP="003E4C84">
      <w:pPr>
        <w:pStyle w:val="Heading3"/>
      </w:pPr>
      <w:r>
        <w:t>8</w:t>
      </w:r>
      <w:r w:rsidR="00537458">
        <w:t>.2</w:t>
      </w:r>
      <w:r w:rsidR="00537458" w:rsidRPr="00C83162">
        <w:t xml:space="preserve"> Payment</w:t>
      </w:r>
    </w:p>
    <w:p w14:paraId="347D050A" w14:textId="77777777" w:rsidR="00537458" w:rsidRDefault="00537458" w:rsidP="00537458">
      <w:pPr>
        <w:pStyle w:val="BodyTextIndent3"/>
        <w:spacing w:before="240" w:after="240"/>
        <w:ind w:left="0" w:firstLine="0"/>
        <w:jc w:val="left"/>
        <w:rPr>
          <w:rFonts w:ascii="Arial" w:hAnsi="Arial" w:cs="Arial"/>
          <w:szCs w:val="24"/>
        </w:rPr>
      </w:pPr>
      <w:r w:rsidRPr="00C83162">
        <w:rPr>
          <w:rFonts w:ascii="Arial" w:hAnsi="Arial" w:cs="Arial"/>
          <w:szCs w:val="24"/>
        </w:rPr>
        <w:t xml:space="preserve">Payment will be made in accordance with, and within the time specified in, </w:t>
      </w:r>
      <w:r w:rsidRPr="00CB1BA1">
        <w:rPr>
          <w:rFonts w:ascii="Arial" w:hAnsi="Arial" w:cs="Arial"/>
          <w:i/>
          <w:szCs w:val="24"/>
        </w:rPr>
        <w:t>Government Code</w:t>
      </w:r>
      <w:r w:rsidRPr="00C83162">
        <w:rPr>
          <w:rFonts w:ascii="Arial" w:hAnsi="Arial" w:cs="Arial"/>
          <w:szCs w:val="24"/>
        </w:rPr>
        <w:t xml:space="preserve"> Chapter 4.5, commencing with Section 927.</w:t>
      </w:r>
    </w:p>
    <w:p w14:paraId="7015FB0A" w14:textId="37D67BE3" w:rsidR="00AA6376" w:rsidRPr="00826B11" w:rsidRDefault="00AA6376" w:rsidP="003E4C84">
      <w:pPr>
        <w:pStyle w:val="Heading3"/>
        <w:rPr>
          <w:rFonts w:cs="Arial"/>
          <w:bCs/>
          <w:szCs w:val="28"/>
        </w:rPr>
      </w:pPr>
      <w:bookmarkStart w:id="27" w:name="_Toc500420523"/>
      <w:r>
        <w:t xml:space="preserve">8.3 </w:t>
      </w:r>
      <w:r w:rsidRPr="007F05F9">
        <w:t>B</w:t>
      </w:r>
      <w:r>
        <w:t xml:space="preserve">udget </w:t>
      </w:r>
      <w:r w:rsidRPr="007F05F9">
        <w:t>C</w:t>
      </w:r>
      <w:r>
        <w:t xml:space="preserve">ontingency </w:t>
      </w:r>
      <w:r w:rsidRPr="007F05F9">
        <w:t>C</w:t>
      </w:r>
      <w:r>
        <w:t>lause</w:t>
      </w:r>
    </w:p>
    <w:p w14:paraId="164CAD0A" w14:textId="77777777" w:rsidR="00AA6376" w:rsidRDefault="00AA6376" w:rsidP="00AA6376">
      <w:pPr>
        <w:tabs>
          <w:tab w:val="left" w:pos="720"/>
        </w:tabs>
        <w:autoSpaceDE w:val="0"/>
        <w:autoSpaceDN w:val="0"/>
        <w:adjustRightInd w:val="0"/>
        <w:spacing w:before="240" w:after="240"/>
        <w:ind w:left="360" w:hanging="360"/>
        <w:rPr>
          <w:rFonts w:cs="Arial"/>
        </w:rPr>
      </w:pPr>
      <w:r w:rsidRPr="00C83162">
        <w:rPr>
          <w:rFonts w:cs="Arial"/>
        </w:rPr>
        <w:t xml:space="preserve">A. </w:t>
      </w:r>
      <w:r w:rsidRPr="00C83162">
        <w:rPr>
          <w:rFonts w:cs="Arial"/>
        </w:rPr>
        <w:tab/>
        <w:t>It is mutually understood between the parties that this Agreement may have been written before ascertaining the availability of congressional or legislative appropriation of funds, for the mutual benefit of both parties in order to avoid program and fiscal delays that would occur if the Agreement were executed after that determination was made.</w:t>
      </w:r>
    </w:p>
    <w:p w14:paraId="16971C98" w14:textId="77777777" w:rsidR="00AA6376" w:rsidRPr="00C83162" w:rsidRDefault="00AA6376" w:rsidP="00AA6376">
      <w:pPr>
        <w:tabs>
          <w:tab w:val="left" w:pos="720"/>
        </w:tabs>
        <w:autoSpaceDE w:val="0"/>
        <w:autoSpaceDN w:val="0"/>
        <w:adjustRightInd w:val="0"/>
        <w:spacing w:before="240" w:after="240"/>
        <w:ind w:left="360" w:hanging="360"/>
        <w:rPr>
          <w:rFonts w:cs="Arial"/>
        </w:rPr>
      </w:pPr>
      <w:r w:rsidRPr="00C83162">
        <w:rPr>
          <w:rFonts w:cs="Arial"/>
        </w:rPr>
        <w:t xml:space="preserve">B. This Agreement is valid and enforceable only if sufficient funds are made available to the State by the United States Government or the California State Legislature for the purpose of this </w:t>
      </w:r>
      <w:r w:rsidRPr="00C83162">
        <w:rPr>
          <w:rFonts w:cs="Arial"/>
        </w:rPr>
        <w:lastRenderedPageBreak/>
        <w:t>program. In addition, this Agreement is subject to any additional restrictions, limitations, conditions, or any statute enacted by the Congress or the State Legislature that may affect the provisions, terms or funding of this Agreement in any manner.</w:t>
      </w:r>
    </w:p>
    <w:p w14:paraId="3E30C364" w14:textId="77777777" w:rsidR="00AA6376" w:rsidRPr="00C83162" w:rsidRDefault="00AA6376" w:rsidP="00AA6376">
      <w:pPr>
        <w:tabs>
          <w:tab w:val="left" w:pos="720"/>
        </w:tabs>
        <w:autoSpaceDE w:val="0"/>
        <w:autoSpaceDN w:val="0"/>
        <w:adjustRightInd w:val="0"/>
        <w:spacing w:before="240" w:after="240"/>
        <w:ind w:left="360" w:hanging="360"/>
        <w:rPr>
          <w:rFonts w:cs="Arial"/>
        </w:rPr>
      </w:pPr>
      <w:r w:rsidRPr="00C83162">
        <w:rPr>
          <w:rFonts w:cs="Arial"/>
        </w:rPr>
        <w:t>C.</w:t>
      </w:r>
      <w:r w:rsidRPr="00C83162">
        <w:rPr>
          <w:rFonts w:cs="Arial"/>
        </w:rPr>
        <w:tab/>
        <w:t>It is mutually agreed that if the Congress or the State Legislature does not appropriate sufficient funds for the program, this Agreement shall be amended to reflect any reduction in funds.</w:t>
      </w:r>
    </w:p>
    <w:p w14:paraId="6FC4BACD" w14:textId="77777777" w:rsidR="00AA6376" w:rsidRPr="00C83162" w:rsidRDefault="00AA6376" w:rsidP="00AA6376">
      <w:pPr>
        <w:tabs>
          <w:tab w:val="left" w:pos="720"/>
        </w:tabs>
        <w:autoSpaceDE w:val="0"/>
        <w:autoSpaceDN w:val="0"/>
        <w:adjustRightInd w:val="0"/>
        <w:spacing w:before="240" w:after="240"/>
        <w:ind w:left="360" w:hanging="360"/>
        <w:rPr>
          <w:rFonts w:cs="Arial"/>
        </w:rPr>
      </w:pPr>
      <w:r w:rsidRPr="00C83162">
        <w:rPr>
          <w:rFonts w:cs="Arial"/>
        </w:rPr>
        <w:t>D.</w:t>
      </w:r>
      <w:r w:rsidRPr="00C83162">
        <w:rPr>
          <w:rFonts w:cs="Arial"/>
        </w:rPr>
        <w:tab/>
        <w:t xml:space="preserve">Pursuant to </w:t>
      </w:r>
      <w:r w:rsidRPr="00CB1BA1">
        <w:rPr>
          <w:rFonts w:cs="Arial"/>
          <w:i/>
        </w:rPr>
        <w:t>Government Code</w:t>
      </w:r>
      <w:r w:rsidRPr="00C83162">
        <w:rPr>
          <w:rFonts w:cs="Arial"/>
        </w:rPr>
        <w:t>, Section 927.13, no late payment penalty shall accrue during any time period for which there is no Budget Act in effect, nor on any payment or refund that is the result of a federally mandated program or that is directly dependent upon the receipt of federal funds by a state agency.</w:t>
      </w:r>
    </w:p>
    <w:p w14:paraId="693F44C1" w14:textId="77777777" w:rsidR="00AA6376" w:rsidRPr="00C83162" w:rsidRDefault="00AA6376" w:rsidP="00AA6376">
      <w:pPr>
        <w:tabs>
          <w:tab w:val="left" w:pos="720"/>
        </w:tabs>
        <w:autoSpaceDE w:val="0"/>
        <w:autoSpaceDN w:val="0"/>
        <w:adjustRightInd w:val="0"/>
        <w:spacing w:before="240" w:after="240"/>
        <w:ind w:left="360" w:hanging="360"/>
      </w:pPr>
      <w:r w:rsidRPr="00C83162">
        <w:t>E.</w:t>
      </w:r>
      <w:r w:rsidRPr="00C83162">
        <w:tab/>
        <w:t>CDE has the option to terminate the Agreement under the 30-day termination clause or to amend the Agreement to reflect any reduction in funds.</w:t>
      </w:r>
    </w:p>
    <w:p w14:paraId="3B372E85" w14:textId="3A5B91BA" w:rsidR="00537458" w:rsidRPr="00C83162" w:rsidRDefault="00C426A0" w:rsidP="003E4C84">
      <w:pPr>
        <w:pStyle w:val="Heading3"/>
      </w:pPr>
      <w:r>
        <w:t>8</w:t>
      </w:r>
      <w:r w:rsidR="00537458">
        <w:t>.</w:t>
      </w:r>
      <w:r w:rsidR="00AA6376">
        <w:t xml:space="preserve">4 </w:t>
      </w:r>
      <w:r w:rsidR="00537458" w:rsidRPr="007F05F9">
        <w:t>T</w:t>
      </w:r>
      <w:r w:rsidR="00537458">
        <w:t>ravel</w:t>
      </w:r>
      <w:bookmarkEnd w:id="27"/>
    </w:p>
    <w:p w14:paraId="4F006EA5" w14:textId="56F9F244" w:rsidR="00537458" w:rsidRDefault="00537458" w:rsidP="00537458">
      <w:pPr>
        <w:pStyle w:val="BodyTextIndent3"/>
        <w:widowControl/>
        <w:spacing w:before="240" w:after="240"/>
        <w:ind w:left="0" w:firstLine="0"/>
        <w:jc w:val="left"/>
        <w:rPr>
          <w:rFonts w:ascii="Arial" w:hAnsi="Arial" w:cs="Arial"/>
          <w:szCs w:val="24"/>
        </w:rPr>
      </w:pPr>
      <w:r w:rsidRPr="00C83162">
        <w:rPr>
          <w:rFonts w:ascii="Arial" w:hAnsi="Arial" w:cs="Arial"/>
          <w:szCs w:val="24"/>
        </w:rPr>
        <w:t>All travel costs shall be reimbursed at rates not to exceed those established for CDE’s</w:t>
      </w:r>
      <w:r>
        <w:rPr>
          <w:rFonts w:ascii="Arial" w:hAnsi="Arial" w:cs="Arial"/>
          <w:szCs w:val="24"/>
        </w:rPr>
        <w:t xml:space="preserve"> </w:t>
      </w:r>
      <w:r w:rsidRPr="00C83162">
        <w:rPr>
          <w:rFonts w:ascii="Arial" w:hAnsi="Arial" w:cs="Arial"/>
          <w:szCs w:val="24"/>
        </w:rPr>
        <w:t>non</w:t>
      </w:r>
      <w:r>
        <w:rPr>
          <w:rFonts w:ascii="Arial" w:hAnsi="Arial" w:cs="Arial"/>
          <w:szCs w:val="24"/>
        </w:rPr>
        <w:t>-</w:t>
      </w:r>
      <w:r w:rsidRPr="00C83162">
        <w:rPr>
          <w:rFonts w:ascii="Arial" w:hAnsi="Arial" w:cs="Arial"/>
          <w:szCs w:val="24"/>
        </w:rPr>
        <w:t>represented employees, computed in accordance with and allowable pursuant to applicable California Department of Human Resources regulations.</w:t>
      </w:r>
    </w:p>
    <w:p w14:paraId="415AA256" w14:textId="0383BA42" w:rsidR="008D60E8" w:rsidRPr="001C416E" w:rsidRDefault="00AA6376" w:rsidP="003E4C84">
      <w:pPr>
        <w:pStyle w:val="Heading3"/>
      </w:pPr>
      <w:r>
        <w:t>8</w:t>
      </w:r>
      <w:r w:rsidR="008D60E8">
        <w:t>.5</w:t>
      </w:r>
      <w:r w:rsidR="008D60E8" w:rsidRPr="001C416E">
        <w:tab/>
      </w:r>
      <w:r w:rsidR="008D60E8">
        <w:t xml:space="preserve"> </w:t>
      </w:r>
      <w:r w:rsidR="008D60E8" w:rsidRPr="001C416E">
        <w:t>Prior Approval of Out-of-State Travel</w:t>
      </w:r>
    </w:p>
    <w:p w14:paraId="4D129356" w14:textId="6017F864" w:rsidR="008D60E8" w:rsidRDefault="008D60E8" w:rsidP="008D60E8">
      <w:pPr>
        <w:spacing w:before="240" w:after="240"/>
        <w:rPr>
          <w:rFonts w:cs="Arial"/>
          <w:szCs w:val="24"/>
        </w:rPr>
      </w:pPr>
      <w:r w:rsidRPr="001C416E">
        <w:rPr>
          <w:rFonts w:cs="Arial"/>
          <w:szCs w:val="24"/>
        </w:rPr>
        <w:t xml:space="preserve">All out-of-state travel by the </w:t>
      </w:r>
      <w:r w:rsidR="00EE5ED2">
        <w:rPr>
          <w:rFonts w:cs="Arial"/>
          <w:szCs w:val="24"/>
        </w:rPr>
        <w:t>C</w:t>
      </w:r>
      <w:r w:rsidRPr="001C416E">
        <w:rPr>
          <w:rFonts w:cs="Arial"/>
          <w:szCs w:val="24"/>
        </w:rPr>
        <w:t xml:space="preserve">ontractor or subcontractor(s) for purposes of this contract is subject to prior written approval by the CDE </w:t>
      </w:r>
      <w:r w:rsidR="00EE5ED2">
        <w:rPr>
          <w:rFonts w:cs="Arial"/>
          <w:szCs w:val="24"/>
        </w:rPr>
        <w:t>contract</w:t>
      </w:r>
      <w:r w:rsidRPr="001C416E">
        <w:rPr>
          <w:rFonts w:cs="Arial"/>
          <w:szCs w:val="24"/>
        </w:rPr>
        <w:t xml:space="preserve"> monitor specified in this contract.</w:t>
      </w:r>
    </w:p>
    <w:p w14:paraId="37CEC5B3" w14:textId="6F8D20AF" w:rsidR="00537458" w:rsidRPr="00C83162" w:rsidRDefault="00C426A0" w:rsidP="003E4C84">
      <w:pPr>
        <w:pStyle w:val="Heading3"/>
        <w:rPr>
          <w:u w:val="single"/>
        </w:rPr>
      </w:pPr>
      <w:r>
        <w:t>8</w:t>
      </w:r>
      <w:r w:rsidR="00537458">
        <w:t>.</w:t>
      </w:r>
      <w:r w:rsidR="00AA6376">
        <w:t>6</w:t>
      </w:r>
      <w:r w:rsidR="00537458">
        <w:t xml:space="preserve"> </w:t>
      </w:r>
      <w:r w:rsidR="00537458" w:rsidRPr="007F05F9">
        <w:t>P</w:t>
      </w:r>
      <w:r w:rsidR="00537458">
        <w:t xml:space="preserve">ayment </w:t>
      </w:r>
      <w:r w:rsidR="00537458" w:rsidRPr="007F05F9">
        <w:t>W</w:t>
      </w:r>
      <w:r w:rsidR="00537458">
        <w:t>ithhold</w:t>
      </w:r>
      <w:r w:rsidR="00537458" w:rsidRPr="007F05F9">
        <w:t xml:space="preserve"> </w:t>
      </w:r>
      <w:r w:rsidR="00537458">
        <w:t>for</w:t>
      </w:r>
      <w:r w:rsidR="00537458" w:rsidRPr="007F05F9">
        <w:t xml:space="preserve"> S</w:t>
      </w:r>
      <w:r w:rsidR="00537458">
        <w:t>eparate and</w:t>
      </w:r>
      <w:r w:rsidR="00537458" w:rsidRPr="007F05F9">
        <w:t xml:space="preserve"> D</w:t>
      </w:r>
      <w:r w:rsidR="00537458">
        <w:t xml:space="preserve">istinct </w:t>
      </w:r>
      <w:r w:rsidR="00537458" w:rsidRPr="007F05F9">
        <w:t>T</w:t>
      </w:r>
      <w:r w:rsidR="00537458">
        <w:t>asks</w:t>
      </w:r>
    </w:p>
    <w:p w14:paraId="12833301" w14:textId="77777777" w:rsidR="00537458" w:rsidRPr="00C83162" w:rsidRDefault="00537458" w:rsidP="00537458">
      <w:pPr>
        <w:tabs>
          <w:tab w:val="left" w:pos="720"/>
        </w:tabs>
        <w:spacing w:before="240" w:after="240"/>
        <w:rPr>
          <w:rFonts w:cs="Arial"/>
          <w:color w:val="000000"/>
          <w:szCs w:val="28"/>
        </w:rPr>
      </w:pPr>
      <w:r w:rsidRPr="00C83162">
        <w:rPr>
          <w:rFonts w:cs="Arial"/>
          <w:iCs/>
          <w:szCs w:val="28"/>
        </w:rPr>
        <w:t>In accordance with Public Contract Code section 10346, the State shall withhold ten percent (10</w:t>
      </w:r>
      <w:r>
        <w:rPr>
          <w:rFonts w:cs="Arial"/>
          <w:iCs/>
          <w:szCs w:val="28"/>
        </w:rPr>
        <w:t xml:space="preserve"> percent</w:t>
      </w:r>
      <w:r w:rsidRPr="00C83162">
        <w:rPr>
          <w:rFonts w:cs="Arial"/>
          <w:iCs/>
          <w:szCs w:val="28"/>
        </w:rPr>
        <w:t xml:space="preserve">) of </w:t>
      </w:r>
      <w:r w:rsidRPr="00C83162">
        <w:rPr>
          <w:rFonts w:cs="Arial"/>
          <w:iCs/>
          <w:color w:val="000000"/>
          <w:szCs w:val="28"/>
        </w:rPr>
        <w:t>each progress</w:t>
      </w:r>
      <w:r w:rsidRPr="00C83162">
        <w:rPr>
          <w:rFonts w:cs="Arial"/>
          <w:iCs/>
          <w:color w:val="FF0000"/>
          <w:szCs w:val="28"/>
        </w:rPr>
        <w:t xml:space="preserve"> </w:t>
      </w:r>
      <w:r w:rsidRPr="00C83162">
        <w:rPr>
          <w:rFonts w:cs="Arial"/>
          <w:iCs/>
          <w:szCs w:val="28"/>
        </w:rPr>
        <w:t xml:space="preserve">payment for each separate and distinct Task. Funds withheld for </w:t>
      </w:r>
      <w:r w:rsidRPr="00C83162">
        <w:rPr>
          <w:rFonts w:cs="Arial"/>
          <w:iCs/>
          <w:color w:val="000000"/>
          <w:szCs w:val="28"/>
        </w:rPr>
        <w:t>each separate and distinct Task will be paid upon satisfactory completion of that Task, as determined by the State. A Task is deemed satisfactorily completed upon acceptance and written approval by the State for all deliverables or services for that Task, including submission of monthly progress reports. The progress reports shall include</w:t>
      </w:r>
      <w:r>
        <w:rPr>
          <w:rFonts w:cs="Arial"/>
          <w:iCs/>
          <w:color w:val="000000"/>
          <w:szCs w:val="28"/>
        </w:rPr>
        <w:t>,</w:t>
      </w:r>
      <w:r w:rsidRPr="00C83162">
        <w:rPr>
          <w:rFonts w:cs="Arial"/>
          <w:iCs/>
          <w:color w:val="000000"/>
          <w:szCs w:val="28"/>
        </w:rPr>
        <w:t xml:space="preserve"> at a minimum: Task number and title; deliverables or services performed; dates of performance and completion; and the results and progress of the project/work. Those a</w:t>
      </w:r>
      <w:r w:rsidRPr="00C83162">
        <w:rPr>
          <w:rFonts w:cs="Arial"/>
          <w:color w:val="000000"/>
          <w:szCs w:val="28"/>
        </w:rPr>
        <w:t>nnual activities that are completed and repeated in their entirety each year shall be considered separate and distinct tasks that are to be paid in full following satisfactory completio</w:t>
      </w:r>
      <w:r>
        <w:rPr>
          <w:rFonts w:cs="Arial"/>
          <w:color w:val="000000"/>
          <w:szCs w:val="28"/>
        </w:rPr>
        <w:t>n in each year of the contract.</w:t>
      </w:r>
    </w:p>
    <w:p w14:paraId="4E487212" w14:textId="547026A3" w:rsidR="00537458" w:rsidRDefault="00537458" w:rsidP="00537458">
      <w:pPr>
        <w:tabs>
          <w:tab w:val="left" w:pos="720"/>
        </w:tabs>
        <w:spacing w:before="240" w:after="240"/>
        <w:rPr>
          <w:rFonts w:cs="Arial"/>
          <w:color w:val="000000"/>
          <w:szCs w:val="28"/>
        </w:rPr>
      </w:pPr>
      <w:r w:rsidRPr="00C83162">
        <w:rPr>
          <w:rFonts w:cs="Arial"/>
          <w:color w:val="000000"/>
          <w:szCs w:val="28"/>
        </w:rPr>
        <w:t>Final Payment is not a progress payment and is not subject to the 10</w:t>
      </w:r>
      <w:r>
        <w:rPr>
          <w:rFonts w:cs="Arial"/>
          <w:color w:val="000000"/>
          <w:szCs w:val="28"/>
        </w:rPr>
        <w:t xml:space="preserve"> percent</w:t>
      </w:r>
      <w:r w:rsidRPr="00C83162">
        <w:rPr>
          <w:rFonts w:cs="Arial"/>
          <w:color w:val="000000"/>
          <w:szCs w:val="28"/>
        </w:rPr>
        <w:t xml:space="preserve"> withholding.</w:t>
      </w:r>
    </w:p>
    <w:p w14:paraId="4E68F2A6" w14:textId="7FC6802F" w:rsidR="00137D0D" w:rsidRDefault="00075567" w:rsidP="00537458">
      <w:pPr>
        <w:tabs>
          <w:tab w:val="left" w:pos="720"/>
        </w:tabs>
        <w:spacing w:before="240" w:after="240"/>
        <w:rPr>
          <w:rFonts w:cs="Arial"/>
          <w:color w:val="000000"/>
          <w:szCs w:val="28"/>
        </w:rPr>
      </w:pPr>
      <w:r>
        <w:rPr>
          <w:rFonts w:cs="Arial"/>
          <w:color w:val="000000"/>
          <w:szCs w:val="28"/>
        </w:rPr>
        <w:t>Final invoice will be submitted with the Contract/Contractor Evaluation (STD. 4) form by the CDE Contract Monitor. (See RFP Section 11.1 Contractor Evaluation)</w:t>
      </w:r>
      <w:r w:rsidR="00137D0D">
        <w:rPr>
          <w:rFonts w:cs="Arial"/>
          <w:color w:val="000000"/>
          <w:szCs w:val="28"/>
        </w:rPr>
        <w:br w:type="page"/>
      </w:r>
    </w:p>
    <w:p w14:paraId="2C1931B7" w14:textId="38457641" w:rsidR="00CA472D" w:rsidRPr="00F130CD" w:rsidRDefault="00CA472D" w:rsidP="003E4C84">
      <w:pPr>
        <w:pStyle w:val="Heading3"/>
      </w:pPr>
      <w:r>
        <w:rPr>
          <w:rFonts w:cs="Arial"/>
          <w:color w:val="000000"/>
          <w:szCs w:val="28"/>
        </w:rPr>
        <w:lastRenderedPageBreak/>
        <w:t xml:space="preserve">8.7 </w:t>
      </w:r>
      <w:r>
        <w:t>DVBE</w:t>
      </w:r>
      <w:r w:rsidRPr="00F130CD">
        <w:t xml:space="preserve"> Participation Withhold</w:t>
      </w:r>
    </w:p>
    <w:p w14:paraId="5D94FAF7" w14:textId="530A5DB5" w:rsidR="00CA472D" w:rsidRDefault="00CA472D" w:rsidP="00CA472D">
      <w:pPr>
        <w:pStyle w:val="ListParagraph"/>
        <w:spacing w:after="240"/>
        <w:ind w:left="0"/>
        <w:contextualSpacing w:val="0"/>
        <w:rPr>
          <w:rFonts w:cs="Arial"/>
        </w:rPr>
      </w:pPr>
      <w:bookmarkStart w:id="28" w:name="_Hlk90642265"/>
      <w:r w:rsidRPr="00C83162">
        <w:rPr>
          <w:rFonts w:cs="Arial"/>
        </w:rPr>
        <w:t xml:space="preserve">In accordance with the requirements set forth in the </w:t>
      </w:r>
      <w:r>
        <w:rPr>
          <w:rFonts w:cs="Arial"/>
        </w:rPr>
        <w:t>Military and Veterans</w:t>
      </w:r>
      <w:r w:rsidRPr="00C83162">
        <w:rPr>
          <w:rFonts w:cs="Arial"/>
        </w:rPr>
        <w:t xml:space="preserve"> Code</w:t>
      </w:r>
      <w:r>
        <w:rPr>
          <w:rFonts w:cs="Arial"/>
        </w:rPr>
        <w:t xml:space="preserve"> (MVC)</w:t>
      </w:r>
      <w:r w:rsidRPr="00C83162">
        <w:rPr>
          <w:rFonts w:cs="Arial"/>
        </w:rPr>
        <w:t xml:space="preserve">, Section </w:t>
      </w:r>
      <w:r>
        <w:rPr>
          <w:rFonts w:cs="Arial"/>
        </w:rPr>
        <w:t>999.7</w:t>
      </w:r>
      <w:r w:rsidRPr="00C83162">
        <w:rPr>
          <w:rFonts w:cs="Arial"/>
        </w:rPr>
        <w:t xml:space="preserve">, the State shall withhold from the </w:t>
      </w:r>
      <w:r>
        <w:rPr>
          <w:rFonts w:cs="Arial"/>
        </w:rPr>
        <w:t>final</w:t>
      </w:r>
      <w:r w:rsidRPr="00C83162">
        <w:rPr>
          <w:rFonts w:cs="Arial"/>
        </w:rPr>
        <w:t xml:space="preserve"> payment amount to the Contractor, </w:t>
      </w:r>
      <w:r>
        <w:rPr>
          <w:rFonts w:cs="Arial"/>
        </w:rPr>
        <w:t xml:space="preserve">$10,000.00, or the full final payment if less than $10,000.00, until the prime Contractor complies with the certification requirements of MVC 999.5(d) by submitting to the State a completed </w:t>
      </w:r>
      <w:r>
        <w:t xml:space="preserve">an accurate Prime Contractor’s Certification – DVBE Subcontracting Report (STD. 817) form and proof of payment to DVBE(s). </w:t>
      </w:r>
      <w:r w:rsidRPr="00C83162">
        <w:rPr>
          <w:rFonts w:cs="Arial"/>
        </w:rPr>
        <w:t xml:space="preserve">Such retained amount shall be held by the State and shall be released pending </w:t>
      </w:r>
      <w:r>
        <w:t>receipt of a complete and accurate STD. 817 and proof of payment to the DVBE(s).</w:t>
      </w:r>
      <w:r w:rsidRPr="00E46A34">
        <w:rPr>
          <w:rFonts w:cs="Arial"/>
          <w:szCs w:val="24"/>
        </w:rPr>
        <w:t xml:space="preserve"> </w:t>
      </w:r>
      <w:r>
        <w:rPr>
          <w:rFonts w:cs="Arial"/>
          <w:szCs w:val="24"/>
        </w:rPr>
        <w:t>If the S</w:t>
      </w:r>
      <w:r w:rsidR="002D2C28">
        <w:rPr>
          <w:rFonts w:cs="Arial"/>
          <w:szCs w:val="24"/>
        </w:rPr>
        <w:t>TD</w:t>
      </w:r>
      <w:r>
        <w:rPr>
          <w:rFonts w:cs="Arial"/>
          <w:szCs w:val="24"/>
        </w:rPr>
        <w:t xml:space="preserve">. 817 form is late or incomplete, the State will allow the Contractor to cure within 30 days to meet the certification requirements. If the Contractor does not comply by the given deadline, the withheld amount will be permanently deducted. </w:t>
      </w:r>
      <w:r w:rsidRPr="00C83162">
        <w:rPr>
          <w:rFonts w:cs="Arial"/>
        </w:rPr>
        <w:t xml:space="preserve">(See </w:t>
      </w:r>
      <w:r w:rsidR="002D2C28">
        <w:rPr>
          <w:rFonts w:cs="Arial"/>
        </w:rPr>
        <w:t>RFP Section 11.</w:t>
      </w:r>
      <w:r w:rsidR="00BC0510">
        <w:rPr>
          <w:rFonts w:cs="Arial"/>
        </w:rPr>
        <w:t xml:space="preserve">11 </w:t>
      </w:r>
      <w:r w:rsidRPr="002D2C28">
        <w:t>Contract Requirements Related to DVBE Participation Compliance</w:t>
      </w:r>
      <w:r w:rsidRPr="00C83162">
        <w:rPr>
          <w:rFonts w:cs="Arial"/>
        </w:rPr>
        <w:t>)</w:t>
      </w:r>
    </w:p>
    <w:bookmarkEnd w:id="28"/>
    <w:p w14:paraId="4C4D0C08" w14:textId="37838D3A" w:rsidR="00537458" w:rsidRPr="00B51056" w:rsidRDefault="00C426A0" w:rsidP="003E4C84">
      <w:pPr>
        <w:pStyle w:val="Heading3"/>
      </w:pPr>
      <w:r>
        <w:t>8</w:t>
      </w:r>
      <w:r w:rsidR="00537458">
        <w:t>.</w:t>
      </w:r>
      <w:r w:rsidR="00CA472D">
        <w:t xml:space="preserve">8 </w:t>
      </w:r>
      <w:r w:rsidR="00537458" w:rsidRPr="00B51056">
        <w:t>Excise Tax</w:t>
      </w:r>
    </w:p>
    <w:p w14:paraId="5135887D" w14:textId="7EA00108" w:rsidR="00AA6376" w:rsidRDefault="00537458" w:rsidP="007C1460">
      <w:pPr>
        <w:spacing w:before="240" w:after="240"/>
        <w:rPr>
          <w:rFonts w:eastAsia="Times New Roman" w:cs="Arial"/>
          <w:b/>
          <w:bCs/>
          <w:iCs/>
          <w:sz w:val="40"/>
          <w:szCs w:val="40"/>
        </w:rPr>
      </w:pPr>
      <w:r w:rsidRPr="00B51056">
        <w:rPr>
          <w:rFonts w:cs="Arial"/>
          <w:szCs w:val="24"/>
        </w:rPr>
        <w:t>The State of California is exempt from federal excise taxes, and no payment will be made for any taxes levied on employees’ wages. California may pay any applicable sales and use tax imposed by another state.</w:t>
      </w:r>
    </w:p>
    <w:p w14:paraId="536633BB" w14:textId="77777777" w:rsidR="00E45C40" w:rsidRDefault="00E45C40">
      <w:pPr>
        <w:rPr>
          <w:rFonts w:eastAsia="Times New Roman" w:cs="Arial"/>
          <w:b/>
          <w:bCs/>
          <w:iCs/>
          <w:sz w:val="40"/>
          <w:szCs w:val="40"/>
        </w:rPr>
      </w:pPr>
      <w:bookmarkStart w:id="29" w:name="_Toc152757065"/>
      <w:r>
        <w:br w:type="page"/>
      </w:r>
    </w:p>
    <w:p w14:paraId="4D156997" w14:textId="5B547DAD" w:rsidR="00537458" w:rsidRPr="00A000C1" w:rsidRDefault="00C426A0" w:rsidP="00DC35FD">
      <w:pPr>
        <w:pStyle w:val="Heading2"/>
      </w:pPr>
      <w:r>
        <w:lastRenderedPageBreak/>
        <w:t>9</w:t>
      </w:r>
      <w:r w:rsidR="00537458">
        <w:t>.</w:t>
      </w:r>
      <w:r w:rsidR="00537458" w:rsidRPr="00A000C1">
        <w:t xml:space="preserve"> GENERAL TERMS AND CONDITIONS</w:t>
      </w:r>
      <w:bookmarkEnd w:id="29"/>
    </w:p>
    <w:p w14:paraId="4980B1D4" w14:textId="01AD8035" w:rsidR="00537458" w:rsidRPr="003616B1" w:rsidRDefault="00537458" w:rsidP="00537458">
      <w:pPr>
        <w:tabs>
          <w:tab w:val="left" w:pos="0"/>
        </w:tabs>
        <w:spacing w:before="240" w:after="240"/>
        <w:rPr>
          <w:rFonts w:cs="Arial"/>
          <w:b/>
        </w:rPr>
      </w:pPr>
      <w:r>
        <w:t xml:space="preserve">The </w:t>
      </w:r>
      <w:r w:rsidRPr="007B4B86">
        <w:rPr>
          <w:rFonts w:cs="Arial"/>
          <w:bCs/>
          <w:szCs w:val="24"/>
        </w:rPr>
        <w:t xml:space="preserve">General Terms and Conditions, GTC </w:t>
      </w:r>
      <w:r>
        <w:rPr>
          <w:rFonts w:cs="Arial"/>
          <w:bCs/>
          <w:szCs w:val="24"/>
        </w:rPr>
        <w:t>04/2017</w:t>
      </w:r>
      <w:r w:rsidRPr="007B4B86">
        <w:rPr>
          <w:rFonts w:cs="Arial"/>
          <w:bCs/>
          <w:szCs w:val="24"/>
        </w:rPr>
        <w:t xml:space="preserve"> </w:t>
      </w:r>
      <w:r w:rsidRPr="007A62D7">
        <w:rPr>
          <w:rFonts w:cs="Arial"/>
          <w:bCs/>
          <w:szCs w:val="24"/>
        </w:rPr>
        <w:t>will be incorporated b</w:t>
      </w:r>
      <w:r>
        <w:rPr>
          <w:rFonts w:cs="Arial"/>
          <w:bCs/>
          <w:szCs w:val="24"/>
        </w:rPr>
        <w:t xml:space="preserve">y reference and made part of the contract and also found at </w:t>
      </w:r>
      <w:hyperlink r:id="rId38" w:tooltip="General Terms and Conditions" w:history="1">
        <w:r w:rsidRPr="008328D9">
          <w:rPr>
            <w:rStyle w:val="Hyperlink"/>
            <w:rFonts w:cs="Arial"/>
            <w:bCs/>
            <w:szCs w:val="24"/>
          </w:rPr>
          <w:t>https://www.dgs.ca.gov/OLS/Resources/Page-Content/Office-of-Legal-Services-Resources-List-Folder/Standard-Contract-Language</w:t>
        </w:r>
      </w:hyperlink>
    </w:p>
    <w:p w14:paraId="5EB1F87E" w14:textId="77777777" w:rsidR="00537458" w:rsidRDefault="00537458">
      <w:pPr>
        <w:rPr>
          <w:b/>
          <w:snapToGrid w:val="0"/>
          <w:sz w:val="36"/>
          <w:szCs w:val="36"/>
        </w:rPr>
      </w:pPr>
      <w:r>
        <w:br w:type="page"/>
      </w:r>
    </w:p>
    <w:p w14:paraId="7837E3A7" w14:textId="347F898F" w:rsidR="004564C9" w:rsidRDefault="004564C9" w:rsidP="00DC35FD">
      <w:pPr>
        <w:pStyle w:val="Heading2"/>
      </w:pPr>
      <w:bookmarkStart w:id="30" w:name="_Toc152757066"/>
      <w:r>
        <w:lastRenderedPageBreak/>
        <w:t>1</w:t>
      </w:r>
      <w:r w:rsidR="00C426A0">
        <w:t>0</w:t>
      </w:r>
      <w:r>
        <w:t>. SPECIAL TERMS AND CONDITIONS</w:t>
      </w:r>
      <w:bookmarkEnd w:id="30"/>
      <w:r>
        <w:t xml:space="preserve"> </w:t>
      </w:r>
    </w:p>
    <w:p w14:paraId="3D8AD2D0" w14:textId="25310A64" w:rsidR="002150FE" w:rsidRPr="00743AE7" w:rsidRDefault="00C16DB8" w:rsidP="003E4C84">
      <w:pPr>
        <w:pStyle w:val="Heading3"/>
      </w:pPr>
      <w:r w:rsidRPr="00743AE7">
        <w:t>1</w:t>
      </w:r>
      <w:r w:rsidR="00C426A0">
        <w:t>0</w:t>
      </w:r>
      <w:r w:rsidRPr="00743AE7">
        <w:t>.</w:t>
      </w:r>
      <w:r w:rsidR="00503146" w:rsidRPr="00743AE7">
        <w:t>1</w:t>
      </w:r>
      <w:r w:rsidRPr="00743AE7">
        <w:t xml:space="preserve"> Information</w:t>
      </w:r>
      <w:r w:rsidR="002150FE" w:rsidRPr="00743AE7">
        <w:t xml:space="preserve"> Technology Requirements </w:t>
      </w:r>
      <w:r w:rsidR="00C770BD" w:rsidRPr="00743AE7">
        <w:t>(4/10)</w:t>
      </w:r>
    </w:p>
    <w:p w14:paraId="3D8AD2D1" w14:textId="04CEB854" w:rsidR="00C770BD" w:rsidRPr="006D0715" w:rsidRDefault="00C770BD" w:rsidP="00152C31">
      <w:pPr>
        <w:spacing w:after="240"/>
      </w:pPr>
      <w:r w:rsidRPr="006D0715">
        <w:t xml:space="preserve">For contracts that require the Contractor to develop, modify or maintain any type of Web product (which includes but is not limited to a </w:t>
      </w:r>
      <w:r w:rsidR="00A0171A">
        <w:t>web page, w</w:t>
      </w:r>
      <w:r w:rsidRPr="006D0715">
        <w:t xml:space="preserve">eb document, </w:t>
      </w:r>
      <w:r w:rsidR="00A0171A">
        <w:t>w</w:t>
      </w:r>
      <w:r w:rsidRPr="006D0715">
        <w:t xml:space="preserve">ebsite, </w:t>
      </w:r>
      <w:r w:rsidR="00A0171A">
        <w:t>w</w:t>
      </w:r>
      <w:r w:rsidRPr="006D0715">
        <w:t xml:space="preserve">eb application, or other </w:t>
      </w:r>
      <w:r w:rsidR="00A0171A">
        <w:t>w</w:t>
      </w:r>
      <w:r w:rsidRPr="006D0715">
        <w:t>eb service</w:t>
      </w:r>
      <w:r w:rsidR="00A0171A">
        <w:t>), or contracts that include a w</w:t>
      </w:r>
      <w:r w:rsidRPr="006D0715">
        <w:t>eb product as a deliverable or result, Contractor hereby agrees to adhere to the following California Department of Education (CDE) standards:</w:t>
      </w:r>
    </w:p>
    <w:p w14:paraId="3D8AD2D2" w14:textId="3440DC70" w:rsidR="00C770BD" w:rsidRPr="002E265E" w:rsidRDefault="00A0171A" w:rsidP="00743AE7">
      <w:pPr>
        <w:pStyle w:val="ListParagraph"/>
        <w:numPr>
          <w:ilvl w:val="0"/>
          <w:numId w:val="8"/>
        </w:numPr>
        <w:spacing w:before="240" w:after="240"/>
        <w:ind w:left="360"/>
        <w:contextualSpacing w:val="0"/>
      </w:pPr>
      <w:r>
        <w:t>All w</w:t>
      </w:r>
      <w:r w:rsidR="00C770BD" w:rsidRPr="006D0715">
        <w:t>ebsite and application pages/documents that can be seen by users must be reviewed and approved as required by the CDE’s DEAM 3900 process. Contractor agrees to work through the CDE Contract Monitor for this agreement to ensure the DE</w:t>
      </w:r>
      <w:r w:rsidR="00AA27F1" w:rsidRPr="005420EF">
        <w:t>AM 3900 process is implemented.</w:t>
      </w:r>
    </w:p>
    <w:p w14:paraId="3D8AD2D3" w14:textId="04D89F9D" w:rsidR="00C770BD" w:rsidRPr="00743AE7" w:rsidRDefault="005F6B60" w:rsidP="00743AE7">
      <w:pPr>
        <w:pStyle w:val="ListParagraph"/>
        <w:numPr>
          <w:ilvl w:val="0"/>
          <w:numId w:val="8"/>
        </w:numPr>
        <w:tabs>
          <w:tab w:val="left" w:pos="1980"/>
        </w:tabs>
        <w:spacing w:before="240" w:after="240"/>
        <w:ind w:left="360"/>
        <w:contextualSpacing w:val="0"/>
      </w:pPr>
      <w:r>
        <w:t>W</w:t>
      </w:r>
      <w:r w:rsidR="00C770BD" w:rsidRPr="00743AE7">
        <w:t xml:space="preserve">ebsites and </w:t>
      </w:r>
      <w:r w:rsidR="00A0171A">
        <w:t>w</w:t>
      </w:r>
      <w:r w:rsidR="00C770BD" w:rsidRPr="00743AE7">
        <w:t>eb applications must adhere to the appropriate</w:t>
      </w:r>
      <w:r w:rsidR="007B4B86" w:rsidRPr="00743AE7">
        <w:t xml:space="preserve"> CDE </w:t>
      </w:r>
      <w:r w:rsidR="00A0171A">
        <w:t>w</w:t>
      </w:r>
      <w:r w:rsidR="007B4B86" w:rsidRPr="00743AE7">
        <w:t xml:space="preserve">eb </w:t>
      </w:r>
      <w:r w:rsidR="00A0171A">
        <w:t>s</w:t>
      </w:r>
      <w:r w:rsidR="007B4B86" w:rsidRPr="00743AE7">
        <w:t>tandards, found at</w:t>
      </w:r>
      <w:r w:rsidR="00C770BD" w:rsidRPr="00743AE7">
        <w:t xml:space="preserve"> </w:t>
      </w:r>
      <w:hyperlink r:id="rId39" w:tooltip="CDE Web Standards" w:history="1">
        <w:r w:rsidR="007B4B86" w:rsidRPr="00743AE7">
          <w:rPr>
            <w:rStyle w:val="Hyperlink"/>
            <w:rFonts w:cs="Arial"/>
            <w:szCs w:val="36"/>
          </w:rPr>
          <w:t>https://www.cde.ca.gov/re/di/ws/webstandards.asp</w:t>
        </w:r>
      </w:hyperlink>
      <w:r w:rsidR="00AA27F1" w:rsidRPr="00743AE7">
        <w:t>.</w:t>
      </w:r>
    </w:p>
    <w:p w14:paraId="3D8AD2D4" w14:textId="09821748" w:rsidR="00C770BD" w:rsidRPr="00743AE7" w:rsidRDefault="00C770BD" w:rsidP="00743AE7">
      <w:pPr>
        <w:pStyle w:val="ListParagraph"/>
        <w:numPr>
          <w:ilvl w:val="0"/>
          <w:numId w:val="8"/>
        </w:numPr>
        <w:spacing w:before="240" w:after="240"/>
        <w:ind w:left="360"/>
        <w:contextualSpacing w:val="0"/>
      </w:pPr>
      <w:r w:rsidRPr="00743AE7">
        <w:t xml:space="preserve">Contractor must provide the application and/or </w:t>
      </w:r>
      <w:r w:rsidR="00A0171A">
        <w:t>website</w:t>
      </w:r>
      <w:r w:rsidRPr="00743AE7">
        <w:t xml:space="preserve"> source code, collected data, and project documentation in a form to be specified by the CDE accordi</w:t>
      </w:r>
      <w:r w:rsidR="0042374C" w:rsidRPr="00743AE7">
        <w:t>ng to the following time frame:</w:t>
      </w:r>
    </w:p>
    <w:p w14:paraId="3D8AD2D5" w14:textId="47020DA3" w:rsidR="00C770BD" w:rsidRPr="00743AE7" w:rsidRDefault="00C770BD" w:rsidP="00743AE7">
      <w:pPr>
        <w:pStyle w:val="ListParagraph"/>
        <w:numPr>
          <w:ilvl w:val="1"/>
          <w:numId w:val="8"/>
        </w:numPr>
        <w:spacing w:before="240" w:after="240"/>
        <w:ind w:left="720"/>
        <w:contextualSpacing w:val="0"/>
      </w:pPr>
      <w:r w:rsidRPr="00743AE7">
        <w:t>For new sites/applications: Within 30 days of implementation. For multi-year agreements, material must also be provided annually on the contract date annivers</w:t>
      </w:r>
      <w:r w:rsidR="0042374C" w:rsidRPr="00743AE7">
        <w:t>ary during the contract period.</w:t>
      </w:r>
    </w:p>
    <w:p w14:paraId="3D8AD2D6" w14:textId="3C1374E8" w:rsidR="00C770BD" w:rsidRPr="00743AE7" w:rsidRDefault="00C770BD" w:rsidP="00743AE7">
      <w:pPr>
        <w:pStyle w:val="ListParagraph"/>
        <w:numPr>
          <w:ilvl w:val="1"/>
          <w:numId w:val="8"/>
        </w:numPr>
        <w:spacing w:before="240" w:after="240"/>
        <w:ind w:left="720"/>
        <w:contextualSpacing w:val="0"/>
      </w:pPr>
      <w:r w:rsidRPr="00743AE7">
        <w:t>For existing sites/applications: Within 90 days of the contract renewal or amendment execution. For multi-year agreements, material must also be provided annually on the contract date annivers</w:t>
      </w:r>
      <w:r w:rsidR="0042374C" w:rsidRPr="00743AE7">
        <w:t>ary during the contract period.</w:t>
      </w:r>
    </w:p>
    <w:p w14:paraId="3D8AD2D7" w14:textId="44FF8891" w:rsidR="00C770BD" w:rsidRPr="00743AE7" w:rsidRDefault="00C770BD" w:rsidP="00743AE7">
      <w:pPr>
        <w:pStyle w:val="ListParagraph"/>
        <w:numPr>
          <w:ilvl w:val="0"/>
          <w:numId w:val="8"/>
        </w:numPr>
        <w:spacing w:before="240" w:after="240"/>
        <w:ind w:left="360"/>
        <w:contextualSpacing w:val="0"/>
      </w:pPr>
      <w:r w:rsidRPr="00743AE7">
        <w:t xml:space="preserve">Contractor shall monitor the </w:t>
      </w:r>
      <w:r w:rsidR="00A0171A">
        <w:t>web</w:t>
      </w:r>
      <w:r w:rsidRPr="00743AE7">
        <w:t xml:space="preserve">site/application </w:t>
      </w:r>
      <w:proofErr w:type="gramStart"/>
      <w:r w:rsidRPr="00743AE7">
        <w:t>on a monthly basis</w:t>
      </w:r>
      <w:proofErr w:type="gramEnd"/>
      <w:r w:rsidRPr="00743AE7">
        <w:t xml:space="preserve"> (or more frequently if necessary) to identify an</w:t>
      </w:r>
      <w:r w:rsidR="0042374C" w:rsidRPr="00743AE7">
        <w:t>d correct the following issues:</w:t>
      </w:r>
    </w:p>
    <w:p w14:paraId="3D8AD2D8" w14:textId="37557919" w:rsidR="00C770BD" w:rsidRPr="00743AE7" w:rsidRDefault="0042374C" w:rsidP="00743AE7">
      <w:pPr>
        <w:pStyle w:val="ListParagraph"/>
        <w:numPr>
          <w:ilvl w:val="1"/>
          <w:numId w:val="8"/>
        </w:numPr>
        <w:spacing w:before="240" w:after="240"/>
        <w:ind w:left="720"/>
        <w:contextualSpacing w:val="0"/>
      </w:pPr>
      <w:r w:rsidRPr="00743AE7">
        <w:t>Broken links</w:t>
      </w:r>
    </w:p>
    <w:p w14:paraId="3D8AD2D9" w14:textId="651387B3" w:rsidR="00C770BD" w:rsidRPr="00743AE7" w:rsidRDefault="0042374C" w:rsidP="00743AE7">
      <w:pPr>
        <w:pStyle w:val="ListParagraph"/>
        <w:numPr>
          <w:ilvl w:val="1"/>
          <w:numId w:val="8"/>
        </w:numPr>
        <w:spacing w:before="240" w:after="240"/>
        <w:ind w:left="720"/>
        <w:contextualSpacing w:val="0"/>
      </w:pPr>
      <w:r w:rsidRPr="00743AE7">
        <w:t>Dated content</w:t>
      </w:r>
    </w:p>
    <w:p w14:paraId="3D8AD2DA" w14:textId="3949D324" w:rsidR="00C770BD" w:rsidRPr="00743AE7" w:rsidRDefault="0042374C" w:rsidP="00743AE7">
      <w:pPr>
        <w:pStyle w:val="ListParagraph"/>
        <w:numPr>
          <w:ilvl w:val="1"/>
          <w:numId w:val="8"/>
        </w:numPr>
        <w:spacing w:before="240" w:after="240"/>
        <w:ind w:left="720"/>
        <w:contextualSpacing w:val="0"/>
      </w:pPr>
      <w:r w:rsidRPr="00743AE7">
        <w:t>Usability issues</w:t>
      </w:r>
    </w:p>
    <w:p w14:paraId="3D8AD2DB" w14:textId="57A8A254" w:rsidR="00C770BD" w:rsidRPr="00743AE7" w:rsidRDefault="00C770BD" w:rsidP="00743AE7">
      <w:pPr>
        <w:pStyle w:val="ListParagraph"/>
        <w:numPr>
          <w:ilvl w:val="1"/>
          <w:numId w:val="8"/>
        </w:numPr>
        <w:spacing w:before="240" w:after="240"/>
        <w:ind w:left="720"/>
        <w:contextualSpacing w:val="0"/>
      </w:pPr>
      <w:r w:rsidRPr="00743AE7">
        <w:t>Circumstances where the contra</w:t>
      </w:r>
      <w:r w:rsidR="0042374C" w:rsidRPr="00743AE7">
        <w:t>ctual agreement is not followed</w:t>
      </w:r>
    </w:p>
    <w:p w14:paraId="3D8AD2DC" w14:textId="6CDE4D82" w:rsidR="00F62E0E" w:rsidRPr="00743AE7" w:rsidRDefault="00C770BD" w:rsidP="00743AE7">
      <w:pPr>
        <w:pStyle w:val="ListParagraph"/>
        <w:numPr>
          <w:ilvl w:val="0"/>
          <w:numId w:val="8"/>
        </w:numPr>
        <w:spacing w:before="240" w:after="240"/>
        <w:ind w:left="360"/>
        <w:contextualSpacing w:val="0"/>
      </w:pPr>
      <w:r w:rsidRPr="00743AE7">
        <w:t>Contractor agrees to not violate any proprietary rights or laws (i.e., privacy, confidentiality, copyright, commercial use, hate speech, pornography, software/media downloading, etc.). Also, the Contractor agrees to make all reasonable efforts to protect the copyright of CDE content and to obtain permission from the CDE Press to use any potentially copyrighted CDE material, or before allowing any other entity to p</w:t>
      </w:r>
      <w:r w:rsidR="0042374C" w:rsidRPr="00743AE7">
        <w:t>ublish copyrighted CDE content.</w:t>
      </w:r>
    </w:p>
    <w:p w14:paraId="3D8AD2DD" w14:textId="7B6863D4" w:rsidR="00C770BD" w:rsidRPr="00743AE7" w:rsidRDefault="00A0171A" w:rsidP="00743AE7">
      <w:pPr>
        <w:pStyle w:val="ListParagraph"/>
        <w:numPr>
          <w:ilvl w:val="0"/>
          <w:numId w:val="8"/>
        </w:numPr>
        <w:spacing w:before="240" w:after="240"/>
        <w:ind w:left="360"/>
        <w:contextualSpacing w:val="0"/>
      </w:pPr>
      <w:r>
        <w:t>Contractor agrees that any w</w:t>
      </w:r>
      <w:r w:rsidR="00C770BD" w:rsidRPr="00743AE7">
        <w:t xml:space="preserve">eb applications, </w:t>
      </w:r>
      <w:r>
        <w:t>web</w:t>
      </w:r>
      <w:r w:rsidR="00C770BD" w:rsidRPr="00743AE7">
        <w:t>sites, data or other files which may be needed to restore the system in the event of disaster are backed up redundantly, and that a detailed, tested plan</w:t>
      </w:r>
      <w:r w:rsidR="0042374C" w:rsidRPr="00743AE7">
        <w:t xml:space="preserve"> exists for such a restoration.</w:t>
      </w:r>
    </w:p>
    <w:p w14:paraId="3D8AD2DE" w14:textId="33998213" w:rsidR="00C770BD" w:rsidRPr="00743AE7" w:rsidRDefault="00C770BD" w:rsidP="00743AE7">
      <w:pPr>
        <w:pStyle w:val="ListParagraph"/>
        <w:numPr>
          <w:ilvl w:val="0"/>
          <w:numId w:val="8"/>
        </w:numPr>
        <w:spacing w:before="240" w:after="240"/>
        <w:ind w:left="360"/>
        <w:contextualSpacing w:val="0"/>
      </w:pPr>
      <w:r w:rsidRPr="00743AE7">
        <w:lastRenderedPageBreak/>
        <w:t xml:space="preserve">Contractor shall provide the CDE with </w:t>
      </w:r>
      <w:r w:rsidR="00A0171A">
        <w:t>web</w:t>
      </w:r>
      <w:r w:rsidRPr="00743AE7">
        <w:t xml:space="preserve">site usage reports </w:t>
      </w:r>
      <w:proofErr w:type="gramStart"/>
      <w:r w:rsidRPr="00743AE7">
        <w:t>on a monthly basis</w:t>
      </w:r>
      <w:proofErr w:type="gramEnd"/>
      <w:r w:rsidRPr="00743AE7">
        <w:t xml:space="preserve"> durin</w:t>
      </w:r>
      <w:r w:rsidR="00A0171A">
        <w:t>g the contract period for each w</w:t>
      </w:r>
      <w:r w:rsidRPr="00743AE7">
        <w:t>eb page, document or file which can be viewed by users. Additionally, Contractor shall provide an easy mechanism for users to provide feedback on the site/appli</w:t>
      </w:r>
      <w:r w:rsidR="0042374C" w:rsidRPr="00743AE7">
        <w:t>cation, such as a feedback form.</w:t>
      </w:r>
    </w:p>
    <w:p w14:paraId="3D8AD2DF" w14:textId="56A008D2" w:rsidR="002150FE" w:rsidRPr="00743AE7" w:rsidRDefault="002150FE" w:rsidP="003E4C84">
      <w:pPr>
        <w:pStyle w:val="Heading3"/>
      </w:pPr>
      <w:r w:rsidRPr="00743AE7">
        <w:t>1</w:t>
      </w:r>
      <w:r w:rsidR="00C426A0">
        <w:t>0</w:t>
      </w:r>
      <w:r w:rsidRPr="00743AE7">
        <w:t>.</w:t>
      </w:r>
      <w:r w:rsidR="00503146" w:rsidRPr="00743AE7">
        <w:t>2</w:t>
      </w:r>
      <w:r w:rsidR="000E76B3" w:rsidRPr="00743AE7">
        <w:t xml:space="preserve"> </w:t>
      </w:r>
      <w:r w:rsidRPr="00743AE7">
        <w:t xml:space="preserve">Data Management Requirements </w:t>
      </w:r>
      <w:r w:rsidR="00AB26E3" w:rsidRPr="00743AE7">
        <w:t>(</w:t>
      </w:r>
      <w:r w:rsidR="007A7AE3">
        <w:t>7/22</w:t>
      </w:r>
      <w:r w:rsidR="00AB26E3" w:rsidRPr="00743AE7">
        <w:t>)</w:t>
      </w:r>
    </w:p>
    <w:p w14:paraId="6C699DA9" w14:textId="086039AA" w:rsidR="007813DC" w:rsidRPr="00ED501F" w:rsidRDefault="007813DC" w:rsidP="00ED501F">
      <w:pPr>
        <w:pStyle w:val="ListParagraph"/>
        <w:numPr>
          <w:ilvl w:val="1"/>
          <w:numId w:val="55"/>
        </w:numPr>
        <w:ind w:left="360"/>
        <w:rPr>
          <w:rFonts w:cs="Arial"/>
          <w:u w:val="single"/>
        </w:rPr>
      </w:pPr>
      <w:r w:rsidRPr="007D30EE">
        <w:rPr>
          <w:rFonts w:cs="Arial"/>
        </w:rPr>
        <w:t>Definitions:</w:t>
      </w:r>
      <w:r w:rsidRPr="00ED501F">
        <w:rPr>
          <w:rFonts w:cs="Arial"/>
        </w:rPr>
        <w:t xml:space="preserve"> The following definitions apply for the purposes of this Agreement:</w:t>
      </w:r>
    </w:p>
    <w:p w14:paraId="2AD256AE" w14:textId="77777777" w:rsidR="007813DC" w:rsidRPr="007813DC" w:rsidRDefault="007813DC" w:rsidP="007813DC">
      <w:pPr>
        <w:pStyle w:val="Default"/>
        <w:ind w:left="360" w:hanging="360"/>
        <w:rPr>
          <w:rFonts w:ascii="Arial" w:hAnsi="Arial" w:cs="Arial"/>
        </w:rPr>
      </w:pPr>
    </w:p>
    <w:p w14:paraId="4EC888A4" w14:textId="7FF889C2" w:rsidR="007813DC" w:rsidRPr="007813DC" w:rsidRDefault="007813DC" w:rsidP="007813DC">
      <w:pPr>
        <w:spacing w:after="240"/>
        <w:ind w:left="360"/>
        <w:rPr>
          <w:rFonts w:cs="Arial"/>
          <w:lang w:val="en"/>
        </w:rPr>
      </w:pPr>
      <w:r w:rsidRPr="007813DC">
        <w:rPr>
          <w:rFonts w:cs="Arial"/>
        </w:rPr>
        <w:t xml:space="preserve">“Aggregated Data” means </w:t>
      </w:r>
      <w:r w:rsidRPr="007813DC">
        <w:rPr>
          <w:rFonts w:cs="Arial"/>
          <w:lang w:val="en"/>
        </w:rPr>
        <w:t>any data expressed in a summary form, for purposes such as statistical analysis to de-identify the Data and prevent unlawful or unauthorized disclosure of P</w:t>
      </w:r>
      <w:r w:rsidR="00EA483F">
        <w:rPr>
          <w:rFonts w:cs="Arial"/>
          <w:lang w:val="en"/>
        </w:rPr>
        <w:t xml:space="preserve">ersonally </w:t>
      </w:r>
      <w:r w:rsidRPr="007813DC">
        <w:rPr>
          <w:rFonts w:cs="Arial"/>
          <w:lang w:val="en"/>
        </w:rPr>
        <w:t>I</w:t>
      </w:r>
      <w:r w:rsidR="00EA483F">
        <w:rPr>
          <w:rFonts w:cs="Arial"/>
          <w:lang w:val="en"/>
        </w:rPr>
        <w:t xml:space="preserve">dentifiable </w:t>
      </w:r>
      <w:r w:rsidRPr="007813DC">
        <w:rPr>
          <w:rFonts w:cs="Arial"/>
          <w:lang w:val="en"/>
        </w:rPr>
        <w:t>I</w:t>
      </w:r>
      <w:r w:rsidR="00EA483F">
        <w:rPr>
          <w:rFonts w:cs="Arial"/>
          <w:lang w:val="en"/>
        </w:rPr>
        <w:t>nformation (PII)</w:t>
      </w:r>
      <w:r w:rsidRPr="007813DC">
        <w:rPr>
          <w:rFonts w:cs="Arial"/>
          <w:lang w:val="en"/>
        </w:rPr>
        <w:t xml:space="preserve"> and/or Student or Individual-Level Data.</w:t>
      </w:r>
    </w:p>
    <w:p w14:paraId="65510075" w14:textId="7643B342" w:rsidR="007813DC" w:rsidRPr="007813DC" w:rsidRDefault="007813DC" w:rsidP="007813DC">
      <w:pPr>
        <w:spacing w:after="240"/>
        <w:ind w:left="360"/>
        <w:rPr>
          <w:rFonts w:cs="Arial"/>
        </w:rPr>
      </w:pPr>
      <w:r w:rsidRPr="007813DC">
        <w:rPr>
          <w:rFonts w:cs="Arial"/>
        </w:rPr>
        <w:t>“Confidential Information” means Proprietary Information, PII, and Student or Individual-Level Data, as each are defined below.</w:t>
      </w:r>
    </w:p>
    <w:p w14:paraId="51B016FC" w14:textId="2DD15C58" w:rsidR="007813DC" w:rsidRPr="007813DC" w:rsidRDefault="007813DC" w:rsidP="007813DC">
      <w:pPr>
        <w:spacing w:after="240"/>
        <w:ind w:left="360"/>
        <w:rPr>
          <w:rFonts w:cs="Arial"/>
        </w:rPr>
      </w:pPr>
      <w:r w:rsidRPr="007813DC">
        <w:rPr>
          <w:rFonts w:cs="Arial"/>
        </w:rPr>
        <w:t>“Data” means any digital or hard copy records or information, whether Confidential or publicly available.</w:t>
      </w:r>
    </w:p>
    <w:p w14:paraId="6B6EA02E" w14:textId="34D79198" w:rsidR="007813DC" w:rsidRPr="007813DC" w:rsidRDefault="007813DC" w:rsidP="007813DC">
      <w:pPr>
        <w:spacing w:after="240"/>
        <w:ind w:left="360"/>
        <w:rPr>
          <w:rFonts w:cs="Arial"/>
        </w:rPr>
      </w:pPr>
      <w:r w:rsidRPr="007813DC">
        <w:rPr>
          <w:rFonts w:cs="Arial"/>
        </w:rPr>
        <w:t>“Personally Identifiable Information (PII)” means information about an individual, and includes but is not limited to information that, alone or in combination, is linked or linkable to a specific student or individual in a manner that would allow a reasonable person in the community, who does not have personal knowledge of the relevant circumstances, to identify the student or individual with reasonable certainty. PII includes, but is not limited to name, address, personal identifier (e.g., Social Security number, student number, biometric record), other indirect identifiers (e.g., date or place of birth, mother’s maiden name). “Biometric record” includes a fingerprint, retina or iris pattern, voiceprint, DNA sequence, handwriting sample, facial geometry or other biological or behavioral characteristic used to identify an individual.</w:t>
      </w:r>
    </w:p>
    <w:p w14:paraId="47DC1DC2" w14:textId="5B0A4A77" w:rsidR="007813DC" w:rsidRPr="007813DC" w:rsidRDefault="007813DC" w:rsidP="007813DC">
      <w:pPr>
        <w:spacing w:after="240"/>
        <w:ind w:left="360"/>
        <w:rPr>
          <w:rFonts w:cs="Arial"/>
          <w:u w:val="single"/>
        </w:rPr>
      </w:pPr>
      <w:r w:rsidRPr="007813DC">
        <w:rPr>
          <w:rFonts w:cs="Arial"/>
          <w:szCs w:val="16"/>
        </w:rPr>
        <w:t xml:space="preserve">“Preferred Variation” means the </w:t>
      </w:r>
      <w:proofErr w:type="gramStart"/>
      <w:r w:rsidRPr="007813DC">
        <w:rPr>
          <w:rFonts w:cs="Arial"/>
          <w:szCs w:val="16"/>
        </w:rPr>
        <w:t>particular variation</w:t>
      </w:r>
      <w:proofErr w:type="gramEnd"/>
      <w:r w:rsidRPr="007813DC">
        <w:rPr>
          <w:rFonts w:cs="Arial"/>
          <w:szCs w:val="16"/>
        </w:rPr>
        <w:t xml:space="preserve"> of the name, definition, and format for a Data element or code set that is used by CDE to maintain order and consistency in its Data. To date, hundreds of common Data elements have been specified by the CDE (contact the Data Management Division for the most recent published list of Preferred Variations).</w:t>
      </w:r>
    </w:p>
    <w:p w14:paraId="40C8AAEB" w14:textId="2D7B50BE" w:rsidR="007813DC" w:rsidRPr="007813DC" w:rsidRDefault="007813DC" w:rsidP="007813DC">
      <w:pPr>
        <w:spacing w:after="240"/>
        <w:ind w:left="360"/>
        <w:rPr>
          <w:rFonts w:cs="Arial"/>
        </w:rPr>
      </w:pPr>
      <w:r w:rsidRPr="007813DC">
        <w:rPr>
          <w:rFonts w:cs="Arial"/>
        </w:rPr>
        <w:t>“Proprietary Information” means information contained in materials marked “confidential,” trade secrets, know-how, data and other information, in tangible and intangible form possessed by a party and having value by virtue of not being generally known or due to being obtained at significant effort or expense. Each party acknowledges that information supplied by a third-party to the other party under provisions of confidentiality shall be considered, for the purposes of this Agreement, to be the other party’s Proprietary Information.</w:t>
      </w:r>
    </w:p>
    <w:p w14:paraId="78C15D89" w14:textId="6F596441" w:rsidR="007813DC" w:rsidRPr="00CD55CD" w:rsidRDefault="007813DC" w:rsidP="007813DC">
      <w:pPr>
        <w:spacing w:after="240"/>
        <w:ind w:left="360"/>
        <w:rPr>
          <w:rFonts w:cs="Arial"/>
        </w:rPr>
      </w:pPr>
      <w:r w:rsidRPr="007813DC">
        <w:rPr>
          <w:rFonts w:cs="Arial"/>
        </w:rPr>
        <w:t>“Student or Individual-Level Data” means demographic</w:t>
      </w:r>
      <w:r w:rsidRPr="007813DC">
        <w:rPr>
          <w:rFonts w:cs="Arial"/>
          <w:color w:val="030A13"/>
          <w:lang w:val="en"/>
        </w:rPr>
        <w:t>, performance, and other information that pertains to a single student</w:t>
      </w:r>
      <w:r>
        <w:rPr>
          <w:rFonts w:cs="Arial"/>
          <w:color w:val="030A13"/>
          <w:lang w:val="en"/>
        </w:rPr>
        <w:t xml:space="preserve"> or individual</w:t>
      </w:r>
      <w:r w:rsidRPr="00CD55CD">
        <w:rPr>
          <w:rFonts w:cs="Arial"/>
          <w:color w:val="030A13"/>
          <w:lang w:val="en"/>
        </w:rPr>
        <w:t xml:space="preserve"> but cannot be attributed to a specific student</w:t>
      </w:r>
      <w:r>
        <w:rPr>
          <w:rFonts w:cs="Arial"/>
          <w:color w:val="030A13"/>
          <w:lang w:val="en"/>
        </w:rPr>
        <w:t xml:space="preserve"> or individual</w:t>
      </w:r>
      <w:r w:rsidRPr="00CD55CD">
        <w:rPr>
          <w:rFonts w:cs="Arial"/>
          <w:color w:val="030A13"/>
          <w:lang w:val="en"/>
        </w:rPr>
        <w:t>.</w:t>
      </w:r>
      <w:r w:rsidRPr="00CD55CD">
        <w:rPr>
          <w:rFonts w:cs="Arial"/>
        </w:rPr>
        <w:t xml:space="preserve"> Such Data is subject to compliance with </w:t>
      </w:r>
      <w:r>
        <w:rPr>
          <w:rFonts w:cs="Arial"/>
        </w:rPr>
        <w:t xml:space="preserve">applicable </w:t>
      </w:r>
      <w:r w:rsidRPr="00CD55CD">
        <w:rPr>
          <w:rFonts w:cs="Arial"/>
        </w:rPr>
        <w:t>laws such as</w:t>
      </w:r>
      <w:r>
        <w:rPr>
          <w:rFonts w:cs="Arial"/>
        </w:rPr>
        <w:t>, but not limited to,</w:t>
      </w:r>
      <w:r w:rsidRPr="00CD55CD">
        <w:rPr>
          <w:rFonts w:cs="Arial"/>
        </w:rPr>
        <w:t xml:space="preserve"> the Family Educational Rights and Privacy Act (FERPA), the Pupil Protection Rights Amendment (PPRA), the Children’s Online Privacy Protection Act (COPPA), and the California Education Code (EC).</w:t>
      </w:r>
    </w:p>
    <w:p w14:paraId="4B3D24D7" w14:textId="776A7293" w:rsidR="00ED501F" w:rsidRPr="007D30EE" w:rsidRDefault="007813DC" w:rsidP="00ED501F">
      <w:pPr>
        <w:pStyle w:val="ListParagraph"/>
        <w:numPr>
          <w:ilvl w:val="1"/>
          <w:numId w:val="55"/>
        </w:numPr>
        <w:spacing w:after="240"/>
        <w:ind w:left="360"/>
        <w:contextualSpacing w:val="0"/>
        <w:rPr>
          <w:rFonts w:cs="Arial"/>
        </w:rPr>
      </w:pPr>
      <w:r w:rsidRPr="007D30EE">
        <w:rPr>
          <w:rFonts w:cs="Arial"/>
        </w:rPr>
        <w:lastRenderedPageBreak/>
        <w:t xml:space="preserve">Confidentiality Conflicts and Public Record Act Requests: Notwithstanding any obligation of confidentiality or non-disclosure between the parties or any “confidential,” “proprietary,” or “privileged,” marking on documents provided by Contractor, any writing, regardless of form, containing information related to the conduct of the public’s business prepared, owned, used or retained by the CDE is subject to disclosure pursuant to the Public Records Act (PRA) (Govt. Code </w:t>
      </w:r>
      <w:r w:rsidR="004D6113" w:rsidRPr="007D30EE">
        <w:rPr>
          <w:rFonts w:cs="Arial"/>
        </w:rPr>
        <w:t xml:space="preserve">7920.000 </w:t>
      </w:r>
      <w:r w:rsidRPr="007D30EE">
        <w:rPr>
          <w:rFonts w:cs="Arial"/>
          <w:i/>
        </w:rPr>
        <w:t>et. seq</w:t>
      </w:r>
      <w:r w:rsidRPr="007D30EE">
        <w:rPr>
          <w:rFonts w:cs="Arial"/>
        </w:rPr>
        <w:t xml:space="preserve">.) and other applicable </w:t>
      </w:r>
      <w:proofErr w:type="gramStart"/>
      <w:r w:rsidRPr="007D30EE">
        <w:rPr>
          <w:rFonts w:cs="Arial"/>
        </w:rPr>
        <w:t>law, unless</w:t>
      </w:r>
      <w:proofErr w:type="gramEnd"/>
      <w:r w:rsidRPr="007D30EE">
        <w:rPr>
          <w:rFonts w:cs="Arial"/>
        </w:rPr>
        <w:t xml:space="preserve"> an exemption from disclosure applies. Contractor shall immediately notify CDE of any request for documents and/or Data that it receives and shall further work cooperatively with CDE to allow CDE to respond correctly to Public Records Act requests in a timely manner.</w:t>
      </w:r>
    </w:p>
    <w:p w14:paraId="7C2226B2" w14:textId="4A5BDE03" w:rsidR="00ED501F" w:rsidRDefault="007813DC" w:rsidP="00ED501F">
      <w:pPr>
        <w:pStyle w:val="ListParagraph"/>
        <w:numPr>
          <w:ilvl w:val="1"/>
          <w:numId w:val="55"/>
        </w:numPr>
        <w:spacing w:after="240"/>
        <w:ind w:left="360"/>
        <w:contextualSpacing w:val="0"/>
        <w:rPr>
          <w:rFonts w:cs="Arial"/>
        </w:rPr>
      </w:pPr>
      <w:r w:rsidRPr="007D30EE">
        <w:rPr>
          <w:rFonts w:cs="Arial"/>
          <w:bCs/>
        </w:rPr>
        <w:t>Compliance with Statutory and Contractual Requirements</w:t>
      </w:r>
      <w:r w:rsidRPr="00ED501F">
        <w:rPr>
          <w:rFonts w:cs="Arial"/>
          <w:bCs/>
        </w:rPr>
        <w:t xml:space="preserve">: </w:t>
      </w:r>
      <w:proofErr w:type="gramStart"/>
      <w:r w:rsidRPr="00ED501F">
        <w:rPr>
          <w:rFonts w:cs="Arial"/>
        </w:rPr>
        <w:t>In the course of</w:t>
      </w:r>
      <w:proofErr w:type="gramEnd"/>
      <w:r w:rsidRPr="00ED501F">
        <w:rPr>
          <w:rFonts w:cs="Arial"/>
        </w:rPr>
        <w:t xml:space="preserve"> performing this Agreement, each of the Parties may gather or process or otherwise be intentionally or inadvertently exposed to Confidential Information belonging to the other party. Each party agrees to use, disclose, manage and protect the other Party’s Confidential Information in accordance with any terms of the Agreement, the contractual provisions set forth below, as well as all applicable federal and California law. Applicable laws may include, but are not limited to: the Family Educational Rights and Privacy Act of 1984 (FERPA; 20 U.S.C. Sec. 1232g), the Protection of Pupil Rights Amendment (PPRA), the Information Practices Act (California Civil Code Sec. 1798, et seq.),</w:t>
      </w:r>
      <w:r w:rsidRPr="00ED501F">
        <w:rPr>
          <w:rFonts w:cs="Arial"/>
          <w:color w:val="000000"/>
          <w:sz w:val="15"/>
          <w:szCs w:val="15"/>
        </w:rPr>
        <w:t xml:space="preserve"> </w:t>
      </w:r>
      <w:r w:rsidRPr="00ED501F">
        <w:rPr>
          <w:rFonts w:cs="Arial"/>
        </w:rPr>
        <w:t xml:space="preserve">the Children’s Online Privacy Protection Act (COPPA), the California </w:t>
      </w:r>
      <w:r w:rsidRPr="00ED501F">
        <w:rPr>
          <w:rFonts w:cs="Arial"/>
          <w:i/>
        </w:rPr>
        <w:t>Education Code</w:t>
      </w:r>
      <w:r w:rsidRPr="00ED501F">
        <w:rPr>
          <w:rFonts w:cs="Arial"/>
        </w:rPr>
        <w:t xml:space="preserve"> sections 49069 to 49079, and California State Administrative Manual (SAM) sections 5300 and 5399. These obligations continue even after expiration of this Agreement.</w:t>
      </w:r>
    </w:p>
    <w:p w14:paraId="595AFCE2" w14:textId="77777777" w:rsidR="00ED501F" w:rsidRDefault="007813DC" w:rsidP="00ED501F">
      <w:pPr>
        <w:pStyle w:val="ListParagraph"/>
        <w:numPr>
          <w:ilvl w:val="1"/>
          <w:numId w:val="55"/>
        </w:numPr>
        <w:spacing w:after="240"/>
        <w:ind w:left="360"/>
        <w:contextualSpacing w:val="0"/>
        <w:rPr>
          <w:rFonts w:cs="Arial"/>
        </w:rPr>
      </w:pPr>
      <w:r w:rsidRPr="007D30EE">
        <w:rPr>
          <w:rFonts w:cs="Arial"/>
        </w:rPr>
        <w:t>Contractor as CDE Authorized Representative</w:t>
      </w:r>
      <w:r w:rsidRPr="00ED501F">
        <w:rPr>
          <w:rFonts w:cs="Arial"/>
        </w:rPr>
        <w:t xml:space="preserve">: Contractor agrees to serve as the CDE’s authorized representative in the event the Agreement provides for the Contractor to be exposed to, or provided with, personally identifiable information pertaining to students or individuals </w:t>
      </w:r>
      <w:proofErr w:type="gramStart"/>
      <w:r w:rsidRPr="00ED501F">
        <w:rPr>
          <w:rFonts w:cs="Arial"/>
        </w:rPr>
        <w:t>in order to</w:t>
      </w:r>
      <w:proofErr w:type="gramEnd"/>
      <w:r w:rsidRPr="00ED501F">
        <w:rPr>
          <w:rFonts w:cs="Arial"/>
        </w:rPr>
        <w:t xml:space="preserve"> carry out an audit or evaluation of Federal- or state-supported education programs, or for the enforcement of or compliance with Federal legal requirements related to these programs.</w:t>
      </w:r>
    </w:p>
    <w:p w14:paraId="44D31DFE" w14:textId="4160FB65" w:rsidR="00ED501F" w:rsidRPr="00ED501F" w:rsidRDefault="007813DC" w:rsidP="00ED501F">
      <w:pPr>
        <w:pStyle w:val="ListParagraph"/>
        <w:numPr>
          <w:ilvl w:val="1"/>
          <w:numId w:val="55"/>
        </w:numPr>
        <w:spacing w:after="240"/>
        <w:ind w:left="360"/>
        <w:contextualSpacing w:val="0"/>
        <w:rPr>
          <w:rFonts w:cs="Arial"/>
          <w:color w:val="000000"/>
        </w:rPr>
      </w:pPr>
      <w:r w:rsidRPr="007D30EE">
        <w:rPr>
          <w:rFonts w:cs="Arial"/>
        </w:rPr>
        <w:t>Subcontractors:</w:t>
      </w:r>
      <w:r w:rsidRPr="00ED501F">
        <w:rPr>
          <w:rFonts w:cs="Arial"/>
        </w:rPr>
        <w:t xml:space="preserve"> CDE must, at its discretion, approve in writing each of Contractor’s proposed subcontractors who may be exposed to CDE Confidential Information.  Contractor shall request any such approval in advance and provide CDE with: i) a copy of the proposed subcontract; ii) background information about the subcontractor and its executives; and iii) any other information reasonably requested by the CDE.</w:t>
      </w:r>
    </w:p>
    <w:p w14:paraId="22065AAD" w14:textId="754AB62C" w:rsidR="007813DC" w:rsidRPr="007D30EE" w:rsidRDefault="007813DC" w:rsidP="00ED501F">
      <w:pPr>
        <w:pStyle w:val="ListParagraph"/>
        <w:numPr>
          <w:ilvl w:val="1"/>
          <w:numId w:val="55"/>
        </w:numPr>
        <w:spacing w:after="240"/>
        <w:ind w:left="360"/>
        <w:contextualSpacing w:val="0"/>
        <w:rPr>
          <w:rFonts w:cs="Arial"/>
          <w:color w:val="000000"/>
        </w:rPr>
      </w:pPr>
      <w:r w:rsidRPr="007D30EE">
        <w:rPr>
          <w:rFonts w:cs="Arial"/>
        </w:rPr>
        <w:t xml:space="preserve">Use and Disclosure/ Data Security: Each Party shall use the disclosing Party’s Confidential Information only as necessary to perform its obligations hereunder. Each Party shall disclose Confidential Information only to its own employees and employees of its approved contractors or subcontractors who: i) have a need to know such information for the purposes of performing obligations hereunder, ii) </w:t>
      </w:r>
      <w:r w:rsidRPr="007D30EE">
        <w:rPr>
          <w:rFonts w:cs="Arial"/>
          <w:color w:val="000000"/>
        </w:rPr>
        <w:t>are under legal obligations to maintain the confidentiality and restrict the use of Confidential Information which obligations name the disclosing party as a third-party beneficiary or otherwise give the disclosing party the legal right to enforce such legal obligations, and iii) have completed training approved by the CDE on data security and privacy within the past 12 months.</w:t>
      </w:r>
    </w:p>
    <w:p w14:paraId="4360F407" w14:textId="77777777" w:rsidR="007813DC" w:rsidRDefault="007813DC" w:rsidP="007813DC">
      <w:pPr>
        <w:spacing w:after="240"/>
        <w:ind w:left="360"/>
        <w:rPr>
          <w:rFonts w:cs="Arial"/>
        </w:rPr>
      </w:pPr>
      <w:r w:rsidRPr="00CD55CD">
        <w:rPr>
          <w:rFonts w:cs="Arial"/>
          <w:color w:val="000000"/>
        </w:rPr>
        <w:t xml:space="preserve">Contractor and its subcontractors shall exercise </w:t>
      </w:r>
      <w:r>
        <w:rPr>
          <w:rFonts w:cs="Arial"/>
          <w:color w:val="000000"/>
        </w:rPr>
        <w:t>all reasonable security measures, including any additional</w:t>
      </w:r>
      <w:r w:rsidRPr="00CD55CD">
        <w:rPr>
          <w:rFonts w:cs="Arial"/>
          <w:color w:val="000000"/>
        </w:rPr>
        <w:t xml:space="preserve"> security precautions that have been approved by the CDE’s Educational Data Management Division (EDMD) and Technology Services Division (TSD) to prevent </w:t>
      </w:r>
      <w:r w:rsidRPr="00CD55CD">
        <w:rPr>
          <w:rFonts w:cs="Arial"/>
          <w:color w:val="000000"/>
        </w:rPr>
        <w:lastRenderedPageBreak/>
        <w:t>unauthorized use, access, modification or disclosure/re-disclosure of any Confidential Information. Such security precautions</w:t>
      </w:r>
      <w:r>
        <w:rPr>
          <w:rFonts w:cs="Arial"/>
          <w:color w:val="000000"/>
        </w:rPr>
        <w:t xml:space="preserve"> </w:t>
      </w:r>
      <w:r w:rsidRPr="00CD55CD">
        <w:rPr>
          <w:rFonts w:cs="Arial"/>
          <w:color w:val="000000"/>
        </w:rPr>
        <w:t>shall include, at a minimum (</w:t>
      </w:r>
      <w:r w:rsidRPr="00CD55CD">
        <w:rPr>
          <w:rFonts w:cs="Arial"/>
        </w:rPr>
        <w:t>and without limiting the generality of the use and disclosure restrictions set forth above):</w:t>
      </w:r>
    </w:p>
    <w:p w14:paraId="07D75489" w14:textId="58C6E13D" w:rsidR="007813DC" w:rsidRPr="007813DC" w:rsidRDefault="007813DC" w:rsidP="007813DC">
      <w:pPr>
        <w:pStyle w:val="ListParagraph"/>
        <w:numPr>
          <w:ilvl w:val="0"/>
          <w:numId w:val="53"/>
        </w:numPr>
        <w:tabs>
          <w:tab w:val="num" w:pos="1620"/>
          <w:tab w:val="num" w:pos="2160"/>
        </w:tabs>
        <w:spacing w:after="240"/>
        <w:rPr>
          <w:rFonts w:cs="Arial"/>
        </w:rPr>
      </w:pPr>
      <w:r w:rsidRPr="007813DC">
        <w:rPr>
          <w:rFonts w:cs="Arial"/>
        </w:rPr>
        <w:t xml:space="preserve">Securely encrypting and otherwise complying with best practices </w:t>
      </w:r>
      <w:proofErr w:type="gramStart"/>
      <w:r w:rsidRPr="007813DC">
        <w:rPr>
          <w:rFonts w:cs="Arial"/>
        </w:rPr>
        <w:t>in order to</w:t>
      </w:r>
      <w:proofErr w:type="gramEnd"/>
      <w:r w:rsidRPr="007813DC">
        <w:rPr>
          <w:rFonts w:cs="Arial"/>
        </w:rPr>
        <w:t xml:space="preserve"> securely protect Confidential Information that is transmitted electronically or stored on portable electronic devices;</w:t>
      </w:r>
    </w:p>
    <w:p w14:paraId="6AD2B55A" w14:textId="60BBCB42" w:rsidR="007813DC" w:rsidRPr="007813DC" w:rsidRDefault="007813DC" w:rsidP="007813DC">
      <w:pPr>
        <w:pStyle w:val="ListParagraph"/>
        <w:widowControl w:val="0"/>
        <w:numPr>
          <w:ilvl w:val="0"/>
          <w:numId w:val="53"/>
        </w:numPr>
        <w:tabs>
          <w:tab w:val="num" w:pos="2160"/>
        </w:tabs>
        <w:rPr>
          <w:rFonts w:cs="Arial"/>
        </w:rPr>
      </w:pPr>
      <w:r w:rsidRPr="007813DC">
        <w:rPr>
          <w:rFonts w:cs="Arial"/>
        </w:rPr>
        <w:t>Securely locking any repository for Confidential Information;</w:t>
      </w:r>
    </w:p>
    <w:p w14:paraId="308436A1" w14:textId="1F71849C" w:rsidR="007813DC" w:rsidRPr="007813DC" w:rsidRDefault="007813DC" w:rsidP="007813DC">
      <w:pPr>
        <w:pStyle w:val="ListParagraph"/>
        <w:widowControl w:val="0"/>
        <w:numPr>
          <w:ilvl w:val="0"/>
          <w:numId w:val="53"/>
        </w:numPr>
        <w:tabs>
          <w:tab w:val="num" w:pos="2160"/>
        </w:tabs>
        <w:rPr>
          <w:rFonts w:cs="Arial"/>
        </w:rPr>
      </w:pPr>
      <w:r w:rsidRPr="007813DC">
        <w:rPr>
          <w:rFonts w:cs="Arial"/>
        </w:rPr>
        <w:t>Provide appropriate levels of security (confidentiality, integrity, and availability) for the data based on data categorization and classification and FIPS Publication 199 protection levels</w:t>
      </w:r>
      <w:r>
        <w:rPr>
          <w:rFonts w:cs="Arial"/>
        </w:rPr>
        <w:t>;</w:t>
      </w:r>
    </w:p>
    <w:p w14:paraId="5B309EEB" w14:textId="60F92225" w:rsidR="007813DC" w:rsidRPr="007813DC" w:rsidRDefault="007813DC" w:rsidP="007813DC">
      <w:pPr>
        <w:pStyle w:val="ListParagraph"/>
        <w:widowControl w:val="0"/>
        <w:numPr>
          <w:ilvl w:val="0"/>
          <w:numId w:val="53"/>
        </w:numPr>
        <w:tabs>
          <w:tab w:val="num" w:pos="2160"/>
        </w:tabs>
        <w:rPr>
          <w:rFonts w:cs="Arial"/>
          <w:i/>
          <w:color w:val="000000"/>
        </w:rPr>
      </w:pPr>
      <w:r w:rsidRPr="007813DC">
        <w:rPr>
          <w:rFonts w:cs="Arial"/>
          <w:color w:val="000000"/>
        </w:rPr>
        <w:t xml:space="preserve">Properly maintaining security of </w:t>
      </w:r>
      <w:proofErr w:type="gramStart"/>
      <w:r w:rsidRPr="007813DC">
        <w:rPr>
          <w:rFonts w:cs="Arial"/>
          <w:color w:val="000000"/>
        </w:rPr>
        <w:t>any and all</w:t>
      </w:r>
      <w:proofErr w:type="gramEnd"/>
      <w:r w:rsidRPr="007813DC">
        <w:rPr>
          <w:rFonts w:cs="Arial"/>
          <w:color w:val="000000"/>
        </w:rPr>
        <w:t xml:space="preserve"> computer systems (hardware and software applications) used to store or process Confidential Information, including installing all security patches, upgrades, and anti-virus updates;</w:t>
      </w:r>
    </w:p>
    <w:p w14:paraId="734D94CE" w14:textId="509FDE9A" w:rsidR="007813DC" w:rsidRPr="007813DC" w:rsidRDefault="007813DC" w:rsidP="007813DC">
      <w:pPr>
        <w:pStyle w:val="ListParagraph"/>
        <w:widowControl w:val="0"/>
        <w:numPr>
          <w:ilvl w:val="0"/>
          <w:numId w:val="53"/>
        </w:numPr>
        <w:tabs>
          <w:tab w:val="num" w:pos="2160"/>
        </w:tabs>
        <w:rPr>
          <w:rFonts w:cs="Arial"/>
          <w:i/>
          <w:color w:val="000000"/>
        </w:rPr>
      </w:pPr>
      <w:r w:rsidRPr="007813DC">
        <w:rPr>
          <w:rFonts w:cs="Arial"/>
          <w:color w:val="000000"/>
        </w:rPr>
        <w:t>Designating a Security Officer to oversee such Party’s Data security program, carry out privacy programs and to act as the principal point of contact responsible for communicating on security matters with the CDE;</w:t>
      </w:r>
    </w:p>
    <w:p w14:paraId="02529136" w14:textId="77777777" w:rsidR="007813DC" w:rsidRPr="007813DC" w:rsidRDefault="007813DC" w:rsidP="00EA483F">
      <w:pPr>
        <w:pStyle w:val="ListParagraph"/>
        <w:widowControl w:val="0"/>
        <w:numPr>
          <w:ilvl w:val="0"/>
          <w:numId w:val="53"/>
        </w:numPr>
        <w:tabs>
          <w:tab w:val="num" w:pos="2160"/>
        </w:tabs>
        <w:spacing w:after="240"/>
        <w:rPr>
          <w:rFonts w:cs="Arial"/>
        </w:rPr>
      </w:pPr>
      <w:r w:rsidRPr="007813DC">
        <w:rPr>
          <w:rFonts w:cs="Arial"/>
        </w:rPr>
        <w:t>Immediately reporting (within two hours of discovery) to the CDE any breach of security, as that phrase is used in California Civil Code section 1798.29(d), to:</w:t>
      </w:r>
    </w:p>
    <w:p w14:paraId="34996729" w14:textId="7B1667C7" w:rsidR="007813DC" w:rsidRPr="00CD55CD" w:rsidRDefault="00F75E43" w:rsidP="007813DC">
      <w:pPr>
        <w:spacing w:before="5"/>
        <w:ind w:left="1440" w:hanging="360"/>
        <w:rPr>
          <w:rFonts w:cs="Arial"/>
          <w:color w:val="000000"/>
        </w:rPr>
      </w:pPr>
      <w:r>
        <w:rPr>
          <w:rFonts w:cs="Arial"/>
          <w:b/>
          <w:color w:val="000000"/>
        </w:rPr>
        <w:t>Angela Ramirez</w:t>
      </w:r>
      <w:r w:rsidR="007813DC" w:rsidRPr="00CD55CD">
        <w:rPr>
          <w:rFonts w:cs="Arial"/>
          <w:b/>
          <w:color w:val="000000"/>
        </w:rPr>
        <w:t>,</w:t>
      </w:r>
      <w:r w:rsidR="007813DC" w:rsidRPr="00CD55CD">
        <w:rPr>
          <w:rFonts w:cs="Arial"/>
          <w:color w:val="000000"/>
        </w:rPr>
        <w:t xml:space="preserve"> </w:t>
      </w:r>
      <w:r w:rsidR="007813DC" w:rsidRPr="00CD55CD">
        <w:rPr>
          <w:rFonts w:cs="Arial"/>
          <w:b/>
          <w:color w:val="000000"/>
        </w:rPr>
        <w:t>Information Security Officer</w:t>
      </w:r>
    </w:p>
    <w:p w14:paraId="7C175F9E" w14:textId="77777777" w:rsidR="007813DC" w:rsidRPr="00CD55CD" w:rsidRDefault="007813DC" w:rsidP="007813DC">
      <w:pPr>
        <w:spacing w:before="5"/>
        <w:ind w:left="1440" w:hanging="360"/>
        <w:rPr>
          <w:rFonts w:cs="Arial"/>
          <w:color w:val="000000"/>
        </w:rPr>
      </w:pPr>
      <w:r w:rsidRPr="00CD55CD">
        <w:rPr>
          <w:rFonts w:cs="Arial"/>
          <w:color w:val="000000"/>
        </w:rPr>
        <w:t>California Department of Education</w:t>
      </w:r>
    </w:p>
    <w:p w14:paraId="27BC2B6F" w14:textId="77777777" w:rsidR="007813DC" w:rsidRPr="00CD55CD" w:rsidRDefault="007813DC" w:rsidP="007813DC">
      <w:pPr>
        <w:spacing w:before="5"/>
        <w:ind w:left="1440" w:hanging="360"/>
        <w:rPr>
          <w:rFonts w:cs="Arial"/>
          <w:color w:val="000000"/>
        </w:rPr>
      </w:pPr>
      <w:r>
        <w:rPr>
          <w:rFonts w:cs="Arial"/>
          <w:color w:val="000000"/>
        </w:rPr>
        <w:t>Technology</w:t>
      </w:r>
      <w:r w:rsidRPr="00CD55CD">
        <w:rPr>
          <w:rFonts w:cs="Arial"/>
          <w:color w:val="000000"/>
        </w:rPr>
        <w:t xml:space="preserve"> Services Division – Information Security Office</w:t>
      </w:r>
    </w:p>
    <w:p w14:paraId="78DAFEB0" w14:textId="77777777" w:rsidR="007813DC" w:rsidRPr="00CD55CD" w:rsidRDefault="007813DC" w:rsidP="007813DC">
      <w:pPr>
        <w:spacing w:before="5"/>
        <w:ind w:left="1440" w:hanging="360"/>
        <w:rPr>
          <w:rFonts w:cs="Arial"/>
          <w:color w:val="000000"/>
        </w:rPr>
      </w:pPr>
      <w:r w:rsidRPr="00CD55CD">
        <w:rPr>
          <w:rFonts w:cs="Arial"/>
          <w:color w:val="000000"/>
        </w:rPr>
        <w:t xml:space="preserve">1430 N Street, </w:t>
      </w:r>
      <w:smartTag w:uri="urn:schemas-microsoft-com:office:smarttags" w:element="address">
        <w:smartTag w:uri="urn:schemas-microsoft-com:office:smarttags" w:element="Street">
          <w:r w:rsidRPr="00CD55CD">
            <w:rPr>
              <w:rFonts w:cs="Arial"/>
              <w:color w:val="000000"/>
            </w:rPr>
            <w:t>Suite</w:t>
          </w:r>
        </w:smartTag>
        <w:r w:rsidRPr="00CD55CD">
          <w:rPr>
            <w:rFonts w:cs="Arial"/>
            <w:color w:val="000000"/>
          </w:rPr>
          <w:t xml:space="preserve"> 3712</w:t>
        </w:r>
      </w:smartTag>
    </w:p>
    <w:p w14:paraId="04699D14" w14:textId="77777777" w:rsidR="007813DC" w:rsidRPr="00CD55CD" w:rsidRDefault="007813DC" w:rsidP="007813DC">
      <w:pPr>
        <w:spacing w:before="5"/>
        <w:ind w:left="1440" w:hanging="360"/>
        <w:rPr>
          <w:rFonts w:cs="Arial"/>
          <w:color w:val="000000"/>
        </w:rPr>
      </w:pPr>
      <w:smartTag w:uri="urn:schemas-microsoft-com:office:smarttags" w:element="place">
        <w:smartTag w:uri="urn:schemas-microsoft-com:office:smarttags" w:element="City">
          <w:r w:rsidRPr="00CD55CD">
            <w:rPr>
              <w:rFonts w:cs="Arial"/>
              <w:color w:val="000000"/>
            </w:rPr>
            <w:t>Sacramento</w:t>
          </w:r>
        </w:smartTag>
        <w:r w:rsidRPr="00CD55CD">
          <w:rPr>
            <w:rFonts w:cs="Arial"/>
            <w:color w:val="000000"/>
          </w:rPr>
          <w:t xml:space="preserve">, </w:t>
        </w:r>
        <w:smartTag w:uri="urn:schemas-microsoft-com:office:smarttags" w:element="State">
          <w:r w:rsidRPr="00CD55CD">
            <w:rPr>
              <w:rFonts w:cs="Arial"/>
              <w:color w:val="000000"/>
            </w:rPr>
            <w:t>CA</w:t>
          </w:r>
        </w:smartTag>
        <w:r w:rsidRPr="00CD55CD">
          <w:rPr>
            <w:rFonts w:cs="Arial"/>
            <w:color w:val="000000"/>
          </w:rPr>
          <w:t xml:space="preserve"> </w:t>
        </w:r>
        <w:smartTag w:uri="urn:schemas-microsoft-com:office:smarttags" w:element="PostalCode">
          <w:r w:rsidRPr="00CD55CD">
            <w:rPr>
              <w:rFonts w:cs="Arial"/>
              <w:color w:val="000000"/>
            </w:rPr>
            <w:t>95814-5901</w:t>
          </w:r>
        </w:smartTag>
      </w:smartTag>
    </w:p>
    <w:p w14:paraId="62BBB48C" w14:textId="77777777" w:rsidR="007813DC" w:rsidRDefault="007813DC" w:rsidP="007813DC">
      <w:pPr>
        <w:spacing w:before="5"/>
        <w:ind w:left="1440" w:hanging="360"/>
        <w:rPr>
          <w:rFonts w:cs="Arial"/>
          <w:color w:val="000000"/>
        </w:rPr>
      </w:pPr>
      <w:r w:rsidRPr="00CD55CD">
        <w:rPr>
          <w:rFonts w:cs="Arial"/>
          <w:color w:val="000000"/>
        </w:rPr>
        <w:t>Office phone: 916-322-8334</w:t>
      </w:r>
    </w:p>
    <w:p w14:paraId="560A461C" w14:textId="64C577C5" w:rsidR="007813DC" w:rsidRPr="00CD55CD" w:rsidRDefault="007813DC" w:rsidP="007813DC">
      <w:pPr>
        <w:spacing w:before="5" w:after="240"/>
        <w:ind w:left="1440" w:hanging="360"/>
        <w:rPr>
          <w:rFonts w:cs="Arial"/>
          <w:color w:val="000000"/>
        </w:rPr>
      </w:pPr>
      <w:r>
        <w:rPr>
          <w:rFonts w:cs="Arial"/>
          <w:color w:val="000000"/>
        </w:rPr>
        <w:t xml:space="preserve">Email: </w:t>
      </w:r>
      <w:hyperlink r:id="rId40" w:history="1">
        <w:r w:rsidRPr="007D30EE">
          <w:rPr>
            <w:rStyle w:val="Hyperlink"/>
            <w:rFonts w:cs="Arial"/>
          </w:rPr>
          <w:t>ISO@cde.ca.gov</w:t>
        </w:r>
      </w:hyperlink>
    </w:p>
    <w:p w14:paraId="6330858C" w14:textId="50E4D5CF" w:rsidR="007813DC" w:rsidRPr="007813DC" w:rsidRDefault="007813DC" w:rsidP="007813DC">
      <w:pPr>
        <w:pStyle w:val="ListParagraph"/>
        <w:widowControl w:val="0"/>
        <w:numPr>
          <w:ilvl w:val="0"/>
          <w:numId w:val="54"/>
        </w:numPr>
        <w:tabs>
          <w:tab w:val="num" w:pos="2160"/>
        </w:tabs>
        <w:spacing w:after="240"/>
        <w:ind w:left="1080"/>
        <w:rPr>
          <w:rFonts w:cs="Arial"/>
        </w:rPr>
      </w:pPr>
      <w:r w:rsidRPr="007813DC">
        <w:rPr>
          <w:rFonts w:cs="Arial"/>
          <w:color w:val="000000"/>
        </w:rPr>
        <w:t xml:space="preserve">Promptly taking corrective action to cure any breach of security, including immediately notifying the other parties and conducting an investigation of each breach and providing the other party with a written report of the investigation within thirty (30) working days of the discovery of the breach. All parties may be participants in the security breach investigation, or parties may conduct their own independent investigations, in which all parties shall fully cooperate. The party who experienced the security incident </w:t>
      </w:r>
      <w:proofErr w:type="gramStart"/>
      <w:r w:rsidRPr="007813DC">
        <w:rPr>
          <w:rFonts w:cs="Arial"/>
          <w:color w:val="000000"/>
        </w:rPr>
        <w:t>as a result of</w:t>
      </w:r>
      <w:proofErr w:type="gramEnd"/>
      <w:r w:rsidRPr="007813DC">
        <w:rPr>
          <w:rFonts w:cs="Arial"/>
          <w:color w:val="000000"/>
        </w:rPr>
        <w:t xml:space="preserve"> their failure to perform or negligent acts of its personnel, which resulted in a data breach shall be responsible for all costs incurred, including the costs to provide notice to the individuals whose data has been lost or breached.</w:t>
      </w:r>
    </w:p>
    <w:p w14:paraId="578042D8" w14:textId="75EB55FD" w:rsidR="007813DC" w:rsidRPr="007813DC" w:rsidRDefault="007813DC" w:rsidP="007813DC">
      <w:pPr>
        <w:pStyle w:val="ListParagraph"/>
        <w:widowControl w:val="0"/>
        <w:numPr>
          <w:ilvl w:val="0"/>
          <w:numId w:val="54"/>
        </w:numPr>
        <w:tabs>
          <w:tab w:val="num" w:pos="2160"/>
        </w:tabs>
        <w:spacing w:after="240"/>
        <w:ind w:left="1080"/>
        <w:rPr>
          <w:rFonts w:cs="Arial"/>
        </w:rPr>
      </w:pPr>
      <w:r w:rsidRPr="007813DC">
        <w:rPr>
          <w:rFonts w:cs="Arial"/>
        </w:rPr>
        <w:t>Implementing any other reasonable security protocols for PII or Student or Individual-Level Data that may be prescribed by the CDE’s Technology Service Division in a written notice to Contractor.</w:t>
      </w:r>
    </w:p>
    <w:p w14:paraId="6E914364" w14:textId="77777777" w:rsidR="007813DC" w:rsidRPr="007813DC" w:rsidRDefault="007813DC" w:rsidP="007813DC">
      <w:pPr>
        <w:pStyle w:val="ListParagraph"/>
        <w:widowControl w:val="0"/>
        <w:numPr>
          <w:ilvl w:val="0"/>
          <w:numId w:val="54"/>
        </w:numPr>
        <w:tabs>
          <w:tab w:val="num" w:pos="2160"/>
        </w:tabs>
        <w:spacing w:after="240"/>
        <w:ind w:left="1080"/>
        <w:rPr>
          <w:rFonts w:cs="Arial"/>
        </w:rPr>
      </w:pPr>
      <w:r w:rsidRPr="007813DC">
        <w:rPr>
          <w:rFonts w:cs="Arial"/>
        </w:rPr>
        <w:t>Making and distributing copies of Data only as necessary to perform the obligations hereunder in full compliance with the other terms hereof, keeping accurate records of any such copies (including any back-ups), and legally and physically controlling such copies in a manner that prevents unauthorized duplication, use or disclosure.</w:t>
      </w:r>
    </w:p>
    <w:p w14:paraId="22A0AF20" w14:textId="72ADB4A3" w:rsidR="007813DC" w:rsidRPr="007813DC" w:rsidRDefault="007813DC" w:rsidP="007813DC">
      <w:pPr>
        <w:spacing w:after="240"/>
        <w:ind w:left="360"/>
        <w:rPr>
          <w:rFonts w:cs="Arial"/>
          <w:color w:val="000000"/>
        </w:rPr>
      </w:pPr>
      <w:r w:rsidRPr="007813DC">
        <w:rPr>
          <w:rFonts w:cs="Arial"/>
          <w:color w:val="000000"/>
        </w:rPr>
        <w:t>The Contractor shall retain copies of the compliance agreements, which include signed confidentiality statements, training certifications, and other documentation necessary to demonstrate compliance with the above provisions and provide copies to the CDE upon CDE’s written request.</w:t>
      </w:r>
    </w:p>
    <w:p w14:paraId="6D48CE1B" w14:textId="059723C5" w:rsidR="007813DC" w:rsidRPr="00ED501F" w:rsidRDefault="007813DC" w:rsidP="00ED501F">
      <w:pPr>
        <w:pStyle w:val="ListParagraph"/>
        <w:numPr>
          <w:ilvl w:val="1"/>
          <w:numId w:val="55"/>
        </w:numPr>
        <w:spacing w:after="240"/>
        <w:ind w:left="360"/>
        <w:rPr>
          <w:rFonts w:cs="Arial"/>
        </w:rPr>
      </w:pPr>
      <w:r w:rsidRPr="007D30EE">
        <w:rPr>
          <w:rFonts w:cs="Arial"/>
        </w:rPr>
        <w:lastRenderedPageBreak/>
        <w:t>Data Formatting and Delivery: All PII or Student or Individual-Level Data to be delivered from one party to the other hereunde</w:t>
      </w:r>
      <w:r w:rsidRPr="00ED501F">
        <w:rPr>
          <w:rFonts w:cs="Arial"/>
        </w:rPr>
        <w:t>r shall i) be in a format, ii) use nomenclature, iii) be delivered in compliance with security protocols, and iv) meet any other specifications, all as set forth in Data delivery and file layout specifications approved by the CDE Education Data Management Division. As early as reasonably possible in the Data delivery process, but in no event less than 12 weeks prior to Data delivery to CDE or 6 weeks prior to Data delivery to Contractor, Contractor shall submit for CDE approval its proposed Data delivery and file layout specifications, including the proposed secure file transfer protocols, formatting, nomenclature and other specifications to be used.  The scope of work may specify additional requirements for the proposed data delivery and file layout specifications, such as additional time between the proposed Data Delivery and file layout specification and Data delivery for those cases where a data reporting structure needs to be built, where special provisions are needed for working with other CDE Contractors, etc.</w:t>
      </w:r>
    </w:p>
    <w:p w14:paraId="33A8F3EA" w14:textId="1A5E449F" w:rsidR="007813DC" w:rsidRPr="007813DC" w:rsidRDefault="007813DC" w:rsidP="007813DC">
      <w:pPr>
        <w:widowControl w:val="0"/>
        <w:numPr>
          <w:ilvl w:val="0"/>
          <w:numId w:val="51"/>
        </w:numPr>
        <w:spacing w:after="240"/>
        <w:ind w:left="720"/>
        <w:rPr>
          <w:rFonts w:cs="Arial"/>
        </w:rPr>
      </w:pPr>
      <w:r w:rsidRPr="007D30EE">
        <w:rPr>
          <w:rFonts w:cs="Arial"/>
        </w:rPr>
        <w:t>Data Delivered to CDE: Unless oth</w:t>
      </w:r>
      <w:r w:rsidRPr="007813DC">
        <w:rPr>
          <w:rFonts w:cs="Arial"/>
        </w:rPr>
        <w:t xml:space="preserve">erwise agreed by the CDE in writing, Contractor shall use CDE’s Preferred Variation of each data element in the proposed file layout specification for data delivery to the CDE. </w:t>
      </w:r>
      <w:proofErr w:type="gramStart"/>
      <w:r w:rsidRPr="007813DC">
        <w:rPr>
          <w:rFonts w:cs="Arial"/>
        </w:rPr>
        <w:t>In the event that</w:t>
      </w:r>
      <w:proofErr w:type="gramEnd"/>
      <w:r w:rsidRPr="007813DC">
        <w:rPr>
          <w:rFonts w:cs="Arial"/>
        </w:rPr>
        <w:t xml:space="preserve"> CDE has not yet formulated a Preferred Variation for </w:t>
      </w:r>
      <w:r w:rsidRPr="007813DC">
        <w:rPr>
          <w:rFonts w:cs="Arial"/>
          <w:szCs w:val="16"/>
        </w:rPr>
        <w:t xml:space="preserve">a particular Data element, Contractor shall consult with CDE to reach a resolution. </w:t>
      </w:r>
      <w:r w:rsidRPr="007813DC">
        <w:rPr>
          <w:rFonts w:cs="Arial"/>
        </w:rPr>
        <w:t xml:space="preserve">Contractor shall cooperate with CDE and shall make each change to the proposed Data delivery and file layout specification that is requested by the CDE </w:t>
      </w:r>
      <w:proofErr w:type="gramStart"/>
      <w:r w:rsidRPr="007813DC">
        <w:rPr>
          <w:rFonts w:cs="Arial"/>
        </w:rPr>
        <w:t>in order to</w:t>
      </w:r>
      <w:proofErr w:type="gramEnd"/>
      <w:r w:rsidRPr="007813DC">
        <w:rPr>
          <w:rFonts w:cs="Arial"/>
        </w:rPr>
        <w:t xml:space="preserve"> gain written approval. Thereafter, all PII and Student or Individual-Level Data shall be delivered in a file conforming to the approved Data delivery and file layout specifications, as they may be revised from time-to-time.</w:t>
      </w:r>
      <w:r w:rsidRPr="007813DC">
        <w:rPr>
          <w:rFonts w:cs="Arial"/>
          <w:szCs w:val="16"/>
        </w:rPr>
        <w:t xml:space="preserve"> </w:t>
      </w:r>
      <w:r w:rsidRPr="007813DC">
        <w:rPr>
          <w:rFonts w:cs="Arial"/>
        </w:rPr>
        <w:t xml:space="preserve">In addition, all PII and Student-Level Data deliveries to the CDE shall be accompanied by a complete </w:t>
      </w:r>
      <w:r w:rsidRPr="007813DC">
        <w:rPr>
          <w:rFonts w:cs="Arial"/>
          <w:szCs w:val="16"/>
        </w:rPr>
        <w:t>Data Dictionary that describes and defines in detail the meaning of all symbols, abbreviations, codes and other descriptors contained in the file provided by Contractor to the CDE.</w:t>
      </w:r>
    </w:p>
    <w:p w14:paraId="312B3A53" w14:textId="7EAA702A" w:rsidR="007813DC" w:rsidRPr="007813DC" w:rsidRDefault="007813DC" w:rsidP="007813DC">
      <w:pPr>
        <w:pStyle w:val="ListParagraph"/>
        <w:numPr>
          <w:ilvl w:val="0"/>
          <w:numId w:val="51"/>
        </w:numPr>
        <w:spacing w:after="240"/>
        <w:ind w:left="720"/>
        <w:rPr>
          <w:rFonts w:cs="Arial"/>
        </w:rPr>
      </w:pPr>
      <w:r w:rsidRPr="007D30EE">
        <w:rPr>
          <w:rFonts w:cs="Arial"/>
        </w:rPr>
        <w:t>Data Delivered to Contractor:</w:t>
      </w:r>
      <w:r w:rsidRPr="007813DC">
        <w:rPr>
          <w:rFonts w:cs="Arial"/>
        </w:rPr>
        <w:t xml:space="preserve"> If a scope of work specifies the delivery of PII or Student or Individual-Level Data from CDE to Contractor, Contractor shall specify its requested Data delivery and file layout specifications by submitting a proposal to the CDE for approval.  The CDE will review the requested specifications for inconsistencies, data definitions that do not align with CDE’s preferred variations and for data elements that do not yet exist or need extraction, redaction, compilation, aggregation or the like. The CDE will indicate to Contractor whether the request can be met and CDE’s estimated costs to meet such requirements.  The parties shall revise the Data delivery and file layout specifications until mutually acceptable.  Unless otherwise agreed in writing in advance, CDE may charge Contractor for its reasonable costs, including staff time, computing time and materials, </w:t>
      </w:r>
      <w:proofErr w:type="gramStart"/>
      <w:r w:rsidRPr="007813DC">
        <w:rPr>
          <w:rFonts w:cs="Arial"/>
        </w:rPr>
        <w:t>in order to</w:t>
      </w:r>
      <w:proofErr w:type="gramEnd"/>
      <w:r w:rsidRPr="007813DC">
        <w:rPr>
          <w:rFonts w:cs="Arial"/>
        </w:rPr>
        <w:t xml:space="preserve"> meet Contractor’s requested specifications.</w:t>
      </w:r>
    </w:p>
    <w:p w14:paraId="0E4F74F3" w14:textId="1B2C2A52" w:rsidR="007813DC" w:rsidRPr="007813DC" w:rsidRDefault="007813DC" w:rsidP="007813DC">
      <w:pPr>
        <w:spacing w:after="240"/>
        <w:ind w:left="360"/>
        <w:rPr>
          <w:rFonts w:cs="Arial"/>
        </w:rPr>
      </w:pPr>
      <w:r w:rsidRPr="007813DC">
        <w:rPr>
          <w:rFonts w:cs="Arial"/>
          <w:szCs w:val="16"/>
        </w:rPr>
        <w:t>Contractor acknowledges that CDE maintains and uses Data collected from a variety of diverse sources and that compliance with these Data formatting and delivery provisions is necessary to maintain Data order and for the consistent and effective use of Data by the CDE, regardless of the source of the Data and</w:t>
      </w:r>
      <w:r>
        <w:rPr>
          <w:rFonts w:cs="Arial"/>
          <w:szCs w:val="16"/>
        </w:rPr>
        <w:t xml:space="preserve"> </w:t>
      </w:r>
      <w:r w:rsidRPr="007813DC">
        <w:rPr>
          <w:rFonts w:cs="Arial"/>
          <w:szCs w:val="16"/>
        </w:rPr>
        <w:t>regardless of how the Data has</w:t>
      </w:r>
      <w:r w:rsidRPr="007813DC">
        <w:rPr>
          <w:rFonts w:cs="Arial"/>
        </w:rPr>
        <w:t xml:space="preserve"> been collected, developed, matched, aggregated, linked, connected or otherwise generated for use by CDE.</w:t>
      </w:r>
    </w:p>
    <w:p w14:paraId="5CB101E6" w14:textId="5A879AB8" w:rsidR="007813DC" w:rsidRPr="00ED501F" w:rsidRDefault="007813DC" w:rsidP="00ED501F">
      <w:pPr>
        <w:pStyle w:val="ListParagraph"/>
        <w:numPr>
          <w:ilvl w:val="1"/>
          <w:numId w:val="55"/>
        </w:numPr>
        <w:spacing w:after="240"/>
        <w:ind w:left="360"/>
        <w:contextualSpacing w:val="0"/>
        <w:rPr>
          <w:rFonts w:cs="Arial"/>
        </w:rPr>
      </w:pPr>
      <w:r w:rsidRPr="007D30EE">
        <w:rPr>
          <w:rFonts w:cs="Arial"/>
        </w:rPr>
        <w:t>De-Identification of PII:</w:t>
      </w:r>
      <w:r w:rsidRPr="00ED501F">
        <w:rPr>
          <w:rFonts w:cs="Arial"/>
        </w:rPr>
        <w:t xml:space="preserve"> Contractor may not attempt to create, use or disclose Aggregated Data or other forms of de-identified Data, except as CDE may expressly authorized in writing in the Scope of Work. Any Aggregated Data that is authorized by CDE shall be created in compliance with best practices to minimize</w:t>
      </w:r>
      <w:r w:rsidR="00243D04" w:rsidRPr="00ED501F">
        <w:rPr>
          <w:rFonts w:cs="Arial"/>
        </w:rPr>
        <w:t xml:space="preserve"> </w:t>
      </w:r>
      <w:r w:rsidRPr="00ED501F">
        <w:rPr>
          <w:rFonts w:cs="Arial"/>
        </w:rPr>
        <w:t xml:space="preserve">disclosure risk (e.g., those outlined in the NCES </w:t>
      </w:r>
      <w:r w:rsidRPr="00ED501F">
        <w:rPr>
          <w:rFonts w:cs="Arial"/>
        </w:rPr>
        <w:lastRenderedPageBreak/>
        <w:t>SLDS Technical Brief “</w:t>
      </w:r>
      <w:hyperlink r:id="rId41" w:tooltip="NCES SLDS Technical Brief " w:history="1">
        <w:r w:rsidRPr="00ED501F">
          <w:rPr>
            <w:rStyle w:val="Hyperlink"/>
            <w:rFonts w:cs="Arial"/>
          </w:rPr>
          <w:t>Statistical Methods for Protecting Personally Identifiable Information in Aggregate Reporting</w:t>
        </w:r>
      </w:hyperlink>
      <w:r w:rsidRPr="00ED501F">
        <w:rPr>
          <w:rFonts w:cs="Arial"/>
        </w:rPr>
        <w:t>”) and shall be aggregated using a methodology approved in writing in advance by the CDE.</w:t>
      </w:r>
    </w:p>
    <w:p w14:paraId="37538FFB" w14:textId="6B9E0832" w:rsidR="007813DC" w:rsidRPr="00ED501F" w:rsidRDefault="007813DC" w:rsidP="00ED501F">
      <w:pPr>
        <w:pStyle w:val="ListParagraph"/>
        <w:numPr>
          <w:ilvl w:val="1"/>
          <w:numId w:val="55"/>
        </w:numPr>
        <w:spacing w:after="240"/>
        <w:ind w:left="360"/>
        <w:contextualSpacing w:val="0"/>
        <w:rPr>
          <w:rFonts w:cs="Arial"/>
        </w:rPr>
      </w:pPr>
      <w:r w:rsidRPr="007D30EE">
        <w:rPr>
          <w:rFonts w:cs="Arial"/>
          <w:szCs w:val="16"/>
        </w:rPr>
        <w:t>Data Destruction: C</w:t>
      </w:r>
      <w:r w:rsidRPr="00ED501F">
        <w:rPr>
          <w:rFonts w:cs="Arial"/>
          <w:szCs w:val="16"/>
        </w:rPr>
        <w:t xml:space="preserve">ontractor shall return or destroy in accordance with the CDE’s instructions </w:t>
      </w:r>
      <w:proofErr w:type="gramStart"/>
      <w:r w:rsidRPr="00ED501F">
        <w:rPr>
          <w:rFonts w:cs="Arial"/>
          <w:szCs w:val="16"/>
        </w:rPr>
        <w:t>any and all</w:t>
      </w:r>
      <w:proofErr w:type="gramEnd"/>
      <w:r w:rsidRPr="00ED501F">
        <w:rPr>
          <w:rFonts w:cs="Arial"/>
          <w:szCs w:val="16"/>
        </w:rPr>
        <w:t xml:space="preserve"> CDE Data, including, without limitation, Data: i) provided by CDE hereunder, ii) developed by Contractor for CDE hereunder, or iii) otherwise owned by CDE. Such return or destruction shall occur i) immediately upon CDE’s</w:t>
      </w:r>
      <w:r w:rsidR="00ED501F" w:rsidRPr="00ED501F">
        <w:rPr>
          <w:rFonts w:cs="Arial"/>
          <w:szCs w:val="16"/>
        </w:rPr>
        <w:t xml:space="preserve"> </w:t>
      </w:r>
      <w:r w:rsidRPr="00ED501F">
        <w:rPr>
          <w:rFonts w:cs="Arial"/>
        </w:rPr>
        <w:t>request, ii) immediately upon termination of this agreement, or iii) prior to any merger, combination, acquisition, or other change in control of the Contractor, unless CDE, at its sole discretion, gives prior written consent to the change in control and the appropriate parties execute any additional documents CDE specifies in order to preserve or extend the obligations hereunder. Unless otherwise agreed to in writing by the CDE, such destruction shall include Data that is publicly available; however, nothing herein shall prevent the Contractor from thereafter obtaining such Data from publicly available sources. Contractor agrees to submit a letter to the CDE within thirty (30) calendar days of the destruction of the Data attesting to the destruction of all Data obtained from the CDE under this Agreement.</w:t>
      </w:r>
    </w:p>
    <w:p w14:paraId="4CA874F0" w14:textId="5B3AA2BF" w:rsidR="007813DC" w:rsidRPr="00ED501F" w:rsidRDefault="007813DC" w:rsidP="00ED501F">
      <w:pPr>
        <w:pStyle w:val="ListParagraph"/>
        <w:numPr>
          <w:ilvl w:val="1"/>
          <w:numId w:val="55"/>
        </w:numPr>
        <w:spacing w:after="240"/>
        <w:ind w:left="360"/>
        <w:contextualSpacing w:val="0"/>
        <w:rPr>
          <w:rFonts w:cs="Arial"/>
          <w:b/>
          <w:u w:val="single"/>
        </w:rPr>
      </w:pPr>
      <w:r w:rsidRPr="007D30EE">
        <w:rPr>
          <w:rFonts w:cs="Arial"/>
          <w:bCs/>
        </w:rPr>
        <w:t>Data Ownership and Possession:</w:t>
      </w:r>
      <w:r w:rsidRPr="007D30EE">
        <w:rPr>
          <w:rFonts w:cs="Arial"/>
        </w:rPr>
        <w:t xml:space="preserve"> Contractor</w:t>
      </w:r>
      <w:r w:rsidRPr="00ED501F">
        <w:rPr>
          <w:rFonts w:cs="Arial"/>
        </w:rPr>
        <w:t xml:space="preserve"> acknowledges that </w:t>
      </w:r>
      <w:proofErr w:type="gramStart"/>
      <w:r w:rsidRPr="00ED501F">
        <w:rPr>
          <w:rFonts w:cs="Arial"/>
        </w:rPr>
        <w:t>any and all</w:t>
      </w:r>
      <w:proofErr w:type="gramEnd"/>
      <w:r w:rsidRPr="00ED501F">
        <w:rPr>
          <w:rFonts w:cs="Arial"/>
        </w:rPr>
        <w:t xml:space="preserve"> Data that are collected, developed and/or generated by Contractor at CDE’s expense are the sole and exclusive Proprietary Information of the CDE and may not be used or disclosed by Contractor except as expressly permitted by the CDE in writing. CDE acknowledges that software and Data previously developed by Contractor at Contractor’s sole expense, without contribution or reimbursement from CDE, is Contractor Proprietary Information.</w:t>
      </w:r>
    </w:p>
    <w:p w14:paraId="2319528E" w14:textId="2671DAA0" w:rsidR="0042374C" w:rsidRPr="00ED501F" w:rsidRDefault="007813DC" w:rsidP="00ED501F">
      <w:pPr>
        <w:pStyle w:val="ListParagraph"/>
        <w:numPr>
          <w:ilvl w:val="1"/>
          <w:numId w:val="55"/>
        </w:numPr>
        <w:spacing w:after="240"/>
        <w:ind w:left="360"/>
        <w:contextualSpacing w:val="0"/>
        <w:rPr>
          <w:rFonts w:cs="Arial"/>
          <w:u w:val="single"/>
        </w:rPr>
      </w:pPr>
      <w:r w:rsidRPr="007D30EE">
        <w:rPr>
          <w:rFonts w:cs="Arial"/>
        </w:rPr>
        <w:t>Subsequent Data Disclosures: Notwithst</w:t>
      </w:r>
      <w:r w:rsidRPr="00ED501F">
        <w:rPr>
          <w:rFonts w:cs="Arial"/>
        </w:rPr>
        <w:t>anding any other provision of this Agreement, any future disclosure of PII or Student or Individual-Level Data by the CDE is subject to CDE’s internal approval processes and applicable law</w:t>
      </w:r>
      <w:r w:rsidR="00ED501F" w:rsidRPr="00ED501F">
        <w:rPr>
          <w:rFonts w:cs="Arial"/>
        </w:rPr>
        <w:t>.</w:t>
      </w:r>
    </w:p>
    <w:p w14:paraId="2BD15651" w14:textId="30C33C7A" w:rsidR="008D60E8" w:rsidRPr="00713542" w:rsidRDefault="008D60E8" w:rsidP="003E4C84">
      <w:pPr>
        <w:pStyle w:val="Heading3"/>
      </w:pPr>
      <w:r>
        <w:t>10.</w:t>
      </w:r>
      <w:r w:rsidR="00AA6376">
        <w:t>3</w:t>
      </w:r>
      <w:r>
        <w:t xml:space="preserve"> </w:t>
      </w:r>
      <w:r w:rsidRPr="00713542">
        <w:t>Resolution of Disputes</w:t>
      </w:r>
    </w:p>
    <w:p w14:paraId="18E92F94" w14:textId="571E31A4" w:rsidR="008D60E8" w:rsidRDefault="008D60E8" w:rsidP="008D60E8">
      <w:pPr>
        <w:spacing w:before="240" w:after="240"/>
        <w:rPr>
          <w:rFonts w:cs="Arial"/>
        </w:rPr>
      </w:pPr>
      <w:r w:rsidRPr="00713542">
        <w:rPr>
          <w:rFonts w:cs="Arial"/>
        </w:rPr>
        <w:t xml:space="preserve">If the </w:t>
      </w:r>
      <w:r w:rsidR="00EA483F">
        <w:rPr>
          <w:rFonts w:cs="Arial"/>
        </w:rPr>
        <w:t>C</w:t>
      </w:r>
      <w:r w:rsidR="00EA483F" w:rsidRPr="00713542">
        <w:rPr>
          <w:rFonts w:cs="Arial"/>
        </w:rPr>
        <w:t xml:space="preserve">ontractor </w:t>
      </w:r>
      <w:r w:rsidRPr="00713542">
        <w:rPr>
          <w:rFonts w:cs="Arial"/>
        </w:rPr>
        <w:t xml:space="preserve">disputes any action by the CDE Contract Monitor arising under or out of the performance of this contract, the </w:t>
      </w:r>
      <w:r w:rsidR="00603E33">
        <w:rPr>
          <w:rFonts w:cs="Arial"/>
        </w:rPr>
        <w:t>C</w:t>
      </w:r>
      <w:r w:rsidRPr="00713542">
        <w:rPr>
          <w:rFonts w:cs="Arial"/>
        </w:rPr>
        <w:t xml:space="preserve">ontractor shall notify the </w:t>
      </w:r>
      <w:r w:rsidR="00EA483F">
        <w:rPr>
          <w:rFonts w:cs="Arial"/>
        </w:rPr>
        <w:t>CDE C</w:t>
      </w:r>
      <w:r w:rsidR="00603E33">
        <w:rPr>
          <w:rFonts w:cs="Arial"/>
        </w:rPr>
        <w:t>ontract</w:t>
      </w:r>
      <w:r w:rsidRPr="00713542">
        <w:rPr>
          <w:rFonts w:cs="Arial"/>
        </w:rPr>
        <w:t xml:space="preserve"> </w:t>
      </w:r>
      <w:r w:rsidR="00EA483F">
        <w:rPr>
          <w:rFonts w:cs="Arial"/>
        </w:rPr>
        <w:t>M</w:t>
      </w:r>
      <w:r w:rsidRPr="00713542">
        <w:rPr>
          <w:rFonts w:cs="Arial"/>
        </w:rPr>
        <w:t xml:space="preserve">onitor of the dispute in writing and request a claims decision. The CDE Contract Monitor shall issue a decision within 30 days of the </w:t>
      </w:r>
      <w:r w:rsidR="00603E33">
        <w:rPr>
          <w:rFonts w:cs="Arial"/>
        </w:rPr>
        <w:t>C</w:t>
      </w:r>
      <w:r w:rsidRPr="00713542">
        <w:rPr>
          <w:rFonts w:cs="Arial"/>
        </w:rPr>
        <w:t xml:space="preserve">ontractor's notice. If the </w:t>
      </w:r>
      <w:r w:rsidR="00EA483F">
        <w:rPr>
          <w:rFonts w:cs="Arial"/>
        </w:rPr>
        <w:t>C</w:t>
      </w:r>
      <w:r w:rsidR="00EA483F" w:rsidRPr="00713542">
        <w:rPr>
          <w:rFonts w:cs="Arial"/>
        </w:rPr>
        <w:t xml:space="preserve">ontractor </w:t>
      </w:r>
      <w:r w:rsidRPr="00713542">
        <w:rPr>
          <w:rFonts w:cs="Arial"/>
        </w:rPr>
        <w:t xml:space="preserve">disagrees with the CDE Contract Monitor’s claims decision, the </w:t>
      </w:r>
      <w:r w:rsidR="00603E33">
        <w:rPr>
          <w:rFonts w:cs="Arial"/>
        </w:rPr>
        <w:t>C</w:t>
      </w:r>
      <w:r w:rsidRPr="00713542">
        <w:rPr>
          <w:rFonts w:cs="Arial"/>
        </w:rPr>
        <w:t>ontractor shall submit a formal claim to the Superintendent of Public Instruction or the Superintendent's designee. The decision of the Superintendent shall be final and conclusive on the claim unless the decision is</w:t>
      </w:r>
      <w:r w:rsidRPr="001A00A5">
        <w:rPr>
          <w:rFonts w:cs="Arial"/>
          <w:strike/>
        </w:rPr>
        <w:t xml:space="preserve"> </w:t>
      </w:r>
      <w:r w:rsidRPr="001C416E">
        <w:rPr>
          <w:rFonts w:cs="Arial"/>
        </w:rPr>
        <w:t xml:space="preserve">arbitrary or capricious. The decision may encompass facts, interpretations of the contract, and determinations or applications of law. The decision shall be in writing following an opportunity for the </w:t>
      </w:r>
      <w:r w:rsidR="00603E33">
        <w:rPr>
          <w:rFonts w:cs="Arial"/>
        </w:rPr>
        <w:t>C</w:t>
      </w:r>
      <w:r w:rsidRPr="001C416E">
        <w:rPr>
          <w:rFonts w:cs="Arial"/>
        </w:rPr>
        <w:t>ontractor to present oral or documentary evidence and arguments in support of the claim. Contractor shall continue with the responsibilities under this Agreement during any dispute.</w:t>
      </w:r>
    </w:p>
    <w:p w14:paraId="0F7A4893" w14:textId="07822197" w:rsidR="008D60E8" w:rsidRPr="005420EF" w:rsidRDefault="00AA6376" w:rsidP="003E4C84">
      <w:pPr>
        <w:pStyle w:val="Heading3"/>
      </w:pPr>
      <w:r>
        <w:t>10.4</w:t>
      </w:r>
      <w:r w:rsidR="008D60E8" w:rsidRPr="00152C31">
        <w:t xml:space="preserve"> Right to Terminate </w:t>
      </w:r>
    </w:p>
    <w:p w14:paraId="613EE8A5" w14:textId="00C8CBDD" w:rsidR="008D60E8" w:rsidRPr="00D53A35" w:rsidRDefault="008D60E8" w:rsidP="008D60E8">
      <w:pPr>
        <w:spacing w:before="240" w:after="240"/>
        <w:rPr>
          <w:rFonts w:cs="Arial"/>
          <w:szCs w:val="24"/>
        </w:rPr>
      </w:pPr>
      <w:r w:rsidRPr="00D53A35">
        <w:rPr>
          <w:rFonts w:cs="Arial"/>
          <w:szCs w:val="24"/>
        </w:rPr>
        <w:t xml:space="preserve">The State reserves the right to terminate this </w:t>
      </w:r>
      <w:r>
        <w:rPr>
          <w:rFonts w:cs="Arial"/>
          <w:szCs w:val="24"/>
        </w:rPr>
        <w:t>contract</w:t>
      </w:r>
      <w:r w:rsidRPr="00D53A35">
        <w:rPr>
          <w:rFonts w:cs="Arial"/>
          <w:szCs w:val="24"/>
        </w:rPr>
        <w:t xml:space="preserve"> subject to 30</w:t>
      </w:r>
      <w:r>
        <w:rPr>
          <w:rFonts w:cs="Arial"/>
          <w:szCs w:val="24"/>
        </w:rPr>
        <w:t>-</w:t>
      </w:r>
      <w:r w:rsidRPr="00D53A35">
        <w:rPr>
          <w:rFonts w:cs="Arial"/>
          <w:szCs w:val="24"/>
        </w:rPr>
        <w:t xml:space="preserve">days written notice to the Contractor. Contractor may submit a written request to terminate this </w:t>
      </w:r>
      <w:r>
        <w:rPr>
          <w:rFonts w:cs="Arial"/>
          <w:szCs w:val="24"/>
        </w:rPr>
        <w:t>contract</w:t>
      </w:r>
      <w:r w:rsidRPr="00D53A35">
        <w:rPr>
          <w:rFonts w:cs="Arial"/>
          <w:szCs w:val="24"/>
        </w:rPr>
        <w:t xml:space="preserve"> only if the State should substantially fail to perform its responsibilities as provided herein.</w:t>
      </w:r>
    </w:p>
    <w:p w14:paraId="456FF974" w14:textId="77777777" w:rsidR="008D60E8" w:rsidRPr="00D53A35" w:rsidRDefault="008D60E8" w:rsidP="008D60E8">
      <w:pPr>
        <w:spacing w:before="240" w:after="240"/>
        <w:rPr>
          <w:rFonts w:cs="Arial"/>
          <w:szCs w:val="24"/>
        </w:rPr>
      </w:pPr>
      <w:r w:rsidRPr="00D53A35">
        <w:rPr>
          <w:rFonts w:cs="Arial"/>
          <w:szCs w:val="24"/>
        </w:rPr>
        <w:lastRenderedPageBreak/>
        <w:t xml:space="preserve">However, the </w:t>
      </w:r>
      <w:r>
        <w:rPr>
          <w:rFonts w:cs="Arial"/>
          <w:szCs w:val="24"/>
        </w:rPr>
        <w:t>contract</w:t>
      </w:r>
      <w:r w:rsidRPr="00D53A35">
        <w:rPr>
          <w:rFonts w:cs="Arial"/>
          <w:szCs w:val="24"/>
        </w:rPr>
        <w:t xml:space="preserve"> can be immediately terminated for cause</w:t>
      </w:r>
      <w:r>
        <w:rPr>
          <w:rFonts w:cs="Arial"/>
          <w:szCs w:val="24"/>
        </w:rPr>
        <w:t xml:space="preserve"> by the State</w:t>
      </w:r>
      <w:r w:rsidRPr="00D53A35">
        <w:rPr>
          <w:rFonts w:cs="Arial"/>
          <w:szCs w:val="24"/>
        </w:rPr>
        <w:t>. The term “for cause” shall mean that the Contractor fails to meet the terms, conditions, and/or responsibilities of the contract. In this instance, the contract termination shall be effective as of the date indicated on the State’s notification to the Contractor.</w:t>
      </w:r>
    </w:p>
    <w:p w14:paraId="73C1A61D" w14:textId="17B7BC23" w:rsidR="008D60E8" w:rsidRDefault="008D60E8" w:rsidP="008D60E8">
      <w:pPr>
        <w:spacing w:before="240" w:after="240"/>
        <w:rPr>
          <w:rFonts w:cs="Arial"/>
          <w:szCs w:val="24"/>
        </w:rPr>
      </w:pPr>
      <w:r w:rsidRPr="00D53A35">
        <w:rPr>
          <w:rFonts w:cs="Arial"/>
          <w:szCs w:val="24"/>
        </w:rPr>
        <w:t>This agreement may be suspended or cancelled without notice, at the option of the Contractor, if the Contractor or State’s premises or equipment are destroyed by fire or other catastrophe, or so substantially damaged that it is impractical to continue service, or in the event the Contractor is unable to render services as a result of any action by any governmental authority.</w:t>
      </w:r>
    </w:p>
    <w:p w14:paraId="312CFBEC" w14:textId="577FA3E5" w:rsidR="00ED501F" w:rsidRDefault="00ED501F" w:rsidP="003E4C84">
      <w:pPr>
        <w:pStyle w:val="Heading3"/>
      </w:pPr>
      <w:r>
        <w:t>10.5 Termination for Targets of Economic Sanctions; Executive Order N-6-22 – Russia Sanctions</w:t>
      </w:r>
    </w:p>
    <w:p w14:paraId="25C95A70" w14:textId="77777777" w:rsidR="00ED501F" w:rsidRPr="004C287D" w:rsidRDefault="00ED501F" w:rsidP="00ED501F">
      <w:pPr>
        <w:rPr>
          <w:sz w:val="28"/>
        </w:rPr>
      </w:pPr>
      <w:r w:rsidRPr="004C287D">
        <w:rPr>
          <w:szCs w:val="23"/>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p w14:paraId="4366BD6B" w14:textId="45B2A64F" w:rsidR="0042374C" w:rsidRDefault="00503146" w:rsidP="003E4C84">
      <w:pPr>
        <w:pStyle w:val="Heading3"/>
      </w:pPr>
      <w:r>
        <w:t>1</w:t>
      </w:r>
      <w:r w:rsidR="00C426A0">
        <w:t>0</w:t>
      </w:r>
      <w:r>
        <w:t>.</w:t>
      </w:r>
      <w:r w:rsidR="00ED501F">
        <w:t>6</w:t>
      </w:r>
      <w:r w:rsidR="00AA6376">
        <w:t xml:space="preserve"> </w:t>
      </w:r>
      <w:r w:rsidR="0042374C">
        <w:t>ICT Accessibility Requirements (05/2018)</w:t>
      </w:r>
    </w:p>
    <w:p w14:paraId="4D2791D0" w14:textId="77777777" w:rsidR="0042374C" w:rsidRDefault="0042374C" w:rsidP="0042374C">
      <w:pPr>
        <w:spacing w:after="240"/>
      </w:pPr>
      <w:r>
        <w:t xml:space="preserve">Unless the scope of work expressly provides that the CDE shall be responsible for all 508 </w:t>
      </w:r>
      <w:proofErr w:type="gramStart"/>
      <w:r>
        <w:t>compliance</w:t>
      </w:r>
      <w:proofErr w:type="gramEnd"/>
      <w:r>
        <w:t>:</w:t>
      </w:r>
    </w:p>
    <w:p w14:paraId="0211BF38" w14:textId="0255D76E" w:rsidR="0042374C" w:rsidRDefault="0042374C" w:rsidP="00132985">
      <w:pPr>
        <w:pStyle w:val="ListParagraph"/>
        <w:numPr>
          <w:ilvl w:val="0"/>
          <w:numId w:val="33"/>
        </w:numPr>
        <w:spacing w:after="240"/>
        <w:ind w:left="360" w:hanging="360"/>
        <w:contextualSpacing w:val="0"/>
      </w:pPr>
      <w:r>
        <w:t>Contractor shall, in accordance with California Government Code section 11135 (which requires state agencies to comply with Section 508 of the federal Rehabilitation Act of 1973 (Section 508)), ensure that any and all Information and Communications Technology (ICT) deliverables developed, procured, or maintained as a result of this contract shall comply with state and federal accessibility requirements, including: (i) the California Department of Education’s (CDE) Web Content Accessibility Guidelines (WCA</w:t>
      </w:r>
      <w:r w:rsidR="007579AD">
        <w:t>G) 2.0 at the AA level found at</w:t>
      </w:r>
      <w:r>
        <w:t xml:space="preserve"> </w:t>
      </w:r>
      <w:hyperlink r:id="rId42" w:tooltip="CDE Web Content Accessibility Guidelines 2.0" w:history="1">
        <w:r w:rsidRPr="00E2319F">
          <w:rPr>
            <w:rStyle w:val="Hyperlink"/>
          </w:rPr>
          <w:t>http://www.w3.org/TR/WCAG20/</w:t>
        </w:r>
      </w:hyperlink>
      <w:r>
        <w:t>, (ii) t</w:t>
      </w:r>
      <w:r w:rsidR="007579AD">
        <w:t>he CDE’s Web Standards found at</w:t>
      </w:r>
      <w:r>
        <w:t xml:space="preserve">  </w:t>
      </w:r>
      <w:hyperlink r:id="rId43" w:tooltip="CDE Web Standards web page" w:history="1">
        <w:r w:rsidRPr="00E2319F">
          <w:rPr>
            <w:rStyle w:val="Hyperlink"/>
          </w:rPr>
          <w:t>https://www.cde.ca.gov/re/di/ws/webstandards.asp</w:t>
        </w:r>
      </w:hyperlink>
      <w:r>
        <w:t>, and (iii) the CDE’s Web Application Review Team (WebART) review process</w:t>
      </w:r>
      <w:r w:rsidR="00EA483F">
        <w:t>.</w:t>
      </w:r>
    </w:p>
    <w:p w14:paraId="7DE174F9" w14:textId="25EB8663" w:rsidR="0042374C" w:rsidRDefault="0042374C" w:rsidP="00132985">
      <w:pPr>
        <w:pStyle w:val="ListParagraph"/>
        <w:numPr>
          <w:ilvl w:val="0"/>
          <w:numId w:val="33"/>
        </w:numPr>
        <w:spacing w:after="240"/>
        <w:ind w:left="360" w:hanging="360"/>
        <w:contextualSpacing w:val="0"/>
      </w:pPr>
      <w:r>
        <w:t xml:space="preserve">The definition of “Information and Communications Technology” or “ICT” includes but is not limited to: computer hardware, software, cloud services, websites, web content, web or mobile application, office documents (e.g., MS Word, MS Excel, MS PowerPoint, PDF), multimedia, social media, email, and electronic devices.  </w:t>
      </w:r>
    </w:p>
    <w:p w14:paraId="46C4D95D" w14:textId="610B9F9D" w:rsidR="0042374C" w:rsidRDefault="0042374C" w:rsidP="00132985">
      <w:pPr>
        <w:pStyle w:val="ListParagraph"/>
        <w:numPr>
          <w:ilvl w:val="0"/>
          <w:numId w:val="33"/>
        </w:numPr>
        <w:spacing w:after="240"/>
        <w:ind w:left="360" w:hanging="360"/>
        <w:contextualSpacing w:val="0"/>
      </w:pPr>
      <w:r>
        <w:t xml:space="preserve">Contractor shall employ a section 508 compliance expert with qualifications and experience acceptable to the CDE to: (i) advise Contractor during ICT deliverable development, and (ii) certify in writing on behalf of Contractor that the ICT deliverables are fully compliant with the standards in subsection A above and Section 508 prior to submission to, or use by, the CDE.  Such certification shall also include a statement describing precise methods by which </w:t>
      </w:r>
      <w:r>
        <w:lastRenderedPageBreak/>
        <w:t>compliance was determined, along with the results of testing.  The Contractor is responsible for any costs associated with breach of such certification.</w:t>
      </w:r>
    </w:p>
    <w:p w14:paraId="722FF0A9" w14:textId="4C57619B" w:rsidR="0042374C" w:rsidRDefault="0042374C">
      <w:pPr>
        <w:pStyle w:val="ListParagraph"/>
        <w:numPr>
          <w:ilvl w:val="0"/>
          <w:numId w:val="33"/>
        </w:numPr>
        <w:spacing w:after="240"/>
        <w:ind w:left="360" w:hanging="360"/>
        <w:contextualSpacing w:val="0"/>
      </w:pPr>
      <w:r>
        <w:t>Upon CDE’s request, the Contractor must provide to the CDE all source files for ICT deliverables to the CDE for the purpose of improving accessibility. This may include non-proprietary code, unedited pictures and video, and original documents prior to PDF conversion among others.</w:t>
      </w:r>
    </w:p>
    <w:p w14:paraId="0235DDF3" w14:textId="15AF9E70" w:rsidR="008D60E8" w:rsidRPr="00067322" w:rsidRDefault="00AA6376" w:rsidP="003E4C84">
      <w:pPr>
        <w:pStyle w:val="Heading3"/>
      </w:pPr>
      <w:r>
        <w:t>10.</w:t>
      </w:r>
      <w:r w:rsidR="00ED501F">
        <w:t>7</w:t>
      </w:r>
      <w:r>
        <w:t xml:space="preserve"> </w:t>
      </w:r>
      <w:r w:rsidRPr="00067322">
        <w:t>Prohibition of Discrimination</w:t>
      </w:r>
    </w:p>
    <w:p w14:paraId="2A836320" w14:textId="77777777" w:rsidR="008D60E8" w:rsidRDefault="008D60E8" w:rsidP="00132985">
      <w:pPr>
        <w:spacing w:after="240"/>
        <w:rPr>
          <w:rFonts w:cs="Arial"/>
          <w:szCs w:val="24"/>
        </w:rPr>
      </w:pPr>
      <w:r>
        <w:rPr>
          <w:rFonts w:cs="Arial"/>
          <w:szCs w:val="24"/>
        </w:rPr>
        <w:t>In addition to the non-discrimination requirements in General Terms and Conditions attached as Exhibit C, Contractor and its subcontractors shall comply with Education Code section 220, which prohibits any person from discriminating on the basis of any characteristic that is contained in the definition of hate crimes set forth in Section 422.55 of the Penal Code, including immigration status, in any program or activity conducted in connection with this contract.</w:t>
      </w:r>
    </w:p>
    <w:p w14:paraId="70BAC8B9" w14:textId="64F6BFB9" w:rsidR="008D60E8" w:rsidRDefault="00AA6376" w:rsidP="003E4C84">
      <w:pPr>
        <w:pStyle w:val="Heading3"/>
        <w:rPr>
          <w:u w:val="single"/>
        </w:rPr>
      </w:pPr>
      <w:r>
        <w:t>10.</w:t>
      </w:r>
      <w:r w:rsidR="00ED501F">
        <w:t>8</w:t>
      </w:r>
      <w:r>
        <w:t xml:space="preserve"> </w:t>
      </w:r>
      <w:r w:rsidRPr="002D2C28">
        <w:t>Health and Safety</w:t>
      </w:r>
    </w:p>
    <w:p w14:paraId="5AA39B00" w14:textId="7A7BC214" w:rsidR="008D60E8" w:rsidRPr="001C416E" w:rsidRDefault="008D60E8" w:rsidP="00ED501F">
      <w:pPr>
        <w:rPr>
          <w:rFonts w:cs="Arial"/>
          <w:szCs w:val="24"/>
        </w:rPr>
      </w:pPr>
      <w:r w:rsidRPr="00E31212">
        <w:rPr>
          <w:rFonts w:cs="Arial"/>
          <w:szCs w:val="24"/>
        </w:rPr>
        <w:t>Contractors are required to, at their own expense, comply with all applicable health and safety laws and regulations. Upon notice, Contractors are also required to comply with the state agency’s specific health and safety requirements and policies. Contractors agree to include in any subcontract related to performance of this Agreement, a requirement that the subcontractor comply with all applicable health and safety laws and regulations, and upon notice, the state agency’s specific health and safety requirements and policies.</w:t>
      </w:r>
    </w:p>
    <w:p w14:paraId="38B3AFE0" w14:textId="77777777" w:rsidR="00CB24BA" w:rsidRDefault="00CB24BA">
      <w:pPr>
        <w:rPr>
          <w:rFonts w:eastAsia="Times New Roman" w:cs="Arial"/>
          <w:b/>
          <w:bCs/>
          <w:iCs/>
          <w:sz w:val="40"/>
          <w:szCs w:val="40"/>
        </w:rPr>
      </w:pPr>
      <w:bookmarkStart w:id="31" w:name="_Toc500420520"/>
      <w:r>
        <w:br w:type="page"/>
      </w:r>
    </w:p>
    <w:p w14:paraId="3D8AD324" w14:textId="5844D604" w:rsidR="002150FE" w:rsidRPr="003477FC" w:rsidRDefault="002150FE" w:rsidP="00DC35FD">
      <w:pPr>
        <w:pStyle w:val="Heading2"/>
      </w:pPr>
      <w:bookmarkStart w:id="32" w:name="_Toc152757067"/>
      <w:bookmarkEnd w:id="31"/>
      <w:r w:rsidRPr="003477FC">
        <w:lastRenderedPageBreak/>
        <w:t>1</w:t>
      </w:r>
      <w:r w:rsidR="00C426A0">
        <w:t>1</w:t>
      </w:r>
      <w:r w:rsidRPr="003477FC">
        <w:t>. ADDITIONAL PROVISIONS</w:t>
      </w:r>
      <w:bookmarkEnd w:id="32"/>
    </w:p>
    <w:p w14:paraId="6C4633D6" w14:textId="6BBFE6EE" w:rsidR="00AA6376" w:rsidRDefault="00AA6376" w:rsidP="003E4C84">
      <w:pPr>
        <w:pStyle w:val="Heading3"/>
        <w:rPr>
          <w:szCs w:val="24"/>
        </w:rPr>
      </w:pPr>
      <w:r w:rsidRPr="00FE69FB">
        <w:t>1</w:t>
      </w:r>
      <w:r>
        <w:t>1</w:t>
      </w:r>
      <w:r w:rsidRPr="00FE69FB">
        <w:t>.</w:t>
      </w:r>
      <w:r>
        <w:t xml:space="preserve">1 </w:t>
      </w:r>
      <w:r w:rsidRPr="00FE69FB">
        <w:t>C</w:t>
      </w:r>
      <w:r>
        <w:t xml:space="preserve">ontractor </w:t>
      </w:r>
      <w:r w:rsidRPr="00FE69FB">
        <w:t>E</w:t>
      </w:r>
      <w:r>
        <w:t xml:space="preserve">valuation </w:t>
      </w:r>
      <w:r w:rsidRPr="00FE69FB">
        <w:t>(</w:t>
      </w:r>
      <w:r>
        <w:t>3/06</w:t>
      </w:r>
      <w:r w:rsidRPr="00FE69FB">
        <w:t>)</w:t>
      </w:r>
      <w:r w:rsidRPr="002F048E">
        <w:rPr>
          <w:szCs w:val="24"/>
        </w:rPr>
        <w:t xml:space="preserve"> </w:t>
      </w:r>
    </w:p>
    <w:p w14:paraId="5C3F7B92" w14:textId="77777777" w:rsidR="00AA6376" w:rsidRPr="002F2927" w:rsidRDefault="00AA6376" w:rsidP="00AA6376">
      <w:pPr>
        <w:spacing w:before="240" w:after="240"/>
      </w:pPr>
      <w:r w:rsidRPr="002F2927">
        <w:t>Within sixty (60) days after the completion of this Agreement, the CDE Contract Monitor shall complete a written evaluation of Contractor’s pe</w:t>
      </w:r>
      <w:r>
        <w:t>rformance under this Agreement.</w:t>
      </w:r>
      <w:r w:rsidRPr="002F2927">
        <w:t xml:space="preserve"> If the Contractor did not satisfactorily perform the work, a copy of the evaluation will be sent to the State Department of General Services, Office of Legal Services, and to the Contractor within 15 working days of the completion of the evaluation. (Public Contract Code Section 10369)</w:t>
      </w:r>
    </w:p>
    <w:p w14:paraId="2CDDFB7D" w14:textId="3C0B2D0D" w:rsidR="00AA6376" w:rsidRPr="00D53A35" w:rsidRDefault="00AA6376" w:rsidP="003E4C84">
      <w:pPr>
        <w:pStyle w:val="Heading3"/>
      </w:pPr>
      <w:r w:rsidRPr="00FE69FB">
        <w:t>1</w:t>
      </w:r>
      <w:r>
        <w:t>1</w:t>
      </w:r>
      <w:r w:rsidRPr="00FE69FB">
        <w:t>.</w:t>
      </w:r>
      <w:r>
        <w:t xml:space="preserve">2 </w:t>
      </w:r>
      <w:r w:rsidRPr="00FE69FB">
        <w:t>C</w:t>
      </w:r>
      <w:r>
        <w:t xml:space="preserve">ontractor’s </w:t>
      </w:r>
      <w:r w:rsidRPr="00FE69FB">
        <w:t>R</w:t>
      </w:r>
      <w:r>
        <w:t xml:space="preserve">ights and </w:t>
      </w:r>
      <w:r w:rsidRPr="00FE69FB">
        <w:t>O</w:t>
      </w:r>
      <w:r>
        <w:t>bligations</w:t>
      </w:r>
    </w:p>
    <w:p w14:paraId="5B05BCFB" w14:textId="07155367" w:rsidR="00AA6376" w:rsidRDefault="00AA6376" w:rsidP="00AA6376">
      <w:pPr>
        <w:spacing w:before="240" w:after="240"/>
        <w:rPr>
          <w:rFonts w:cs="Arial"/>
          <w:szCs w:val="24"/>
        </w:rPr>
      </w:pPr>
      <w:r w:rsidRPr="00D53A35">
        <w:rPr>
          <w:rFonts w:cs="Arial"/>
          <w:szCs w:val="24"/>
        </w:rPr>
        <w:t xml:space="preserve">Public Contract Code </w:t>
      </w:r>
      <w:r>
        <w:rPr>
          <w:rFonts w:cs="Arial"/>
          <w:szCs w:val="24"/>
        </w:rPr>
        <w:t>s</w:t>
      </w:r>
      <w:r w:rsidRPr="00D53A35">
        <w:rPr>
          <w:rFonts w:cs="Arial"/>
          <w:szCs w:val="24"/>
        </w:rPr>
        <w:t>ections 10335 through 10381 contain</w:t>
      </w:r>
      <w:r>
        <w:rPr>
          <w:rFonts w:cs="Arial"/>
          <w:szCs w:val="24"/>
        </w:rPr>
        <w:t>s</w:t>
      </w:r>
      <w:r w:rsidRPr="00D53A35">
        <w:rPr>
          <w:rFonts w:cs="Arial"/>
          <w:szCs w:val="24"/>
        </w:rPr>
        <w:t xml:space="preserve"> language describing the </w:t>
      </w:r>
      <w:r w:rsidR="00B435C6">
        <w:rPr>
          <w:rFonts w:cs="Arial"/>
          <w:szCs w:val="24"/>
        </w:rPr>
        <w:t>C</w:t>
      </w:r>
      <w:r w:rsidRPr="00D53A35">
        <w:rPr>
          <w:rFonts w:cs="Arial"/>
          <w:szCs w:val="24"/>
        </w:rPr>
        <w:t>ontractor's duties, obligations an</w:t>
      </w:r>
      <w:r>
        <w:rPr>
          <w:rFonts w:cs="Arial"/>
          <w:szCs w:val="24"/>
        </w:rPr>
        <w:t xml:space="preserve">d rights under this agreement. </w:t>
      </w:r>
      <w:r w:rsidRPr="00D53A35">
        <w:rPr>
          <w:rFonts w:cs="Arial"/>
          <w:szCs w:val="24"/>
        </w:rPr>
        <w:t xml:space="preserve">By signing this agreement, the </w:t>
      </w:r>
      <w:r w:rsidR="00B435C6">
        <w:rPr>
          <w:rFonts w:cs="Arial"/>
          <w:szCs w:val="24"/>
        </w:rPr>
        <w:t>C</w:t>
      </w:r>
      <w:r w:rsidRPr="00D53A35">
        <w:rPr>
          <w:rFonts w:cs="Arial"/>
          <w:szCs w:val="24"/>
        </w:rPr>
        <w:t xml:space="preserve">ontractor certifies that </w:t>
      </w:r>
      <w:r w:rsidR="00EA483F">
        <w:rPr>
          <w:rFonts w:cs="Arial"/>
          <w:szCs w:val="24"/>
        </w:rPr>
        <w:t>they have</w:t>
      </w:r>
      <w:r w:rsidRPr="00D53A35">
        <w:rPr>
          <w:rFonts w:cs="Arial"/>
          <w:szCs w:val="24"/>
        </w:rPr>
        <w:t xml:space="preserve"> been fully informed regarding these provisions of Public Contract Code.</w:t>
      </w:r>
    </w:p>
    <w:p w14:paraId="17515E03" w14:textId="13CC177A" w:rsidR="00AA6376" w:rsidRPr="00D53A35" w:rsidRDefault="00AA6376" w:rsidP="003E4C84">
      <w:pPr>
        <w:pStyle w:val="Heading3"/>
      </w:pPr>
      <w:r w:rsidRPr="00FE69FB">
        <w:t>1</w:t>
      </w:r>
      <w:r>
        <w:t>1</w:t>
      </w:r>
      <w:r w:rsidRPr="00FE69FB">
        <w:t>.</w:t>
      </w:r>
      <w:r>
        <w:t xml:space="preserve">3 </w:t>
      </w:r>
      <w:r w:rsidRPr="00FE69FB">
        <w:t>C</w:t>
      </w:r>
      <w:r>
        <w:t xml:space="preserve">omputer </w:t>
      </w:r>
      <w:r w:rsidRPr="00FE69FB">
        <w:t>S</w:t>
      </w:r>
      <w:r>
        <w:t xml:space="preserve">oftware </w:t>
      </w:r>
      <w:r w:rsidRPr="00FE69FB">
        <w:t>C</w:t>
      </w:r>
      <w:r>
        <w:t xml:space="preserve">opyright </w:t>
      </w:r>
      <w:r w:rsidRPr="00FE69FB">
        <w:t>C</w:t>
      </w:r>
      <w:r>
        <w:t>ompliance</w:t>
      </w:r>
    </w:p>
    <w:p w14:paraId="279055B5" w14:textId="36B6FBF4" w:rsidR="00AA6376" w:rsidRPr="00D53A35" w:rsidRDefault="00AA6376" w:rsidP="00AA6376">
      <w:pPr>
        <w:spacing w:before="240" w:after="240"/>
        <w:rPr>
          <w:rFonts w:cs="Arial"/>
          <w:szCs w:val="24"/>
        </w:rPr>
      </w:pPr>
      <w:r w:rsidRPr="00D53A35">
        <w:rPr>
          <w:rFonts w:cs="Arial"/>
          <w:szCs w:val="24"/>
        </w:rPr>
        <w:t xml:space="preserve">By signing this agreement, the </w:t>
      </w:r>
      <w:r w:rsidR="00B435C6">
        <w:rPr>
          <w:rFonts w:cs="Arial"/>
          <w:szCs w:val="24"/>
        </w:rPr>
        <w:t>C</w:t>
      </w:r>
      <w:r w:rsidRPr="00D53A35">
        <w:rPr>
          <w:rFonts w:cs="Arial"/>
          <w:szCs w:val="24"/>
        </w:rPr>
        <w:t>ontractor certifies that it has appropriate systems and controls in place to ensure that state funds will not be used in the performance of this contract for the acquisition, operation or maintenance of computer software in violation of copyright laws.</w:t>
      </w:r>
    </w:p>
    <w:p w14:paraId="71652E61" w14:textId="4E7F4623" w:rsidR="00AA6376" w:rsidRDefault="00AA6376" w:rsidP="003E4C84">
      <w:pPr>
        <w:pStyle w:val="Heading3"/>
      </w:pPr>
      <w:r>
        <w:t>11.4 Disposition of Equipment</w:t>
      </w:r>
    </w:p>
    <w:p w14:paraId="759E27B3" w14:textId="77777777" w:rsidR="00AA6376" w:rsidRDefault="00AA6376" w:rsidP="00AA6376">
      <w:pPr>
        <w:tabs>
          <w:tab w:val="left" w:pos="-1440"/>
        </w:tabs>
        <w:jc w:val="both"/>
        <w:rPr>
          <w:rFonts w:cs="Arial"/>
          <w:szCs w:val="24"/>
        </w:rPr>
      </w:pPr>
      <w:r w:rsidRPr="00D53A35">
        <w:rPr>
          <w:rFonts w:cs="Arial"/>
          <w:szCs w:val="24"/>
        </w:rPr>
        <w:t>Equipment purchased under the provisions of this agreement is the property of the State and shall be used for its intended purpose duri</w:t>
      </w:r>
      <w:r>
        <w:rPr>
          <w:rFonts w:cs="Arial"/>
          <w:szCs w:val="24"/>
        </w:rPr>
        <w:t xml:space="preserve">ng the term of this agreement. </w:t>
      </w:r>
      <w:r w:rsidRPr="00D53A35">
        <w:rPr>
          <w:rFonts w:cs="Arial"/>
          <w:szCs w:val="24"/>
        </w:rPr>
        <w:t>An inventory of all equipment purchased under this</w:t>
      </w:r>
      <w:r>
        <w:rPr>
          <w:rFonts w:cs="Arial"/>
          <w:szCs w:val="24"/>
        </w:rPr>
        <w:t xml:space="preserve"> agreement shall be maintained.</w:t>
      </w:r>
      <w:r w:rsidRPr="00D53A35">
        <w:rPr>
          <w:rFonts w:cs="Arial"/>
          <w:szCs w:val="24"/>
        </w:rPr>
        <w:t xml:space="preserve"> After the term of this agreement, the equipment shall be </w:t>
      </w:r>
      <w:r>
        <w:rPr>
          <w:rFonts w:cs="Arial"/>
          <w:szCs w:val="24"/>
        </w:rPr>
        <w:t xml:space="preserve">returned or </w:t>
      </w:r>
      <w:r w:rsidRPr="00D53A35">
        <w:rPr>
          <w:rFonts w:cs="Arial"/>
          <w:szCs w:val="24"/>
        </w:rPr>
        <w:t>disposed of in accordance with instructions from the CDE.</w:t>
      </w:r>
    </w:p>
    <w:p w14:paraId="3D8AD325" w14:textId="7393977D" w:rsidR="002150FE" w:rsidRPr="00D53A35" w:rsidRDefault="002150FE" w:rsidP="003E4C84">
      <w:pPr>
        <w:pStyle w:val="Heading3"/>
      </w:pPr>
      <w:r w:rsidRPr="00FE69FB">
        <w:t>1</w:t>
      </w:r>
      <w:r w:rsidR="00C426A0">
        <w:t>1</w:t>
      </w:r>
      <w:r w:rsidRPr="00FE69FB">
        <w:t>.</w:t>
      </w:r>
      <w:r w:rsidR="00AA6376">
        <w:t xml:space="preserve">5 </w:t>
      </w:r>
      <w:r w:rsidRPr="00FE69FB">
        <w:t>C</w:t>
      </w:r>
      <w:r>
        <w:t xml:space="preserve">ontracts </w:t>
      </w:r>
      <w:r w:rsidRPr="00FE69FB">
        <w:t>F</w:t>
      </w:r>
      <w:r>
        <w:t xml:space="preserve">unded </w:t>
      </w:r>
      <w:r w:rsidR="00AD48F4">
        <w:t>b</w:t>
      </w:r>
      <w:r>
        <w:t>y</w:t>
      </w:r>
      <w:r w:rsidRPr="00FE69FB">
        <w:t xml:space="preserve"> </w:t>
      </w:r>
      <w:r w:rsidR="00AD48F4">
        <w:t>t</w:t>
      </w:r>
      <w:r>
        <w:t xml:space="preserve">he </w:t>
      </w:r>
      <w:r w:rsidRPr="00FE69FB">
        <w:t>F</w:t>
      </w:r>
      <w:r>
        <w:t xml:space="preserve">ederal </w:t>
      </w:r>
      <w:r w:rsidRPr="00FE69FB">
        <w:t>G</w:t>
      </w:r>
      <w:r>
        <w:t>overnment</w:t>
      </w:r>
    </w:p>
    <w:p w14:paraId="3D8AD326" w14:textId="77777777" w:rsidR="002150FE" w:rsidRPr="00D53A35" w:rsidRDefault="002150FE" w:rsidP="00F6039A">
      <w:pPr>
        <w:spacing w:before="240" w:after="240"/>
        <w:rPr>
          <w:rFonts w:cs="Arial"/>
          <w:iCs/>
          <w:szCs w:val="24"/>
        </w:rPr>
      </w:pPr>
      <w:r w:rsidRPr="00D53A35">
        <w:rPr>
          <w:rFonts w:cs="Arial"/>
          <w:iCs/>
          <w:szCs w:val="24"/>
        </w:rPr>
        <w:t xml:space="preserve">It is mutually understood between the parties that this contract may have been written before ascertaining the availability of congressional appropriation of funds, for the mutual benefit of both parties, </w:t>
      </w:r>
      <w:proofErr w:type="gramStart"/>
      <w:r w:rsidRPr="00D53A35">
        <w:rPr>
          <w:rFonts w:cs="Arial"/>
          <w:iCs/>
          <w:szCs w:val="24"/>
        </w:rPr>
        <w:t>in order to</w:t>
      </w:r>
      <w:proofErr w:type="gramEnd"/>
      <w:r w:rsidRPr="00D53A35">
        <w:rPr>
          <w:rFonts w:cs="Arial"/>
          <w:iCs/>
          <w:szCs w:val="24"/>
        </w:rPr>
        <w:t xml:space="preserve"> avoid program and fiscal delays which would occur if the contract were executed after that determination was made.</w:t>
      </w:r>
    </w:p>
    <w:p w14:paraId="3D8AD327" w14:textId="77777777" w:rsidR="002150FE" w:rsidRPr="00D53A35" w:rsidRDefault="002150FE" w:rsidP="00F6039A">
      <w:pPr>
        <w:tabs>
          <w:tab w:val="left" w:pos="360"/>
        </w:tabs>
        <w:spacing w:before="240" w:after="240"/>
        <w:rPr>
          <w:rFonts w:cs="Arial"/>
          <w:iCs/>
          <w:szCs w:val="24"/>
        </w:rPr>
      </w:pPr>
      <w:r w:rsidRPr="00D53A35">
        <w:rPr>
          <w:rFonts w:cs="Arial"/>
          <w:iCs/>
          <w:szCs w:val="24"/>
        </w:rPr>
        <w:t>This contract is valid and enforceable only if sufficient funds are made available to the State by the United States Government for Fiscal Year(s)</w:t>
      </w:r>
      <w:r>
        <w:rPr>
          <w:rFonts w:cs="Arial"/>
          <w:iCs/>
          <w:szCs w:val="24"/>
        </w:rPr>
        <w:t xml:space="preserve"> </w:t>
      </w:r>
      <w:r w:rsidRPr="00D53A35">
        <w:rPr>
          <w:rFonts w:cs="Arial"/>
          <w:iCs/>
          <w:szCs w:val="24"/>
        </w:rPr>
        <w:t>covered by this agreement fo</w:t>
      </w:r>
      <w:r w:rsidR="00BC514B">
        <w:rPr>
          <w:rFonts w:cs="Arial"/>
          <w:iCs/>
          <w:szCs w:val="24"/>
        </w:rPr>
        <w:t>r the purposes of this program.</w:t>
      </w:r>
      <w:r w:rsidRPr="00D53A35">
        <w:rPr>
          <w:rFonts w:cs="Arial"/>
          <w:iCs/>
          <w:szCs w:val="24"/>
        </w:rPr>
        <w:t xml:space="preserve"> In addition, this contract is subject to any additional restrictions, limitations, or conditions enacted by the Congress or any statute enacted by the Congress, which may affect the provisions, terms, or funding of this contract in any manner.</w:t>
      </w:r>
    </w:p>
    <w:p w14:paraId="3D8AD328" w14:textId="77777777" w:rsidR="002150FE" w:rsidRPr="00D53A35" w:rsidRDefault="002150FE" w:rsidP="00F6039A">
      <w:pPr>
        <w:tabs>
          <w:tab w:val="left" w:pos="360"/>
        </w:tabs>
        <w:spacing w:before="240" w:after="240"/>
        <w:rPr>
          <w:rFonts w:cs="Arial"/>
          <w:iCs/>
          <w:szCs w:val="24"/>
        </w:rPr>
      </w:pPr>
      <w:r w:rsidRPr="00D53A35">
        <w:rPr>
          <w:rFonts w:cs="Arial"/>
          <w:iCs/>
          <w:szCs w:val="24"/>
        </w:rPr>
        <w:t>It is mutually agreed that if Congress does not appropriate sufficient funds for the program, this contract shall be amended to reflect any reduction in funds.</w:t>
      </w:r>
    </w:p>
    <w:p w14:paraId="3D8AD329" w14:textId="77777777" w:rsidR="002150FE" w:rsidRPr="00D53A35" w:rsidRDefault="002150FE" w:rsidP="00F6039A">
      <w:pPr>
        <w:tabs>
          <w:tab w:val="left" w:pos="360"/>
        </w:tabs>
        <w:spacing w:before="240" w:after="240"/>
        <w:rPr>
          <w:rFonts w:cs="Arial"/>
          <w:iCs/>
          <w:szCs w:val="24"/>
        </w:rPr>
      </w:pPr>
      <w:r w:rsidRPr="00D53A35">
        <w:rPr>
          <w:rFonts w:cs="Arial"/>
          <w:iCs/>
          <w:szCs w:val="24"/>
        </w:rPr>
        <w:lastRenderedPageBreak/>
        <w:t>The department has the option to void the contract under the 30-day cancellation clause or to amend the contract to reflect any reduction of funds.</w:t>
      </w:r>
    </w:p>
    <w:p w14:paraId="3D8AD32A" w14:textId="7F9186F2" w:rsidR="002150FE" w:rsidRPr="00D53A35" w:rsidRDefault="002150FE" w:rsidP="00F6039A">
      <w:pPr>
        <w:tabs>
          <w:tab w:val="left" w:pos="360"/>
        </w:tabs>
        <w:spacing w:before="240" w:after="240"/>
        <w:rPr>
          <w:rFonts w:cs="Arial"/>
          <w:iCs/>
          <w:szCs w:val="24"/>
        </w:rPr>
      </w:pPr>
      <w:r w:rsidRPr="00D53A35">
        <w:rPr>
          <w:rFonts w:cs="Arial"/>
          <w:iCs/>
          <w:szCs w:val="24"/>
        </w:rPr>
        <w:t xml:space="preserve">The recipient shall comply with the Single Audit Act and the reporting requirements set forth in </w:t>
      </w:r>
      <w:r w:rsidR="00D7106E">
        <w:rPr>
          <w:rFonts w:cs="Arial"/>
          <w:iCs/>
          <w:szCs w:val="24"/>
        </w:rPr>
        <w:t>Uniform Administrative Requirements, Cost Principles, and Audit Requirements for Federal Awards, 2 CFR Part 200.</w:t>
      </w:r>
    </w:p>
    <w:p w14:paraId="3D8AD335" w14:textId="743286A8" w:rsidR="002150FE" w:rsidRDefault="002150FE" w:rsidP="003E4C84">
      <w:pPr>
        <w:pStyle w:val="Heading3"/>
      </w:pPr>
      <w:r w:rsidRPr="00FE69FB">
        <w:t>1</w:t>
      </w:r>
      <w:r w:rsidR="00C426A0">
        <w:t>1</w:t>
      </w:r>
      <w:r w:rsidRPr="00FE69FB">
        <w:t>.6</w:t>
      </w:r>
      <w:r>
        <w:t xml:space="preserve"> </w:t>
      </w:r>
      <w:r w:rsidRPr="00FE69FB">
        <w:t>P</w:t>
      </w:r>
      <w:r>
        <w:t xml:space="preserve">rohibition </w:t>
      </w:r>
      <w:r w:rsidRPr="00FE69FB">
        <w:t>A</w:t>
      </w:r>
      <w:r>
        <w:t xml:space="preserve">gainst </w:t>
      </w:r>
      <w:r w:rsidRPr="00FE69FB">
        <w:t>O</w:t>
      </w:r>
      <w:r>
        <w:t xml:space="preserve">utside </w:t>
      </w:r>
      <w:r w:rsidRPr="00FE69FB">
        <w:t>A</w:t>
      </w:r>
      <w:r>
        <w:t>greements</w:t>
      </w:r>
    </w:p>
    <w:p w14:paraId="3D8AD336" w14:textId="5C755042" w:rsidR="002150FE" w:rsidRPr="00D53A35" w:rsidRDefault="002150FE" w:rsidP="00F6039A">
      <w:pPr>
        <w:keepNext/>
        <w:keepLines/>
        <w:spacing w:before="240" w:after="240"/>
        <w:rPr>
          <w:rFonts w:cs="Arial"/>
          <w:szCs w:val="24"/>
        </w:rPr>
      </w:pPr>
      <w:r w:rsidRPr="00D53A35">
        <w:rPr>
          <w:rFonts w:cs="Arial"/>
          <w:szCs w:val="24"/>
        </w:rPr>
        <w:t xml:space="preserve">The </w:t>
      </w:r>
      <w:r w:rsidR="00B435C6">
        <w:rPr>
          <w:rFonts w:cs="Arial"/>
          <w:szCs w:val="24"/>
        </w:rPr>
        <w:t>C</w:t>
      </w:r>
      <w:r w:rsidRPr="00D53A35">
        <w:rPr>
          <w:rFonts w:cs="Arial"/>
          <w:szCs w:val="24"/>
        </w:rPr>
        <w:t>ontractor or subcontractor(s) shall not enter into agreements related to products and/or services of this contract with any out-of-state agency or organization. Any out-of-state agency or organization shall negotiate with the CDE for products and/or services pertaining to this contract.</w:t>
      </w:r>
    </w:p>
    <w:p w14:paraId="3D8AD337" w14:textId="2208237B" w:rsidR="002150FE" w:rsidRDefault="002150FE" w:rsidP="003E4C84">
      <w:pPr>
        <w:pStyle w:val="Heading3"/>
      </w:pPr>
      <w:r w:rsidRPr="00FE69FB">
        <w:t>1</w:t>
      </w:r>
      <w:r w:rsidR="00C426A0">
        <w:t>1</w:t>
      </w:r>
      <w:r w:rsidRPr="00FE69FB">
        <w:t>.7 M</w:t>
      </w:r>
      <w:r>
        <w:t xml:space="preserve">aterial </w:t>
      </w:r>
      <w:r w:rsidRPr="00FE69FB">
        <w:t>D</w:t>
      </w:r>
      <w:r>
        <w:t xml:space="preserve">eveloped </w:t>
      </w:r>
      <w:r w:rsidRPr="00FE69FB">
        <w:t>U</w:t>
      </w:r>
      <w:r>
        <w:t xml:space="preserve">nder </w:t>
      </w:r>
      <w:r w:rsidR="00B421E5">
        <w:t>t</w:t>
      </w:r>
      <w:r>
        <w:t xml:space="preserve">he </w:t>
      </w:r>
      <w:r w:rsidRPr="00FE69FB">
        <w:t>T</w:t>
      </w:r>
      <w:r>
        <w:t xml:space="preserve">erms </w:t>
      </w:r>
      <w:r w:rsidR="00B421E5">
        <w:t>o</w:t>
      </w:r>
      <w:r>
        <w:t>f</w:t>
      </w:r>
      <w:r w:rsidRPr="00FE69FB">
        <w:t xml:space="preserve"> T</w:t>
      </w:r>
      <w:r>
        <w:t>his</w:t>
      </w:r>
      <w:r w:rsidRPr="00FE69FB">
        <w:t xml:space="preserve"> A</w:t>
      </w:r>
      <w:r>
        <w:t>greement</w:t>
      </w:r>
    </w:p>
    <w:p w14:paraId="3D8AD338" w14:textId="68511C18" w:rsidR="002150FE" w:rsidRPr="00D53A35" w:rsidRDefault="002150FE" w:rsidP="00F6039A">
      <w:pPr>
        <w:spacing w:before="240" w:after="240"/>
        <w:rPr>
          <w:rFonts w:cs="Arial"/>
          <w:szCs w:val="24"/>
        </w:rPr>
      </w:pPr>
      <w:r w:rsidRPr="00D53A35">
        <w:rPr>
          <w:rFonts w:cs="Arial"/>
          <w:szCs w:val="24"/>
        </w:rPr>
        <w:t xml:space="preserve">All materials developed under the terms of this </w:t>
      </w:r>
      <w:r>
        <w:rPr>
          <w:rFonts w:cs="Arial"/>
          <w:szCs w:val="24"/>
        </w:rPr>
        <w:t>contract</w:t>
      </w:r>
      <w:r w:rsidRPr="00D53A35">
        <w:rPr>
          <w:rFonts w:cs="Arial"/>
          <w:szCs w:val="24"/>
        </w:rPr>
        <w:t xml:space="preserve"> shall be considered </w:t>
      </w:r>
      <w:proofErr w:type="gramStart"/>
      <w:r w:rsidRPr="00D53A35">
        <w:rPr>
          <w:rFonts w:cs="Arial"/>
          <w:szCs w:val="24"/>
        </w:rPr>
        <w:t>a work</w:t>
      </w:r>
      <w:proofErr w:type="gramEnd"/>
      <w:r w:rsidRPr="00D53A35">
        <w:rPr>
          <w:rFonts w:cs="Arial"/>
          <w:szCs w:val="24"/>
        </w:rPr>
        <w:t xml:space="preserve"> made for hire. The State, therefore, reserves the exclusive right to copyright and publish, disseminate, and otherwise use the material developed under the terms of this agreement in whatever way it deems appropriate.</w:t>
      </w:r>
    </w:p>
    <w:p w14:paraId="3D8AD339" w14:textId="77777777" w:rsidR="002150FE" w:rsidRPr="00D53A35" w:rsidRDefault="002150FE" w:rsidP="00F6039A">
      <w:pPr>
        <w:spacing w:before="240" w:after="240"/>
        <w:rPr>
          <w:rFonts w:cs="Arial"/>
          <w:szCs w:val="24"/>
        </w:rPr>
      </w:pPr>
      <w:r w:rsidRPr="00D53A35">
        <w:rPr>
          <w:rFonts w:cs="Arial"/>
          <w:szCs w:val="24"/>
        </w:rPr>
        <w:t>Any material that is not acceptable to the state may be rejected by the State at its discretion. Notice of such a rejection shall be given to the contractor by the state within</w:t>
      </w:r>
      <w:r w:rsidR="004B7C2C">
        <w:rPr>
          <w:rFonts w:cs="Arial"/>
          <w:szCs w:val="24"/>
        </w:rPr>
        <w:t xml:space="preserve"> </w:t>
      </w:r>
      <w:r w:rsidRPr="00D53A35">
        <w:rPr>
          <w:rFonts w:cs="Arial"/>
          <w:szCs w:val="24"/>
        </w:rPr>
        <w:t>10</w:t>
      </w:r>
      <w:r w:rsidR="004B7C2C">
        <w:rPr>
          <w:rFonts w:cs="Arial"/>
          <w:szCs w:val="24"/>
        </w:rPr>
        <w:t>-</w:t>
      </w:r>
      <w:r w:rsidRPr="00D53A35">
        <w:rPr>
          <w:rFonts w:cs="Arial"/>
          <w:szCs w:val="24"/>
        </w:rPr>
        <w:t>days of receipt of the materials, and final payment shall not be made for such material until substantial compliance has been obtained within the time and manner determined by the State.</w:t>
      </w:r>
    </w:p>
    <w:p w14:paraId="3D8AD33C" w14:textId="545449FF" w:rsidR="002150FE" w:rsidRPr="0009364B" w:rsidRDefault="002150FE" w:rsidP="003E4C84">
      <w:pPr>
        <w:pStyle w:val="Heading3"/>
      </w:pPr>
      <w:r w:rsidRPr="00FE69FB">
        <w:t>1</w:t>
      </w:r>
      <w:r w:rsidR="00C426A0">
        <w:t>1</w:t>
      </w:r>
      <w:r w:rsidRPr="00FE69FB">
        <w:t>.</w:t>
      </w:r>
      <w:r w:rsidR="00AA6376">
        <w:t>8</w:t>
      </w:r>
      <w:r w:rsidR="00AA6376" w:rsidRPr="00FE69FB">
        <w:t xml:space="preserve"> </w:t>
      </w:r>
      <w:r w:rsidRPr="00FE69FB">
        <w:t>P</w:t>
      </w:r>
      <w:r>
        <w:t xml:space="preserve">otential </w:t>
      </w:r>
      <w:r w:rsidRPr="00FE69FB">
        <w:t>S</w:t>
      </w:r>
      <w:r>
        <w:t>ubcontractors</w:t>
      </w:r>
    </w:p>
    <w:p w14:paraId="3D8AD33D" w14:textId="155DFD37" w:rsidR="002150FE" w:rsidRDefault="002150FE" w:rsidP="00F6039A">
      <w:pPr>
        <w:spacing w:before="240" w:after="240"/>
        <w:rPr>
          <w:rFonts w:cs="Arial"/>
          <w:color w:val="000000"/>
          <w:szCs w:val="24"/>
        </w:rPr>
      </w:pPr>
      <w:r w:rsidRPr="0009364B">
        <w:rPr>
          <w:rFonts w:cs="Arial"/>
          <w:color w:val="000000"/>
          <w:szCs w:val="24"/>
        </w:rPr>
        <w:t xml:space="preserve">Nothing contained in this </w:t>
      </w:r>
      <w:r>
        <w:rPr>
          <w:rFonts w:cs="Arial"/>
          <w:color w:val="000000"/>
          <w:szCs w:val="24"/>
        </w:rPr>
        <w:t>Contract</w:t>
      </w:r>
      <w:r w:rsidRPr="0009364B">
        <w:rPr>
          <w:rFonts w:cs="Arial"/>
          <w:color w:val="000000"/>
          <w:szCs w:val="24"/>
        </w:rPr>
        <w:t xml:space="preserve"> or otherwise, shall create any contractual relation between the State and any subcontractors, and no subcontract shall relieve the Contractor of </w:t>
      </w:r>
      <w:r w:rsidR="00EA483F">
        <w:rPr>
          <w:rFonts w:cs="Arial"/>
          <w:color w:val="000000"/>
          <w:szCs w:val="24"/>
        </w:rPr>
        <w:t>their</w:t>
      </w:r>
      <w:r w:rsidR="00EA483F" w:rsidRPr="0009364B">
        <w:rPr>
          <w:rFonts w:cs="Arial"/>
          <w:color w:val="000000"/>
          <w:szCs w:val="24"/>
        </w:rPr>
        <w:t xml:space="preserve"> </w:t>
      </w:r>
      <w:r w:rsidRPr="0009364B">
        <w:rPr>
          <w:rFonts w:cs="Arial"/>
          <w:color w:val="000000"/>
          <w:szCs w:val="24"/>
        </w:rPr>
        <w:t>responsibilities and obligations hereunder. The Contractor agrees to be as fully responsible to the State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the State's obligation to make payments to the Contractor. As a result, the State shall have no obligation to pay or to enforce the payment of any moneys to any subcontractor.</w:t>
      </w:r>
    </w:p>
    <w:p w14:paraId="3A9124DA" w14:textId="40A78B70" w:rsidR="00AA6376" w:rsidRPr="00D53A35" w:rsidRDefault="00AA6376" w:rsidP="003E4C84">
      <w:pPr>
        <w:pStyle w:val="Heading3"/>
      </w:pPr>
      <w:r w:rsidRPr="00FE69FB">
        <w:t>1</w:t>
      </w:r>
      <w:r>
        <w:t>1</w:t>
      </w:r>
      <w:r w:rsidRPr="00FE69FB">
        <w:t>.</w:t>
      </w:r>
      <w:r>
        <w:t xml:space="preserve">9 </w:t>
      </w:r>
      <w:r w:rsidRPr="00FE69FB">
        <w:t>S</w:t>
      </w:r>
      <w:r>
        <w:t xml:space="preserve">taff </w:t>
      </w:r>
      <w:r w:rsidRPr="00FE69FB">
        <w:t>R</w:t>
      </w:r>
      <w:r>
        <w:t>eplacements</w:t>
      </w:r>
    </w:p>
    <w:p w14:paraId="6D3F9AC1" w14:textId="4CD93740" w:rsidR="00137D0D" w:rsidRDefault="00AA6376" w:rsidP="00AA6376">
      <w:pPr>
        <w:spacing w:before="240" w:after="240"/>
        <w:rPr>
          <w:rFonts w:eastAsia="Times New Roman" w:cs="Arial"/>
          <w:snapToGrid w:val="0"/>
          <w:szCs w:val="20"/>
        </w:rPr>
      </w:pPr>
      <w:r w:rsidRPr="00D53A35">
        <w:rPr>
          <w:rFonts w:cs="Arial"/>
          <w:szCs w:val="24"/>
        </w:rPr>
        <w:t xml:space="preserve">The </w:t>
      </w:r>
      <w:r w:rsidR="00EA483F">
        <w:rPr>
          <w:rFonts w:cs="Arial"/>
          <w:szCs w:val="24"/>
        </w:rPr>
        <w:t>C</w:t>
      </w:r>
      <w:r w:rsidR="00EA483F" w:rsidRPr="00D53A35">
        <w:rPr>
          <w:rFonts w:cs="Arial"/>
          <w:szCs w:val="24"/>
        </w:rPr>
        <w:t xml:space="preserve">ontractor </w:t>
      </w:r>
      <w:r w:rsidRPr="00D53A35">
        <w:rPr>
          <w:rFonts w:cs="Arial"/>
          <w:szCs w:val="24"/>
        </w:rPr>
        <w:t xml:space="preserve">will be required to obtain prior approval from the CDE </w:t>
      </w:r>
      <w:r w:rsidR="00B435C6">
        <w:rPr>
          <w:rFonts w:cs="Arial"/>
          <w:szCs w:val="24"/>
        </w:rPr>
        <w:t>C</w:t>
      </w:r>
      <w:r w:rsidRPr="00D53A35">
        <w:rPr>
          <w:rFonts w:cs="Arial"/>
          <w:szCs w:val="24"/>
        </w:rPr>
        <w:t xml:space="preserve">ontract </w:t>
      </w:r>
      <w:r w:rsidR="00B435C6">
        <w:rPr>
          <w:rFonts w:cs="Arial"/>
          <w:szCs w:val="24"/>
        </w:rPr>
        <w:t>M</w:t>
      </w:r>
      <w:r w:rsidRPr="00D53A35">
        <w:rPr>
          <w:rFonts w:cs="Arial"/>
          <w:szCs w:val="24"/>
        </w:rPr>
        <w:t xml:space="preserve">onitor before changing </w:t>
      </w:r>
      <w:r>
        <w:rPr>
          <w:rFonts w:cs="Arial"/>
          <w:szCs w:val="24"/>
        </w:rPr>
        <w:t xml:space="preserve">named </w:t>
      </w:r>
      <w:r w:rsidRPr="00D53A35">
        <w:rPr>
          <w:rFonts w:cs="Arial"/>
          <w:szCs w:val="24"/>
        </w:rPr>
        <w:t>project personnel.</w:t>
      </w:r>
      <w:r>
        <w:rPr>
          <w:rFonts w:cs="Arial"/>
          <w:szCs w:val="24"/>
        </w:rPr>
        <w:t xml:space="preserve"> </w:t>
      </w:r>
      <w:r>
        <w:rPr>
          <w:rFonts w:eastAsia="Times New Roman" w:cs="Arial"/>
          <w:snapToGrid w:val="0"/>
          <w:szCs w:val="20"/>
        </w:rPr>
        <w:t xml:space="preserve">When changing or substituting named key personnel (including Project Manager, and Fiscal Manager, subcontractors, etc.), the </w:t>
      </w:r>
      <w:r w:rsidR="00B435C6">
        <w:rPr>
          <w:rFonts w:eastAsia="Times New Roman" w:cs="Arial"/>
          <w:snapToGrid w:val="0"/>
          <w:szCs w:val="20"/>
        </w:rPr>
        <w:t>C</w:t>
      </w:r>
      <w:r>
        <w:rPr>
          <w:rFonts w:eastAsia="Times New Roman" w:cs="Arial"/>
          <w:snapToGrid w:val="0"/>
          <w:szCs w:val="20"/>
        </w:rPr>
        <w:t>ontractor must obtain prior approval from CDE C</w:t>
      </w:r>
      <w:r w:rsidRPr="00E67354">
        <w:rPr>
          <w:rFonts w:eastAsia="Times New Roman" w:cs="Arial"/>
          <w:snapToGrid w:val="0"/>
          <w:szCs w:val="20"/>
        </w:rPr>
        <w:t>ontract Monitor</w:t>
      </w:r>
      <w:r>
        <w:rPr>
          <w:rFonts w:eastAsia="Times New Roman" w:cs="Arial"/>
          <w:snapToGrid w:val="0"/>
          <w:szCs w:val="20"/>
        </w:rPr>
        <w:t xml:space="preserve"> </w:t>
      </w:r>
      <w:r w:rsidRPr="00E67354">
        <w:rPr>
          <w:rFonts w:eastAsia="Times New Roman" w:cs="Arial"/>
          <w:snapToGrid w:val="0"/>
          <w:szCs w:val="20"/>
        </w:rPr>
        <w:t>and formal amendment approved by the Department of General Services. The substitute personnel shall meet or exceed the qualifications and experience level of the previously assigned project staff/personnel.</w:t>
      </w:r>
      <w:r w:rsidR="00137D0D">
        <w:rPr>
          <w:rFonts w:eastAsia="Times New Roman" w:cs="Arial"/>
          <w:snapToGrid w:val="0"/>
          <w:szCs w:val="20"/>
        </w:rPr>
        <w:br w:type="page"/>
      </w:r>
    </w:p>
    <w:p w14:paraId="7FE2F9DB" w14:textId="5A670C5C" w:rsidR="00C82ABF" w:rsidRDefault="00C82ABF" w:rsidP="003E4C84">
      <w:pPr>
        <w:pStyle w:val="Heading3"/>
        <w:rPr>
          <w:u w:val="single"/>
        </w:rPr>
      </w:pPr>
      <w:r>
        <w:lastRenderedPageBreak/>
        <w:t>11.10 Follow-on Contracts</w:t>
      </w:r>
    </w:p>
    <w:p w14:paraId="4198487C" w14:textId="77777777" w:rsidR="00C82ABF" w:rsidRDefault="00C82ABF" w:rsidP="00C82ABF">
      <w:pPr>
        <w:pStyle w:val="NormalWeb"/>
        <w:spacing w:before="0" w:after="240"/>
        <w:rPr>
          <w:rFonts w:ascii="Arial" w:hAnsi="Arial"/>
        </w:rPr>
      </w:pPr>
      <w:r>
        <w:rPr>
          <w:rFonts w:ascii="Arial" w:hAnsi="Arial"/>
        </w:rPr>
        <w:t xml:space="preserve">No contractor, subcontractor, person, firm, or subsidiary thereof who has been awarded a consulting services contract, or a contract which includes a consulting component, (see PCC </w:t>
      </w:r>
      <w:r>
        <w:rPr>
          <w:rFonts w:ascii="Arial" w:hAnsi="Arial" w:cs="Arial"/>
        </w:rPr>
        <w:t>section</w:t>
      </w:r>
      <w:r>
        <w:rPr>
          <w:rFonts w:ascii="Arial" w:hAnsi="Arial"/>
        </w:rPr>
        <w:t xml:space="preserve"> 10335.5) may be awarded a contract for the provision of services, delivery of goods or supplies, or any other related action, which is required, suggested, or otherwise deemed appropriate as an end product of the consulting services contract (see PCC </w:t>
      </w:r>
      <w:r>
        <w:rPr>
          <w:rFonts w:ascii="Arial" w:hAnsi="Arial" w:cs="Arial"/>
        </w:rPr>
        <w:t>section</w:t>
      </w:r>
      <w:r>
        <w:rPr>
          <w:rFonts w:ascii="Arial" w:hAnsi="Arial"/>
        </w:rPr>
        <w:t xml:space="preserve"> 10365.5).</w:t>
      </w:r>
    </w:p>
    <w:p w14:paraId="7D1F66A4" w14:textId="02E02649" w:rsidR="00A8796F" w:rsidRDefault="00A8796F" w:rsidP="003E4C84">
      <w:pPr>
        <w:pStyle w:val="Heading3"/>
      </w:pPr>
      <w:r>
        <w:t>1</w:t>
      </w:r>
      <w:r w:rsidR="00C426A0">
        <w:t>1</w:t>
      </w:r>
      <w:r>
        <w:t>.1</w:t>
      </w:r>
      <w:r w:rsidR="00C82ABF">
        <w:t>1</w:t>
      </w:r>
      <w:r>
        <w:t xml:space="preserve"> Contract Requirements Related to DVBE Participation </w:t>
      </w:r>
      <w:r w:rsidR="00AA6376">
        <w:t>Compliance</w:t>
      </w:r>
      <w:r>
        <w:t xml:space="preserve"> </w:t>
      </w:r>
    </w:p>
    <w:p w14:paraId="0A7B47B2" w14:textId="6176EF2A" w:rsidR="00CA472D" w:rsidRDefault="00CA472D" w:rsidP="00CA472D">
      <w:pPr>
        <w:pStyle w:val="ListParagraph"/>
        <w:numPr>
          <w:ilvl w:val="1"/>
          <w:numId w:val="21"/>
        </w:numPr>
        <w:spacing w:after="240"/>
        <w:ind w:left="360"/>
        <w:contextualSpacing w:val="0"/>
      </w:pPr>
      <w:bookmarkStart w:id="33" w:name="_Hlk101535423"/>
      <w:r>
        <w:t xml:space="preserve">DVBE Substitution: If awarded the contract, the Contractor must use the DVBE subcontractors and/or supplier(s) in its proposal unless the </w:t>
      </w:r>
      <w:r w:rsidR="00B435C6">
        <w:t>C</w:t>
      </w:r>
      <w:r>
        <w:t>ontractor requested substitution via prior written notice to the CDE and the CDE may consent to the substitution of another person as a subcontractor in any of the following situations:</w:t>
      </w:r>
    </w:p>
    <w:p w14:paraId="367A2C44" w14:textId="14B86435" w:rsidR="00CA472D" w:rsidRDefault="00CA472D" w:rsidP="00CA472D">
      <w:pPr>
        <w:pStyle w:val="ListParagraph"/>
        <w:numPr>
          <w:ilvl w:val="1"/>
          <w:numId w:val="27"/>
        </w:numPr>
        <w:spacing w:after="240"/>
        <w:ind w:left="720"/>
        <w:contextualSpacing w:val="0"/>
      </w:pPr>
      <w:r>
        <w:t>When the subcontractor listed in the bid, after having had a reasonable opportunity to do so, fa</w:t>
      </w:r>
      <w:r w:rsidR="00EA483F">
        <w:t>i</w:t>
      </w:r>
      <w:r>
        <w:t>ls or refuses to execute a written contract, when that written contract based upon the general terms, conditions, plans and specifications for the project involved or the terms of that subcontractor's written bid, is presented to the subcontractor by the prime Contractor.</w:t>
      </w:r>
    </w:p>
    <w:p w14:paraId="0800F3D0" w14:textId="77777777" w:rsidR="00CA472D" w:rsidRDefault="00CA472D" w:rsidP="00CA472D">
      <w:pPr>
        <w:pStyle w:val="ListParagraph"/>
        <w:numPr>
          <w:ilvl w:val="1"/>
          <w:numId w:val="27"/>
        </w:numPr>
        <w:spacing w:after="240"/>
        <w:ind w:left="720"/>
        <w:contextualSpacing w:val="0"/>
      </w:pPr>
      <w:r>
        <w:t>When the listed subcontractor becomes bankrupt or insolvent or goes out of business.</w:t>
      </w:r>
    </w:p>
    <w:p w14:paraId="27963480" w14:textId="77777777" w:rsidR="00CA472D" w:rsidRDefault="00CA472D" w:rsidP="00CA472D">
      <w:pPr>
        <w:pStyle w:val="ListParagraph"/>
        <w:numPr>
          <w:ilvl w:val="1"/>
          <w:numId w:val="27"/>
        </w:numPr>
        <w:spacing w:after="240"/>
        <w:ind w:left="720"/>
        <w:contextualSpacing w:val="0"/>
      </w:pPr>
      <w:r>
        <w:t>When the listed subcontractor fails or refuses to perform the subcontract.</w:t>
      </w:r>
    </w:p>
    <w:p w14:paraId="4868E658" w14:textId="40C17286" w:rsidR="00CA472D" w:rsidRDefault="00CA472D" w:rsidP="00CA472D">
      <w:pPr>
        <w:pStyle w:val="ListParagraph"/>
        <w:numPr>
          <w:ilvl w:val="1"/>
          <w:numId w:val="27"/>
        </w:numPr>
        <w:spacing w:after="240"/>
        <w:ind w:left="720"/>
        <w:contextualSpacing w:val="0"/>
      </w:pPr>
      <w:r>
        <w:t xml:space="preserve">When the listed subcontractor fails or refuses to meet the bond requirements of the prime </w:t>
      </w:r>
      <w:r w:rsidR="00EA483F">
        <w:t>Contractor</w:t>
      </w:r>
      <w:r>
        <w:t>.</w:t>
      </w:r>
    </w:p>
    <w:p w14:paraId="7B59A19F" w14:textId="770E5BD4" w:rsidR="00CA472D" w:rsidRDefault="00CA472D" w:rsidP="00CA472D">
      <w:pPr>
        <w:pStyle w:val="ListParagraph"/>
        <w:numPr>
          <w:ilvl w:val="1"/>
          <w:numId w:val="27"/>
        </w:numPr>
        <w:spacing w:after="240"/>
        <w:ind w:left="720"/>
        <w:contextualSpacing w:val="0"/>
      </w:pPr>
      <w:r>
        <w:t xml:space="preserve">When the prime Contractor demonstrates to the CDE that the name of the subcontractor was listed </w:t>
      </w:r>
      <w:proofErr w:type="gramStart"/>
      <w:r>
        <w:t>as a result of</w:t>
      </w:r>
      <w:proofErr w:type="gramEnd"/>
      <w:r>
        <w:t xml:space="preserve"> an inadvertent clerical error.</w:t>
      </w:r>
    </w:p>
    <w:p w14:paraId="389A40EE" w14:textId="77777777" w:rsidR="00CA472D" w:rsidRDefault="00CA472D" w:rsidP="00CA472D">
      <w:pPr>
        <w:pStyle w:val="ListParagraph"/>
        <w:numPr>
          <w:ilvl w:val="1"/>
          <w:numId w:val="27"/>
        </w:numPr>
        <w:spacing w:after="240"/>
        <w:ind w:left="720"/>
        <w:contextualSpacing w:val="0"/>
      </w:pPr>
      <w:r>
        <w:t>When the listed subcontractor is not licensed pursuant to the Contractor’s License Law, if applicable, or any applicable licensing requirement of any regulatory agency of the State of California.</w:t>
      </w:r>
    </w:p>
    <w:p w14:paraId="10B9C128" w14:textId="77777777" w:rsidR="00CA472D" w:rsidRDefault="00CA472D" w:rsidP="00CA472D">
      <w:pPr>
        <w:pStyle w:val="ListParagraph"/>
        <w:numPr>
          <w:ilvl w:val="1"/>
          <w:numId w:val="27"/>
        </w:numPr>
        <w:spacing w:after="240"/>
        <w:ind w:left="720"/>
        <w:contextualSpacing w:val="0"/>
      </w:pPr>
      <w:r>
        <w:t>When the CDE determines that the work performed by the listed subcontractor is substantially unsatisfactory and not in substantial accordance with the plans and specifications, or that the subcontractor is substantially delaying or disrupting the progress of the work.</w:t>
      </w:r>
    </w:p>
    <w:p w14:paraId="4133D514" w14:textId="77777777" w:rsidR="00CA472D" w:rsidRDefault="00CA472D" w:rsidP="00CA472D">
      <w:pPr>
        <w:pStyle w:val="ListParagraph"/>
        <w:spacing w:after="240"/>
        <w:ind w:left="360"/>
        <w:contextualSpacing w:val="0"/>
      </w:pPr>
      <w:r>
        <w:t>The request and the State's approval or disapproval is NOT to be construed as an excuse for noncompliance with any other provision of law, including but not limited to the Subletting and Subcontracting Fair Practices Act or any other contract requirements relating to substitution of subcontractors.</w:t>
      </w:r>
    </w:p>
    <w:p w14:paraId="7C8226EB" w14:textId="1A5CF507" w:rsidR="00CA472D" w:rsidRDefault="00CA472D" w:rsidP="00CA472D">
      <w:pPr>
        <w:spacing w:after="240"/>
        <w:ind w:left="360"/>
      </w:pPr>
      <w:r>
        <w:t>Failure to adhere to at least the DVBE participation proposed by the Contractor may be cause for contract termination and recovery of damages under the rights and remedies due</w:t>
      </w:r>
      <w:r w:rsidR="00EA483F">
        <w:t xml:space="preserve"> to</w:t>
      </w:r>
      <w:r>
        <w:t xml:space="preserve"> the State under the default section of the contract.</w:t>
      </w:r>
    </w:p>
    <w:p w14:paraId="57B53736" w14:textId="543E237C" w:rsidR="00CA472D" w:rsidRDefault="00CA472D" w:rsidP="00CA472D">
      <w:pPr>
        <w:pStyle w:val="ListParagraph"/>
        <w:numPr>
          <w:ilvl w:val="0"/>
          <w:numId w:val="28"/>
        </w:numPr>
        <w:spacing w:after="240"/>
        <w:ind w:left="360"/>
        <w:contextualSpacing w:val="0"/>
      </w:pPr>
      <w:r>
        <w:lastRenderedPageBreak/>
        <w:t>Reporting: The Contractor must complete and provide an accurate Prime Contractor’s Certification – DVBE Subcontracting Report (STD. 817) and proof of payment to DVBE(s) upon contract completion with the final invoice. The Contractor must provide any additional report(s) of actual participation by DVBE</w:t>
      </w:r>
      <w:r w:rsidR="00EA483F">
        <w:t>(</w:t>
      </w:r>
      <w:r>
        <w:t>s</w:t>
      </w:r>
      <w:r w:rsidR="00EA483F">
        <w:t>)</w:t>
      </w:r>
      <w:r>
        <w:t xml:space="preserve"> (by dollar amount and category) as may be required by the CDE to document compliance.</w:t>
      </w:r>
    </w:p>
    <w:p w14:paraId="5E1401F6" w14:textId="2AC209DB" w:rsidR="00CA472D" w:rsidRDefault="00CA472D" w:rsidP="00CA472D">
      <w:pPr>
        <w:pStyle w:val="ListParagraph"/>
        <w:spacing w:after="240"/>
        <w:ind w:left="360"/>
        <w:contextualSpacing w:val="0"/>
      </w:pPr>
      <w:proofErr w:type="gramStart"/>
      <w:r>
        <w:t>An</w:t>
      </w:r>
      <w:proofErr w:type="gramEnd"/>
      <w:r>
        <w:t xml:space="preserve"> amount of $10,000.00, or full amount of the final invoice if less than $10,000.00, from the Contractor’s final payment will be withheld pending receipt of a complete and accurate STD. 817 and proof of payment to the DVBE(s).</w:t>
      </w:r>
    </w:p>
    <w:p w14:paraId="409C110F" w14:textId="1E0F0C4E" w:rsidR="00CA472D" w:rsidRDefault="00CA472D" w:rsidP="00CA472D">
      <w:pPr>
        <w:pStyle w:val="ListParagraph"/>
        <w:spacing w:after="240"/>
        <w:ind w:left="360"/>
        <w:contextualSpacing w:val="0"/>
        <w:rPr>
          <w:rFonts w:cs="Arial"/>
          <w:szCs w:val="24"/>
        </w:rPr>
      </w:pPr>
      <w:r>
        <w:rPr>
          <w:rFonts w:cs="Arial"/>
          <w:szCs w:val="24"/>
        </w:rPr>
        <w:t xml:space="preserve">If the </w:t>
      </w:r>
      <w:r w:rsidR="00B435C6">
        <w:rPr>
          <w:rFonts w:cs="Arial"/>
          <w:szCs w:val="24"/>
        </w:rPr>
        <w:t>STD</w:t>
      </w:r>
      <w:r>
        <w:rPr>
          <w:rFonts w:cs="Arial"/>
          <w:szCs w:val="24"/>
        </w:rPr>
        <w:t>. 817 form is late or incomplete, the State will allow the Contractor to cure within 30 days to meet the certification requirements.</w:t>
      </w:r>
    </w:p>
    <w:p w14:paraId="38015C2B" w14:textId="77777777" w:rsidR="00CA472D" w:rsidRDefault="00CA472D" w:rsidP="00CA472D">
      <w:pPr>
        <w:pStyle w:val="ListParagraph"/>
        <w:spacing w:after="240"/>
        <w:ind w:left="360"/>
        <w:contextualSpacing w:val="0"/>
        <w:rPr>
          <w:rFonts w:cs="Arial"/>
          <w:szCs w:val="24"/>
        </w:rPr>
      </w:pPr>
      <w:r>
        <w:rPr>
          <w:rFonts w:cs="Arial"/>
          <w:szCs w:val="24"/>
        </w:rPr>
        <w:t>If the Contractor does not comply by the given deadline, the withheld amount will be permanently deducted.</w:t>
      </w:r>
    </w:p>
    <w:p w14:paraId="7A2D5063" w14:textId="6C337A69" w:rsidR="00CB24BA" w:rsidRPr="00CA472D" w:rsidRDefault="00CA472D" w:rsidP="00CA472D">
      <w:pPr>
        <w:pStyle w:val="ListParagraph"/>
        <w:numPr>
          <w:ilvl w:val="0"/>
          <w:numId w:val="28"/>
        </w:numPr>
        <w:spacing w:after="240"/>
        <w:ind w:left="360"/>
        <w:contextualSpacing w:val="0"/>
      </w:pPr>
      <w:r>
        <w:t>Compliance Audit: The Contractor must agree that the State or its designee will have the right to review, obtain, and copy all records pertaining to performance of the contract. The Contractor must agree to provide the State or its designee with any relevant information requested and shall permit the State or its designee access to its premises, upon reasonable notice, during normal business hours for the purpose of interviewing employees and inspecting and copying such books, records, accounts, and other material that may be relevant to a matter under investigation for the purpose of determining compliance with this requirement. The Contractor must further agree to maintain such records for a period of six years after final payment under the contract.</w:t>
      </w:r>
      <w:bookmarkEnd w:id="33"/>
    </w:p>
    <w:sectPr w:rsidR="00CB24BA" w:rsidRPr="00CA472D" w:rsidSect="00EA393C">
      <w:footerReference w:type="default" r:id="rId44"/>
      <w:pgSz w:w="12240" w:h="15840"/>
      <w:pgMar w:top="720" w:right="116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E110" w14:textId="77777777" w:rsidR="00A61CA5" w:rsidRDefault="00A61CA5" w:rsidP="002113D4">
      <w:r>
        <w:separator/>
      </w:r>
    </w:p>
    <w:p w14:paraId="2B75E07B" w14:textId="77777777" w:rsidR="00A61CA5" w:rsidRDefault="00A61CA5"/>
    <w:p w14:paraId="643194F7" w14:textId="77777777" w:rsidR="00A61CA5" w:rsidRDefault="00A61CA5"/>
  </w:endnote>
  <w:endnote w:type="continuationSeparator" w:id="0">
    <w:p w14:paraId="182612CF" w14:textId="77777777" w:rsidR="00A61CA5" w:rsidRDefault="00A61CA5" w:rsidP="002113D4">
      <w:r>
        <w:continuationSeparator/>
      </w:r>
    </w:p>
    <w:p w14:paraId="07AC5F74" w14:textId="77777777" w:rsidR="00A61CA5" w:rsidRDefault="00A61CA5"/>
    <w:p w14:paraId="7AD686DB" w14:textId="77777777" w:rsidR="00A61CA5" w:rsidRDefault="00A61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683973"/>
      <w:docPartObj>
        <w:docPartGallery w:val="Page Numbers (Bottom of Page)"/>
        <w:docPartUnique/>
      </w:docPartObj>
    </w:sdtPr>
    <w:sdtEndPr>
      <w:rPr>
        <w:noProof/>
      </w:rPr>
    </w:sdtEndPr>
    <w:sdtContent>
      <w:p w14:paraId="3D8AD3A4" w14:textId="77777777" w:rsidR="00F93EB8" w:rsidRDefault="00F93EB8">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133485DB" w14:textId="77777777" w:rsidR="00F93EB8" w:rsidRDefault="00F93EB8"/>
  <w:p w14:paraId="69CAAEB5" w14:textId="77777777" w:rsidR="00F93EB8" w:rsidRDefault="00F93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D043" w14:textId="77777777" w:rsidR="00A61CA5" w:rsidRDefault="00A61CA5" w:rsidP="002113D4">
      <w:r>
        <w:separator/>
      </w:r>
    </w:p>
    <w:p w14:paraId="7CF756F4" w14:textId="77777777" w:rsidR="00A61CA5" w:rsidRDefault="00A61CA5"/>
    <w:p w14:paraId="37CFCCD2" w14:textId="77777777" w:rsidR="00A61CA5" w:rsidRDefault="00A61CA5"/>
  </w:footnote>
  <w:footnote w:type="continuationSeparator" w:id="0">
    <w:p w14:paraId="7D6E416B" w14:textId="77777777" w:rsidR="00A61CA5" w:rsidRDefault="00A61CA5" w:rsidP="002113D4">
      <w:r>
        <w:continuationSeparator/>
      </w:r>
    </w:p>
    <w:p w14:paraId="09D09059" w14:textId="77777777" w:rsidR="00A61CA5" w:rsidRDefault="00A61CA5"/>
    <w:p w14:paraId="213E5E28" w14:textId="77777777" w:rsidR="00A61CA5" w:rsidRDefault="00A61CA5"/>
  </w:footnote>
  <w:footnote w:id="1">
    <w:p w14:paraId="3B42333A" w14:textId="77777777" w:rsidR="00F93EB8" w:rsidRPr="001B31F0" w:rsidRDefault="00F93EB8" w:rsidP="00FD70FB">
      <w:pPr>
        <w:pStyle w:val="FootnoteText"/>
        <w:spacing w:after="120"/>
        <w:ind w:left="360" w:hanging="360"/>
      </w:pPr>
      <w:r w:rsidRPr="001B31F0">
        <w:rPr>
          <w:rFonts w:ascii="Arial" w:hAnsi="Arial" w:cs="Arial"/>
          <w:sz w:val="24"/>
          <w:szCs w:val="24"/>
        </w:rPr>
        <w:footnoteRef/>
      </w:r>
      <w:r w:rsidRPr="00562E8F">
        <w:rPr>
          <w:rFonts w:ascii="Arial" w:hAnsi="Arial" w:cs="Arial"/>
          <w:sz w:val="24"/>
          <w:szCs w:val="24"/>
        </w:rPr>
        <w:t>.</w:t>
      </w:r>
      <w:r w:rsidRPr="00562E8F">
        <w:rPr>
          <w:rFonts w:ascii="Arial" w:hAnsi="Arial" w:cs="Arial"/>
          <w:sz w:val="24"/>
          <w:szCs w:val="24"/>
        </w:rPr>
        <w:tab/>
      </w:r>
      <w:r w:rsidRPr="001B31F0">
        <w:rPr>
          <w:rFonts w:ascii="Arial" w:hAnsi="Arial" w:cs="Arial"/>
          <w:sz w:val="24"/>
          <w:szCs w:val="24"/>
        </w:rPr>
        <w:t>Coalition for Community Schools: Community Schools Fact Sheet.</w:t>
      </w:r>
      <w:r w:rsidRPr="001B31F0">
        <w:t xml:space="preserve"> </w:t>
      </w:r>
      <w:hyperlink r:id="rId1" w:tooltip="Community Schools Fact Sheet" w:history="1">
        <w:r w:rsidRPr="00AE4DA0">
          <w:rPr>
            <w:rStyle w:val="Hyperlink"/>
            <w:rFonts w:ascii="Arial" w:hAnsi="Arial" w:cs="Arial"/>
            <w:sz w:val="24"/>
            <w:szCs w:val="24"/>
          </w:rPr>
          <w:t>https://www.communityschools.org/wp-content/uploads/sites/2/2021/05/CS_fact_sheet_final.pdf</w:t>
        </w:r>
      </w:hyperlink>
      <w:r w:rsidRPr="001B31F0">
        <w:rPr>
          <w:rFonts w:ascii="Arial" w:hAnsi="Arial" w:cs="Arial"/>
          <w:sz w:val="24"/>
          <w:szCs w:val="24"/>
        </w:rPr>
        <w:t>.</w:t>
      </w:r>
    </w:p>
  </w:footnote>
  <w:footnote w:id="2">
    <w:p w14:paraId="75B40877" w14:textId="77777777" w:rsidR="00F93EB8" w:rsidRPr="001B31F0" w:rsidRDefault="00F93EB8" w:rsidP="00FD70FB">
      <w:pPr>
        <w:pStyle w:val="FootnoteText"/>
        <w:spacing w:after="120"/>
        <w:ind w:left="360" w:hanging="360"/>
      </w:pPr>
      <w:r w:rsidRPr="001B31F0">
        <w:rPr>
          <w:rFonts w:ascii="Arial" w:hAnsi="Arial" w:cs="Arial"/>
          <w:sz w:val="24"/>
          <w:szCs w:val="24"/>
        </w:rPr>
        <w:footnoteRef/>
      </w:r>
      <w:r w:rsidRPr="001B31F0">
        <w:rPr>
          <w:rFonts w:ascii="Arial" w:hAnsi="Arial" w:cs="Arial"/>
          <w:sz w:val="24"/>
          <w:szCs w:val="24"/>
        </w:rPr>
        <w:t>.</w:t>
      </w:r>
      <w:r w:rsidRPr="001B31F0">
        <w:rPr>
          <w:rFonts w:ascii="Arial" w:hAnsi="Arial" w:cs="Arial"/>
          <w:sz w:val="24"/>
          <w:szCs w:val="24"/>
        </w:rPr>
        <w:tab/>
        <w:t xml:space="preserve">Learning Policy Institute, Community Schools: An Evidence-Based Strategy for Equitable School Improvement. June 2017. </w:t>
      </w:r>
      <w:hyperlink r:id="rId2" w:tooltip="Community Schools: An Evidence-Based Strategy for Equitable School Improvement" w:history="1">
        <w:r w:rsidRPr="00AE4DA0">
          <w:rPr>
            <w:rStyle w:val="Hyperlink"/>
            <w:rFonts w:ascii="Arial" w:hAnsi="Arial" w:cs="Arial"/>
            <w:sz w:val="24"/>
            <w:szCs w:val="24"/>
          </w:rPr>
          <w:t>https://learningpolicyinstitute.org/product/community-schools-equitable-improvement-brief</w:t>
        </w:r>
      </w:hyperlink>
      <w:r w:rsidRPr="001B31F0">
        <w:rPr>
          <w:rFonts w:ascii="Arial" w:hAnsi="Arial" w:cs="Arial"/>
          <w:sz w:val="24"/>
          <w:szCs w:val="24"/>
        </w:rPr>
        <w:t>.</w:t>
      </w:r>
    </w:p>
  </w:footnote>
  <w:footnote w:id="3">
    <w:p w14:paraId="16B5B99D" w14:textId="77777777" w:rsidR="00F93EB8" w:rsidRPr="001B31F0" w:rsidRDefault="00F93EB8" w:rsidP="00FD70FB">
      <w:pPr>
        <w:pStyle w:val="FootnoteText"/>
        <w:spacing w:after="120"/>
        <w:ind w:left="360" w:hanging="360"/>
        <w:rPr>
          <w:rFonts w:ascii="Arial" w:hAnsi="Arial" w:cs="Arial"/>
          <w:sz w:val="24"/>
          <w:szCs w:val="24"/>
        </w:rPr>
      </w:pPr>
      <w:r w:rsidRPr="001B31F0">
        <w:rPr>
          <w:rFonts w:ascii="Arial" w:hAnsi="Arial" w:cs="Arial"/>
          <w:sz w:val="24"/>
          <w:szCs w:val="24"/>
        </w:rPr>
        <w:footnoteRef/>
      </w:r>
      <w:r w:rsidRPr="001B31F0">
        <w:rPr>
          <w:rFonts w:ascii="Arial" w:hAnsi="Arial" w:cs="Arial"/>
          <w:sz w:val="24"/>
          <w:szCs w:val="24"/>
        </w:rPr>
        <w:t>.</w:t>
      </w:r>
      <w:r w:rsidRPr="001B31F0">
        <w:rPr>
          <w:rFonts w:ascii="Arial" w:hAnsi="Arial" w:cs="Arial"/>
          <w:sz w:val="24"/>
          <w:szCs w:val="24"/>
        </w:rPr>
        <w:tab/>
        <w:t xml:space="preserve">Senate Bill 820, Chapter 110. </w:t>
      </w:r>
      <w:hyperlink r:id="rId3" w:tooltip="SB 820, Chapter 110" w:history="1">
        <w:r w:rsidRPr="00AE4DA0">
          <w:rPr>
            <w:rStyle w:val="Hyperlink"/>
            <w:rFonts w:ascii="Arial" w:hAnsi="Arial" w:cs="Arial"/>
            <w:sz w:val="24"/>
            <w:szCs w:val="24"/>
          </w:rPr>
          <w:t>http://leginfo.legislature.ca.gov/faces/billNavClient.xhtml?bill_id=201920200SB820</w:t>
        </w:r>
      </w:hyperlink>
    </w:p>
  </w:footnote>
  <w:footnote w:id="4">
    <w:p w14:paraId="549E8397" w14:textId="77777777" w:rsidR="00F93EB8" w:rsidRPr="001B31F0" w:rsidRDefault="00F93EB8" w:rsidP="00FD70FB">
      <w:pPr>
        <w:pStyle w:val="FootnoteText"/>
        <w:spacing w:after="120"/>
        <w:ind w:left="360" w:hanging="360"/>
      </w:pPr>
      <w:r w:rsidRPr="001B31F0">
        <w:rPr>
          <w:rStyle w:val="FootnoteReference"/>
          <w:rFonts w:ascii="Arial" w:hAnsi="Arial" w:cs="Arial"/>
          <w:sz w:val="24"/>
          <w:szCs w:val="24"/>
        </w:rPr>
        <w:footnoteRef/>
      </w:r>
      <w:r w:rsidRPr="001B31F0">
        <w:rPr>
          <w:rFonts w:ascii="Arial" w:hAnsi="Arial" w:cs="Arial"/>
          <w:sz w:val="24"/>
          <w:szCs w:val="24"/>
        </w:rPr>
        <w:t>.</w:t>
      </w:r>
      <w:r w:rsidRPr="001B31F0">
        <w:rPr>
          <w:rFonts w:ascii="Arial" w:hAnsi="Arial" w:cs="Arial"/>
          <w:sz w:val="24"/>
          <w:szCs w:val="24"/>
        </w:rPr>
        <w:tab/>
        <w:t xml:space="preserve">California Community Schools Partnership Act. </w:t>
      </w:r>
      <w:hyperlink r:id="rId4" w:tooltip="California Community Schools Partnership Act" w:history="1">
        <w:r w:rsidRPr="00AE4DA0">
          <w:rPr>
            <w:rStyle w:val="Hyperlink"/>
            <w:rFonts w:ascii="Arial" w:hAnsi="Arial" w:cs="Arial"/>
            <w:sz w:val="24"/>
            <w:szCs w:val="24"/>
          </w:rPr>
          <w:t>https://leginfo.legislature.ca.gov/faces/codes_displayText.xhtml?lawCode=EDC&amp;division=1.&amp;title=1.&amp;part=6.&amp;chapter=6.&amp;article=</w:t>
        </w:r>
      </w:hyperlink>
    </w:p>
  </w:footnote>
  <w:footnote w:id="5">
    <w:p w14:paraId="602B239A" w14:textId="77777777" w:rsidR="00F93EB8" w:rsidRPr="006A7E3C" w:rsidRDefault="00F93EB8" w:rsidP="00FD70FB">
      <w:pPr>
        <w:pStyle w:val="FootnoteText"/>
        <w:spacing w:after="120"/>
        <w:ind w:left="360" w:hanging="360"/>
        <w:rPr>
          <w:rFonts w:ascii="Arial" w:hAnsi="Arial" w:cs="Arial"/>
          <w:sz w:val="24"/>
          <w:szCs w:val="24"/>
        </w:rPr>
      </w:pPr>
      <w:r w:rsidRPr="006A7E3C">
        <w:rPr>
          <w:rStyle w:val="FootnoteReference"/>
          <w:rFonts w:ascii="Arial" w:hAnsi="Arial" w:cs="Arial"/>
          <w:sz w:val="24"/>
          <w:szCs w:val="24"/>
        </w:rPr>
        <w:footnoteRef/>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State Board of Education’s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81"/>
    <w:multiLevelType w:val="hybridMultilevel"/>
    <w:tmpl w:val="CFF80A2E"/>
    <w:lvl w:ilvl="0" w:tplc="E46201BE">
      <w:start w:val="1"/>
      <w:numFmt w:val="decimal"/>
      <w:lvlText w:val="%1."/>
      <w:lvlJc w:val="left"/>
      <w:pPr>
        <w:ind w:left="1440" w:hanging="360"/>
      </w:pPr>
      <w:rPr>
        <w:rFonts w:ascii="Arial" w:eastAsia="Calibri"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32788"/>
    <w:multiLevelType w:val="multilevel"/>
    <w:tmpl w:val="9F562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76FA9"/>
    <w:multiLevelType w:val="hybridMultilevel"/>
    <w:tmpl w:val="08282DC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0FEF"/>
    <w:multiLevelType w:val="hybridMultilevel"/>
    <w:tmpl w:val="55CA8A9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8B8395D"/>
    <w:multiLevelType w:val="hybridMultilevel"/>
    <w:tmpl w:val="316672B4"/>
    <w:lvl w:ilvl="0" w:tplc="CD082BDA">
      <w:start w:val="1"/>
      <w:numFmt w:val="upperLetter"/>
      <w:lvlText w:val="%1."/>
      <w:lvlJc w:val="left"/>
      <w:pPr>
        <w:ind w:left="720" w:hanging="360"/>
      </w:pPr>
      <w:rPr>
        <w:rFonts w:eastAsia="Times New Roman"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57A7C"/>
    <w:multiLevelType w:val="hybridMultilevel"/>
    <w:tmpl w:val="ACD043EC"/>
    <w:lvl w:ilvl="0" w:tplc="04090015">
      <w:start w:val="1"/>
      <w:numFmt w:val="upperLetter"/>
      <w:lvlText w:val="%1."/>
      <w:lvlJc w:val="left"/>
      <w:pPr>
        <w:ind w:left="360" w:hanging="720"/>
      </w:pPr>
      <w:rPr>
        <w:rFonts w:hint="default"/>
      </w:rPr>
    </w:lvl>
    <w:lvl w:ilvl="1" w:tplc="6FB2766A">
      <w:start w:val="1"/>
      <w:numFmt w:val="decimal"/>
      <w:lvlText w:val="%2."/>
      <w:lvlJc w:val="left"/>
      <w:pPr>
        <w:ind w:left="1080" w:hanging="72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B5A34AA"/>
    <w:multiLevelType w:val="hybridMultilevel"/>
    <w:tmpl w:val="2A42A2C0"/>
    <w:lvl w:ilvl="0" w:tplc="E14A730A">
      <w:start w:val="1"/>
      <w:numFmt w:val="decimal"/>
      <w:lvlText w:val="%1."/>
      <w:lvlJc w:val="left"/>
      <w:pPr>
        <w:ind w:left="2160" w:hanging="180"/>
      </w:pPr>
      <w:rPr>
        <w:b w:val="0"/>
        <w:color w:val="auto"/>
      </w:rPr>
    </w:lvl>
    <w:lvl w:ilvl="1" w:tplc="2FC89700">
      <w:start w:val="1"/>
      <w:numFmt w:val="upperLetter"/>
      <w:lvlText w:val="%2."/>
      <w:lvlJc w:val="left"/>
      <w:pPr>
        <w:ind w:left="18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D7C4C"/>
    <w:multiLevelType w:val="hybridMultilevel"/>
    <w:tmpl w:val="B7826D54"/>
    <w:lvl w:ilvl="0" w:tplc="04090015">
      <w:start w:val="1"/>
      <w:numFmt w:val="upperLetter"/>
      <w:lvlText w:val="%1."/>
      <w:lvlJc w:val="left"/>
      <w:pPr>
        <w:ind w:left="720" w:hanging="360"/>
      </w:pPr>
    </w:lvl>
    <w:lvl w:ilvl="1" w:tplc="98847454">
      <w:start w:val="1"/>
      <w:numFmt w:val="upperLetter"/>
      <w:lvlText w:val="%2."/>
      <w:lvlJc w:val="lef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22C06"/>
    <w:multiLevelType w:val="hybridMultilevel"/>
    <w:tmpl w:val="23805D60"/>
    <w:lvl w:ilvl="0" w:tplc="86C83D0E">
      <w:start w:val="1"/>
      <w:numFmt w:val="bullet"/>
      <w:lvlText w:val=""/>
      <w:lvlJc w:val="left"/>
      <w:pPr>
        <w:ind w:left="720" w:hanging="360"/>
      </w:pPr>
      <w:rPr>
        <w:rFonts w:ascii="Symbol" w:hAnsi="Symbol"/>
      </w:rPr>
    </w:lvl>
    <w:lvl w:ilvl="1" w:tplc="C76643F4">
      <w:start w:val="1"/>
      <w:numFmt w:val="bullet"/>
      <w:lvlText w:val=""/>
      <w:lvlJc w:val="left"/>
      <w:pPr>
        <w:ind w:left="720" w:hanging="360"/>
      </w:pPr>
      <w:rPr>
        <w:rFonts w:ascii="Symbol" w:hAnsi="Symbol"/>
      </w:rPr>
    </w:lvl>
    <w:lvl w:ilvl="2" w:tplc="4498DF1A">
      <w:start w:val="1"/>
      <w:numFmt w:val="bullet"/>
      <w:lvlText w:val=""/>
      <w:lvlJc w:val="left"/>
      <w:pPr>
        <w:ind w:left="720" w:hanging="360"/>
      </w:pPr>
      <w:rPr>
        <w:rFonts w:ascii="Symbol" w:hAnsi="Symbol"/>
      </w:rPr>
    </w:lvl>
    <w:lvl w:ilvl="3" w:tplc="8E6ADF9C">
      <w:start w:val="1"/>
      <w:numFmt w:val="bullet"/>
      <w:lvlText w:val=""/>
      <w:lvlJc w:val="left"/>
      <w:pPr>
        <w:ind w:left="720" w:hanging="360"/>
      </w:pPr>
      <w:rPr>
        <w:rFonts w:ascii="Symbol" w:hAnsi="Symbol"/>
      </w:rPr>
    </w:lvl>
    <w:lvl w:ilvl="4" w:tplc="E54048F0">
      <w:start w:val="1"/>
      <w:numFmt w:val="bullet"/>
      <w:lvlText w:val=""/>
      <w:lvlJc w:val="left"/>
      <w:pPr>
        <w:ind w:left="720" w:hanging="360"/>
      </w:pPr>
      <w:rPr>
        <w:rFonts w:ascii="Symbol" w:hAnsi="Symbol"/>
      </w:rPr>
    </w:lvl>
    <w:lvl w:ilvl="5" w:tplc="B2DC45CC">
      <w:start w:val="1"/>
      <w:numFmt w:val="bullet"/>
      <w:lvlText w:val=""/>
      <w:lvlJc w:val="left"/>
      <w:pPr>
        <w:ind w:left="720" w:hanging="360"/>
      </w:pPr>
      <w:rPr>
        <w:rFonts w:ascii="Symbol" w:hAnsi="Symbol"/>
      </w:rPr>
    </w:lvl>
    <w:lvl w:ilvl="6" w:tplc="F7B43E3E">
      <w:start w:val="1"/>
      <w:numFmt w:val="bullet"/>
      <w:lvlText w:val=""/>
      <w:lvlJc w:val="left"/>
      <w:pPr>
        <w:ind w:left="720" w:hanging="360"/>
      </w:pPr>
      <w:rPr>
        <w:rFonts w:ascii="Symbol" w:hAnsi="Symbol"/>
      </w:rPr>
    </w:lvl>
    <w:lvl w:ilvl="7" w:tplc="26C60406">
      <w:start w:val="1"/>
      <w:numFmt w:val="bullet"/>
      <w:lvlText w:val=""/>
      <w:lvlJc w:val="left"/>
      <w:pPr>
        <w:ind w:left="720" w:hanging="360"/>
      </w:pPr>
      <w:rPr>
        <w:rFonts w:ascii="Symbol" w:hAnsi="Symbol"/>
      </w:rPr>
    </w:lvl>
    <w:lvl w:ilvl="8" w:tplc="A3A816E4">
      <w:start w:val="1"/>
      <w:numFmt w:val="bullet"/>
      <w:lvlText w:val=""/>
      <w:lvlJc w:val="left"/>
      <w:pPr>
        <w:ind w:left="720" w:hanging="360"/>
      </w:pPr>
      <w:rPr>
        <w:rFonts w:ascii="Symbol" w:hAnsi="Symbol"/>
      </w:rPr>
    </w:lvl>
  </w:abstractNum>
  <w:abstractNum w:abstractNumId="9" w15:restartNumberingAfterBreak="0">
    <w:nsid w:val="0FC4751B"/>
    <w:multiLevelType w:val="hybridMultilevel"/>
    <w:tmpl w:val="33F2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72A14"/>
    <w:multiLevelType w:val="hybridMultilevel"/>
    <w:tmpl w:val="F4C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28E8"/>
    <w:multiLevelType w:val="multilevel"/>
    <w:tmpl w:val="01DCA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92021C"/>
    <w:multiLevelType w:val="hybridMultilevel"/>
    <w:tmpl w:val="22E04F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66307"/>
    <w:multiLevelType w:val="hybridMultilevel"/>
    <w:tmpl w:val="9C7CCA56"/>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4" w15:restartNumberingAfterBreak="0">
    <w:nsid w:val="170E2742"/>
    <w:multiLevelType w:val="hybridMultilevel"/>
    <w:tmpl w:val="C268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628F0"/>
    <w:multiLevelType w:val="hybridMultilevel"/>
    <w:tmpl w:val="77ECFB04"/>
    <w:lvl w:ilvl="0" w:tplc="7966E4FC">
      <w:start w:val="1"/>
      <w:numFmt w:val="bullet"/>
      <w:lvlText w:val=""/>
      <w:lvlJc w:val="left"/>
      <w:pPr>
        <w:ind w:left="720" w:hanging="360"/>
      </w:pPr>
      <w:rPr>
        <w:rFonts w:ascii="Symbol" w:hAnsi="Symbol"/>
      </w:rPr>
    </w:lvl>
    <w:lvl w:ilvl="1" w:tplc="55CA80FE">
      <w:start w:val="1"/>
      <w:numFmt w:val="bullet"/>
      <w:lvlText w:val=""/>
      <w:lvlJc w:val="left"/>
      <w:pPr>
        <w:ind w:left="720" w:hanging="360"/>
      </w:pPr>
      <w:rPr>
        <w:rFonts w:ascii="Symbol" w:hAnsi="Symbol"/>
      </w:rPr>
    </w:lvl>
    <w:lvl w:ilvl="2" w:tplc="10F4D8A4">
      <w:start w:val="1"/>
      <w:numFmt w:val="bullet"/>
      <w:lvlText w:val=""/>
      <w:lvlJc w:val="left"/>
      <w:pPr>
        <w:ind w:left="720" w:hanging="360"/>
      </w:pPr>
      <w:rPr>
        <w:rFonts w:ascii="Symbol" w:hAnsi="Symbol"/>
      </w:rPr>
    </w:lvl>
    <w:lvl w:ilvl="3" w:tplc="870AE98C">
      <w:start w:val="1"/>
      <w:numFmt w:val="bullet"/>
      <w:lvlText w:val=""/>
      <w:lvlJc w:val="left"/>
      <w:pPr>
        <w:ind w:left="720" w:hanging="360"/>
      </w:pPr>
      <w:rPr>
        <w:rFonts w:ascii="Symbol" w:hAnsi="Symbol"/>
      </w:rPr>
    </w:lvl>
    <w:lvl w:ilvl="4" w:tplc="30BC1CEA">
      <w:start w:val="1"/>
      <w:numFmt w:val="bullet"/>
      <w:lvlText w:val=""/>
      <w:lvlJc w:val="left"/>
      <w:pPr>
        <w:ind w:left="720" w:hanging="360"/>
      </w:pPr>
      <w:rPr>
        <w:rFonts w:ascii="Symbol" w:hAnsi="Symbol"/>
      </w:rPr>
    </w:lvl>
    <w:lvl w:ilvl="5" w:tplc="842E69C0">
      <w:start w:val="1"/>
      <w:numFmt w:val="bullet"/>
      <w:lvlText w:val=""/>
      <w:lvlJc w:val="left"/>
      <w:pPr>
        <w:ind w:left="720" w:hanging="360"/>
      </w:pPr>
      <w:rPr>
        <w:rFonts w:ascii="Symbol" w:hAnsi="Symbol"/>
      </w:rPr>
    </w:lvl>
    <w:lvl w:ilvl="6" w:tplc="8BAA71F2">
      <w:start w:val="1"/>
      <w:numFmt w:val="bullet"/>
      <w:lvlText w:val=""/>
      <w:lvlJc w:val="left"/>
      <w:pPr>
        <w:ind w:left="720" w:hanging="360"/>
      </w:pPr>
      <w:rPr>
        <w:rFonts w:ascii="Symbol" w:hAnsi="Symbol"/>
      </w:rPr>
    </w:lvl>
    <w:lvl w:ilvl="7" w:tplc="E0D27F38">
      <w:start w:val="1"/>
      <w:numFmt w:val="bullet"/>
      <w:lvlText w:val=""/>
      <w:lvlJc w:val="left"/>
      <w:pPr>
        <w:ind w:left="720" w:hanging="360"/>
      </w:pPr>
      <w:rPr>
        <w:rFonts w:ascii="Symbol" w:hAnsi="Symbol"/>
      </w:rPr>
    </w:lvl>
    <w:lvl w:ilvl="8" w:tplc="2794E72E">
      <w:start w:val="1"/>
      <w:numFmt w:val="bullet"/>
      <w:lvlText w:val=""/>
      <w:lvlJc w:val="left"/>
      <w:pPr>
        <w:ind w:left="720" w:hanging="360"/>
      </w:pPr>
      <w:rPr>
        <w:rFonts w:ascii="Symbol" w:hAnsi="Symbol"/>
      </w:rPr>
    </w:lvl>
  </w:abstractNum>
  <w:abstractNum w:abstractNumId="16" w15:restartNumberingAfterBreak="0">
    <w:nsid w:val="196D208D"/>
    <w:multiLevelType w:val="hybridMultilevel"/>
    <w:tmpl w:val="38B85928"/>
    <w:lvl w:ilvl="0" w:tplc="C60EC0E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B3214F"/>
    <w:multiLevelType w:val="hybridMultilevel"/>
    <w:tmpl w:val="1E18E922"/>
    <w:lvl w:ilvl="0" w:tplc="D062E906">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52C2A"/>
    <w:multiLevelType w:val="hybridMultilevel"/>
    <w:tmpl w:val="25CA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B7084"/>
    <w:multiLevelType w:val="hybridMultilevel"/>
    <w:tmpl w:val="94B8F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62387"/>
    <w:multiLevelType w:val="hybridMultilevel"/>
    <w:tmpl w:val="68563F7C"/>
    <w:lvl w:ilvl="0" w:tplc="04090003">
      <w:start w:val="1"/>
      <w:numFmt w:val="bullet"/>
      <w:lvlText w:val="o"/>
      <w:lvlJc w:val="left"/>
      <w:pPr>
        <w:ind w:left="1440" w:hanging="360"/>
      </w:pPr>
      <w:rPr>
        <w:rFonts w:ascii="Courier New" w:hAnsi="Courier New" w:cs="Courier New" w:hint="default"/>
      </w:rPr>
    </w:lvl>
    <w:lvl w:ilvl="1" w:tplc="C47ED240">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3C66BD"/>
    <w:multiLevelType w:val="hybridMultilevel"/>
    <w:tmpl w:val="CE624306"/>
    <w:lvl w:ilvl="0" w:tplc="8ADA6C38">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93723"/>
    <w:multiLevelType w:val="hybridMultilevel"/>
    <w:tmpl w:val="15CED292"/>
    <w:lvl w:ilvl="0" w:tplc="C2EA3EF6">
      <w:start w:val="1"/>
      <w:numFmt w:val="bullet"/>
      <w:lvlText w:val=""/>
      <w:lvlJc w:val="left"/>
      <w:pPr>
        <w:ind w:left="720" w:hanging="360"/>
      </w:pPr>
      <w:rPr>
        <w:rFonts w:ascii="Symbol" w:hAnsi="Symbol"/>
      </w:rPr>
    </w:lvl>
    <w:lvl w:ilvl="1" w:tplc="C59A3FA8">
      <w:start w:val="1"/>
      <w:numFmt w:val="bullet"/>
      <w:lvlText w:val=""/>
      <w:lvlJc w:val="left"/>
      <w:pPr>
        <w:ind w:left="720" w:hanging="360"/>
      </w:pPr>
      <w:rPr>
        <w:rFonts w:ascii="Symbol" w:hAnsi="Symbol"/>
      </w:rPr>
    </w:lvl>
    <w:lvl w:ilvl="2" w:tplc="726622A4">
      <w:start w:val="1"/>
      <w:numFmt w:val="bullet"/>
      <w:lvlText w:val=""/>
      <w:lvlJc w:val="left"/>
      <w:pPr>
        <w:ind w:left="720" w:hanging="360"/>
      </w:pPr>
      <w:rPr>
        <w:rFonts w:ascii="Symbol" w:hAnsi="Symbol"/>
      </w:rPr>
    </w:lvl>
    <w:lvl w:ilvl="3" w:tplc="6CF4699C">
      <w:start w:val="1"/>
      <w:numFmt w:val="bullet"/>
      <w:lvlText w:val=""/>
      <w:lvlJc w:val="left"/>
      <w:pPr>
        <w:ind w:left="720" w:hanging="360"/>
      </w:pPr>
      <w:rPr>
        <w:rFonts w:ascii="Symbol" w:hAnsi="Symbol"/>
      </w:rPr>
    </w:lvl>
    <w:lvl w:ilvl="4" w:tplc="0D607FC2">
      <w:start w:val="1"/>
      <w:numFmt w:val="bullet"/>
      <w:lvlText w:val=""/>
      <w:lvlJc w:val="left"/>
      <w:pPr>
        <w:ind w:left="720" w:hanging="360"/>
      </w:pPr>
      <w:rPr>
        <w:rFonts w:ascii="Symbol" w:hAnsi="Symbol"/>
      </w:rPr>
    </w:lvl>
    <w:lvl w:ilvl="5" w:tplc="C6A06992">
      <w:start w:val="1"/>
      <w:numFmt w:val="bullet"/>
      <w:lvlText w:val=""/>
      <w:lvlJc w:val="left"/>
      <w:pPr>
        <w:ind w:left="720" w:hanging="360"/>
      </w:pPr>
      <w:rPr>
        <w:rFonts w:ascii="Symbol" w:hAnsi="Symbol"/>
      </w:rPr>
    </w:lvl>
    <w:lvl w:ilvl="6" w:tplc="65D62CB4">
      <w:start w:val="1"/>
      <w:numFmt w:val="bullet"/>
      <w:lvlText w:val=""/>
      <w:lvlJc w:val="left"/>
      <w:pPr>
        <w:ind w:left="720" w:hanging="360"/>
      </w:pPr>
      <w:rPr>
        <w:rFonts w:ascii="Symbol" w:hAnsi="Symbol"/>
      </w:rPr>
    </w:lvl>
    <w:lvl w:ilvl="7" w:tplc="73284F8A">
      <w:start w:val="1"/>
      <w:numFmt w:val="bullet"/>
      <w:lvlText w:val=""/>
      <w:lvlJc w:val="left"/>
      <w:pPr>
        <w:ind w:left="720" w:hanging="360"/>
      </w:pPr>
      <w:rPr>
        <w:rFonts w:ascii="Symbol" w:hAnsi="Symbol"/>
      </w:rPr>
    </w:lvl>
    <w:lvl w:ilvl="8" w:tplc="E76A7FD8">
      <w:start w:val="1"/>
      <w:numFmt w:val="bullet"/>
      <w:lvlText w:val=""/>
      <w:lvlJc w:val="left"/>
      <w:pPr>
        <w:ind w:left="720" w:hanging="360"/>
      </w:pPr>
      <w:rPr>
        <w:rFonts w:ascii="Symbol" w:hAnsi="Symbol"/>
      </w:rPr>
    </w:lvl>
  </w:abstractNum>
  <w:abstractNum w:abstractNumId="23" w15:restartNumberingAfterBreak="0">
    <w:nsid w:val="24A46C3D"/>
    <w:multiLevelType w:val="hybridMultilevel"/>
    <w:tmpl w:val="7ED2CF4A"/>
    <w:lvl w:ilvl="0" w:tplc="7974D49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2632C2A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D24573"/>
    <w:multiLevelType w:val="hybridMultilevel"/>
    <w:tmpl w:val="101C5084"/>
    <w:lvl w:ilvl="0" w:tplc="E09EAA8C">
      <w:start w:val="2"/>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45915"/>
    <w:multiLevelType w:val="hybridMultilevel"/>
    <w:tmpl w:val="67C09976"/>
    <w:lvl w:ilvl="0" w:tplc="04090003">
      <w:start w:val="1"/>
      <w:numFmt w:val="bullet"/>
      <w:lvlText w:val="o"/>
      <w:lvlJc w:val="left"/>
      <w:pPr>
        <w:ind w:left="1440" w:hanging="360"/>
      </w:pPr>
      <w:rPr>
        <w:rFonts w:ascii="Courier New" w:hAnsi="Courier New" w:cs="Courier New" w:hint="default"/>
      </w:rPr>
    </w:lvl>
    <w:lvl w:ilvl="1" w:tplc="C47ED240">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D04A55"/>
    <w:multiLevelType w:val="multilevel"/>
    <w:tmpl w:val="E028E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BD6108"/>
    <w:multiLevelType w:val="hybridMultilevel"/>
    <w:tmpl w:val="4FDC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1C0D70"/>
    <w:multiLevelType w:val="hybridMultilevel"/>
    <w:tmpl w:val="707837A0"/>
    <w:lvl w:ilvl="0" w:tplc="DBEC92E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2B5ABC"/>
    <w:multiLevelType w:val="hybridMultilevel"/>
    <w:tmpl w:val="518E3C5C"/>
    <w:lvl w:ilvl="0" w:tplc="BAA83C6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9C189E"/>
    <w:multiLevelType w:val="hybridMultilevel"/>
    <w:tmpl w:val="247AAC64"/>
    <w:lvl w:ilvl="0" w:tplc="EF52CB4C">
      <w:start w:val="1"/>
      <w:numFmt w:val="bullet"/>
      <w:lvlText w:val=""/>
      <w:lvlJc w:val="left"/>
      <w:pPr>
        <w:ind w:left="720" w:hanging="360"/>
      </w:pPr>
      <w:rPr>
        <w:rFonts w:ascii="Symbol" w:hAnsi="Symbol"/>
      </w:rPr>
    </w:lvl>
    <w:lvl w:ilvl="1" w:tplc="CEA0699C">
      <w:start w:val="1"/>
      <w:numFmt w:val="bullet"/>
      <w:lvlText w:val=""/>
      <w:lvlJc w:val="left"/>
      <w:pPr>
        <w:ind w:left="720" w:hanging="360"/>
      </w:pPr>
      <w:rPr>
        <w:rFonts w:ascii="Symbol" w:hAnsi="Symbol"/>
      </w:rPr>
    </w:lvl>
    <w:lvl w:ilvl="2" w:tplc="DCBE169E">
      <w:start w:val="1"/>
      <w:numFmt w:val="bullet"/>
      <w:lvlText w:val=""/>
      <w:lvlJc w:val="left"/>
      <w:pPr>
        <w:ind w:left="720" w:hanging="360"/>
      </w:pPr>
      <w:rPr>
        <w:rFonts w:ascii="Symbol" w:hAnsi="Symbol"/>
      </w:rPr>
    </w:lvl>
    <w:lvl w:ilvl="3" w:tplc="FF002710">
      <w:start w:val="1"/>
      <w:numFmt w:val="bullet"/>
      <w:lvlText w:val=""/>
      <w:lvlJc w:val="left"/>
      <w:pPr>
        <w:ind w:left="720" w:hanging="360"/>
      </w:pPr>
      <w:rPr>
        <w:rFonts w:ascii="Symbol" w:hAnsi="Symbol"/>
      </w:rPr>
    </w:lvl>
    <w:lvl w:ilvl="4" w:tplc="ED5218CA">
      <w:start w:val="1"/>
      <w:numFmt w:val="bullet"/>
      <w:lvlText w:val=""/>
      <w:lvlJc w:val="left"/>
      <w:pPr>
        <w:ind w:left="720" w:hanging="360"/>
      </w:pPr>
      <w:rPr>
        <w:rFonts w:ascii="Symbol" w:hAnsi="Symbol"/>
      </w:rPr>
    </w:lvl>
    <w:lvl w:ilvl="5" w:tplc="461ADA1C">
      <w:start w:val="1"/>
      <w:numFmt w:val="bullet"/>
      <w:lvlText w:val=""/>
      <w:lvlJc w:val="left"/>
      <w:pPr>
        <w:ind w:left="720" w:hanging="360"/>
      </w:pPr>
      <w:rPr>
        <w:rFonts w:ascii="Symbol" w:hAnsi="Symbol"/>
      </w:rPr>
    </w:lvl>
    <w:lvl w:ilvl="6" w:tplc="20CEEE4C">
      <w:start w:val="1"/>
      <w:numFmt w:val="bullet"/>
      <w:lvlText w:val=""/>
      <w:lvlJc w:val="left"/>
      <w:pPr>
        <w:ind w:left="720" w:hanging="360"/>
      </w:pPr>
      <w:rPr>
        <w:rFonts w:ascii="Symbol" w:hAnsi="Symbol"/>
      </w:rPr>
    </w:lvl>
    <w:lvl w:ilvl="7" w:tplc="7DACBC64">
      <w:start w:val="1"/>
      <w:numFmt w:val="bullet"/>
      <w:lvlText w:val=""/>
      <w:lvlJc w:val="left"/>
      <w:pPr>
        <w:ind w:left="720" w:hanging="360"/>
      </w:pPr>
      <w:rPr>
        <w:rFonts w:ascii="Symbol" w:hAnsi="Symbol"/>
      </w:rPr>
    </w:lvl>
    <w:lvl w:ilvl="8" w:tplc="D6BA277C">
      <w:start w:val="1"/>
      <w:numFmt w:val="bullet"/>
      <w:lvlText w:val=""/>
      <w:lvlJc w:val="left"/>
      <w:pPr>
        <w:ind w:left="720" w:hanging="360"/>
      </w:pPr>
      <w:rPr>
        <w:rFonts w:ascii="Symbol" w:hAnsi="Symbol"/>
      </w:rPr>
    </w:lvl>
  </w:abstractNum>
  <w:abstractNum w:abstractNumId="31" w15:restartNumberingAfterBreak="0">
    <w:nsid w:val="2A774D34"/>
    <w:multiLevelType w:val="hybridMultilevel"/>
    <w:tmpl w:val="056C7386"/>
    <w:lvl w:ilvl="0" w:tplc="6DB0593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A9E2BB4"/>
    <w:multiLevelType w:val="multilevel"/>
    <w:tmpl w:val="AFBEB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2E4835"/>
    <w:multiLevelType w:val="hybridMultilevel"/>
    <w:tmpl w:val="01789474"/>
    <w:lvl w:ilvl="0" w:tplc="04090001">
      <w:start w:val="1"/>
      <w:numFmt w:val="bullet"/>
      <w:lvlText w:val=""/>
      <w:lvlJc w:val="left"/>
      <w:pPr>
        <w:ind w:left="1440" w:hanging="72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2E506072"/>
    <w:multiLevelType w:val="hybridMultilevel"/>
    <w:tmpl w:val="27822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7736C9"/>
    <w:multiLevelType w:val="hybridMultilevel"/>
    <w:tmpl w:val="16B2EE4A"/>
    <w:lvl w:ilvl="0" w:tplc="0409000F">
      <w:start w:val="1"/>
      <w:numFmt w:val="decimal"/>
      <w:lvlText w:val="%1."/>
      <w:lvlJc w:val="left"/>
      <w:pPr>
        <w:tabs>
          <w:tab w:val="num" w:pos="1095"/>
        </w:tabs>
        <w:ind w:left="1095"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6"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F17FBB"/>
    <w:multiLevelType w:val="hybridMultilevel"/>
    <w:tmpl w:val="10AA967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47D645C"/>
    <w:multiLevelType w:val="hybridMultilevel"/>
    <w:tmpl w:val="CD20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AE232B"/>
    <w:multiLevelType w:val="hybridMultilevel"/>
    <w:tmpl w:val="D7EE4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D80041"/>
    <w:multiLevelType w:val="hybridMultilevel"/>
    <w:tmpl w:val="FE5A6C72"/>
    <w:lvl w:ilvl="0" w:tplc="0409000F">
      <w:start w:val="1"/>
      <w:numFmt w:val="decimal"/>
      <w:lvlText w:val="%1."/>
      <w:lvlJc w:val="left"/>
      <w:pPr>
        <w:ind w:left="720" w:hanging="360"/>
      </w:pPr>
    </w:lvl>
    <w:lvl w:ilvl="1" w:tplc="DF76616C">
      <w:start w:val="1"/>
      <w:numFmt w:val="upperLetter"/>
      <w:lvlText w:val="%2."/>
      <w:lvlJc w:val="left"/>
      <w:pPr>
        <w:ind w:left="3870" w:hanging="720"/>
      </w:pPr>
      <w:rPr>
        <w:rFonts w:hint="default"/>
        <w:b w:val="0"/>
        <w:sz w:val="24"/>
        <w:szCs w:val="24"/>
      </w:rPr>
    </w:lvl>
    <w:lvl w:ilvl="2" w:tplc="CFCA0A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F1298"/>
    <w:multiLevelType w:val="hybridMultilevel"/>
    <w:tmpl w:val="FACC0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7A0251D"/>
    <w:multiLevelType w:val="hybridMultilevel"/>
    <w:tmpl w:val="5362554E"/>
    <w:lvl w:ilvl="0" w:tplc="097E92C2">
      <w:start w:val="1"/>
      <w:numFmt w:val="decimal"/>
      <w:lvlText w:val="%1."/>
      <w:lvlJc w:val="left"/>
      <w:pPr>
        <w:ind w:left="1170" w:hanging="360"/>
      </w:pPr>
      <w:rPr>
        <w:rFonts w:ascii="Arial" w:eastAsia="Calibri" w:hAnsi="Arial" w:cs="Times New Roman"/>
      </w:rPr>
    </w:lvl>
    <w:lvl w:ilvl="1" w:tplc="F802E9B0">
      <w:start w:val="1"/>
      <w:numFmt w:val="upperLetter"/>
      <w:lvlText w:val="%2."/>
      <w:lvlJc w:val="left"/>
      <w:pPr>
        <w:ind w:left="2250" w:hanging="720"/>
      </w:pPr>
      <w:rPr>
        <w:rFonts w:hint="default"/>
        <w:color w:val="auto"/>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39966130"/>
    <w:multiLevelType w:val="hybridMultilevel"/>
    <w:tmpl w:val="6C50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017D9E"/>
    <w:multiLevelType w:val="hybridMultilevel"/>
    <w:tmpl w:val="C126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1569C7"/>
    <w:multiLevelType w:val="hybridMultilevel"/>
    <w:tmpl w:val="9AA8B642"/>
    <w:lvl w:ilvl="0" w:tplc="A360098A">
      <w:start w:val="1"/>
      <w:numFmt w:val="bullet"/>
      <w:lvlText w:val=""/>
      <w:lvlJc w:val="left"/>
      <w:pPr>
        <w:ind w:left="720" w:hanging="360"/>
      </w:pPr>
      <w:rPr>
        <w:rFonts w:ascii="Symbol" w:hAnsi="Symbol"/>
      </w:rPr>
    </w:lvl>
    <w:lvl w:ilvl="1" w:tplc="62A26882">
      <w:start w:val="1"/>
      <w:numFmt w:val="bullet"/>
      <w:lvlText w:val=""/>
      <w:lvlJc w:val="left"/>
      <w:pPr>
        <w:ind w:left="720" w:hanging="360"/>
      </w:pPr>
      <w:rPr>
        <w:rFonts w:ascii="Symbol" w:hAnsi="Symbol"/>
      </w:rPr>
    </w:lvl>
    <w:lvl w:ilvl="2" w:tplc="BDA60EDE">
      <w:start w:val="1"/>
      <w:numFmt w:val="bullet"/>
      <w:lvlText w:val=""/>
      <w:lvlJc w:val="left"/>
      <w:pPr>
        <w:ind w:left="720" w:hanging="360"/>
      </w:pPr>
      <w:rPr>
        <w:rFonts w:ascii="Symbol" w:hAnsi="Symbol"/>
      </w:rPr>
    </w:lvl>
    <w:lvl w:ilvl="3" w:tplc="C9FEC640">
      <w:start w:val="1"/>
      <w:numFmt w:val="bullet"/>
      <w:lvlText w:val=""/>
      <w:lvlJc w:val="left"/>
      <w:pPr>
        <w:ind w:left="720" w:hanging="360"/>
      </w:pPr>
      <w:rPr>
        <w:rFonts w:ascii="Symbol" w:hAnsi="Symbol"/>
      </w:rPr>
    </w:lvl>
    <w:lvl w:ilvl="4" w:tplc="069CF212">
      <w:start w:val="1"/>
      <w:numFmt w:val="bullet"/>
      <w:lvlText w:val=""/>
      <w:lvlJc w:val="left"/>
      <w:pPr>
        <w:ind w:left="720" w:hanging="360"/>
      </w:pPr>
      <w:rPr>
        <w:rFonts w:ascii="Symbol" w:hAnsi="Symbol"/>
      </w:rPr>
    </w:lvl>
    <w:lvl w:ilvl="5" w:tplc="38BE49E0">
      <w:start w:val="1"/>
      <w:numFmt w:val="bullet"/>
      <w:lvlText w:val=""/>
      <w:lvlJc w:val="left"/>
      <w:pPr>
        <w:ind w:left="720" w:hanging="360"/>
      </w:pPr>
      <w:rPr>
        <w:rFonts w:ascii="Symbol" w:hAnsi="Symbol"/>
      </w:rPr>
    </w:lvl>
    <w:lvl w:ilvl="6" w:tplc="A61AB1DC">
      <w:start w:val="1"/>
      <w:numFmt w:val="bullet"/>
      <w:lvlText w:val=""/>
      <w:lvlJc w:val="left"/>
      <w:pPr>
        <w:ind w:left="720" w:hanging="360"/>
      </w:pPr>
      <w:rPr>
        <w:rFonts w:ascii="Symbol" w:hAnsi="Symbol"/>
      </w:rPr>
    </w:lvl>
    <w:lvl w:ilvl="7" w:tplc="DA5CB086">
      <w:start w:val="1"/>
      <w:numFmt w:val="bullet"/>
      <w:lvlText w:val=""/>
      <w:lvlJc w:val="left"/>
      <w:pPr>
        <w:ind w:left="720" w:hanging="360"/>
      </w:pPr>
      <w:rPr>
        <w:rFonts w:ascii="Symbol" w:hAnsi="Symbol"/>
      </w:rPr>
    </w:lvl>
    <w:lvl w:ilvl="8" w:tplc="8C1A3162">
      <w:start w:val="1"/>
      <w:numFmt w:val="bullet"/>
      <w:lvlText w:val=""/>
      <w:lvlJc w:val="left"/>
      <w:pPr>
        <w:ind w:left="720" w:hanging="360"/>
      </w:pPr>
      <w:rPr>
        <w:rFonts w:ascii="Symbol" w:hAnsi="Symbol"/>
      </w:rPr>
    </w:lvl>
  </w:abstractNum>
  <w:abstractNum w:abstractNumId="46" w15:restartNumberingAfterBreak="0">
    <w:nsid w:val="3EA163B5"/>
    <w:multiLevelType w:val="hybridMultilevel"/>
    <w:tmpl w:val="D6BE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0127CA"/>
    <w:multiLevelType w:val="hybridMultilevel"/>
    <w:tmpl w:val="7298A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900D74"/>
    <w:multiLevelType w:val="hybridMultilevel"/>
    <w:tmpl w:val="6370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4F090E"/>
    <w:multiLevelType w:val="hybridMultilevel"/>
    <w:tmpl w:val="9612C18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4666E7"/>
    <w:multiLevelType w:val="hybridMultilevel"/>
    <w:tmpl w:val="0032C08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1A28F2"/>
    <w:multiLevelType w:val="multilevel"/>
    <w:tmpl w:val="07245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5965EAA"/>
    <w:multiLevelType w:val="hybridMultilevel"/>
    <w:tmpl w:val="9DAEAE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7650A4"/>
    <w:multiLevelType w:val="hybridMultilevel"/>
    <w:tmpl w:val="A344FF24"/>
    <w:lvl w:ilvl="0" w:tplc="CBDAED0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8B39FE"/>
    <w:multiLevelType w:val="multilevel"/>
    <w:tmpl w:val="19E25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88D0136"/>
    <w:multiLevelType w:val="hybridMultilevel"/>
    <w:tmpl w:val="EA681AC0"/>
    <w:lvl w:ilvl="0" w:tplc="04090015">
      <w:start w:val="10"/>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D76414"/>
    <w:multiLevelType w:val="hybridMultilevel"/>
    <w:tmpl w:val="CBBECE9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B571F8C"/>
    <w:multiLevelType w:val="hybridMultilevel"/>
    <w:tmpl w:val="D4A0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891C7D"/>
    <w:multiLevelType w:val="hybridMultilevel"/>
    <w:tmpl w:val="16A4D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D503F49"/>
    <w:multiLevelType w:val="hybridMultilevel"/>
    <w:tmpl w:val="4C7ECE34"/>
    <w:lvl w:ilvl="0" w:tplc="DBEC92E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DE04550"/>
    <w:multiLevelType w:val="hybridMultilevel"/>
    <w:tmpl w:val="97F2BE1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F5A0827"/>
    <w:multiLevelType w:val="hybridMultilevel"/>
    <w:tmpl w:val="A62A012A"/>
    <w:lvl w:ilvl="0" w:tplc="04090001">
      <w:start w:val="1"/>
      <w:numFmt w:val="bullet"/>
      <w:lvlText w:val=""/>
      <w:lvlJc w:val="left"/>
      <w:pPr>
        <w:ind w:left="1440" w:hanging="360"/>
      </w:pPr>
      <w:rPr>
        <w:rFonts w:ascii="Symbol" w:hAnsi="Symbol" w:hint="default"/>
      </w:rPr>
    </w:lvl>
    <w:lvl w:ilvl="1" w:tplc="C47ED240">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11A12F6"/>
    <w:multiLevelType w:val="hybridMultilevel"/>
    <w:tmpl w:val="51D4AA12"/>
    <w:lvl w:ilvl="0" w:tplc="FCBEBABA">
      <w:start w:val="1"/>
      <w:numFmt w:val="bullet"/>
      <w:lvlText w:val=""/>
      <w:lvlJc w:val="left"/>
      <w:pPr>
        <w:ind w:left="720" w:hanging="360"/>
      </w:pPr>
      <w:rPr>
        <w:rFonts w:ascii="Symbol" w:hAnsi="Symbol"/>
      </w:rPr>
    </w:lvl>
    <w:lvl w:ilvl="1" w:tplc="24EA8A3A">
      <w:start w:val="1"/>
      <w:numFmt w:val="bullet"/>
      <w:lvlText w:val=""/>
      <w:lvlJc w:val="left"/>
      <w:pPr>
        <w:ind w:left="720" w:hanging="360"/>
      </w:pPr>
      <w:rPr>
        <w:rFonts w:ascii="Symbol" w:hAnsi="Symbol"/>
      </w:rPr>
    </w:lvl>
    <w:lvl w:ilvl="2" w:tplc="5F3E42D4">
      <w:start w:val="1"/>
      <w:numFmt w:val="bullet"/>
      <w:lvlText w:val=""/>
      <w:lvlJc w:val="left"/>
      <w:pPr>
        <w:ind w:left="720" w:hanging="360"/>
      </w:pPr>
      <w:rPr>
        <w:rFonts w:ascii="Symbol" w:hAnsi="Symbol"/>
      </w:rPr>
    </w:lvl>
    <w:lvl w:ilvl="3" w:tplc="2708BF30">
      <w:start w:val="1"/>
      <w:numFmt w:val="bullet"/>
      <w:lvlText w:val=""/>
      <w:lvlJc w:val="left"/>
      <w:pPr>
        <w:ind w:left="720" w:hanging="360"/>
      </w:pPr>
      <w:rPr>
        <w:rFonts w:ascii="Symbol" w:hAnsi="Symbol"/>
      </w:rPr>
    </w:lvl>
    <w:lvl w:ilvl="4" w:tplc="04A47F3E">
      <w:start w:val="1"/>
      <w:numFmt w:val="bullet"/>
      <w:lvlText w:val=""/>
      <w:lvlJc w:val="left"/>
      <w:pPr>
        <w:ind w:left="720" w:hanging="360"/>
      </w:pPr>
      <w:rPr>
        <w:rFonts w:ascii="Symbol" w:hAnsi="Symbol"/>
      </w:rPr>
    </w:lvl>
    <w:lvl w:ilvl="5" w:tplc="FCAAD014">
      <w:start w:val="1"/>
      <w:numFmt w:val="bullet"/>
      <w:lvlText w:val=""/>
      <w:lvlJc w:val="left"/>
      <w:pPr>
        <w:ind w:left="720" w:hanging="360"/>
      </w:pPr>
      <w:rPr>
        <w:rFonts w:ascii="Symbol" w:hAnsi="Symbol"/>
      </w:rPr>
    </w:lvl>
    <w:lvl w:ilvl="6" w:tplc="216A25AC">
      <w:start w:val="1"/>
      <w:numFmt w:val="bullet"/>
      <w:lvlText w:val=""/>
      <w:lvlJc w:val="left"/>
      <w:pPr>
        <w:ind w:left="720" w:hanging="360"/>
      </w:pPr>
      <w:rPr>
        <w:rFonts w:ascii="Symbol" w:hAnsi="Symbol"/>
      </w:rPr>
    </w:lvl>
    <w:lvl w:ilvl="7" w:tplc="867E01CE">
      <w:start w:val="1"/>
      <w:numFmt w:val="bullet"/>
      <w:lvlText w:val=""/>
      <w:lvlJc w:val="left"/>
      <w:pPr>
        <w:ind w:left="720" w:hanging="360"/>
      </w:pPr>
      <w:rPr>
        <w:rFonts w:ascii="Symbol" w:hAnsi="Symbol"/>
      </w:rPr>
    </w:lvl>
    <w:lvl w:ilvl="8" w:tplc="884EA4B4">
      <w:start w:val="1"/>
      <w:numFmt w:val="bullet"/>
      <w:lvlText w:val=""/>
      <w:lvlJc w:val="left"/>
      <w:pPr>
        <w:ind w:left="720" w:hanging="360"/>
      </w:pPr>
      <w:rPr>
        <w:rFonts w:ascii="Symbol" w:hAnsi="Symbol"/>
      </w:rPr>
    </w:lvl>
  </w:abstractNum>
  <w:abstractNum w:abstractNumId="63" w15:restartNumberingAfterBreak="0">
    <w:nsid w:val="51DB09ED"/>
    <w:multiLevelType w:val="hybridMultilevel"/>
    <w:tmpl w:val="DCA2C4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28504AB"/>
    <w:multiLevelType w:val="hybridMultilevel"/>
    <w:tmpl w:val="CC86CF8C"/>
    <w:lvl w:ilvl="0" w:tplc="04090001">
      <w:start w:val="1"/>
      <w:numFmt w:val="bullet"/>
      <w:lvlText w:val=""/>
      <w:lvlJc w:val="left"/>
      <w:pPr>
        <w:ind w:left="1080" w:hanging="720"/>
      </w:pPr>
      <w:rPr>
        <w:rFonts w:ascii="Symbol" w:hAnsi="Symbol" w:hint="default"/>
      </w:rPr>
    </w:lvl>
    <w:lvl w:ilvl="1" w:tplc="D6AE9228">
      <w:start w:val="1"/>
      <w:numFmt w:val="bullet"/>
      <w:lvlText w:val="o"/>
      <w:lvlJc w:val="left"/>
      <w:pPr>
        <w:ind w:left="1440" w:hanging="360"/>
      </w:pPr>
      <w:rPr>
        <w:rFonts w:ascii="Courier New" w:hAnsi="Courier New" w:cs="Courier New" w:hint="default"/>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A436CE"/>
    <w:multiLevelType w:val="hybridMultilevel"/>
    <w:tmpl w:val="861A312C"/>
    <w:lvl w:ilvl="0" w:tplc="63845AD4">
      <w:start w:val="11"/>
      <w:numFmt w:val="decimal"/>
      <w:lvlText w:val="%1."/>
      <w:lvlJc w:val="left"/>
      <w:pPr>
        <w:ind w:left="360" w:hanging="360"/>
      </w:pPr>
      <w:rPr>
        <w:rFonts w:hint="default"/>
      </w:rPr>
    </w:lvl>
    <w:lvl w:ilvl="1" w:tplc="CF301308">
      <w:start w:val="1"/>
      <w:numFmt w:val="upperLetter"/>
      <w:lvlText w:val="%2."/>
      <w:lvlJc w:val="left"/>
      <w:pPr>
        <w:ind w:left="18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31C135D"/>
    <w:multiLevelType w:val="hybridMultilevel"/>
    <w:tmpl w:val="81E6CE82"/>
    <w:lvl w:ilvl="0" w:tplc="04090015">
      <w:start w:val="1"/>
      <w:numFmt w:val="upperLetter"/>
      <w:lvlText w:val="%1."/>
      <w:lvlJc w:val="left"/>
      <w:pPr>
        <w:ind w:left="2160" w:hanging="360"/>
      </w:pPr>
    </w:lvl>
    <w:lvl w:ilvl="1" w:tplc="D6B8E1A8">
      <w:start w:val="1"/>
      <w:numFmt w:val="decimal"/>
      <w:lvlText w:val="%2."/>
      <w:lvlJc w:val="left"/>
      <w:pPr>
        <w:ind w:left="2520" w:hanging="360"/>
      </w:pPr>
      <w:rPr>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4A7474B"/>
    <w:multiLevelType w:val="multilevel"/>
    <w:tmpl w:val="A7D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FC4B73"/>
    <w:multiLevelType w:val="hybridMultilevel"/>
    <w:tmpl w:val="BCA6AF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7CE5550"/>
    <w:multiLevelType w:val="hybridMultilevel"/>
    <w:tmpl w:val="330E27CA"/>
    <w:lvl w:ilvl="0" w:tplc="F802E9B0">
      <w:start w:val="1"/>
      <w:numFmt w:val="upperLetter"/>
      <w:lvlText w:val="%1."/>
      <w:lvlJc w:val="left"/>
      <w:pPr>
        <w:ind w:left="225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B11B20"/>
    <w:multiLevelType w:val="hybridMultilevel"/>
    <w:tmpl w:val="E6225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1" w15:restartNumberingAfterBreak="0">
    <w:nsid w:val="5B811F60"/>
    <w:multiLevelType w:val="hybridMultilevel"/>
    <w:tmpl w:val="5FCA4628"/>
    <w:lvl w:ilvl="0" w:tplc="1ACC4806">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5BCC5FF6"/>
    <w:multiLevelType w:val="hybridMultilevel"/>
    <w:tmpl w:val="4C50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200388"/>
    <w:multiLevelType w:val="hybridMultilevel"/>
    <w:tmpl w:val="447CCFA2"/>
    <w:lvl w:ilvl="0" w:tplc="DBEC92EE">
      <w:numFmt w:val="bullet"/>
      <w:lvlText w:val="•"/>
      <w:lvlJc w:val="left"/>
      <w:pPr>
        <w:ind w:left="1800" w:hanging="72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C446A9F"/>
    <w:multiLevelType w:val="hybridMultilevel"/>
    <w:tmpl w:val="23328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3C6A53"/>
    <w:multiLevelType w:val="hybridMultilevel"/>
    <w:tmpl w:val="BBE6DEF6"/>
    <w:lvl w:ilvl="0" w:tplc="631ED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4115DB"/>
    <w:multiLevelType w:val="hybridMultilevel"/>
    <w:tmpl w:val="4440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4A7442"/>
    <w:multiLevelType w:val="multilevel"/>
    <w:tmpl w:val="63226D78"/>
    <w:lvl w:ilvl="0">
      <w:start w:val="1"/>
      <w:numFmt w:val="upperLetter"/>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FF21ADA"/>
    <w:multiLevelType w:val="hybridMultilevel"/>
    <w:tmpl w:val="ADDA1D4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60FF5040"/>
    <w:multiLevelType w:val="hybridMultilevel"/>
    <w:tmpl w:val="EBC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956FC1"/>
    <w:multiLevelType w:val="hybridMultilevel"/>
    <w:tmpl w:val="0AA23FD0"/>
    <w:lvl w:ilvl="0" w:tplc="9F0E8890">
      <w:start w:val="1"/>
      <w:numFmt w:val="bullet"/>
      <w:lvlText w:val=""/>
      <w:lvlJc w:val="left"/>
      <w:pPr>
        <w:ind w:left="720" w:hanging="360"/>
      </w:pPr>
      <w:rPr>
        <w:rFonts w:ascii="Symbol" w:hAnsi="Symbol"/>
      </w:rPr>
    </w:lvl>
    <w:lvl w:ilvl="1" w:tplc="96D62B52">
      <w:start w:val="1"/>
      <w:numFmt w:val="bullet"/>
      <w:lvlText w:val=""/>
      <w:lvlJc w:val="left"/>
      <w:pPr>
        <w:ind w:left="720" w:hanging="360"/>
      </w:pPr>
      <w:rPr>
        <w:rFonts w:ascii="Symbol" w:hAnsi="Symbol"/>
      </w:rPr>
    </w:lvl>
    <w:lvl w:ilvl="2" w:tplc="32F0674C">
      <w:start w:val="1"/>
      <w:numFmt w:val="bullet"/>
      <w:lvlText w:val=""/>
      <w:lvlJc w:val="left"/>
      <w:pPr>
        <w:ind w:left="720" w:hanging="360"/>
      </w:pPr>
      <w:rPr>
        <w:rFonts w:ascii="Symbol" w:hAnsi="Symbol"/>
      </w:rPr>
    </w:lvl>
    <w:lvl w:ilvl="3" w:tplc="4F68D4A6">
      <w:start w:val="1"/>
      <w:numFmt w:val="bullet"/>
      <w:lvlText w:val=""/>
      <w:lvlJc w:val="left"/>
      <w:pPr>
        <w:ind w:left="720" w:hanging="360"/>
      </w:pPr>
      <w:rPr>
        <w:rFonts w:ascii="Symbol" w:hAnsi="Symbol"/>
      </w:rPr>
    </w:lvl>
    <w:lvl w:ilvl="4" w:tplc="A5D09F64">
      <w:start w:val="1"/>
      <w:numFmt w:val="bullet"/>
      <w:lvlText w:val=""/>
      <w:lvlJc w:val="left"/>
      <w:pPr>
        <w:ind w:left="720" w:hanging="360"/>
      </w:pPr>
      <w:rPr>
        <w:rFonts w:ascii="Symbol" w:hAnsi="Symbol"/>
      </w:rPr>
    </w:lvl>
    <w:lvl w:ilvl="5" w:tplc="5D1A0D42">
      <w:start w:val="1"/>
      <w:numFmt w:val="bullet"/>
      <w:lvlText w:val=""/>
      <w:lvlJc w:val="left"/>
      <w:pPr>
        <w:ind w:left="720" w:hanging="360"/>
      </w:pPr>
      <w:rPr>
        <w:rFonts w:ascii="Symbol" w:hAnsi="Symbol"/>
      </w:rPr>
    </w:lvl>
    <w:lvl w:ilvl="6" w:tplc="02328C48">
      <w:start w:val="1"/>
      <w:numFmt w:val="bullet"/>
      <w:lvlText w:val=""/>
      <w:lvlJc w:val="left"/>
      <w:pPr>
        <w:ind w:left="720" w:hanging="360"/>
      </w:pPr>
      <w:rPr>
        <w:rFonts w:ascii="Symbol" w:hAnsi="Symbol"/>
      </w:rPr>
    </w:lvl>
    <w:lvl w:ilvl="7" w:tplc="2F7CEEC2">
      <w:start w:val="1"/>
      <w:numFmt w:val="bullet"/>
      <w:lvlText w:val=""/>
      <w:lvlJc w:val="left"/>
      <w:pPr>
        <w:ind w:left="720" w:hanging="360"/>
      </w:pPr>
      <w:rPr>
        <w:rFonts w:ascii="Symbol" w:hAnsi="Symbol"/>
      </w:rPr>
    </w:lvl>
    <w:lvl w:ilvl="8" w:tplc="3BB03B4E">
      <w:start w:val="1"/>
      <w:numFmt w:val="bullet"/>
      <w:lvlText w:val=""/>
      <w:lvlJc w:val="left"/>
      <w:pPr>
        <w:ind w:left="720" w:hanging="360"/>
      </w:pPr>
      <w:rPr>
        <w:rFonts w:ascii="Symbol" w:hAnsi="Symbol"/>
      </w:rPr>
    </w:lvl>
  </w:abstractNum>
  <w:abstractNum w:abstractNumId="81" w15:restartNumberingAfterBreak="0">
    <w:nsid w:val="624A0026"/>
    <w:multiLevelType w:val="hybridMultilevel"/>
    <w:tmpl w:val="9162DA5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2" w15:restartNumberingAfterBreak="0">
    <w:nsid w:val="63DC3190"/>
    <w:multiLevelType w:val="hybridMultilevel"/>
    <w:tmpl w:val="BD7018BC"/>
    <w:lvl w:ilvl="0" w:tplc="58065858">
      <w:start w:val="1"/>
      <w:numFmt w:val="bullet"/>
      <w:lvlText w:val=""/>
      <w:lvlJc w:val="left"/>
      <w:pPr>
        <w:ind w:left="1080" w:hanging="72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0B4BE6"/>
    <w:multiLevelType w:val="multilevel"/>
    <w:tmpl w:val="9E9086B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4607430"/>
    <w:multiLevelType w:val="hybridMultilevel"/>
    <w:tmpl w:val="917CEE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A53886"/>
    <w:multiLevelType w:val="hybridMultilevel"/>
    <w:tmpl w:val="EAEE3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9467D8B"/>
    <w:multiLevelType w:val="hybridMultilevel"/>
    <w:tmpl w:val="3D4E2A7E"/>
    <w:lvl w:ilvl="0" w:tplc="7DBE8624">
      <w:start w:val="1"/>
      <w:numFmt w:val="lowerLetter"/>
      <w:lvlText w:val="%1."/>
      <w:lvlJc w:val="left"/>
      <w:pPr>
        <w:ind w:left="1080" w:hanging="360"/>
      </w:pPr>
      <w:rPr>
        <w:rFonts w:hint="default"/>
        <w:b w:val="0"/>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A4E6FC8"/>
    <w:multiLevelType w:val="hybridMultilevel"/>
    <w:tmpl w:val="E8C8D0E2"/>
    <w:lvl w:ilvl="0" w:tplc="1944C0AC">
      <w:start w:val="1"/>
      <w:numFmt w:val="lowerLetter"/>
      <w:lvlText w:val="%1."/>
      <w:lvlJc w:val="left"/>
      <w:pPr>
        <w:ind w:left="1080" w:hanging="360"/>
      </w:pPr>
      <w:rPr>
        <w:rFonts w:hint="default"/>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2D1111D"/>
    <w:multiLevelType w:val="hybridMultilevel"/>
    <w:tmpl w:val="DE78403C"/>
    <w:lvl w:ilvl="0" w:tplc="04090015">
      <w:start w:val="1"/>
      <w:numFmt w:val="upperLetter"/>
      <w:lvlText w:val="%1."/>
      <w:lvlJc w:val="left"/>
      <w:pPr>
        <w:ind w:left="720" w:hanging="360"/>
      </w:pPr>
    </w:lvl>
    <w:lvl w:ilvl="1" w:tplc="A612753A">
      <w:start w:val="1"/>
      <w:numFmt w:val="upp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713612"/>
    <w:multiLevelType w:val="hybridMultilevel"/>
    <w:tmpl w:val="1298AA18"/>
    <w:lvl w:ilvl="0" w:tplc="0E567CC2">
      <w:start w:val="1"/>
      <w:numFmt w:val="bullet"/>
      <w:lvlText w:val=""/>
      <w:lvlJc w:val="left"/>
      <w:pPr>
        <w:ind w:left="720" w:hanging="360"/>
      </w:pPr>
      <w:rPr>
        <w:rFonts w:ascii="Symbol" w:hAnsi="Symbol"/>
      </w:rPr>
    </w:lvl>
    <w:lvl w:ilvl="1" w:tplc="90766EBE">
      <w:start w:val="1"/>
      <w:numFmt w:val="bullet"/>
      <w:lvlText w:val=""/>
      <w:lvlJc w:val="left"/>
      <w:pPr>
        <w:ind w:left="720" w:hanging="360"/>
      </w:pPr>
      <w:rPr>
        <w:rFonts w:ascii="Symbol" w:hAnsi="Symbol"/>
      </w:rPr>
    </w:lvl>
    <w:lvl w:ilvl="2" w:tplc="F65E0462">
      <w:start w:val="1"/>
      <w:numFmt w:val="bullet"/>
      <w:lvlText w:val=""/>
      <w:lvlJc w:val="left"/>
      <w:pPr>
        <w:ind w:left="720" w:hanging="360"/>
      </w:pPr>
      <w:rPr>
        <w:rFonts w:ascii="Symbol" w:hAnsi="Symbol"/>
      </w:rPr>
    </w:lvl>
    <w:lvl w:ilvl="3" w:tplc="69CE9F04">
      <w:start w:val="1"/>
      <w:numFmt w:val="bullet"/>
      <w:lvlText w:val=""/>
      <w:lvlJc w:val="left"/>
      <w:pPr>
        <w:ind w:left="720" w:hanging="360"/>
      </w:pPr>
      <w:rPr>
        <w:rFonts w:ascii="Symbol" w:hAnsi="Symbol"/>
      </w:rPr>
    </w:lvl>
    <w:lvl w:ilvl="4" w:tplc="E41234D2">
      <w:start w:val="1"/>
      <w:numFmt w:val="bullet"/>
      <w:lvlText w:val=""/>
      <w:lvlJc w:val="left"/>
      <w:pPr>
        <w:ind w:left="720" w:hanging="360"/>
      </w:pPr>
      <w:rPr>
        <w:rFonts w:ascii="Symbol" w:hAnsi="Symbol"/>
      </w:rPr>
    </w:lvl>
    <w:lvl w:ilvl="5" w:tplc="A582D7CE">
      <w:start w:val="1"/>
      <w:numFmt w:val="bullet"/>
      <w:lvlText w:val=""/>
      <w:lvlJc w:val="left"/>
      <w:pPr>
        <w:ind w:left="720" w:hanging="360"/>
      </w:pPr>
      <w:rPr>
        <w:rFonts w:ascii="Symbol" w:hAnsi="Symbol"/>
      </w:rPr>
    </w:lvl>
    <w:lvl w:ilvl="6" w:tplc="74EC1794">
      <w:start w:val="1"/>
      <w:numFmt w:val="bullet"/>
      <w:lvlText w:val=""/>
      <w:lvlJc w:val="left"/>
      <w:pPr>
        <w:ind w:left="720" w:hanging="360"/>
      </w:pPr>
      <w:rPr>
        <w:rFonts w:ascii="Symbol" w:hAnsi="Symbol"/>
      </w:rPr>
    </w:lvl>
    <w:lvl w:ilvl="7" w:tplc="F2509A6E">
      <w:start w:val="1"/>
      <w:numFmt w:val="bullet"/>
      <w:lvlText w:val=""/>
      <w:lvlJc w:val="left"/>
      <w:pPr>
        <w:ind w:left="720" w:hanging="360"/>
      </w:pPr>
      <w:rPr>
        <w:rFonts w:ascii="Symbol" w:hAnsi="Symbol"/>
      </w:rPr>
    </w:lvl>
    <w:lvl w:ilvl="8" w:tplc="F0102F3A">
      <w:start w:val="1"/>
      <w:numFmt w:val="bullet"/>
      <w:lvlText w:val=""/>
      <w:lvlJc w:val="left"/>
      <w:pPr>
        <w:ind w:left="720" w:hanging="360"/>
      </w:pPr>
      <w:rPr>
        <w:rFonts w:ascii="Symbol" w:hAnsi="Symbol"/>
      </w:rPr>
    </w:lvl>
  </w:abstractNum>
  <w:abstractNum w:abstractNumId="90" w15:restartNumberingAfterBreak="0">
    <w:nsid w:val="77537C6A"/>
    <w:multiLevelType w:val="hybridMultilevel"/>
    <w:tmpl w:val="88F2100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91" w15:restartNumberingAfterBreak="0">
    <w:nsid w:val="786D5025"/>
    <w:multiLevelType w:val="hybridMultilevel"/>
    <w:tmpl w:val="A920CF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A9335B4"/>
    <w:multiLevelType w:val="hybridMultilevel"/>
    <w:tmpl w:val="ED6C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7C15DF"/>
    <w:multiLevelType w:val="hybridMultilevel"/>
    <w:tmpl w:val="9A1CC4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613290">
    <w:abstractNumId w:val="42"/>
  </w:num>
  <w:num w:numId="2" w16cid:durableId="641156903">
    <w:abstractNumId w:val="27"/>
  </w:num>
  <w:num w:numId="3" w16cid:durableId="848638296">
    <w:abstractNumId w:val="4"/>
  </w:num>
  <w:num w:numId="4" w16cid:durableId="1804077788">
    <w:abstractNumId w:val="52"/>
  </w:num>
  <w:num w:numId="5" w16cid:durableId="1851021931">
    <w:abstractNumId w:val="74"/>
  </w:num>
  <w:num w:numId="6" w16cid:durableId="754279845">
    <w:abstractNumId w:val="23"/>
  </w:num>
  <w:num w:numId="7" w16cid:durableId="1201477463">
    <w:abstractNumId w:val="87"/>
  </w:num>
  <w:num w:numId="8" w16cid:durableId="1536583003">
    <w:abstractNumId w:val="66"/>
  </w:num>
  <w:num w:numId="9" w16cid:durableId="1456831220">
    <w:abstractNumId w:val="65"/>
  </w:num>
  <w:num w:numId="10" w16cid:durableId="1378504098">
    <w:abstractNumId w:val="71"/>
  </w:num>
  <w:num w:numId="11" w16cid:durableId="1713573805">
    <w:abstractNumId w:val="12"/>
  </w:num>
  <w:num w:numId="12" w16cid:durableId="531260484">
    <w:abstractNumId w:val="16"/>
  </w:num>
  <w:num w:numId="13" w16cid:durableId="1645810658">
    <w:abstractNumId w:val="21"/>
  </w:num>
  <w:num w:numId="14" w16cid:durableId="445540450">
    <w:abstractNumId w:val="57"/>
  </w:num>
  <w:num w:numId="15" w16cid:durableId="1563953017">
    <w:abstractNumId w:val="86"/>
  </w:num>
  <w:num w:numId="16" w16cid:durableId="1505583267">
    <w:abstractNumId w:val="0"/>
  </w:num>
  <w:num w:numId="17" w16cid:durableId="1669944227">
    <w:abstractNumId w:val="41"/>
  </w:num>
  <w:num w:numId="18" w16cid:durableId="2016375867">
    <w:abstractNumId w:val="91"/>
  </w:num>
  <w:num w:numId="19" w16cid:durableId="835534192">
    <w:abstractNumId w:val="68"/>
  </w:num>
  <w:num w:numId="20" w16cid:durableId="952978320">
    <w:abstractNumId w:val="3"/>
  </w:num>
  <w:num w:numId="21" w16cid:durableId="937563945">
    <w:abstractNumId w:val="6"/>
  </w:num>
  <w:num w:numId="22" w16cid:durableId="1993438776">
    <w:abstractNumId w:val="28"/>
  </w:num>
  <w:num w:numId="23" w16cid:durableId="648902995">
    <w:abstractNumId w:val="34"/>
  </w:num>
  <w:num w:numId="24" w16cid:durableId="1386248591">
    <w:abstractNumId w:val="56"/>
  </w:num>
  <w:num w:numId="25" w16cid:durableId="1396196793">
    <w:abstractNumId w:val="93"/>
  </w:num>
  <w:num w:numId="26" w16cid:durableId="479617447">
    <w:abstractNumId w:val="29"/>
  </w:num>
  <w:num w:numId="27" w16cid:durableId="559637667">
    <w:abstractNumId w:val="37"/>
  </w:num>
  <w:num w:numId="28" w16cid:durableId="1911309203">
    <w:abstractNumId w:val="24"/>
  </w:num>
  <w:num w:numId="29" w16cid:durableId="2004241772">
    <w:abstractNumId w:val="35"/>
  </w:num>
  <w:num w:numId="30" w16cid:durableId="1901013937">
    <w:abstractNumId w:val="40"/>
  </w:num>
  <w:num w:numId="31" w16cid:durableId="1430194305">
    <w:abstractNumId w:val="83"/>
  </w:num>
  <w:num w:numId="32" w16cid:durableId="707027488">
    <w:abstractNumId w:val="77"/>
  </w:num>
  <w:num w:numId="33" w16cid:durableId="1718822524">
    <w:abstractNumId w:val="69"/>
  </w:num>
  <w:num w:numId="34" w16cid:durableId="1306620841">
    <w:abstractNumId w:val="84"/>
  </w:num>
  <w:num w:numId="35" w16cid:durableId="1396203120">
    <w:abstractNumId w:val="5"/>
  </w:num>
  <w:num w:numId="36" w16cid:durableId="76752435">
    <w:abstractNumId w:val="59"/>
  </w:num>
  <w:num w:numId="37" w16cid:durableId="352926850">
    <w:abstractNumId w:val="88"/>
  </w:num>
  <w:num w:numId="38" w16cid:durableId="52433972">
    <w:abstractNumId w:val="73"/>
  </w:num>
  <w:num w:numId="39" w16cid:durableId="987981375">
    <w:abstractNumId w:val="58"/>
  </w:num>
  <w:num w:numId="40" w16cid:durableId="861825553">
    <w:abstractNumId w:val="38"/>
  </w:num>
  <w:num w:numId="41" w16cid:durableId="3288914">
    <w:abstractNumId w:val="53"/>
  </w:num>
  <w:num w:numId="42" w16cid:durableId="1225533244">
    <w:abstractNumId w:val="14"/>
  </w:num>
  <w:num w:numId="43" w16cid:durableId="1754400614">
    <w:abstractNumId w:val="92"/>
  </w:num>
  <w:num w:numId="44" w16cid:durableId="301666064">
    <w:abstractNumId w:val="18"/>
  </w:num>
  <w:num w:numId="45" w16cid:durableId="1532304105">
    <w:abstractNumId w:val="79"/>
  </w:num>
  <w:num w:numId="46" w16cid:durableId="824514177">
    <w:abstractNumId w:val="82"/>
  </w:num>
  <w:num w:numId="47" w16cid:durableId="566191863">
    <w:abstractNumId w:val="75"/>
  </w:num>
  <w:num w:numId="48" w16cid:durableId="923955934">
    <w:abstractNumId w:val="44"/>
  </w:num>
  <w:num w:numId="49" w16cid:durableId="1436829522">
    <w:abstractNumId w:val="17"/>
  </w:num>
  <w:num w:numId="50" w16cid:durableId="1519543772">
    <w:abstractNumId w:val="63"/>
  </w:num>
  <w:num w:numId="51" w16cid:durableId="1498418597">
    <w:abstractNumId w:val="31"/>
  </w:num>
  <w:num w:numId="52" w16cid:durableId="167521689">
    <w:abstractNumId w:val="55"/>
  </w:num>
  <w:num w:numId="53" w16cid:durableId="2022773531">
    <w:abstractNumId w:val="85"/>
  </w:num>
  <w:num w:numId="54" w16cid:durableId="1758676250">
    <w:abstractNumId w:val="72"/>
  </w:num>
  <w:num w:numId="55" w16cid:durableId="1791122431">
    <w:abstractNumId w:val="7"/>
  </w:num>
  <w:num w:numId="56" w16cid:durableId="1750536522">
    <w:abstractNumId w:val="36"/>
  </w:num>
  <w:num w:numId="57" w16cid:durableId="1283460935">
    <w:abstractNumId w:val="10"/>
  </w:num>
  <w:num w:numId="58" w16cid:durableId="99567468">
    <w:abstractNumId w:val="49"/>
  </w:num>
  <w:num w:numId="59" w16cid:durableId="1192065471">
    <w:abstractNumId w:val="50"/>
  </w:num>
  <w:num w:numId="60" w16cid:durableId="996343960">
    <w:abstractNumId w:val="2"/>
  </w:num>
  <w:num w:numId="61" w16cid:durableId="2118483133">
    <w:abstractNumId w:val="64"/>
  </w:num>
  <w:num w:numId="62" w16cid:durableId="2035570404">
    <w:abstractNumId w:val="78"/>
  </w:num>
  <w:num w:numId="63" w16cid:durableId="2041125240">
    <w:abstractNumId w:val="33"/>
  </w:num>
  <w:num w:numId="64" w16cid:durableId="1585067580">
    <w:abstractNumId w:val="61"/>
  </w:num>
  <w:num w:numId="65" w16cid:durableId="35738503">
    <w:abstractNumId w:val="9"/>
  </w:num>
  <w:num w:numId="66" w16cid:durableId="1905607373">
    <w:abstractNumId w:val="20"/>
  </w:num>
  <w:num w:numId="67" w16cid:durableId="886646635">
    <w:abstractNumId w:val="25"/>
  </w:num>
  <w:num w:numId="68" w16cid:durableId="1535651363">
    <w:abstractNumId w:val="60"/>
  </w:num>
  <w:num w:numId="69" w16cid:durableId="1039889692">
    <w:abstractNumId w:val="45"/>
  </w:num>
  <w:num w:numId="70" w16cid:durableId="772825742">
    <w:abstractNumId w:val="80"/>
  </w:num>
  <w:num w:numId="71" w16cid:durableId="493033634">
    <w:abstractNumId w:val="8"/>
  </w:num>
  <w:num w:numId="72" w16cid:durableId="296448459">
    <w:abstractNumId w:val="89"/>
  </w:num>
  <w:num w:numId="73" w16cid:durableId="753551575">
    <w:abstractNumId w:val="48"/>
  </w:num>
  <w:num w:numId="74" w16cid:durableId="1693457703">
    <w:abstractNumId w:val="30"/>
  </w:num>
  <w:num w:numId="75" w16cid:durableId="1602910246">
    <w:abstractNumId w:val="15"/>
  </w:num>
  <w:num w:numId="76" w16cid:durableId="691566005">
    <w:abstractNumId w:val="26"/>
  </w:num>
  <w:num w:numId="77" w16cid:durableId="567224313">
    <w:abstractNumId w:val="1"/>
  </w:num>
  <w:num w:numId="78" w16cid:durableId="1086727819">
    <w:abstractNumId w:val="67"/>
  </w:num>
  <w:num w:numId="79" w16cid:durableId="515000243">
    <w:abstractNumId w:val="11"/>
  </w:num>
  <w:num w:numId="80" w16cid:durableId="1578856422">
    <w:abstractNumId w:val="32"/>
  </w:num>
  <w:num w:numId="81" w16cid:durableId="2036418181">
    <w:abstractNumId w:val="51"/>
  </w:num>
  <w:num w:numId="82" w16cid:durableId="383061307">
    <w:abstractNumId w:val="54"/>
  </w:num>
  <w:num w:numId="83" w16cid:durableId="2141070700">
    <w:abstractNumId w:val="47"/>
  </w:num>
  <w:num w:numId="84" w16cid:durableId="623117219">
    <w:abstractNumId w:val="43"/>
  </w:num>
  <w:num w:numId="85" w16cid:durableId="2069527725">
    <w:abstractNumId w:val="46"/>
  </w:num>
  <w:num w:numId="86" w16cid:durableId="1004894388">
    <w:abstractNumId w:val="19"/>
  </w:num>
  <w:num w:numId="87" w16cid:durableId="34353612">
    <w:abstractNumId w:val="76"/>
  </w:num>
  <w:num w:numId="88" w16cid:durableId="1956282076">
    <w:abstractNumId w:val="39"/>
  </w:num>
  <w:num w:numId="89" w16cid:durableId="898130877">
    <w:abstractNumId w:val="22"/>
  </w:num>
  <w:num w:numId="90" w16cid:durableId="1500390203">
    <w:abstractNumId w:val="62"/>
  </w:num>
  <w:num w:numId="91" w16cid:durableId="1657757351">
    <w:abstractNumId w:val="70"/>
  </w:num>
  <w:num w:numId="92" w16cid:durableId="714043434">
    <w:abstractNumId w:val="81"/>
  </w:num>
  <w:num w:numId="93" w16cid:durableId="2141026739">
    <w:abstractNumId w:val="13"/>
  </w:num>
  <w:num w:numId="94" w16cid:durableId="1142847125">
    <w:abstractNumId w:val="9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NDM0MjY3MTA0sTBV0lEKTi0uzszPAykwrAUARTT72iwAAAA="/>
  </w:docVars>
  <w:rsids>
    <w:rsidRoot w:val="00D658A4"/>
    <w:rsid w:val="00000DAE"/>
    <w:rsid w:val="0000104B"/>
    <w:rsid w:val="000016F6"/>
    <w:rsid w:val="00001B93"/>
    <w:rsid w:val="00001FA2"/>
    <w:rsid w:val="000021F4"/>
    <w:rsid w:val="0000221D"/>
    <w:rsid w:val="00002C3F"/>
    <w:rsid w:val="00002CB5"/>
    <w:rsid w:val="00002DEF"/>
    <w:rsid w:val="00003514"/>
    <w:rsid w:val="00003FC4"/>
    <w:rsid w:val="000055B7"/>
    <w:rsid w:val="0000591E"/>
    <w:rsid w:val="000072DC"/>
    <w:rsid w:val="00007383"/>
    <w:rsid w:val="00010284"/>
    <w:rsid w:val="0001056B"/>
    <w:rsid w:val="0001088D"/>
    <w:rsid w:val="0001121F"/>
    <w:rsid w:val="000131E7"/>
    <w:rsid w:val="000137BA"/>
    <w:rsid w:val="00014869"/>
    <w:rsid w:val="00014F30"/>
    <w:rsid w:val="000152A8"/>
    <w:rsid w:val="00015B76"/>
    <w:rsid w:val="000160E1"/>
    <w:rsid w:val="00016FB2"/>
    <w:rsid w:val="00017DAE"/>
    <w:rsid w:val="00020686"/>
    <w:rsid w:val="00020BDC"/>
    <w:rsid w:val="00020D63"/>
    <w:rsid w:val="00021415"/>
    <w:rsid w:val="0002167F"/>
    <w:rsid w:val="0002172F"/>
    <w:rsid w:val="00021B70"/>
    <w:rsid w:val="00022538"/>
    <w:rsid w:val="000232D7"/>
    <w:rsid w:val="00023440"/>
    <w:rsid w:val="00024503"/>
    <w:rsid w:val="00024530"/>
    <w:rsid w:val="000252BD"/>
    <w:rsid w:val="0002661D"/>
    <w:rsid w:val="00026DF4"/>
    <w:rsid w:val="00027857"/>
    <w:rsid w:val="00027966"/>
    <w:rsid w:val="00027EED"/>
    <w:rsid w:val="00031AFF"/>
    <w:rsid w:val="00032588"/>
    <w:rsid w:val="00032D2D"/>
    <w:rsid w:val="00034C06"/>
    <w:rsid w:val="000357CD"/>
    <w:rsid w:val="00035ED4"/>
    <w:rsid w:val="00037E92"/>
    <w:rsid w:val="0004146B"/>
    <w:rsid w:val="0004324B"/>
    <w:rsid w:val="00043A24"/>
    <w:rsid w:val="00043CFE"/>
    <w:rsid w:val="0004531E"/>
    <w:rsid w:val="00045FBD"/>
    <w:rsid w:val="00047A0A"/>
    <w:rsid w:val="00050212"/>
    <w:rsid w:val="00050DF5"/>
    <w:rsid w:val="000513AD"/>
    <w:rsid w:val="00051C0E"/>
    <w:rsid w:val="000522BA"/>
    <w:rsid w:val="00052D25"/>
    <w:rsid w:val="00052F3C"/>
    <w:rsid w:val="00053344"/>
    <w:rsid w:val="00053AD6"/>
    <w:rsid w:val="00053E23"/>
    <w:rsid w:val="0005585A"/>
    <w:rsid w:val="00060BFC"/>
    <w:rsid w:val="00062916"/>
    <w:rsid w:val="00062A42"/>
    <w:rsid w:val="00063A91"/>
    <w:rsid w:val="00063F5C"/>
    <w:rsid w:val="000640C1"/>
    <w:rsid w:val="000653A0"/>
    <w:rsid w:val="000662B8"/>
    <w:rsid w:val="0006632F"/>
    <w:rsid w:val="00066832"/>
    <w:rsid w:val="000670D5"/>
    <w:rsid w:val="0006751E"/>
    <w:rsid w:val="00070726"/>
    <w:rsid w:val="00070BFC"/>
    <w:rsid w:val="00071C10"/>
    <w:rsid w:val="00073140"/>
    <w:rsid w:val="000735B5"/>
    <w:rsid w:val="00073DCB"/>
    <w:rsid w:val="0007503A"/>
    <w:rsid w:val="00075567"/>
    <w:rsid w:val="00076443"/>
    <w:rsid w:val="000776AB"/>
    <w:rsid w:val="000807D7"/>
    <w:rsid w:val="000808A8"/>
    <w:rsid w:val="00080B36"/>
    <w:rsid w:val="000813E9"/>
    <w:rsid w:val="00082AB0"/>
    <w:rsid w:val="00082C3F"/>
    <w:rsid w:val="000831FF"/>
    <w:rsid w:val="0008572D"/>
    <w:rsid w:val="00085E47"/>
    <w:rsid w:val="0009140F"/>
    <w:rsid w:val="0009152E"/>
    <w:rsid w:val="0009408F"/>
    <w:rsid w:val="00094214"/>
    <w:rsid w:val="00094231"/>
    <w:rsid w:val="000945FF"/>
    <w:rsid w:val="00096132"/>
    <w:rsid w:val="00096626"/>
    <w:rsid w:val="000A1E8B"/>
    <w:rsid w:val="000A1F69"/>
    <w:rsid w:val="000A2447"/>
    <w:rsid w:val="000A2C70"/>
    <w:rsid w:val="000A34AC"/>
    <w:rsid w:val="000A5255"/>
    <w:rsid w:val="000A7609"/>
    <w:rsid w:val="000A7615"/>
    <w:rsid w:val="000A7DBF"/>
    <w:rsid w:val="000B0643"/>
    <w:rsid w:val="000B16E7"/>
    <w:rsid w:val="000B1AB1"/>
    <w:rsid w:val="000B3F0D"/>
    <w:rsid w:val="000B7C14"/>
    <w:rsid w:val="000C00DF"/>
    <w:rsid w:val="000C113F"/>
    <w:rsid w:val="000C1D70"/>
    <w:rsid w:val="000C3472"/>
    <w:rsid w:val="000C34EE"/>
    <w:rsid w:val="000C3DCA"/>
    <w:rsid w:val="000C3E27"/>
    <w:rsid w:val="000C44B6"/>
    <w:rsid w:val="000C4DF7"/>
    <w:rsid w:val="000C528D"/>
    <w:rsid w:val="000C7F5F"/>
    <w:rsid w:val="000D0658"/>
    <w:rsid w:val="000D0F08"/>
    <w:rsid w:val="000D3F49"/>
    <w:rsid w:val="000D4677"/>
    <w:rsid w:val="000D4ADC"/>
    <w:rsid w:val="000D5680"/>
    <w:rsid w:val="000D6297"/>
    <w:rsid w:val="000D71E4"/>
    <w:rsid w:val="000E07AD"/>
    <w:rsid w:val="000E0E5B"/>
    <w:rsid w:val="000E23E9"/>
    <w:rsid w:val="000E3E73"/>
    <w:rsid w:val="000E4D27"/>
    <w:rsid w:val="000E526B"/>
    <w:rsid w:val="000E67D3"/>
    <w:rsid w:val="000E7360"/>
    <w:rsid w:val="000E76B3"/>
    <w:rsid w:val="000F01DF"/>
    <w:rsid w:val="000F073C"/>
    <w:rsid w:val="000F18CF"/>
    <w:rsid w:val="000F25C3"/>
    <w:rsid w:val="000F27E4"/>
    <w:rsid w:val="000F2C95"/>
    <w:rsid w:val="000F4793"/>
    <w:rsid w:val="000F508A"/>
    <w:rsid w:val="000F600A"/>
    <w:rsid w:val="000F624C"/>
    <w:rsid w:val="000F7665"/>
    <w:rsid w:val="000F7674"/>
    <w:rsid w:val="000F7964"/>
    <w:rsid w:val="00100D9C"/>
    <w:rsid w:val="00100E3F"/>
    <w:rsid w:val="00100FBA"/>
    <w:rsid w:val="00103FA1"/>
    <w:rsid w:val="001043EA"/>
    <w:rsid w:val="001046DA"/>
    <w:rsid w:val="00105693"/>
    <w:rsid w:val="00106192"/>
    <w:rsid w:val="00107A95"/>
    <w:rsid w:val="001101BB"/>
    <w:rsid w:val="00110C57"/>
    <w:rsid w:val="001117D8"/>
    <w:rsid w:val="0011254C"/>
    <w:rsid w:val="0011324D"/>
    <w:rsid w:val="00113776"/>
    <w:rsid w:val="00113F3A"/>
    <w:rsid w:val="0011522E"/>
    <w:rsid w:val="00115963"/>
    <w:rsid w:val="00115C83"/>
    <w:rsid w:val="00116C41"/>
    <w:rsid w:val="0011739B"/>
    <w:rsid w:val="00117BF5"/>
    <w:rsid w:val="00117F9B"/>
    <w:rsid w:val="00120060"/>
    <w:rsid w:val="001200DC"/>
    <w:rsid w:val="00120397"/>
    <w:rsid w:val="00120758"/>
    <w:rsid w:val="00120EC6"/>
    <w:rsid w:val="001216E1"/>
    <w:rsid w:val="00125273"/>
    <w:rsid w:val="00126838"/>
    <w:rsid w:val="00127D53"/>
    <w:rsid w:val="00130038"/>
    <w:rsid w:val="00130B8F"/>
    <w:rsid w:val="00132985"/>
    <w:rsid w:val="00132C2E"/>
    <w:rsid w:val="0013350F"/>
    <w:rsid w:val="00134BC0"/>
    <w:rsid w:val="00135044"/>
    <w:rsid w:val="0013592A"/>
    <w:rsid w:val="001359F8"/>
    <w:rsid w:val="00135D6D"/>
    <w:rsid w:val="00137D0C"/>
    <w:rsid w:val="00137D0D"/>
    <w:rsid w:val="00141F81"/>
    <w:rsid w:val="00143234"/>
    <w:rsid w:val="001436ED"/>
    <w:rsid w:val="00143D82"/>
    <w:rsid w:val="0014533F"/>
    <w:rsid w:val="00145A72"/>
    <w:rsid w:val="0014725A"/>
    <w:rsid w:val="0014767B"/>
    <w:rsid w:val="001479D5"/>
    <w:rsid w:val="00147FF2"/>
    <w:rsid w:val="0015076D"/>
    <w:rsid w:val="00152C31"/>
    <w:rsid w:val="00153759"/>
    <w:rsid w:val="00154CF6"/>
    <w:rsid w:val="00155A44"/>
    <w:rsid w:val="00156170"/>
    <w:rsid w:val="00156B96"/>
    <w:rsid w:val="00157238"/>
    <w:rsid w:val="00157703"/>
    <w:rsid w:val="00160E7E"/>
    <w:rsid w:val="001633DA"/>
    <w:rsid w:val="001642B5"/>
    <w:rsid w:val="001645A9"/>
    <w:rsid w:val="00165694"/>
    <w:rsid w:val="00166636"/>
    <w:rsid w:val="00171DAE"/>
    <w:rsid w:val="00173B98"/>
    <w:rsid w:val="00173DE4"/>
    <w:rsid w:val="00173E22"/>
    <w:rsid w:val="001747D9"/>
    <w:rsid w:val="00174A81"/>
    <w:rsid w:val="00175AC1"/>
    <w:rsid w:val="0017651E"/>
    <w:rsid w:val="0017792B"/>
    <w:rsid w:val="00177E8B"/>
    <w:rsid w:val="00177FB7"/>
    <w:rsid w:val="0018193C"/>
    <w:rsid w:val="001819E2"/>
    <w:rsid w:val="0018359F"/>
    <w:rsid w:val="001835DF"/>
    <w:rsid w:val="0018369A"/>
    <w:rsid w:val="00185002"/>
    <w:rsid w:val="0018585B"/>
    <w:rsid w:val="0018588B"/>
    <w:rsid w:val="001903DA"/>
    <w:rsid w:val="0019042F"/>
    <w:rsid w:val="0019080F"/>
    <w:rsid w:val="00192CD2"/>
    <w:rsid w:val="00193833"/>
    <w:rsid w:val="00194BBE"/>
    <w:rsid w:val="00195399"/>
    <w:rsid w:val="00195975"/>
    <w:rsid w:val="00197061"/>
    <w:rsid w:val="001976B1"/>
    <w:rsid w:val="00197AA9"/>
    <w:rsid w:val="001A04B8"/>
    <w:rsid w:val="001A06D4"/>
    <w:rsid w:val="001A277B"/>
    <w:rsid w:val="001A3719"/>
    <w:rsid w:val="001A51AB"/>
    <w:rsid w:val="001A5806"/>
    <w:rsid w:val="001A5E83"/>
    <w:rsid w:val="001B0C97"/>
    <w:rsid w:val="001B2169"/>
    <w:rsid w:val="001B23D5"/>
    <w:rsid w:val="001B2966"/>
    <w:rsid w:val="001B2DC8"/>
    <w:rsid w:val="001B2F21"/>
    <w:rsid w:val="001B31F0"/>
    <w:rsid w:val="001B373C"/>
    <w:rsid w:val="001B4D04"/>
    <w:rsid w:val="001B59DB"/>
    <w:rsid w:val="001B5A0D"/>
    <w:rsid w:val="001B6103"/>
    <w:rsid w:val="001C0635"/>
    <w:rsid w:val="001C08FE"/>
    <w:rsid w:val="001C1825"/>
    <w:rsid w:val="001C3207"/>
    <w:rsid w:val="001C3355"/>
    <w:rsid w:val="001C39E5"/>
    <w:rsid w:val="001C3A44"/>
    <w:rsid w:val="001C40F4"/>
    <w:rsid w:val="001C4196"/>
    <w:rsid w:val="001C61E8"/>
    <w:rsid w:val="001C6591"/>
    <w:rsid w:val="001C6D38"/>
    <w:rsid w:val="001C7324"/>
    <w:rsid w:val="001C7BB1"/>
    <w:rsid w:val="001D004A"/>
    <w:rsid w:val="001D0B64"/>
    <w:rsid w:val="001D0D4B"/>
    <w:rsid w:val="001D2E4E"/>
    <w:rsid w:val="001D3DF9"/>
    <w:rsid w:val="001D527A"/>
    <w:rsid w:val="001D6188"/>
    <w:rsid w:val="001D6F29"/>
    <w:rsid w:val="001D7D81"/>
    <w:rsid w:val="001E1715"/>
    <w:rsid w:val="001E25C9"/>
    <w:rsid w:val="001E2CAB"/>
    <w:rsid w:val="001E2DDA"/>
    <w:rsid w:val="001E42A7"/>
    <w:rsid w:val="001E6443"/>
    <w:rsid w:val="001E6AB5"/>
    <w:rsid w:val="001E74A8"/>
    <w:rsid w:val="001E7DBA"/>
    <w:rsid w:val="001F018C"/>
    <w:rsid w:val="001F07A7"/>
    <w:rsid w:val="001F10C7"/>
    <w:rsid w:val="001F1198"/>
    <w:rsid w:val="001F375B"/>
    <w:rsid w:val="001F3DFC"/>
    <w:rsid w:val="001F3EBA"/>
    <w:rsid w:val="001F3F42"/>
    <w:rsid w:val="001F47C2"/>
    <w:rsid w:val="001F57DD"/>
    <w:rsid w:val="001F7561"/>
    <w:rsid w:val="001F7F80"/>
    <w:rsid w:val="0020121F"/>
    <w:rsid w:val="002026E2"/>
    <w:rsid w:val="0020337F"/>
    <w:rsid w:val="00203A56"/>
    <w:rsid w:val="00204D85"/>
    <w:rsid w:val="0020505A"/>
    <w:rsid w:val="002055FC"/>
    <w:rsid w:val="00205F25"/>
    <w:rsid w:val="002113D4"/>
    <w:rsid w:val="00212A4F"/>
    <w:rsid w:val="0021404C"/>
    <w:rsid w:val="00214105"/>
    <w:rsid w:val="00214799"/>
    <w:rsid w:val="002148C7"/>
    <w:rsid w:val="00214B68"/>
    <w:rsid w:val="00214F4E"/>
    <w:rsid w:val="00215059"/>
    <w:rsid w:val="002150FE"/>
    <w:rsid w:val="00216279"/>
    <w:rsid w:val="00220684"/>
    <w:rsid w:val="002210BE"/>
    <w:rsid w:val="00221202"/>
    <w:rsid w:val="00222221"/>
    <w:rsid w:val="00224B37"/>
    <w:rsid w:val="00225095"/>
    <w:rsid w:val="002256BE"/>
    <w:rsid w:val="00225F90"/>
    <w:rsid w:val="00226E2A"/>
    <w:rsid w:val="0022793B"/>
    <w:rsid w:val="00233944"/>
    <w:rsid w:val="0023573F"/>
    <w:rsid w:val="00235DA9"/>
    <w:rsid w:val="00240400"/>
    <w:rsid w:val="002408FB"/>
    <w:rsid w:val="00240A74"/>
    <w:rsid w:val="00240AB7"/>
    <w:rsid w:val="002411DF"/>
    <w:rsid w:val="00241403"/>
    <w:rsid w:val="00241481"/>
    <w:rsid w:val="00242068"/>
    <w:rsid w:val="00242207"/>
    <w:rsid w:val="0024281D"/>
    <w:rsid w:val="002432C1"/>
    <w:rsid w:val="00243D04"/>
    <w:rsid w:val="00245744"/>
    <w:rsid w:val="00247824"/>
    <w:rsid w:val="00250D7C"/>
    <w:rsid w:val="002510E0"/>
    <w:rsid w:val="00251133"/>
    <w:rsid w:val="00251432"/>
    <w:rsid w:val="00251A80"/>
    <w:rsid w:val="00252775"/>
    <w:rsid w:val="00253C69"/>
    <w:rsid w:val="002547C3"/>
    <w:rsid w:val="002549ED"/>
    <w:rsid w:val="00255B2F"/>
    <w:rsid w:val="0025775B"/>
    <w:rsid w:val="00260A83"/>
    <w:rsid w:val="00260CF5"/>
    <w:rsid w:val="00260EDE"/>
    <w:rsid w:val="00262632"/>
    <w:rsid w:val="0026299A"/>
    <w:rsid w:val="0026317C"/>
    <w:rsid w:val="002656A6"/>
    <w:rsid w:val="00266AB4"/>
    <w:rsid w:val="00266D37"/>
    <w:rsid w:val="002704A7"/>
    <w:rsid w:val="002705C8"/>
    <w:rsid w:val="0027123F"/>
    <w:rsid w:val="00272B77"/>
    <w:rsid w:val="00272FD4"/>
    <w:rsid w:val="0027367F"/>
    <w:rsid w:val="00273A60"/>
    <w:rsid w:val="0027406A"/>
    <w:rsid w:val="002752FF"/>
    <w:rsid w:val="002756A2"/>
    <w:rsid w:val="002759E8"/>
    <w:rsid w:val="002769C5"/>
    <w:rsid w:val="0028040C"/>
    <w:rsid w:val="00280F75"/>
    <w:rsid w:val="00281477"/>
    <w:rsid w:val="002830BC"/>
    <w:rsid w:val="002832AC"/>
    <w:rsid w:val="0028389D"/>
    <w:rsid w:val="00283C92"/>
    <w:rsid w:val="00283F93"/>
    <w:rsid w:val="00284E6B"/>
    <w:rsid w:val="00284FAF"/>
    <w:rsid w:val="002867D5"/>
    <w:rsid w:val="00286A93"/>
    <w:rsid w:val="00287947"/>
    <w:rsid w:val="00287AD4"/>
    <w:rsid w:val="00287AD5"/>
    <w:rsid w:val="00287D4C"/>
    <w:rsid w:val="002910E6"/>
    <w:rsid w:val="002915EC"/>
    <w:rsid w:val="00292129"/>
    <w:rsid w:val="002944DF"/>
    <w:rsid w:val="0029554E"/>
    <w:rsid w:val="00296105"/>
    <w:rsid w:val="00296A02"/>
    <w:rsid w:val="002A2DC7"/>
    <w:rsid w:val="002A501B"/>
    <w:rsid w:val="002B0539"/>
    <w:rsid w:val="002B0D4E"/>
    <w:rsid w:val="002B0F54"/>
    <w:rsid w:val="002B145A"/>
    <w:rsid w:val="002B1987"/>
    <w:rsid w:val="002B25AC"/>
    <w:rsid w:val="002B386C"/>
    <w:rsid w:val="002B4278"/>
    <w:rsid w:val="002B4AE3"/>
    <w:rsid w:val="002B5630"/>
    <w:rsid w:val="002B5835"/>
    <w:rsid w:val="002B61E5"/>
    <w:rsid w:val="002C4AD2"/>
    <w:rsid w:val="002C4F08"/>
    <w:rsid w:val="002C5090"/>
    <w:rsid w:val="002C63B7"/>
    <w:rsid w:val="002C7460"/>
    <w:rsid w:val="002C762F"/>
    <w:rsid w:val="002C76E5"/>
    <w:rsid w:val="002D02EB"/>
    <w:rsid w:val="002D0906"/>
    <w:rsid w:val="002D0A13"/>
    <w:rsid w:val="002D0DDF"/>
    <w:rsid w:val="002D135C"/>
    <w:rsid w:val="002D1B87"/>
    <w:rsid w:val="002D27D4"/>
    <w:rsid w:val="002D2C28"/>
    <w:rsid w:val="002D2D83"/>
    <w:rsid w:val="002D3D91"/>
    <w:rsid w:val="002D474B"/>
    <w:rsid w:val="002D4BA9"/>
    <w:rsid w:val="002E0181"/>
    <w:rsid w:val="002E090F"/>
    <w:rsid w:val="002E09E1"/>
    <w:rsid w:val="002E265E"/>
    <w:rsid w:val="002E26D7"/>
    <w:rsid w:val="002E29D2"/>
    <w:rsid w:val="002E5811"/>
    <w:rsid w:val="002E6367"/>
    <w:rsid w:val="002E6501"/>
    <w:rsid w:val="002E7939"/>
    <w:rsid w:val="002F0482"/>
    <w:rsid w:val="002F1E9A"/>
    <w:rsid w:val="002F290C"/>
    <w:rsid w:val="002F2927"/>
    <w:rsid w:val="002F329F"/>
    <w:rsid w:val="002F350B"/>
    <w:rsid w:val="002F3792"/>
    <w:rsid w:val="002F6A82"/>
    <w:rsid w:val="002F78C6"/>
    <w:rsid w:val="0030127B"/>
    <w:rsid w:val="00302C47"/>
    <w:rsid w:val="00304155"/>
    <w:rsid w:val="00305057"/>
    <w:rsid w:val="00305C9B"/>
    <w:rsid w:val="003101DD"/>
    <w:rsid w:val="00310DFF"/>
    <w:rsid w:val="003112FE"/>
    <w:rsid w:val="00311528"/>
    <w:rsid w:val="0031208C"/>
    <w:rsid w:val="003121F7"/>
    <w:rsid w:val="0031408E"/>
    <w:rsid w:val="00314EAD"/>
    <w:rsid w:val="00316941"/>
    <w:rsid w:val="00316FE9"/>
    <w:rsid w:val="003176D0"/>
    <w:rsid w:val="00317ABD"/>
    <w:rsid w:val="00317AE9"/>
    <w:rsid w:val="00317C6D"/>
    <w:rsid w:val="00317C89"/>
    <w:rsid w:val="003203FB"/>
    <w:rsid w:val="0032062C"/>
    <w:rsid w:val="003210FD"/>
    <w:rsid w:val="00321B7C"/>
    <w:rsid w:val="00321C61"/>
    <w:rsid w:val="0032218E"/>
    <w:rsid w:val="00322A7C"/>
    <w:rsid w:val="003267C7"/>
    <w:rsid w:val="00326B1F"/>
    <w:rsid w:val="00326E4C"/>
    <w:rsid w:val="00326FB2"/>
    <w:rsid w:val="00327288"/>
    <w:rsid w:val="0032738C"/>
    <w:rsid w:val="00327694"/>
    <w:rsid w:val="00327E04"/>
    <w:rsid w:val="00330876"/>
    <w:rsid w:val="003308E1"/>
    <w:rsid w:val="00331131"/>
    <w:rsid w:val="00331A58"/>
    <w:rsid w:val="003329C0"/>
    <w:rsid w:val="00333AC2"/>
    <w:rsid w:val="00334AEE"/>
    <w:rsid w:val="00334E02"/>
    <w:rsid w:val="00334E42"/>
    <w:rsid w:val="003352CA"/>
    <w:rsid w:val="003353AB"/>
    <w:rsid w:val="003356AB"/>
    <w:rsid w:val="003356C7"/>
    <w:rsid w:val="003361B2"/>
    <w:rsid w:val="00336821"/>
    <w:rsid w:val="0033707B"/>
    <w:rsid w:val="003407E7"/>
    <w:rsid w:val="00340B11"/>
    <w:rsid w:val="00341020"/>
    <w:rsid w:val="00342097"/>
    <w:rsid w:val="003421AB"/>
    <w:rsid w:val="00343669"/>
    <w:rsid w:val="003442DD"/>
    <w:rsid w:val="0034446E"/>
    <w:rsid w:val="00344906"/>
    <w:rsid w:val="003467D3"/>
    <w:rsid w:val="00347EB1"/>
    <w:rsid w:val="0035153D"/>
    <w:rsid w:val="0035441A"/>
    <w:rsid w:val="00354A58"/>
    <w:rsid w:val="003579DA"/>
    <w:rsid w:val="003616B1"/>
    <w:rsid w:val="00363020"/>
    <w:rsid w:val="00363F64"/>
    <w:rsid w:val="00363FC1"/>
    <w:rsid w:val="00364292"/>
    <w:rsid w:val="0036491C"/>
    <w:rsid w:val="0036495E"/>
    <w:rsid w:val="00364B81"/>
    <w:rsid w:val="0036546A"/>
    <w:rsid w:val="0036598B"/>
    <w:rsid w:val="00365F76"/>
    <w:rsid w:val="00367F56"/>
    <w:rsid w:val="0037038A"/>
    <w:rsid w:val="00371361"/>
    <w:rsid w:val="00371468"/>
    <w:rsid w:val="00371695"/>
    <w:rsid w:val="00372192"/>
    <w:rsid w:val="0037274B"/>
    <w:rsid w:val="00373113"/>
    <w:rsid w:val="00373732"/>
    <w:rsid w:val="00374D5B"/>
    <w:rsid w:val="00374F10"/>
    <w:rsid w:val="003754D2"/>
    <w:rsid w:val="0037603E"/>
    <w:rsid w:val="00377319"/>
    <w:rsid w:val="00377FA5"/>
    <w:rsid w:val="00380CA7"/>
    <w:rsid w:val="00381692"/>
    <w:rsid w:val="00382410"/>
    <w:rsid w:val="003832E8"/>
    <w:rsid w:val="0038379F"/>
    <w:rsid w:val="003850B5"/>
    <w:rsid w:val="00385309"/>
    <w:rsid w:val="0038564D"/>
    <w:rsid w:val="00385724"/>
    <w:rsid w:val="003859C5"/>
    <w:rsid w:val="00385D7F"/>
    <w:rsid w:val="003909D4"/>
    <w:rsid w:val="00393937"/>
    <w:rsid w:val="00393B13"/>
    <w:rsid w:val="00393DE6"/>
    <w:rsid w:val="00394B8C"/>
    <w:rsid w:val="00394EC6"/>
    <w:rsid w:val="0039571C"/>
    <w:rsid w:val="00395BF7"/>
    <w:rsid w:val="003A02FC"/>
    <w:rsid w:val="003A0923"/>
    <w:rsid w:val="003A096C"/>
    <w:rsid w:val="003A13DB"/>
    <w:rsid w:val="003A1A30"/>
    <w:rsid w:val="003A236F"/>
    <w:rsid w:val="003A45A5"/>
    <w:rsid w:val="003A7AC1"/>
    <w:rsid w:val="003B1376"/>
    <w:rsid w:val="003B1564"/>
    <w:rsid w:val="003B1588"/>
    <w:rsid w:val="003B4489"/>
    <w:rsid w:val="003B6A39"/>
    <w:rsid w:val="003C0700"/>
    <w:rsid w:val="003C2710"/>
    <w:rsid w:val="003C3A82"/>
    <w:rsid w:val="003C40AA"/>
    <w:rsid w:val="003C46CF"/>
    <w:rsid w:val="003D0102"/>
    <w:rsid w:val="003D1F9A"/>
    <w:rsid w:val="003D2B45"/>
    <w:rsid w:val="003D2B70"/>
    <w:rsid w:val="003D3C5F"/>
    <w:rsid w:val="003D42A0"/>
    <w:rsid w:val="003D4E25"/>
    <w:rsid w:val="003D5ED7"/>
    <w:rsid w:val="003D62B7"/>
    <w:rsid w:val="003D6AB4"/>
    <w:rsid w:val="003D6B53"/>
    <w:rsid w:val="003D7DF8"/>
    <w:rsid w:val="003E02A2"/>
    <w:rsid w:val="003E0EB5"/>
    <w:rsid w:val="003E1148"/>
    <w:rsid w:val="003E15C9"/>
    <w:rsid w:val="003E2AC2"/>
    <w:rsid w:val="003E2D60"/>
    <w:rsid w:val="003E3744"/>
    <w:rsid w:val="003E4A17"/>
    <w:rsid w:val="003E4AE7"/>
    <w:rsid w:val="003E4C84"/>
    <w:rsid w:val="003E5BFD"/>
    <w:rsid w:val="003E5FD2"/>
    <w:rsid w:val="003E62C0"/>
    <w:rsid w:val="003E668C"/>
    <w:rsid w:val="003F0F12"/>
    <w:rsid w:val="003F21AF"/>
    <w:rsid w:val="003F2FA9"/>
    <w:rsid w:val="003F404A"/>
    <w:rsid w:val="003F4555"/>
    <w:rsid w:val="003F465E"/>
    <w:rsid w:val="003F56C1"/>
    <w:rsid w:val="003F6FB8"/>
    <w:rsid w:val="003F791C"/>
    <w:rsid w:val="00400F73"/>
    <w:rsid w:val="00401139"/>
    <w:rsid w:val="00401B08"/>
    <w:rsid w:val="00401B74"/>
    <w:rsid w:val="00401DC2"/>
    <w:rsid w:val="00402495"/>
    <w:rsid w:val="00402C52"/>
    <w:rsid w:val="00402F89"/>
    <w:rsid w:val="0040393F"/>
    <w:rsid w:val="00405741"/>
    <w:rsid w:val="0040608A"/>
    <w:rsid w:val="00406179"/>
    <w:rsid w:val="00407052"/>
    <w:rsid w:val="00407AE0"/>
    <w:rsid w:val="00410793"/>
    <w:rsid w:val="00410AC9"/>
    <w:rsid w:val="00411AE6"/>
    <w:rsid w:val="00412620"/>
    <w:rsid w:val="00414D03"/>
    <w:rsid w:val="004157A8"/>
    <w:rsid w:val="00415D24"/>
    <w:rsid w:val="00416F17"/>
    <w:rsid w:val="00420652"/>
    <w:rsid w:val="004213C2"/>
    <w:rsid w:val="00421578"/>
    <w:rsid w:val="00421988"/>
    <w:rsid w:val="004230C3"/>
    <w:rsid w:val="0042374C"/>
    <w:rsid w:val="00424637"/>
    <w:rsid w:val="004248C9"/>
    <w:rsid w:val="00425AA2"/>
    <w:rsid w:val="00426AA5"/>
    <w:rsid w:val="00426C0F"/>
    <w:rsid w:val="00426E9C"/>
    <w:rsid w:val="0042729D"/>
    <w:rsid w:val="004272EB"/>
    <w:rsid w:val="00427838"/>
    <w:rsid w:val="00433373"/>
    <w:rsid w:val="00436849"/>
    <w:rsid w:val="00443D78"/>
    <w:rsid w:val="0044508A"/>
    <w:rsid w:val="00445EB4"/>
    <w:rsid w:val="00446061"/>
    <w:rsid w:val="00446297"/>
    <w:rsid w:val="00446F86"/>
    <w:rsid w:val="00454CCE"/>
    <w:rsid w:val="004553AE"/>
    <w:rsid w:val="00455CBD"/>
    <w:rsid w:val="004564C9"/>
    <w:rsid w:val="00456AC2"/>
    <w:rsid w:val="00457162"/>
    <w:rsid w:val="00464A03"/>
    <w:rsid w:val="00466248"/>
    <w:rsid w:val="00467160"/>
    <w:rsid w:val="00467E3D"/>
    <w:rsid w:val="00470965"/>
    <w:rsid w:val="00471BC1"/>
    <w:rsid w:val="00472F60"/>
    <w:rsid w:val="0047459D"/>
    <w:rsid w:val="00476809"/>
    <w:rsid w:val="00482E3A"/>
    <w:rsid w:val="0048366F"/>
    <w:rsid w:val="00483D58"/>
    <w:rsid w:val="004915D6"/>
    <w:rsid w:val="004919EA"/>
    <w:rsid w:val="00491BBA"/>
    <w:rsid w:val="00491F09"/>
    <w:rsid w:val="004930C8"/>
    <w:rsid w:val="004945B6"/>
    <w:rsid w:val="004965DC"/>
    <w:rsid w:val="00496E79"/>
    <w:rsid w:val="00497098"/>
    <w:rsid w:val="004A09DD"/>
    <w:rsid w:val="004A1E8D"/>
    <w:rsid w:val="004A22B7"/>
    <w:rsid w:val="004A2349"/>
    <w:rsid w:val="004A24F7"/>
    <w:rsid w:val="004A2A3F"/>
    <w:rsid w:val="004A3AAC"/>
    <w:rsid w:val="004A3CCE"/>
    <w:rsid w:val="004A4075"/>
    <w:rsid w:val="004A5A01"/>
    <w:rsid w:val="004A7B5D"/>
    <w:rsid w:val="004A7E99"/>
    <w:rsid w:val="004B1197"/>
    <w:rsid w:val="004B2E1F"/>
    <w:rsid w:val="004B3116"/>
    <w:rsid w:val="004B3238"/>
    <w:rsid w:val="004B4F2C"/>
    <w:rsid w:val="004B4FED"/>
    <w:rsid w:val="004B65D9"/>
    <w:rsid w:val="004B7688"/>
    <w:rsid w:val="004B7BEB"/>
    <w:rsid w:val="004B7BFD"/>
    <w:rsid w:val="004B7C2C"/>
    <w:rsid w:val="004C0414"/>
    <w:rsid w:val="004C076F"/>
    <w:rsid w:val="004C0872"/>
    <w:rsid w:val="004C0AF6"/>
    <w:rsid w:val="004C0F5A"/>
    <w:rsid w:val="004C1C79"/>
    <w:rsid w:val="004C23F0"/>
    <w:rsid w:val="004C287D"/>
    <w:rsid w:val="004C326A"/>
    <w:rsid w:val="004C34B2"/>
    <w:rsid w:val="004C3962"/>
    <w:rsid w:val="004C3DC3"/>
    <w:rsid w:val="004C3FAB"/>
    <w:rsid w:val="004C5091"/>
    <w:rsid w:val="004C587F"/>
    <w:rsid w:val="004C696A"/>
    <w:rsid w:val="004C6C1A"/>
    <w:rsid w:val="004C6C32"/>
    <w:rsid w:val="004C7057"/>
    <w:rsid w:val="004C72DF"/>
    <w:rsid w:val="004C7480"/>
    <w:rsid w:val="004C7AD6"/>
    <w:rsid w:val="004C7EAE"/>
    <w:rsid w:val="004D0595"/>
    <w:rsid w:val="004D19F6"/>
    <w:rsid w:val="004D308E"/>
    <w:rsid w:val="004D364F"/>
    <w:rsid w:val="004D504F"/>
    <w:rsid w:val="004D5912"/>
    <w:rsid w:val="004D6113"/>
    <w:rsid w:val="004D71D0"/>
    <w:rsid w:val="004D7CC8"/>
    <w:rsid w:val="004E0736"/>
    <w:rsid w:val="004E1A74"/>
    <w:rsid w:val="004E1EAE"/>
    <w:rsid w:val="004E2AF8"/>
    <w:rsid w:val="004E38B9"/>
    <w:rsid w:val="004E4033"/>
    <w:rsid w:val="004E43F9"/>
    <w:rsid w:val="004E4B97"/>
    <w:rsid w:val="004E5C06"/>
    <w:rsid w:val="004E5C32"/>
    <w:rsid w:val="004E6B20"/>
    <w:rsid w:val="004F178D"/>
    <w:rsid w:val="004F20FE"/>
    <w:rsid w:val="004F2A9B"/>
    <w:rsid w:val="004F6398"/>
    <w:rsid w:val="004F7209"/>
    <w:rsid w:val="004F730F"/>
    <w:rsid w:val="00500228"/>
    <w:rsid w:val="00500391"/>
    <w:rsid w:val="0050051F"/>
    <w:rsid w:val="0050230A"/>
    <w:rsid w:val="00503146"/>
    <w:rsid w:val="005033A8"/>
    <w:rsid w:val="00503B4D"/>
    <w:rsid w:val="00503EDF"/>
    <w:rsid w:val="00504E7D"/>
    <w:rsid w:val="00506CEA"/>
    <w:rsid w:val="00507035"/>
    <w:rsid w:val="005074B8"/>
    <w:rsid w:val="00507719"/>
    <w:rsid w:val="0050799F"/>
    <w:rsid w:val="00507D48"/>
    <w:rsid w:val="00510BE0"/>
    <w:rsid w:val="00511517"/>
    <w:rsid w:val="005117C7"/>
    <w:rsid w:val="005133AE"/>
    <w:rsid w:val="00514073"/>
    <w:rsid w:val="00514390"/>
    <w:rsid w:val="00514E74"/>
    <w:rsid w:val="00516628"/>
    <w:rsid w:val="005171D1"/>
    <w:rsid w:val="00517619"/>
    <w:rsid w:val="0052068A"/>
    <w:rsid w:val="005210DB"/>
    <w:rsid w:val="005214FB"/>
    <w:rsid w:val="0052167D"/>
    <w:rsid w:val="00522D0B"/>
    <w:rsid w:val="00522D63"/>
    <w:rsid w:val="0052343B"/>
    <w:rsid w:val="005263C6"/>
    <w:rsid w:val="00530143"/>
    <w:rsid w:val="005304B2"/>
    <w:rsid w:val="00530556"/>
    <w:rsid w:val="0053093B"/>
    <w:rsid w:val="00530C44"/>
    <w:rsid w:val="00530C9E"/>
    <w:rsid w:val="00532C2F"/>
    <w:rsid w:val="00532D97"/>
    <w:rsid w:val="005331A3"/>
    <w:rsid w:val="005338A4"/>
    <w:rsid w:val="00533DB5"/>
    <w:rsid w:val="00533EB9"/>
    <w:rsid w:val="00533F57"/>
    <w:rsid w:val="00534F67"/>
    <w:rsid w:val="00535847"/>
    <w:rsid w:val="00536209"/>
    <w:rsid w:val="00537458"/>
    <w:rsid w:val="0054009B"/>
    <w:rsid w:val="0054064E"/>
    <w:rsid w:val="00541189"/>
    <w:rsid w:val="005420EF"/>
    <w:rsid w:val="00545CCA"/>
    <w:rsid w:val="005479EA"/>
    <w:rsid w:val="00551BB4"/>
    <w:rsid w:val="00551C53"/>
    <w:rsid w:val="005520DE"/>
    <w:rsid w:val="0055379D"/>
    <w:rsid w:val="00553BDD"/>
    <w:rsid w:val="00555DB2"/>
    <w:rsid w:val="005562BE"/>
    <w:rsid w:val="00557BAC"/>
    <w:rsid w:val="00560C83"/>
    <w:rsid w:val="005616F1"/>
    <w:rsid w:val="005619F3"/>
    <w:rsid w:val="00561F1A"/>
    <w:rsid w:val="00562122"/>
    <w:rsid w:val="0056216B"/>
    <w:rsid w:val="00562E8F"/>
    <w:rsid w:val="0056300F"/>
    <w:rsid w:val="00565C71"/>
    <w:rsid w:val="005670E3"/>
    <w:rsid w:val="00570B44"/>
    <w:rsid w:val="00571DFC"/>
    <w:rsid w:val="00572101"/>
    <w:rsid w:val="0057296C"/>
    <w:rsid w:val="0057565E"/>
    <w:rsid w:val="0057588F"/>
    <w:rsid w:val="00575A66"/>
    <w:rsid w:val="00576DCB"/>
    <w:rsid w:val="005811E9"/>
    <w:rsid w:val="00581C34"/>
    <w:rsid w:val="00582C2F"/>
    <w:rsid w:val="00582E2C"/>
    <w:rsid w:val="00584181"/>
    <w:rsid w:val="00584756"/>
    <w:rsid w:val="0058491F"/>
    <w:rsid w:val="00585533"/>
    <w:rsid w:val="00585602"/>
    <w:rsid w:val="005860CA"/>
    <w:rsid w:val="005867E4"/>
    <w:rsid w:val="00587235"/>
    <w:rsid w:val="005875D3"/>
    <w:rsid w:val="00587ABC"/>
    <w:rsid w:val="00587AD1"/>
    <w:rsid w:val="00591584"/>
    <w:rsid w:val="00591588"/>
    <w:rsid w:val="005920D1"/>
    <w:rsid w:val="00592F04"/>
    <w:rsid w:val="00593C2A"/>
    <w:rsid w:val="00596350"/>
    <w:rsid w:val="00597B20"/>
    <w:rsid w:val="005A0C4A"/>
    <w:rsid w:val="005A1224"/>
    <w:rsid w:val="005A13BE"/>
    <w:rsid w:val="005A197E"/>
    <w:rsid w:val="005A28A6"/>
    <w:rsid w:val="005A390C"/>
    <w:rsid w:val="005A4AF5"/>
    <w:rsid w:val="005A4ED9"/>
    <w:rsid w:val="005A5580"/>
    <w:rsid w:val="005A763B"/>
    <w:rsid w:val="005A7954"/>
    <w:rsid w:val="005B0106"/>
    <w:rsid w:val="005B095E"/>
    <w:rsid w:val="005B0A8B"/>
    <w:rsid w:val="005B0B3A"/>
    <w:rsid w:val="005B16FC"/>
    <w:rsid w:val="005B225C"/>
    <w:rsid w:val="005B267D"/>
    <w:rsid w:val="005B4652"/>
    <w:rsid w:val="005B51B3"/>
    <w:rsid w:val="005B5C96"/>
    <w:rsid w:val="005B6A98"/>
    <w:rsid w:val="005B6BCA"/>
    <w:rsid w:val="005B714C"/>
    <w:rsid w:val="005B7F17"/>
    <w:rsid w:val="005C070D"/>
    <w:rsid w:val="005C0AC2"/>
    <w:rsid w:val="005C1186"/>
    <w:rsid w:val="005C1757"/>
    <w:rsid w:val="005C4143"/>
    <w:rsid w:val="005C4994"/>
    <w:rsid w:val="005C528E"/>
    <w:rsid w:val="005C6B2F"/>
    <w:rsid w:val="005C70ED"/>
    <w:rsid w:val="005C76A5"/>
    <w:rsid w:val="005D0DC0"/>
    <w:rsid w:val="005D1C60"/>
    <w:rsid w:val="005D2689"/>
    <w:rsid w:val="005D27C7"/>
    <w:rsid w:val="005D332D"/>
    <w:rsid w:val="005D38D2"/>
    <w:rsid w:val="005D40DD"/>
    <w:rsid w:val="005D4DA8"/>
    <w:rsid w:val="005D516A"/>
    <w:rsid w:val="005D6AA1"/>
    <w:rsid w:val="005D73CE"/>
    <w:rsid w:val="005E122B"/>
    <w:rsid w:val="005E2E75"/>
    <w:rsid w:val="005E3A25"/>
    <w:rsid w:val="005E544C"/>
    <w:rsid w:val="005E7F9B"/>
    <w:rsid w:val="005F00D5"/>
    <w:rsid w:val="005F1D6F"/>
    <w:rsid w:val="005F56E3"/>
    <w:rsid w:val="005F64AC"/>
    <w:rsid w:val="005F6A54"/>
    <w:rsid w:val="005F6B60"/>
    <w:rsid w:val="005F7177"/>
    <w:rsid w:val="005F71D9"/>
    <w:rsid w:val="005F7FE5"/>
    <w:rsid w:val="006002A8"/>
    <w:rsid w:val="0060045F"/>
    <w:rsid w:val="006007AD"/>
    <w:rsid w:val="00600EE4"/>
    <w:rsid w:val="00602E3D"/>
    <w:rsid w:val="00603291"/>
    <w:rsid w:val="00603E33"/>
    <w:rsid w:val="00604411"/>
    <w:rsid w:val="00604DCF"/>
    <w:rsid w:val="00605C83"/>
    <w:rsid w:val="00606835"/>
    <w:rsid w:val="00607A4B"/>
    <w:rsid w:val="00610632"/>
    <w:rsid w:val="00615DB0"/>
    <w:rsid w:val="00615F8F"/>
    <w:rsid w:val="00616BDA"/>
    <w:rsid w:val="00616DA2"/>
    <w:rsid w:val="00617A85"/>
    <w:rsid w:val="0062059A"/>
    <w:rsid w:val="00620948"/>
    <w:rsid w:val="00620D1B"/>
    <w:rsid w:val="006218CB"/>
    <w:rsid w:val="00622F9A"/>
    <w:rsid w:val="00624463"/>
    <w:rsid w:val="006244AA"/>
    <w:rsid w:val="00625963"/>
    <w:rsid w:val="00625C15"/>
    <w:rsid w:val="00625E2B"/>
    <w:rsid w:val="00625F7B"/>
    <w:rsid w:val="00626A2A"/>
    <w:rsid w:val="00626B81"/>
    <w:rsid w:val="006322C5"/>
    <w:rsid w:val="00632F4F"/>
    <w:rsid w:val="006348CF"/>
    <w:rsid w:val="00634905"/>
    <w:rsid w:val="00635358"/>
    <w:rsid w:val="00635FF9"/>
    <w:rsid w:val="00636CD9"/>
    <w:rsid w:val="00637549"/>
    <w:rsid w:val="00640A22"/>
    <w:rsid w:val="00640AF8"/>
    <w:rsid w:val="0064110A"/>
    <w:rsid w:val="006428E9"/>
    <w:rsid w:val="00644A87"/>
    <w:rsid w:val="00644C82"/>
    <w:rsid w:val="00644F29"/>
    <w:rsid w:val="0064520A"/>
    <w:rsid w:val="00645B5B"/>
    <w:rsid w:val="00645DE6"/>
    <w:rsid w:val="00646EE8"/>
    <w:rsid w:val="00651087"/>
    <w:rsid w:val="0065120F"/>
    <w:rsid w:val="00651250"/>
    <w:rsid w:val="00652475"/>
    <w:rsid w:val="00652CC2"/>
    <w:rsid w:val="00655847"/>
    <w:rsid w:val="00655F0E"/>
    <w:rsid w:val="00660510"/>
    <w:rsid w:val="00660824"/>
    <w:rsid w:val="00660FEE"/>
    <w:rsid w:val="0066101C"/>
    <w:rsid w:val="00662853"/>
    <w:rsid w:val="00662AEA"/>
    <w:rsid w:val="00662C8B"/>
    <w:rsid w:val="00663853"/>
    <w:rsid w:val="00663875"/>
    <w:rsid w:val="00663970"/>
    <w:rsid w:val="00663D8F"/>
    <w:rsid w:val="006641D9"/>
    <w:rsid w:val="006651F1"/>
    <w:rsid w:val="0066521F"/>
    <w:rsid w:val="00665552"/>
    <w:rsid w:val="00665E21"/>
    <w:rsid w:val="006663E8"/>
    <w:rsid w:val="0066642F"/>
    <w:rsid w:val="0066718A"/>
    <w:rsid w:val="0067045D"/>
    <w:rsid w:val="00672342"/>
    <w:rsid w:val="006723AF"/>
    <w:rsid w:val="00672A18"/>
    <w:rsid w:val="00673DE5"/>
    <w:rsid w:val="006746F4"/>
    <w:rsid w:val="00675877"/>
    <w:rsid w:val="00676930"/>
    <w:rsid w:val="00677EAF"/>
    <w:rsid w:val="00680738"/>
    <w:rsid w:val="006823FB"/>
    <w:rsid w:val="0068291F"/>
    <w:rsid w:val="00682D1E"/>
    <w:rsid w:val="006844F1"/>
    <w:rsid w:val="006846BF"/>
    <w:rsid w:val="00685C59"/>
    <w:rsid w:val="00686BEF"/>
    <w:rsid w:val="00690CD3"/>
    <w:rsid w:val="00691846"/>
    <w:rsid w:val="00691BEE"/>
    <w:rsid w:val="00691D3D"/>
    <w:rsid w:val="006927B6"/>
    <w:rsid w:val="00692F75"/>
    <w:rsid w:val="00693698"/>
    <w:rsid w:val="00693CDF"/>
    <w:rsid w:val="00695553"/>
    <w:rsid w:val="00697267"/>
    <w:rsid w:val="00697B9C"/>
    <w:rsid w:val="006A0010"/>
    <w:rsid w:val="006A04AB"/>
    <w:rsid w:val="006A1F25"/>
    <w:rsid w:val="006A2E64"/>
    <w:rsid w:val="006A6103"/>
    <w:rsid w:val="006A6788"/>
    <w:rsid w:val="006A7E7B"/>
    <w:rsid w:val="006B0180"/>
    <w:rsid w:val="006B0813"/>
    <w:rsid w:val="006B235C"/>
    <w:rsid w:val="006B250E"/>
    <w:rsid w:val="006B33FB"/>
    <w:rsid w:val="006B3574"/>
    <w:rsid w:val="006B3C2F"/>
    <w:rsid w:val="006B5200"/>
    <w:rsid w:val="006B523D"/>
    <w:rsid w:val="006B5C0B"/>
    <w:rsid w:val="006C2173"/>
    <w:rsid w:val="006C2BA0"/>
    <w:rsid w:val="006C2D85"/>
    <w:rsid w:val="006C46E9"/>
    <w:rsid w:val="006C4A12"/>
    <w:rsid w:val="006C4A30"/>
    <w:rsid w:val="006C4ED0"/>
    <w:rsid w:val="006C61FD"/>
    <w:rsid w:val="006D0715"/>
    <w:rsid w:val="006D2DBE"/>
    <w:rsid w:val="006D49ED"/>
    <w:rsid w:val="006D50FC"/>
    <w:rsid w:val="006D5BBA"/>
    <w:rsid w:val="006E12B9"/>
    <w:rsid w:val="006E1782"/>
    <w:rsid w:val="006E1B72"/>
    <w:rsid w:val="006E3080"/>
    <w:rsid w:val="006E4261"/>
    <w:rsid w:val="006E44A4"/>
    <w:rsid w:val="006E4B59"/>
    <w:rsid w:val="006E5FC5"/>
    <w:rsid w:val="006E723A"/>
    <w:rsid w:val="006F059A"/>
    <w:rsid w:val="006F1291"/>
    <w:rsid w:val="006F2267"/>
    <w:rsid w:val="006F2D8A"/>
    <w:rsid w:val="006F510B"/>
    <w:rsid w:val="006F5895"/>
    <w:rsid w:val="006F5A9E"/>
    <w:rsid w:val="006F6A59"/>
    <w:rsid w:val="006F7D6B"/>
    <w:rsid w:val="006F7F36"/>
    <w:rsid w:val="006F7FC9"/>
    <w:rsid w:val="0070133C"/>
    <w:rsid w:val="00702AC3"/>
    <w:rsid w:val="0070309D"/>
    <w:rsid w:val="00704398"/>
    <w:rsid w:val="00712564"/>
    <w:rsid w:val="00713796"/>
    <w:rsid w:val="00715553"/>
    <w:rsid w:val="00716565"/>
    <w:rsid w:val="00716B24"/>
    <w:rsid w:val="00716F03"/>
    <w:rsid w:val="00717995"/>
    <w:rsid w:val="00720444"/>
    <w:rsid w:val="00720EAC"/>
    <w:rsid w:val="00721E75"/>
    <w:rsid w:val="007220A2"/>
    <w:rsid w:val="0072229D"/>
    <w:rsid w:val="00723332"/>
    <w:rsid w:val="00723413"/>
    <w:rsid w:val="00723416"/>
    <w:rsid w:val="0072464D"/>
    <w:rsid w:val="00725BF1"/>
    <w:rsid w:val="007274BD"/>
    <w:rsid w:val="00730AE0"/>
    <w:rsid w:val="00731AEE"/>
    <w:rsid w:val="00731DF1"/>
    <w:rsid w:val="00732294"/>
    <w:rsid w:val="007322F4"/>
    <w:rsid w:val="0073322E"/>
    <w:rsid w:val="007334AE"/>
    <w:rsid w:val="00734573"/>
    <w:rsid w:val="00734B50"/>
    <w:rsid w:val="00734F4B"/>
    <w:rsid w:val="00735F0C"/>
    <w:rsid w:val="00736E15"/>
    <w:rsid w:val="00737303"/>
    <w:rsid w:val="00741821"/>
    <w:rsid w:val="00743AE7"/>
    <w:rsid w:val="00744C9F"/>
    <w:rsid w:val="0074546D"/>
    <w:rsid w:val="007467A0"/>
    <w:rsid w:val="0074797B"/>
    <w:rsid w:val="00750AF7"/>
    <w:rsid w:val="007511ED"/>
    <w:rsid w:val="00751CEC"/>
    <w:rsid w:val="00753494"/>
    <w:rsid w:val="007536B0"/>
    <w:rsid w:val="007536CE"/>
    <w:rsid w:val="00753B68"/>
    <w:rsid w:val="00753F20"/>
    <w:rsid w:val="007567D9"/>
    <w:rsid w:val="00756A5B"/>
    <w:rsid w:val="00756BF8"/>
    <w:rsid w:val="00756EC6"/>
    <w:rsid w:val="00756F61"/>
    <w:rsid w:val="007579AD"/>
    <w:rsid w:val="00757D8A"/>
    <w:rsid w:val="0076058D"/>
    <w:rsid w:val="00760E07"/>
    <w:rsid w:val="00761EE4"/>
    <w:rsid w:val="007640F7"/>
    <w:rsid w:val="00764534"/>
    <w:rsid w:val="00765683"/>
    <w:rsid w:val="00765BAE"/>
    <w:rsid w:val="00766190"/>
    <w:rsid w:val="00770124"/>
    <w:rsid w:val="00770267"/>
    <w:rsid w:val="0077160A"/>
    <w:rsid w:val="00771A39"/>
    <w:rsid w:val="00772A8C"/>
    <w:rsid w:val="0077462C"/>
    <w:rsid w:val="00774BEA"/>
    <w:rsid w:val="00775FE2"/>
    <w:rsid w:val="00781078"/>
    <w:rsid w:val="007813DC"/>
    <w:rsid w:val="007830C8"/>
    <w:rsid w:val="007839C2"/>
    <w:rsid w:val="00783C43"/>
    <w:rsid w:val="00784292"/>
    <w:rsid w:val="00784CEA"/>
    <w:rsid w:val="0078554A"/>
    <w:rsid w:val="0078564F"/>
    <w:rsid w:val="0078638C"/>
    <w:rsid w:val="00787453"/>
    <w:rsid w:val="00787656"/>
    <w:rsid w:val="00787B96"/>
    <w:rsid w:val="00790C2D"/>
    <w:rsid w:val="00792B6C"/>
    <w:rsid w:val="0079306A"/>
    <w:rsid w:val="00793C5B"/>
    <w:rsid w:val="007943FF"/>
    <w:rsid w:val="00794835"/>
    <w:rsid w:val="007953E8"/>
    <w:rsid w:val="00796F8A"/>
    <w:rsid w:val="00797903"/>
    <w:rsid w:val="00797A36"/>
    <w:rsid w:val="007A1C3D"/>
    <w:rsid w:val="007A3940"/>
    <w:rsid w:val="007A4266"/>
    <w:rsid w:val="007A46EA"/>
    <w:rsid w:val="007A5BAB"/>
    <w:rsid w:val="007A67BF"/>
    <w:rsid w:val="007A6BDA"/>
    <w:rsid w:val="007A793A"/>
    <w:rsid w:val="007A79F8"/>
    <w:rsid w:val="007A7AE3"/>
    <w:rsid w:val="007B05DA"/>
    <w:rsid w:val="007B0EF6"/>
    <w:rsid w:val="007B0F58"/>
    <w:rsid w:val="007B2524"/>
    <w:rsid w:val="007B3C99"/>
    <w:rsid w:val="007B4777"/>
    <w:rsid w:val="007B4B86"/>
    <w:rsid w:val="007B681A"/>
    <w:rsid w:val="007B6D75"/>
    <w:rsid w:val="007C07A0"/>
    <w:rsid w:val="007C1460"/>
    <w:rsid w:val="007C2D86"/>
    <w:rsid w:val="007C7377"/>
    <w:rsid w:val="007D1143"/>
    <w:rsid w:val="007D30EE"/>
    <w:rsid w:val="007D34A7"/>
    <w:rsid w:val="007D453B"/>
    <w:rsid w:val="007D4A09"/>
    <w:rsid w:val="007D4E4E"/>
    <w:rsid w:val="007D63B4"/>
    <w:rsid w:val="007D679B"/>
    <w:rsid w:val="007E0609"/>
    <w:rsid w:val="007E0631"/>
    <w:rsid w:val="007E1438"/>
    <w:rsid w:val="007E1E78"/>
    <w:rsid w:val="007E21F1"/>
    <w:rsid w:val="007E3743"/>
    <w:rsid w:val="007E3E26"/>
    <w:rsid w:val="007E4390"/>
    <w:rsid w:val="007E464F"/>
    <w:rsid w:val="007E61B7"/>
    <w:rsid w:val="007E6494"/>
    <w:rsid w:val="007E6B27"/>
    <w:rsid w:val="007E70A2"/>
    <w:rsid w:val="007E71B9"/>
    <w:rsid w:val="007F03DD"/>
    <w:rsid w:val="007F0FF4"/>
    <w:rsid w:val="007F10A8"/>
    <w:rsid w:val="007F26A4"/>
    <w:rsid w:val="007F442C"/>
    <w:rsid w:val="007F4B44"/>
    <w:rsid w:val="007F4B5E"/>
    <w:rsid w:val="007F51A6"/>
    <w:rsid w:val="007F5258"/>
    <w:rsid w:val="007F6760"/>
    <w:rsid w:val="007F700E"/>
    <w:rsid w:val="007F75EE"/>
    <w:rsid w:val="0080119E"/>
    <w:rsid w:val="008015D9"/>
    <w:rsid w:val="008039D5"/>
    <w:rsid w:val="00804060"/>
    <w:rsid w:val="00804307"/>
    <w:rsid w:val="00805945"/>
    <w:rsid w:val="008065C8"/>
    <w:rsid w:val="008075EE"/>
    <w:rsid w:val="00810CEC"/>
    <w:rsid w:val="008117BE"/>
    <w:rsid w:val="008129E8"/>
    <w:rsid w:val="00812C4C"/>
    <w:rsid w:val="00813151"/>
    <w:rsid w:val="00813A8D"/>
    <w:rsid w:val="00814956"/>
    <w:rsid w:val="008159EB"/>
    <w:rsid w:val="008165D2"/>
    <w:rsid w:val="008177F0"/>
    <w:rsid w:val="0082265F"/>
    <w:rsid w:val="008237C0"/>
    <w:rsid w:val="00824442"/>
    <w:rsid w:val="00825FDC"/>
    <w:rsid w:val="00826B11"/>
    <w:rsid w:val="00826B8D"/>
    <w:rsid w:val="008270A2"/>
    <w:rsid w:val="008302B7"/>
    <w:rsid w:val="00830F4C"/>
    <w:rsid w:val="0083124F"/>
    <w:rsid w:val="0083324D"/>
    <w:rsid w:val="00833BE0"/>
    <w:rsid w:val="00833F05"/>
    <w:rsid w:val="0083400E"/>
    <w:rsid w:val="0083409E"/>
    <w:rsid w:val="00834406"/>
    <w:rsid w:val="0083481A"/>
    <w:rsid w:val="0084007A"/>
    <w:rsid w:val="008420B9"/>
    <w:rsid w:val="0084219B"/>
    <w:rsid w:val="00842A17"/>
    <w:rsid w:val="00842D14"/>
    <w:rsid w:val="008431E5"/>
    <w:rsid w:val="00844114"/>
    <w:rsid w:val="008443C4"/>
    <w:rsid w:val="00845079"/>
    <w:rsid w:val="008452D2"/>
    <w:rsid w:val="0084550E"/>
    <w:rsid w:val="0084653F"/>
    <w:rsid w:val="0084696B"/>
    <w:rsid w:val="008469CC"/>
    <w:rsid w:val="008501D0"/>
    <w:rsid w:val="00850636"/>
    <w:rsid w:val="00850790"/>
    <w:rsid w:val="00850B06"/>
    <w:rsid w:val="00850D81"/>
    <w:rsid w:val="008528F3"/>
    <w:rsid w:val="0085316A"/>
    <w:rsid w:val="008552CB"/>
    <w:rsid w:val="008556C3"/>
    <w:rsid w:val="008564E8"/>
    <w:rsid w:val="00857328"/>
    <w:rsid w:val="00857414"/>
    <w:rsid w:val="00857EA5"/>
    <w:rsid w:val="00860659"/>
    <w:rsid w:val="0086070C"/>
    <w:rsid w:val="00861C70"/>
    <w:rsid w:val="008625A7"/>
    <w:rsid w:val="00863250"/>
    <w:rsid w:val="0086591D"/>
    <w:rsid w:val="00866745"/>
    <w:rsid w:val="00866CFE"/>
    <w:rsid w:val="00866F0A"/>
    <w:rsid w:val="008703DF"/>
    <w:rsid w:val="008707A8"/>
    <w:rsid w:val="00871006"/>
    <w:rsid w:val="008724A0"/>
    <w:rsid w:val="008736C4"/>
    <w:rsid w:val="008737C6"/>
    <w:rsid w:val="00873B0A"/>
    <w:rsid w:val="00873C21"/>
    <w:rsid w:val="00873CCA"/>
    <w:rsid w:val="00874D40"/>
    <w:rsid w:val="00875B7E"/>
    <w:rsid w:val="00875DDC"/>
    <w:rsid w:val="008760B2"/>
    <w:rsid w:val="008765B2"/>
    <w:rsid w:val="00876BA3"/>
    <w:rsid w:val="00880622"/>
    <w:rsid w:val="00882E84"/>
    <w:rsid w:val="008849E7"/>
    <w:rsid w:val="008909A6"/>
    <w:rsid w:val="00890CA7"/>
    <w:rsid w:val="00891866"/>
    <w:rsid w:val="00891A12"/>
    <w:rsid w:val="00892EFE"/>
    <w:rsid w:val="0089329F"/>
    <w:rsid w:val="008933DB"/>
    <w:rsid w:val="008936D9"/>
    <w:rsid w:val="00893E9A"/>
    <w:rsid w:val="00894157"/>
    <w:rsid w:val="0089438D"/>
    <w:rsid w:val="008946E6"/>
    <w:rsid w:val="00895135"/>
    <w:rsid w:val="00896595"/>
    <w:rsid w:val="00897B48"/>
    <w:rsid w:val="008A0594"/>
    <w:rsid w:val="008A27EB"/>
    <w:rsid w:val="008A35E5"/>
    <w:rsid w:val="008A4309"/>
    <w:rsid w:val="008A49B6"/>
    <w:rsid w:val="008A5553"/>
    <w:rsid w:val="008A7671"/>
    <w:rsid w:val="008B1F8E"/>
    <w:rsid w:val="008B2677"/>
    <w:rsid w:val="008B2963"/>
    <w:rsid w:val="008B2F39"/>
    <w:rsid w:val="008B3325"/>
    <w:rsid w:val="008B3B22"/>
    <w:rsid w:val="008B5808"/>
    <w:rsid w:val="008B60EA"/>
    <w:rsid w:val="008B61B9"/>
    <w:rsid w:val="008C0ACA"/>
    <w:rsid w:val="008C557F"/>
    <w:rsid w:val="008C5616"/>
    <w:rsid w:val="008C57B6"/>
    <w:rsid w:val="008C63C9"/>
    <w:rsid w:val="008C67A3"/>
    <w:rsid w:val="008C7DCF"/>
    <w:rsid w:val="008D003B"/>
    <w:rsid w:val="008D0885"/>
    <w:rsid w:val="008D0B80"/>
    <w:rsid w:val="008D0BEF"/>
    <w:rsid w:val="008D0CCF"/>
    <w:rsid w:val="008D1415"/>
    <w:rsid w:val="008D1A92"/>
    <w:rsid w:val="008D2E5B"/>
    <w:rsid w:val="008D3596"/>
    <w:rsid w:val="008D3EAB"/>
    <w:rsid w:val="008D60E8"/>
    <w:rsid w:val="008D746E"/>
    <w:rsid w:val="008E108A"/>
    <w:rsid w:val="008E39F4"/>
    <w:rsid w:val="008E464B"/>
    <w:rsid w:val="008E469A"/>
    <w:rsid w:val="008E5335"/>
    <w:rsid w:val="008E6812"/>
    <w:rsid w:val="008F17B1"/>
    <w:rsid w:val="008F2561"/>
    <w:rsid w:val="008F2F1B"/>
    <w:rsid w:val="008F4B03"/>
    <w:rsid w:val="008F501E"/>
    <w:rsid w:val="008F724F"/>
    <w:rsid w:val="008F79F9"/>
    <w:rsid w:val="0090118F"/>
    <w:rsid w:val="0090126B"/>
    <w:rsid w:val="00901D10"/>
    <w:rsid w:val="00904ED1"/>
    <w:rsid w:val="00905607"/>
    <w:rsid w:val="0090614E"/>
    <w:rsid w:val="009114A1"/>
    <w:rsid w:val="009120E9"/>
    <w:rsid w:val="00912777"/>
    <w:rsid w:val="00912F1C"/>
    <w:rsid w:val="009136FD"/>
    <w:rsid w:val="00913806"/>
    <w:rsid w:val="00913859"/>
    <w:rsid w:val="0091545B"/>
    <w:rsid w:val="009167AC"/>
    <w:rsid w:val="009169E0"/>
    <w:rsid w:val="00917601"/>
    <w:rsid w:val="00920AB1"/>
    <w:rsid w:val="00921BCD"/>
    <w:rsid w:val="009229BF"/>
    <w:rsid w:val="00923F53"/>
    <w:rsid w:val="0092493D"/>
    <w:rsid w:val="00925D88"/>
    <w:rsid w:val="009279F8"/>
    <w:rsid w:val="00931148"/>
    <w:rsid w:val="00931AFE"/>
    <w:rsid w:val="0093418E"/>
    <w:rsid w:val="009350B3"/>
    <w:rsid w:val="00935A33"/>
    <w:rsid w:val="00936BBF"/>
    <w:rsid w:val="00936EC2"/>
    <w:rsid w:val="009374E2"/>
    <w:rsid w:val="00937AC7"/>
    <w:rsid w:val="00940611"/>
    <w:rsid w:val="009409E2"/>
    <w:rsid w:val="00940CAB"/>
    <w:rsid w:val="00941DE2"/>
    <w:rsid w:val="009436F8"/>
    <w:rsid w:val="00943F88"/>
    <w:rsid w:val="00944CF0"/>
    <w:rsid w:val="0094538F"/>
    <w:rsid w:val="0094738E"/>
    <w:rsid w:val="00947E80"/>
    <w:rsid w:val="0095027B"/>
    <w:rsid w:val="00950F49"/>
    <w:rsid w:val="00951402"/>
    <w:rsid w:val="00951A77"/>
    <w:rsid w:val="009523D2"/>
    <w:rsid w:val="00954B09"/>
    <w:rsid w:val="00955861"/>
    <w:rsid w:val="0095632A"/>
    <w:rsid w:val="009577DD"/>
    <w:rsid w:val="009604D8"/>
    <w:rsid w:val="0096086D"/>
    <w:rsid w:val="00961190"/>
    <w:rsid w:val="0096153B"/>
    <w:rsid w:val="009624F9"/>
    <w:rsid w:val="00963AD8"/>
    <w:rsid w:val="0096680F"/>
    <w:rsid w:val="00966EFE"/>
    <w:rsid w:val="0096760F"/>
    <w:rsid w:val="00967EA5"/>
    <w:rsid w:val="009715D3"/>
    <w:rsid w:val="00971D90"/>
    <w:rsid w:val="00971DC4"/>
    <w:rsid w:val="009724A9"/>
    <w:rsid w:val="009729A7"/>
    <w:rsid w:val="0097310A"/>
    <w:rsid w:val="00974717"/>
    <w:rsid w:val="00974EA8"/>
    <w:rsid w:val="00975258"/>
    <w:rsid w:val="00977E1B"/>
    <w:rsid w:val="0098074B"/>
    <w:rsid w:val="00982288"/>
    <w:rsid w:val="0098490B"/>
    <w:rsid w:val="009849E5"/>
    <w:rsid w:val="00984FE1"/>
    <w:rsid w:val="0098630B"/>
    <w:rsid w:val="009866D5"/>
    <w:rsid w:val="00986BFD"/>
    <w:rsid w:val="00986F04"/>
    <w:rsid w:val="00987991"/>
    <w:rsid w:val="00990320"/>
    <w:rsid w:val="00991038"/>
    <w:rsid w:val="00991342"/>
    <w:rsid w:val="00993476"/>
    <w:rsid w:val="00994A7C"/>
    <w:rsid w:val="00994BCC"/>
    <w:rsid w:val="0099526F"/>
    <w:rsid w:val="00995547"/>
    <w:rsid w:val="00995A32"/>
    <w:rsid w:val="00996B4F"/>
    <w:rsid w:val="009A013A"/>
    <w:rsid w:val="009A0351"/>
    <w:rsid w:val="009A0F6D"/>
    <w:rsid w:val="009A3F28"/>
    <w:rsid w:val="009A4462"/>
    <w:rsid w:val="009A6136"/>
    <w:rsid w:val="009A6AB7"/>
    <w:rsid w:val="009A6FC3"/>
    <w:rsid w:val="009B0022"/>
    <w:rsid w:val="009B034B"/>
    <w:rsid w:val="009B0A36"/>
    <w:rsid w:val="009B14E9"/>
    <w:rsid w:val="009B1BD8"/>
    <w:rsid w:val="009B4354"/>
    <w:rsid w:val="009B534F"/>
    <w:rsid w:val="009B584D"/>
    <w:rsid w:val="009B72EF"/>
    <w:rsid w:val="009B7CAD"/>
    <w:rsid w:val="009B7F98"/>
    <w:rsid w:val="009C1CA7"/>
    <w:rsid w:val="009C2BFF"/>
    <w:rsid w:val="009C379D"/>
    <w:rsid w:val="009C43CD"/>
    <w:rsid w:val="009C7711"/>
    <w:rsid w:val="009C7BC8"/>
    <w:rsid w:val="009D11A9"/>
    <w:rsid w:val="009D1465"/>
    <w:rsid w:val="009D24C3"/>
    <w:rsid w:val="009D2832"/>
    <w:rsid w:val="009D2E63"/>
    <w:rsid w:val="009D2EC2"/>
    <w:rsid w:val="009D342A"/>
    <w:rsid w:val="009D37C9"/>
    <w:rsid w:val="009D389D"/>
    <w:rsid w:val="009D397E"/>
    <w:rsid w:val="009D53A0"/>
    <w:rsid w:val="009D5D2E"/>
    <w:rsid w:val="009D792D"/>
    <w:rsid w:val="009E0196"/>
    <w:rsid w:val="009E18D6"/>
    <w:rsid w:val="009E19F9"/>
    <w:rsid w:val="009E270F"/>
    <w:rsid w:val="009E444C"/>
    <w:rsid w:val="009E44AD"/>
    <w:rsid w:val="009E527C"/>
    <w:rsid w:val="009E7B1C"/>
    <w:rsid w:val="009E7C07"/>
    <w:rsid w:val="009F11A0"/>
    <w:rsid w:val="009F14FB"/>
    <w:rsid w:val="009F3523"/>
    <w:rsid w:val="009F4688"/>
    <w:rsid w:val="009F475D"/>
    <w:rsid w:val="009F4837"/>
    <w:rsid w:val="009F49B9"/>
    <w:rsid w:val="009F569C"/>
    <w:rsid w:val="009F73F0"/>
    <w:rsid w:val="009F7937"/>
    <w:rsid w:val="00A000C1"/>
    <w:rsid w:val="00A0036B"/>
    <w:rsid w:val="00A01037"/>
    <w:rsid w:val="00A014CE"/>
    <w:rsid w:val="00A014E4"/>
    <w:rsid w:val="00A0171A"/>
    <w:rsid w:val="00A02FC0"/>
    <w:rsid w:val="00A03840"/>
    <w:rsid w:val="00A0414D"/>
    <w:rsid w:val="00A04B51"/>
    <w:rsid w:val="00A053DB"/>
    <w:rsid w:val="00A05B44"/>
    <w:rsid w:val="00A060FB"/>
    <w:rsid w:val="00A06870"/>
    <w:rsid w:val="00A06FBC"/>
    <w:rsid w:val="00A07E19"/>
    <w:rsid w:val="00A07FB0"/>
    <w:rsid w:val="00A10D1E"/>
    <w:rsid w:val="00A114D7"/>
    <w:rsid w:val="00A11545"/>
    <w:rsid w:val="00A12815"/>
    <w:rsid w:val="00A12CBF"/>
    <w:rsid w:val="00A12D6A"/>
    <w:rsid w:val="00A12ECC"/>
    <w:rsid w:val="00A15675"/>
    <w:rsid w:val="00A15D1C"/>
    <w:rsid w:val="00A15E67"/>
    <w:rsid w:val="00A16613"/>
    <w:rsid w:val="00A170C2"/>
    <w:rsid w:val="00A20051"/>
    <w:rsid w:val="00A204F5"/>
    <w:rsid w:val="00A214C5"/>
    <w:rsid w:val="00A22ED1"/>
    <w:rsid w:val="00A24219"/>
    <w:rsid w:val="00A2430E"/>
    <w:rsid w:val="00A24A0F"/>
    <w:rsid w:val="00A2568E"/>
    <w:rsid w:val="00A25933"/>
    <w:rsid w:val="00A260B7"/>
    <w:rsid w:val="00A262B4"/>
    <w:rsid w:val="00A26955"/>
    <w:rsid w:val="00A26FB8"/>
    <w:rsid w:val="00A3025F"/>
    <w:rsid w:val="00A30526"/>
    <w:rsid w:val="00A30D3E"/>
    <w:rsid w:val="00A317E0"/>
    <w:rsid w:val="00A31926"/>
    <w:rsid w:val="00A34460"/>
    <w:rsid w:val="00A357CE"/>
    <w:rsid w:val="00A3610A"/>
    <w:rsid w:val="00A36F51"/>
    <w:rsid w:val="00A37018"/>
    <w:rsid w:val="00A37A06"/>
    <w:rsid w:val="00A40EF1"/>
    <w:rsid w:val="00A41686"/>
    <w:rsid w:val="00A41CDA"/>
    <w:rsid w:val="00A42DC7"/>
    <w:rsid w:val="00A43475"/>
    <w:rsid w:val="00A43E24"/>
    <w:rsid w:val="00A44171"/>
    <w:rsid w:val="00A4446B"/>
    <w:rsid w:val="00A446C6"/>
    <w:rsid w:val="00A44923"/>
    <w:rsid w:val="00A44AA9"/>
    <w:rsid w:val="00A45266"/>
    <w:rsid w:val="00A46630"/>
    <w:rsid w:val="00A47109"/>
    <w:rsid w:val="00A47EDF"/>
    <w:rsid w:val="00A50991"/>
    <w:rsid w:val="00A50F53"/>
    <w:rsid w:val="00A5109D"/>
    <w:rsid w:val="00A512B4"/>
    <w:rsid w:val="00A533F0"/>
    <w:rsid w:val="00A54076"/>
    <w:rsid w:val="00A544B1"/>
    <w:rsid w:val="00A5477A"/>
    <w:rsid w:val="00A54B7C"/>
    <w:rsid w:val="00A5635D"/>
    <w:rsid w:val="00A56D54"/>
    <w:rsid w:val="00A574CA"/>
    <w:rsid w:val="00A577A1"/>
    <w:rsid w:val="00A608D4"/>
    <w:rsid w:val="00A60E9E"/>
    <w:rsid w:val="00A61B2A"/>
    <w:rsid w:val="00A61CA5"/>
    <w:rsid w:val="00A623D7"/>
    <w:rsid w:val="00A635EA"/>
    <w:rsid w:val="00A65D75"/>
    <w:rsid w:val="00A662B9"/>
    <w:rsid w:val="00A675D9"/>
    <w:rsid w:val="00A70613"/>
    <w:rsid w:val="00A70DA6"/>
    <w:rsid w:val="00A7288B"/>
    <w:rsid w:val="00A730CE"/>
    <w:rsid w:val="00A73A67"/>
    <w:rsid w:val="00A73A95"/>
    <w:rsid w:val="00A74CA1"/>
    <w:rsid w:val="00A76A2B"/>
    <w:rsid w:val="00A76FF6"/>
    <w:rsid w:val="00A77124"/>
    <w:rsid w:val="00A775DE"/>
    <w:rsid w:val="00A81348"/>
    <w:rsid w:val="00A81C19"/>
    <w:rsid w:val="00A82191"/>
    <w:rsid w:val="00A824C2"/>
    <w:rsid w:val="00A82C88"/>
    <w:rsid w:val="00A83196"/>
    <w:rsid w:val="00A84CCD"/>
    <w:rsid w:val="00A84EB7"/>
    <w:rsid w:val="00A85433"/>
    <w:rsid w:val="00A86D54"/>
    <w:rsid w:val="00A86F69"/>
    <w:rsid w:val="00A8796F"/>
    <w:rsid w:val="00A87ED5"/>
    <w:rsid w:val="00A91542"/>
    <w:rsid w:val="00A9311D"/>
    <w:rsid w:val="00A95542"/>
    <w:rsid w:val="00A95A2D"/>
    <w:rsid w:val="00A97B34"/>
    <w:rsid w:val="00AA0B79"/>
    <w:rsid w:val="00AA13FF"/>
    <w:rsid w:val="00AA16F5"/>
    <w:rsid w:val="00AA219A"/>
    <w:rsid w:val="00AA27F1"/>
    <w:rsid w:val="00AA2E48"/>
    <w:rsid w:val="00AA30B1"/>
    <w:rsid w:val="00AA3238"/>
    <w:rsid w:val="00AA3835"/>
    <w:rsid w:val="00AA547A"/>
    <w:rsid w:val="00AA6376"/>
    <w:rsid w:val="00AA64A9"/>
    <w:rsid w:val="00AA6970"/>
    <w:rsid w:val="00AA7AB8"/>
    <w:rsid w:val="00AB26E3"/>
    <w:rsid w:val="00AB392F"/>
    <w:rsid w:val="00AB5807"/>
    <w:rsid w:val="00AC007C"/>
    <w:rsid w:val="00AC0156"/>
    <w:rsid w:val="00AC125E"/>
    <w:rsid w:val="00AC163A"/>
    <w:rsid w:val="00AC1C62"/>
    <w:rsid w:val="00AC2C07"/>
    <w:rsid w:val="00AC4068"/>
    <w:rsid w:val="00AC587F"/>
    <w:rsid w:val="00AC593E"/>
    <w:rsid w:val="00AC7043"/>
    <w:rsid w:val="00AD0D83"/>
    <w:rsid w:val="00AD0F04"/>
    <w:rsid w:val="00AD344B"/>
    <w:rsid w:val="00AD48F4"/>
    <w:rsid w:val="00AD4AD5"/>
    <w:rsid w:val="00AD5016"/>
    <w:rsid w:val="00AD59E0"/>
    <w:rsid w:val="00AD743D"/>
    <w:rsid w:val="00AE0FE5"/>
    <w:rsid w:val="00AE1622"/>
    <w:rsid w:val="00AE2A47"/>
    <w:rsid w:val="00AE2BC8"/>
    <w:rsid w:val="00AE4DA0"/>
    <w:rsid w:val="00AE50E9"/>
    <w:rsid w:val="00AE5945"/>
    <w:rsid w:val="00AE5E00"/>
    <w:rsid w:val="00AE5F88"/>
    <w:rsid w:val="00AF096C"/>
    <w:rsid w:val="00AF3309"/>
    <w:rsid w:val="00AF4635"/>
    <w:rsid w:val="00AF4BFF"/>
    <w:rsid w:val="00AF5432"/>
    <w:rsid w:val="00AF73AA"/>
    <w:rsid w:val="00AF7AC5"/>
    <w:rsid w:val="00B003B0"/>
    <w:rsid w:val="00B005A5"/>
    <w:rsid w:val="00B0491D"/>
    <w:rsid w:val="00B06E98"/>
    <w:rsid w:val="00B06F26"/>
    <w:rsid w:val="00B07308"/>
    <w:rsid w:val="00B07A23"/>
    <w:rsid w:val="00B07D62"/>
    <w:rsid w:val="00B07EE3"/>
    <w:rsid w:val="00B11481"/>
    <w:rsid w:val="00B120B0"/>
    <w:rsid w:val="00B12330"/>
    <w:rsid w:val="00B133F3"/>
    <w:rsid w:val="00B14128"/>
    <w:rsid w:val="00B14288"/>
    <w:rsid w:val="00B16992"/>
    <w:rsid w:val="00B169DA"/>
    <w:rsid w:val="00B16AD9"/>
    <w:rsid w:val="00B17892"/>
    <w:rsid w:val="00B204EA"/>
    <w:rsid w:val="00B23666"/>
    <w:rsid w:val="00B236A5"/>
    <w:rsid w:val="00B24835"/>
    <w:rsid w:val="00B25C01"/>
    <w:rsid w:val="00B26A00"/>
    <w:rsid w:val="00B277B5"/>
    <w:rsid w:val="00B277F7"/>
    <w:rsid w:val="00B304E3"/>
    <w:rsid w:val="00B30B02"/>
    <w:rsid w:val="00B318D0"/>
    <w:rsid w:val="00B31B64"/>
    <w:rsid w:val="00B31D2B"/>
    <w:rsid w:val="00B3213F"/>
    <w:rsid w:val="00B32A0B"/>
    <w:rsid w:val="00B337E6"/>
    <w:rsid w:val="00B345BC"/>
    <w:rsid w:val="00B34C36"/>
    <w:rsid w:val="00B36086"/>
    <w:rsid w:val="00B37930"/>
    <w:rsid w:val="00B37A33"/>
    <w:rsid w:val="00B409EF"/>
    <w:rsid w:val="00B41E03"/>
    <w:rsid w:val="00B421E5"/>
    <w:rsid w:val="00B426D5"/>
    <w:rsid w:val="00B43151"/>
    <w:rsid w:val="00B435C6"/>
    <w:rsid w:val="00B45B0D"/>
    <w:rsid w:val="00B465C1"/>
    <w:rsid w:val="00B473A5"/>
    <w:rsid w:val="00B50424"/>
    <w:rsid w:val="00B52D10"/>
    <w:rsid w:val="00B54798"/>
    <w:rsid w:val="00B54C0C"/>
    <w:rsid w:val="00B555B8"/>
    <w:rsid w:val="00B555F7"/>
    <w:rsid w:val="00B55CB6"/>
    <w:rsid w:val="00B55D03"/>
    <w:rsid w:val="00B55D82"/>
    <w:rsid w:val="00B5732C"/>
    <w:rsid w:val="00B60676"/>
    <w:rsid w:val="00B607B1"/>
    <w:rsid w:val="00B6118E"/>
    <w:rsid w:val="00B62AB8"/>
    <w:rsid w:val="00B62D47"/>
    <w:rsid w:val="00B63248"/>
    <w:rsid w:val="00B6339B"/>
    <w:rsid w:val="00B634EE"/>
    <w:rsid w:val="00B64110"/>
    <w:rsid w:val="00B6440D"/>
    <w:rsid w:val="00B651BC"/>
    <w:rsid w:val="00B65E40"/>
    <w:rsid w:val="00B6643D"/>
    <w:rsid w:val="00B66827"/>
    <w:rsid w:val="00B674DE"/>
    <w:rsid w:val="00B6759B"/>
    <w:rsid w:val="00B67902"/>
    <w:rsid w:val="00B67C77"/>
    <w:rsid w:val="00B70437"/>
    <w:rsid w:val="00B7255E"/>
    <w:rsid w:val="00B726CA"/>
    <w:rsid w:val="00B73AFB"/>
    <w:rsid w:val="00B76989"/>
    <w:rsid w:val="00B76BB1"/>
    <w:rsid w:val="00B76BC1"/>
    <w:rsid w:val="00B802C9"/>
    <w:rsid w:val="00B8037C"/>
    <w:rsid w:val="00B80BDF"/>
    <w:rsid w:val="00B810F9"/>
    <w:rsid w:val="00B82BC4"/>
    <w:rsid w:val="00B8324A"/>
    <w:rsid w:val="00B84CE6"/>
    <w:rsid w:val="00B856B7"/>
    <w:rsid w:val="00B86178"/>
    <w:rsid w:val="00B874F1"/>
    <w:rsid w:val="00B90E80"/>
    <w:rsid w:val="00B911A3"/>
    <w:rsid w:val="00B9173A"/>
    <w:rsid w:val="00B92667"/>
    <w:rsid w:val="00B9267D"/>
    <w:rsid w:val="00B92FB1"/>
    <w:rsid w:val="00B958EA"/>
    <w:rsid w:val="00B95BD3"/>
    <w:rsid w:val="00B966F1"/>
    <w:rsid w:val="00B97712"/>
    <w:rsid w:val="00BA008A"/>
    <w:rsid w:val="00BA3573"/>
    <w:rsid w:val="00BA5B26"/>
    <w:rsid w:val="00BA6260"/>
    <w:rsid w:val="00BA6B77"/>
    <w:rsid w:val="00BB03FE"/>
    <w:rsid w:val="00BB07F8"/>
    <w:rsid w:val="00BB0DBE"/>
    <w:rsid w:val="00BB1215"/>
    <w:rsid w:val="00BB2976"/>
    <w:rsid w:val="00BB323C"/>
    <w:rsid w:val="00BB3999"/>
    <w:rsid w:val="00BB3B2D"/>
    <w:rsid w:val="00BB3FBC"/>
    <w:rsid w:val="00BB4926"/>
    <w:rsid w:val="00BB4DCF"/>
    <w:rsid w:val="00BB5C8E"/>
    <w:rsid w:val="00BB7539"/>
    <w:rsid w:val="00BB7907"/>
    <w:rsid w:val="00BC0510"/>
    <w:rsid w:val="00BC06E2"/>
    <w:rsid w:val="00BC218D"/>
    <w:rsid w:val="00BC3C65"/>
    <w:rsid w:val="00BC417F"/>
    <w:rsid w:val="00BC514B"/>
    <w:rsid w:val="00BC6898"/>
    <w:rsid w:val="00BD184F"/>
    <w:rsid w:val="00BD355C"/>
    <w:rsid w:val="00BD59C9"/>
    <w:rsid w:val="00BD6050"/>
    <w:rsid w:val="00BD7FA6"/>
    <w:rsid w:val="00BE092E"/>
    <w:rsid w:val="00BE1C32"/>
    <w:rsid w:val="00BE3354"/>
    <w:rsid w:val="00BE3756"/>
    <w:rsid w:val="00BE416D"/>
    <w:rsid w:val="00BE4223"/>
    <w:rsid w:val="00BE5261"/>
    <w:rsid w:val="00BE60E2"/>
    <w:rsid w:val="00BE7698"/>
    <w:rsid w:val="00BE7A16"/>
    <w:rsid w:val="00BE7ACC"/>
    <w:rsid w:val="00BE7D48"/>
    <w:rsid w:val="00BF0263"/>
    <w:rsid w:val="00BF07E8"/>
    <w:rsid w:val="00BF0902"/>
    <w:rsid w:val="00BF099F"/>
    <w:rsid w:val="00BF1A66"/>
    <w:rsid w:val="00BF2B9B"/>
    <w:rsid w:val="00BF534C"/>
    <w:rsid w:val="00BF631F"/>
    <w:rsid w:val="00BF7221"/>
    <w:rsid w:val="00BF75F1"/>
    <w:rsid w:val="00C02484"/>
    <w:rsid w:val="00C02738"/>
    <w:rsid w:val="00C03E62"/>
    <w:rsid w:val="00C040CA"/>
    <w:rsid w:val="00C05A71"/>
    <w:rsid w:val="00C0772F"/>
    <w:rsid w:val="00C07AA8"/>
    <w:rsid w:val="00C104AB"/>
    <w:rsid w:val="00C10F90"/>
    <w:rsid w:val="00C12780"/>
    <w:rsid w:val="00C14187"/>
    <w:rsid w:val="00C14843"/>
    <w:rsid w:val="00C14966"/>
    <w:rsid w:val="00C1528D"/>
    <w:rsid w:val="00C154CC"/>
    <w:rsid w:val="00C15A6F"/>
    <w:rsid w:val="00C1612E"/>
    <w:rsid w:val="00C16CC2"/>
    <w:rsid w:val="00C16DB8"/>
    <w:rsid w:val="00C175F4"/>
    <w:rsid w:val="00C1761B"/>
    <w:rsid w:val="00C17D65"/>
    <w:rsid w:val="00C21A23"/>
    <w:rsid w:val="00C22D49"/>
    <w:rsid w:val="00C2476A"/>
    <w:rsid w:val="00C25144"/>
    <w:rsid w:val="00C25C25"/>
    <w:rsid w:val="00C2606C"/>
    <w:rsid w:val="00C2638D"/>
    <w:rsid w:val="00C2671A"/>
    <w:rsid w:val="00C26B94"/>
    <w:rsid w:val="00C276B4"/>
    <w:rsid w:val="00C27E1C"/>
    <w:rsid w:val="00C30BE6"/>
    <w:rsid w:val="00C30E69"/>
    <w:rsid w:val="00C31E1C"/>
    <w:rsid w:val="00C31ED2"/>
    <w:rsid w:val="00C31EF0"/>
    <w:rsid w:val="00C32975"/>
    <w:rsid w:val="00C33669"/>
    <w:rsid w:val="00C34746"/>
    <w:rsid w:val="00C37623"/>
    <w:rsid w:val="00C40213"/>
    <w:rsid w:val="00C40D72"/>
    <w:rsid w:val="00C40EFC"/>
    <w:rsid w:val="00C4144C"/>
    <w:rsid w:val="00C41948"/>
    <w:rsid w:val="00C426A0"/>
    <w:rsid w:val="00C42969"/>
    <w:rsid w:val="00C449A7"/>
    <w:rsid w:val="00C44B39"/>
    <w:rsid w:val="00C44FEB"/>
    <w:rsid w:val="00C459C1"/>
    <w:rsid w:val="00C466EE"/>
    <w:rsid w:val="00C4683C"/>
    <w:rsid w:val="00C46D82"/>
    <w:rsid w:val="00C47AE7"/>
    <w:rsid w:val="00C50058"/>
    <w:rsid w:val="00C50211"/>
    <w:rsid w:val="00C5219D"/>
    <w:rsid w:val="00C53A41"/>
    <w:rsid w:val="00C551C5"/>
    <w:rsid w:val="00C55374"/>
    <w:rsid w:val="00C55645"/>
    <w:rsid w:val="00C561C4"/>
    <w:rsid w:val="00C56492"/>
    <w:rsid w:val="00C56F96"/>
    <w:rsid w:val="00C578C0"/>
    <w:rsid w:val="00C6027B"/>
    <w:rsid w:val="00C6156C"/>
    <w:rsid w:val="00C61916"/>
    <w:rsid w:val="00C619CA"/>
    <w:rsid w:val="00C61A75"/>
    <w:rsid w:val="00C61B69"/>
    <w:rsid w:val="00C64609"/>
    <w:rsid w:val="00C64BC7"/>
    <w:rsid w:val="00C65477"/>
    <w:rsid w:val="00C673B3"/>
    <w:rsid w:val="00C70176"/>
    <w:rsid w:val="00C718FF"/>
    <w:rsid w:val="00C724AF"/>
    <w:rsid w:val="00C7538B"/>
    <w:rsid w:val="00C75525"/>
    <w:rsid w:val="00C7559B"/>
    <w:rsid w:val="00C75B57"/>
    <w:rsid w:val="00C770BD"/>
    <w:rsid w:val="00C8242D"/>
    <w:rsid w:val="00C82ABF"/>
    <w:rsid w:val="00C84254"/>
    <w:rsid w:val="00C8510F"/>
    <w:rsid w:val="00C8543B"/>
    <w:rsid w:val="00C87236"/>
    <w:rsid w:val="00C8729D"/>
    <w:rsid w:val="00C87E54"/>
    <w:rsid w:val="00C90594"/>
    <w:rsid w:val="00C93F13"/>
    <w:rsid w:val="00C93F2B"/>
    <w:rsid w:val="00C94448"/>
    <w:rsid w:val="00C95731"/>
    <w:rsid w:val="00C9678D"/>
    <w:rsid w:val="00C970D9"/>
    <w:rsid w:val="00C975DE"/>
    <w:rsid w:val="00CA0025"/>
    <w:rsid w:val="00CA043A"/>
    <w:rsid w:val="00CA07B1"/>
    <w:rsid w:val="00CA31C5"/>
    <w:rsid w:val="00CA386B"/>
    <w:rsid w:val="00CA472D"/>
    <w:rsid w:val="00CA6895"/>
    <w:rsid w:val="00CB0058"/>
    <w:rsid w:val="00CB010B"/>
    <w:rsid w:val="00CB1402"/>
    <w:rsid w:val="00CB1B58"/>
    <w:rsid w:val="00CB1BA1"/>
    <w:rsid w:val="00CB24BA"/>
    <w:rsid w:val="00CB46E0"/>
    <w:rsid w:val="00CB7235"/>
    <w:rsid w:val="00CC301B"/>
    <w:rsid w:val="00CC3174"/>
    <w:rsid w:val="00CC580B"/>
    <w:rsid w:val="00CC5C83"/>
    <w:rsid w:val="00CC6B48"/>
    <w:rsid w:val="00CC7662"/>
    <w:rsid w:val="00CD11EC"/>
    <w:rsid w:val="00CD2F48"/>
    <w:rsid w:val="00CD3071"/>
    <w:rsid w:val="00CD30A3"/>
    <w:rsid w:val="00CD32D4"/>
    <w:rsid w:val="00CD45ED"/>
    <w:rsid w:val="00CD5C50"/>
    <w:rsid w:val="00CD5CB0"/>
    <w:rsid w:val="00CD6CE2"/>
    <w:rsid w:val="00CD7E84"/>
    <w:rsid w:val="00CE04D7"/>
    <w:rsid w:val="00CE1881"/>
    <w:rsid w:val="00CE19E2"/>
    <w:rsid w:val="00CE4744"/>
    <w:rsid w:val="00CE4777"/>
    <w:rsid w:val="00CE5B91"/>
    <w:rsid w:val="00CE5F4B"/>
    <w:rsid w:val="00CE64F5"/>
    <w:rsid w:val="00CE6A93"/>
    <w:rsid w:val="00CE6F6A"/>
    <w:rsid w:val="00CE7182"/>
    <w:rsid w:val="00CE7C87"/>
    <w:rsid w:val="00CF0661"/>
    <w:rsid w:val="00CF08CB"/>
    <w:rsid w:val="00CF1AF9"/>
    <w:rsid w:val="00CF34C8"/>
    <w:rsid w:val="00CF40F0"/>
    <w:rsid w:val="00CF4606"/>
    <w:rsid w:val="00CF56C6"/>
    <w:rsid w:val="00CF7CA2"/>
    <w:rsid w:val="00CF7E66"/>
    <w:rsid w:val="00CF7F33"/>
    <w:rsid w:val="00D01795"/>
    <w:rsid w:val="00D03A06"/>
    <w:rsid w:val="00D03F2B"/>
    <w:rsid w:val="00D053BA"/>
    <w:rsid w:val="00D072AF"/>
    <w:rsid w:val="00D07C68"/>
    <w:rsid w:val="00D11838"/>
    <w:rsid w:val="00D1369E"/>
    <w:rsid w:val="00D14C8F"/>
    <w:rsid w:val="00D14CDD"/>
    <w:rsid w:val="00D15B08"/>
    <w:rsid w:val="00D15DB4"/>
    <w:rsid w:val="00D16020"/>
    <w:rsid w:val="00D169CF"/>
    <w:rsid w:val="00D16DBB"/>
    <w:rsid w:val="00D17889"/>
    <w:rsid w:val="00D20136"/>
    <w:rsid w:val="00D21D83"/>
    <w:rsid w:val="00D224A1"/>
    <w:rsid w:val="00D22A88"/>
    <w:rsid w:val="00D22E55"/>
    <w:rsid w:val="00D24729"/>
    <w:rsid w:val="00D2514E"/>
    <w:rsid w:val="00D26438"/>
    <w:rsid w:val="00D26A26"/>
    <w:rsid w:val="00D26CBE"/>
    <w:rsid w:val="00D30605"/>
    <w:rsid w:val="00D32413"/>
    <w:rsid w:val="00D33C4F"/>
    <w:rsid w:val="00D342D2"/>
    <w:rsid w:val="00D34445"/>
    <w:rsid w:val="00D348AA"/>
    <w:rsid w:val="00D365D6"/>
    <w:rsid w:val="00D36A65"/>
    <w:rsid w:val="00D37949"/>
    <w:rsid w:val="00D40A81"/>
    <w:rsid w:val="00D40F81"/>
    <w:rsid w:val="00D40FA9"/>
    <w:rsid w:val="00D42157"/>
    <w:rsid w:val="00D422C9"/>
    <w:rsid w:val="00D4238B"/>
    <w:rsid w:val="00D430FB"/>
    <w:rsid w:val="00D4344B"/>
    <w:rsid w:val="00D43454"/>
    <w:rsid w:val="00D44495"/>
    <w:rsid w:val="00D44505"/>
    <w:rsid w:val="00D44A4A"/>
    <w:rsid w:val="00D45A1A"/>
    <w:rsid w:val="00D45E47"/>
    <w:rsid w:val="00D46109"/>
    <w:rsid w:val="00D46618"/>
    <w:rsid w:val="00D47AE2"/>
    <w:rsid w:val="00D50C5F"/>
    <w:rsid w:val="00D52853"/>
    <w:rsid w:val="00D52AEA"/>
    <w:rsid w:val="00D52C49"/>
    <w:rsid w:val="00D54069"/>
    <w:rsid w:val="00D564FD"/>
    <w:rsid w:val="00D56873"/>
    <w:rsid w:val="00D57A33"/>
    <w:rsid w:val="00D57A87"/>
    <w:rsid w:val="00D60193"/>
    <w:rsid w:val="00D609DD"/>
    <w:rsid w:val="00D60E5A"/>
    <w:rsid w:val="00D62D25"/>
    <w:rsid w:val="00D63493"/>
    <w:rsid w:val="00D63A24"/>
    <w:rsid w:val="00D6432C"/>
    <w:rsid w:val="00D6522A"/>
    <w:rsid w:val="00D658A4"/>
    <w:rsid w:val="00D660B8"/>
    <w:rsid w:val="00D66B5D"/>
    <w:rsid w:val="00D66C6E"/>
    <w:rsid w:val="00D70C0B"/>
    <w:rsid w:val="00D71005"/>
    <w:rsid w:val="00D7106E"/>
    <w:rsid w:val="00D71478"/>
    <w:rsid w:val="00D719A4"/>
    <w:rsid w:val="00D728E4"/>
    <w:rsid w:val="00D7316C"/>
    <w:rsid w:val="00D73191"/>
    <w:rsid w:val="00D75864"/>
    <w:rsid w:val="00D760EE"/>
    <w:rsid w:val="00D77ADE"/>
    <w:rsid w:val="00D801CB"/>
    <w:rsid w:val="00D80849"/>
    <w:rsid w:val="00D81C40"/>
    <w:rsid w:val="00D82C26"/>
    <w:rsid w:val="00D84075"/>
    <w:rsid w:val="00D84533"/>
    <w:rsid w:val="00D855F5"/>
    <w:rsid w:val="00D85B18"/>
    <w:rsid w:val="00D85EEB"/>
    <w:rsid w:val="00D86299"/>
    <w:rsid w:val="00D86C4D"/>
    <w:rsid w:val="00D876FE"/>
    <w:rsid w:val="00D926C6"/>
    <w:rsid w:val="00D93A94"/>
    <w:rsid w:val="00D93C4D"/>
    <w:rsid w:val="00D94362"/>
    <w:rsid w:val="00D9600E"/>
    <w:rsid w:val="00D9718E"/>
    <w:rsid w:val="00DA1CC1"/>
    <w:rsid w:val="00DA4EC0"/>
    <w:rsid w:val="00DB0C28"/>
    <w:rsid w:val="00DB0ECB"/>
    <w:rsid w:val="00DB22A6"/>
    <w:rsid w:val="00DB2591"/>
    <w:rsid w:val="00DB338C"/>
    <w:rsid w:val="00DB3C35"/>
    <w:rsid w:val="00DB4048"/>
    <w:rsid w:val="00DB420D"/>
    <w:rsid w:val="00DB457A"/>
    <w:rsid w:val="00DB4ABA"/>
    <w:rsid w:val="00DB5EE8"/>
    <w:rsid w:val="00DB61BE"/>
    <w:rsid w:val="00DB6372"/>
    <w:rsid w:val="00DB6D36"/>
    <w:rsid w:val="00DB77A8"/>
    <w:rsid w:val="00DB7BA2"/>
    <w:rsid w:val="00DB7C32"/>
    <w:rsid w:val="00DB7EFC"/>
    <w:rsid w:val="00DC05A3"/>
    <w:rsid w:val="00DC1391"/>
    <w:rsid w:val="00DC1484"/>
    <w:rsid w:val="00DC168F"/>
    <w:rsid w:val="00DC211A"/>
    <w:rsid w:val="00DC2B49"/>
    <w:rsid w:val="00DC2F6C"/>
    <w:rsid w:val="00DC3064"/>
    <w:rsid w:val="00DC33A0"/>
    <w:rsid w:val="00DC35FD"/>
    <w:rsid w:val="00DC395C"/>
    <w:rsid w:val="00DC4A42"/>
    <w:rsid w:val="00DC5540"/>
    <w:rsid w:val="00DC5B8D"/>
    <w:rsid w:val="00DC5E8A"/>
    <w:rsid w:val="00DC6141"/>
    <w:rsid w:val="00DC649E"/>
    <w:rsid w:val="00DC6720"/>
    <w:rsid w:val="00DD0687"/>
    <w:rsid w:val="00DD13FA"/>
    <w:rsid w:val="00DD1C7F"/>
    <w:rsid w:val="00DD23FE"/>
    <w:rsid w:val="00DD2C9D"/>
    <w:rsid w:val="00DD35BF"/>
    <w:rsid w:val="00DD385D"/>
    <w:rsid w:val="00DD4BAE"/>
    <w:rsid w:val="00DD4F76"/>
    <w:rsid w:val="00DD6544"/>
    <w:rsid w:val="00DD6BCE"/>
    <w:rsid w:val="00DD74CA"/>
    <w:rsid w:val="00DD77A6"/>
    <w:rsid w:val="00DE164F"/>
    <w:rsid w:val="00DE1C3C"/>
    <w:rsid w:val="00DE1CC5"/>
    <w:rsid w:val="00DE2038"/>
    <w:rsid w:val="00DE2F91"/>
    <w:rsid w:val="00DE5BB9"/>
    <w:rsid w:val="00DE7F70"/>
    <w:rsid w:val="00DF0A57"/>
    <w:rsid w:val="00DF2B6D"/>
    <w:rsid w:val="00DF5576"/>
    <w:rsid w:val="00DF5702"/>
    <w:rsid w:val="00E00D8F"/>
    <w:rsid w:val="00E00E5A"/>
    <w:rsid w:val="00E01168"/>
    <w:rsid w:val="00E0170C"/>
    <w:rsid w:val="00E01BFD"/>
    <w:rsid w:val="00E04267"/>
    <w:rsid w:val="00E043D1"/>
    <w:rsid w:val="00E05AA0"/>
    <w:rsid w:val="00E07A55"/>
    <w:rsid w:val="00E10B18"/>
    <w:rsid w:val="00E14283"/>
    <w:rsid w:val="00E142E4"/>
    <w:rsid w:val="00E1483D"/>
    <w:rsid w:val="00E16B4A"/>
    <w:rsid w:val="00E21225"/>
    <w:rsid w:val="00E2174B"/>
    <w:rsid w:val="00E2245D"/>
    <w:rsid w:val="00E23627"/>
    <w:rsid w:val="00E23BE0"/>
    <w:rsid w:val="00E2460C"/>
    <w:rsid w:val="00E25832"/>
    <w:rsid w:val="00E25ED8"/>
    <w:rsid w:val="00E30288"/>
    <w:rsid w:val="00E302C6"/>
    <w:rsid w:val="00E302EA"/>
    <w:rsid w:val="00E3083F"/>
    <w:rsid w:val="00E30BE8"/>
    <w:rsid w:val="00E31305"/>
    <w:rsid w:val="00E34DED"/>
    <w:rsid w:val="00E362CC"/>
    <w:rsid w:val="00E3649E"/>
    <w:rsid w:val="00E36BF9"/>
    <w:rsid w:val="00E40472"/>
    <w:rsid w:val="00E4342D"/>
    <w:rsid w:val="00E43B4A"/>
    <w:rsid w:val="00E45887"/>
    <w:rsid w:val="00E45C40"/>
    <w:rsid w:val="00E4600C"/>
    <w:rsid w:val="00E46B55"/>
    <w:rsid w:val="00E51F7C"/>
    <w:rsid w:val="00E52765"/>
    <w:rsid w:val="00E54297"/>
    <w:rsid w:val="00E556BF"/>
    <w:rsid w:val="00E60343"/>
    <w:rsid w:val="00E611E0"/>
    <w:rsid w:val="00E62439"/>
    <w:rsid w:val="00E63530"/>
    <w:rsid w:val="00E65B04"/>
    <w:rsid w:val="00E65D17"/>
    <w:rsid w:val="00E666E3"/>
    <w:rsid w:val="00E672C7"/>
    <w:rsid w:val="00E67354"/>
    <w:rsid w:val="00E67FA9"/>
    <w:rsid w:val="00E70409"/>
    <w:rsid w:val="00E714F2"/>
    <w:rsid w:val="00E71FAA"/>
    <w:rsid w:val="00E727E5"/>
    <w:rsid w:val="00E72CB1"/>
    <w:rsid w:val="00E72D7A"/>
    <w:rsid w:val="00E7333F"/>
    <w:rsid w:val="00E737AF"/>
    <w:rsid w:val="00E738FC"/>
    <w:rsid w:val="00E7394B"/>
    <w:rsid w:val="00E74609"/>
    <w:rsid w:val="00E74764"/>
    <w:rsid w:val="00E7483F"/>
    <w:rsid w:val="00E7524E"/>
    <w:rsid w:val="00E752E1"/>
    <w:rsid w:val="00E75884"/>
    <w:rsid w:val="00E7590B"/>
    <w:rsid w:val="00E75A73"/>
    <w:rsid w:val="00E802F2"/>
    <w:rsid w:val="00E806BE"/>
    <w:rsid w:val="00E8091C"/>
    <w:rsid w:val="00E80C8E"/>
    <w:rsid w:val="00E80D18"/>
    <w:rsid w:val="00E81C04"/>
    <w:rsid w:val="00E81DED"/>
    <w:rsid w:val="00E81F09"/>
    <w:rsid w:val="00E82799"/>
    <w:rsid w:val="00E8451E"/>
    <w:rsid w:val="00E85B4A"/>
    <w:rsid w:val="00E86384"/>
    <w:rsid w:val="00E90711"/>
    <w:rsid w:val="00E91CE2"/>
    <w:rsid w:val="00E945E5"/>
    <w:rsid w:val="00E947C4"/>
    <w:rsid w:val="00E947E4"/>
    <w:rsid w:val="00E962E1"/>
    <w:rsid w:val="00E9712D"/>
    <w:rsid w:val="00EA06F8"/>
    <w:rsid w:val="00EA0AEC"/>
    <w:rsid w:val="00EA0E6B"/>
    <w:rsid w:val="00EA2115"/>
    <w:rsid w:val="00EA2339"/>
    <w:rsid w:val="00EA29E7"/>
    <w:rsid w:val="00EA2FF4"/>
    <w:rsid w:val="00EA3166"/>
    <w:rsid w:val="00EA393C"/>
    <w:rsid w:val="00EA3E30"/>
    <w:rsid w:val="00EA483F"/>
    <w:rsid w:val="00EA4A40"/>
    <w:rsid w:val="00EA4BE6"/>
    <w:rsid w:val="00EA5575"/>
    <w:rsid w:val="00EA6760"/>
    <w:rsid w:val="00EA76D6"/>
    <w:rsid w:val="00EA7CAF"/>
    <w:rsid w:val="00EB0CA6"/>
    <w:rsid w:val="00EB416D"/>
    <w:rsid w:val="00EB60D4"/>
    <w:rsid w:val="00EB669D"/>
    <w:rsid w:val="00EC0297"/>
    <w:rsid w:val="00EC10F7"/>
    <w:rsid w:val="00EC1D93"/>
    <w:rsid w:val="00EC22BB"/>
    <w:rsid w:val="00EC4FE9"/>
    <w:rsid w:val="00EC52D2"/>
    <w:rsid w:val="00EC56AE"/>
    <w:rsid w:val="00EC586F"/>
    <w:rsid w:val="00EC58E1"/>
    <w:rsid w:val="00EC7A2F"/>
    <w:rsid w:val="00ED1AC0"/>
    <w:rsid w:val="00ED1D74"/>
    <w:rsid w:val="00ED297A"/>
    <w:rsid w:val="00ED501F"/>
    <w:rsid w:val="00ED60C7"/>
    <w:rsid w:val="00ED6AD1"/>
    <w:rsid w:val="00ED6F2A"/>
    <w:rsid w:val="00ED6FD9"/>
    <w:rsid w:val="00ED7A24"/>
    <w:rsid w:val="00EE02A1"/>
    <w:rsid w:val="00EE05EB"/>
    <w:rsid w:val="00EE0FD5"/>
    <w:rsid w:val="00EE1163"/>
    <w:rsid w:val="00EE1CF1"/>
    <w:rsid w:val="00EE244E"/>
    <w:rsid w:val="00EE2F9F"/>
    <w:rsid w:val="00EE41FF"/>
    <w:rsid w:val="00EE48A7"/>
    <w:rsid w:val="00EE5ED2"/>
    <w:rsid w:val="00EE627B"/>
    <w:rsid w:val="00EE6A9E"/>
    <w:rsid w:val="00EF03E2"/>
    <w:rsid w:val="00EF052D"/>
    <w:rsid w:val="00EF0BF3"/>
    <w:rsid w:val="00EF3A32"/>
    <w:rsid w:val="00EF3BF8"/>
    <w:rsid w:val="00EF5685"/>
    <w:rsid w:val="00EF5F21"/>
    <w:rsid w:val="00EF7FDE"/>
    <w:rsid w:val="00F00745"/>
    <w:rsid w:val="00F0093E"/>
    <w:rsid w:val="00F00CFB"/>
    <w:rsid w:val="00F02100"/>
    <w:rsid w:val="00F03682"/>
    <w:rsid w:val="00F03B48"/>
    <w:rsid w:val="00F03E39"/>
    <w:rsid w:val="00F0520D"/>
    <w:rsid w:val="00F05F93"/>
    <w:rsid w:val="00F102E1"/>
    <w:rsid w:val="00F10AF3"/>
    <w:rsid w:val="00F119FE"/>
    <w:rsid w:val="00F11D68"/>
    <w:rsid w:val="00F121E4"/>
    <w:rsid w:val="00F1353A"/>
    <w:rsid w:val="00F13CCC"/>
    <w:rsid w:val="00F14190"/>
    <w:rsid w:val="00F14BBC"/>
    <w:rsid w:val="00F155DC"/>
    <w:rsid w:val="00F16F6B"/>
    <w:rsid w:val="00F172AA"/>
    <w:rsid w:val="00F211EC"/>
    <w:rsid w:val="00F21AA5"/>
    <w:rsid w:val="00F22151"/>
    <w:rsid w:val="00F22860"/>
    <w:rsid w:val="00F22F83"/>
    <w:rsid w:val="00F23E11"/>
    <w:rsid w:val="00F24981"/>
    <w:rsid w:val="00F261CD"/>
    <w:rsid w:val="00F268FC"/>
    <w:rsid w:val="00F26BA0"/>
    <w:rsid w:val="00F30515"/>
    <w:rsid w:val="00F337C7"/>
    <w:rsid w:val="00F33AF7"/>
    <w:rsid w:val="00F340AC"/>
    <w:rsid w:val="00F34BB0"/>
    <w:rsid w:val="00F3557A"/>
    <w:rsid w:val="00F35C65"/>
    <w:rsid w:val="00F35DA9"/>
    <w:rsid w:val="00F3734F"/>
    <w:rsid w:val="00F40CC1"/>
    <w:rsid w:val="00F40DFF"/>
    <w:rsid w:val="00F41C7F"/>
    <w:rsid w:val="00F429A1"/>
    <w:rsid w:val="00F44696"/>
    <w:rsid w:val="00F44853"/>
    <w:rsid w:val="00F45613"/>
    <w:rsid w:val="00F475E3"/>
    <w:rsid w:val="00F47F8B"/>
    <w:rsid w:val="00F51105"/>
    <w:rsid w:val="00F52338"/>
    <w:rsid w:val="00F5312B"/>
    <w:rsid w:val="00F53648"/>
    <w:rsid w:val="00F5374E"/>
    <w:rsid w:val="00F54E95"/>
    <w:rsid w:val="00F5668F"/>
    <w:rsid w:val="00F6039A"/>
    <w:rsid w:val="00F6056E"/>
    <w:rsid w:val="00F60F3E"/>
    <w:rsid w:val="00F610B1"/>
    <w:rsid w:val="00F611FC"/>
    <w:rsid w:val="00F61E3E"/>
    <w:rsid w:val="00F62198"/>
    <w:rsid w:val="00F62E0E"/>
    <w:rsid w:val="00F63186"/>
    <w:rsid w:val="00F63351"/>
    <w:rsid w:val="00F63917"/>
    <w:rsid w:val="00F6413A"/>
    <w:rsid w:val="00F65070"/>
    <w:rsid w:val="00F657EA"/>
    <w:rsid w:val="00F6798D"/>
    <w:rsid w:val="00F67ED5"/>
    <w:rsid w:val="00F71AF4"/>
    <w:rsid w:val="00F74C9F"/>
    <w:rsid w:val="00F75E43"/>
    <w:rsid w:val="00F766B4"/>
    <w:rsid w:val="00F77B99"/>
    <w:rsid w:val="00F8120C"/>
    <w:rsid w:val="00F812BB"/>
    <w:rsid w:val="00F8207F"/>
    <w:rsid w:val="00F8348E"/>
    <w:rsid w:val="00F83D01"/>
    <w:rsid w:val="00F841F5"/>
    <w:rsid w:val="00F859FE"/>
    <w:rsid w:val="00F86027"/>
    <w:rsid w:val="00F863EE"/>
    <w:rsid w:val="00F9090C"/>
    <w:rsid w:val="00F90D41"/>
    <w:rsid w:val="00F911AD"/>
    <w:rsid w:val="00F9131E"/>
    <w:rsid w:val="00F91D39"/>
    <w:rsid w:val="00F92047"/>
    <w:rsid w:val="00F93EB8"/>
    <w:rsid w:val="00F94052"/>
    <w:rsid w:val="00F94C0F"/>
    <w:rsid w:val="00F96166"/>
    <w:rsid w:val="00F97600"/>
    <w:rsid w:val="00F97C28"/>
    <w:rsid w:val="00F97EEE"/>
    <w:rsid w:val="00FA0CF1"/>
    <w:rsid w:val="00FA0D1C"/>
    <w:rsid w:val="00FA12C5"/>
    <w:rsid w:val="00FA181E"/>
    <w:rsid w:val="00FA24CD"/>
    <w:rsid w:val="00FA2748"/>
    <w:rsid w:val="00FA3276"/>
    <w:rsid w:val="00FA35F0"/>
    <w:rsid w:val="00FA38FE"/>
    <w:rsid w:val="00FA4707"/>
    <w:rsid w:val="00FA47F0"/>
    <w:rsid w:val="00FA55F7"/>
    <w:rsid w:val="00FA570E"/>
    <w:rsid w:val="00FA5F24"/>
    <w:rsid w:val="00FA68EF"/>
    <w:rsid w:val="00FA6B47"/>
    <w:rsid w:val="00FA780B"/>
    <w:rsid w:val="00FA7FC7"/>
    <w:rsid w:val="00FB034E"/>
    <w:rsid w:val="00FB05B2"/>
    <w:rsid w:val="00FB0B42"/>
    <w:rsid w:val="00FB1191"/>
    <w:rsid w:val="00FB126F"/>
    <w:rsid w:val="00FB2C19"/>
    <w:rsid w:val="00FB38F1"/>
    <w:rsid w:val="00FB3F41"/>
    <w:rsid w:val="00FB550D"/>
    <w:rsid w:val="00FB5721"/>
    <w:rsid w:val="00FB6834"/>
    <w:rsid w:val="00FB6C25"/>
    <w:rsid w:val="00FB7CD9"/>
    <w:rsid w:val="00FC145D"/>
    <w:rsid w:val="00FC1F47"/>
    <w:rsid w:val="00FC29AC"/>
    <w:rsid w:val="00FC2FC1"/>
    <w:rsid w:val="00FC3B2B"/>
    <w:rsid w:val="00FC3C79"/>
    <w:rsid w:val="00FC42F3"/>
    <w:rsid w:val="00FD03ED"/>
    <w:rsid w:val="00FD29F1"/>
    <w:rsid w:val="00FD2D3E"/>
    <w:rsid w:val="00FD419B"/>
    <w:rsid w:val="00FD453A"/>
    <w:rsid w:val="00FD51B2"/>
    <w:rsid w:val="00FD5FB4"/>
    <w:rsid w:val="00FD70FB"/>
    <w:rsid w:val="00FD74BB"/>
    <w:rsid w:val="00FE2A30"/>
    <w:rsid w:val="00FE3098"/>
    <w:rsid w:val="00FE41C9"/>
    <w:rsid w:val="00FE48C5"/>
    <w:rsid w:val="00FE531B"/>
    <w:rsid w:val="00FE53EB"/>
    <w:rsid w:val="00FE59B4"/>
    <w:rsid w:val="00FE5AA5"/>
    <w:rsid w:val="00FE5D24"/>
    <w:rsid w:val="00FE7F03"/>
    <w:rsid w:val="00FE7F40"/>
    <w:rsid w:val="00FF00A7"/>
    <w:rsid w:val="00FF0CC9"/>
    <w:rsid w:val="00FF32C5"/>
    <w:rsid w:val="00FF3889"/>
    <w:rsid w:val="00FF39C8"/>
    <w:rsid w:val="00FF4D0B"/>
    <w:rsid w:val="00FF59F5"/>
    <w:rsid w:val="00FF5A0F"/>
    <w:rsid w:val="00FF771D"/>
    <w:rsid w:val="00FF7B32"/>
    <w:rsid w:val="02FA7A87"/>
    <w:rsid w:val="036CC4E2"/>
    <w:rsid w:val="03AB3EC9"/>
    <w:rsid w:val="03CD2797"/>
    <w:rsid w:val="04481A0C"/>
    <w:rsid w:val="0568F7F8"/>
    <w:rsid w:val="06321B49"/>
    <w:rsid w:val="07526AE7"/>
    <w:rsid w:val="07FCAB5F"/>
    <w:rsid w:val="087FD37F"/>
    <w:rsid w:val="091086B6"/>
    <w:rsid w:val="0A20CEA9"/>
    <w:rsid w:val="0A3AFDBD"/>
    <w:rsid w:val="0A9A6C2B"/>
    <w:rsid w:val="0AD4D84C"/>
    <w:rsid w:val="0B28DA04"/>
    <w:rsid w:val="0BE02702"/>
    <w:rsid w:val="0C9DE59F"/>
    <w:rsid w:val="0F17C7C4"/>
    <w:rsid w:val="0F246F14"/>
    <w:rsid w:val="0F337EDC"/>
    <w:rsid w:val="105BFA06"/>
    <w:rsid w:val="11367410"/>
    <w:rsid w:val="114D9B25"/>
    <w:rsid w:val="1161DE7F"/>
    <w:rsid w:val="1198728E"/>
    <w:rsid w:val="1320B4D0"/>
    <w:rsid w:val="1326E6C3"/>
    <w:rsid w:val="133442EF"/>
    <w:rsid w:val="13383D71"/>
    <w:rsid w:val="142F00E6"/>
    <w:rsid w:val="1436B049"/>
    <w:rsid w:val="14C9D827"/>
    <w:rsid w:val="156DE0EB"/>
    <w:rsid w:val="160E2385"/>
    <w:rsid w:val="16E62954"/>
    <w:rsid w:val="17BA99CC"/>
    <w:rsid w:val="193ED962"/>
    <w:rsid w:val="194AC72B"/>
    <w:rsid w:val="19CAFCE7"/>
    <w:rsid w:val="1C07123F"/>
    <w:rsid w:val="1C4CC92C"/>
    <w:rsid w:val="1CD1D6B8"/>
    <w:rsid w:val="1D1C7899"/>
    <w:rsid w:val="1D78F2D0"/>
    <w:rsid w:val="1F14C331"/>
    <w:rsid w:val="1F29A650"/>
    <w:rsid w:val="203D6599"/>
    <w:rsid w:val="20B09392"/>
    <w:rsid w:val="22384178"/>
    <w:rsid w:val="24E386BF"/>
    <w:rsid w:val="25621BE7"/>
    <w:rsid w:val="260BAE36"/>
    <w:rsid w:val="2678354B"/>
    <w:rsid w:val="26846EF8"/>
    <w:rsid w:val="275BBEAA"/>
    <w:rsid w:val="2794BEDF"/>
    <w:rsid w:val="2891B328"/>
    <w:rsid w:val="297C418E"/>
    <w:rsid w:val="2ACC5FA1"/>
    <w:rsid w:val="2B1AAF74"/>
    <w:rsid w:val="2C683002"/>
    <w:rsid w:val="2CAB6B21"/>
    <w:rsid w:val="2D158B88"/>
    <w:rsid w:val="2DAF940A"/>
    <w:rsid w:val="2DB0F5CB"/>
    <w:rsid w:val="2DB2BB38"/>
    <w:rsid w:val="309ED946"/>
    <w:rsid w:val="32E135F6"/>
    <w:rsid w:val="34472224"/>
    <w:rsid w:val="34A607E5"/>
    <w:rsid w:val="351E1C4D"/>
    <w:rsid w:val="354B9059"/>
    <w:rsid w:val="355D74E7"/>
    <w:rsid w:val="367E3157"/>
    <w:rsid w:val="368DEB72"/>
    <w:rsid w:val="381B061A"/>
    <w:rsid w:val="3858244F"/>
    <w:rsid w:val="3D9891F0"/>
    <w:rsid w:val="3DB60E42"/>
    <w:rsid w:val="3E1F7245"/>
    <w:rsid w:val="3E2E4DEA"/>
    <w:rsid w:val="3EA899FF"/>
    <w:rsid w:val="3EB97AC7"/>
    <w:rsid w:val="3F4A2E67"/>
    <w:rsid w:val="3FC0D098"/>
    <w:rsid w:val="40E41DD6"/>
    <w:rsid w:val="416F8951"/>
    <w:rsid w:val="4261F023"/>
    <w:rsid w:val="42A1DFCB"/>
    <w:rsid w:val="42D25C9F"/>
    <w:rsid w:val="44BFCBAC"/>
    <w:rsid w:val="45DBDE6D"/>
    <w:rsid w:val="469F05C6"/>
    <w:rsid w:val="473401AE"/>
    <w:rsid w:val="48063963"/>
    <w:rsid w:val="49353A74"/>
    <w:rsid w:val="4A9BC171"/>
    <w:rsid w:val="4AA794DB"/>
    <w:rsid w:val="4CCF155D"/>
    <w:rsid w:val="4D8528B8"/>
    <w:rsid w:val="4E229BC4"/>
    <w:rsid w:val="4F8EB539"/>
    <w:rsid w:val="504A857E"/>
    <w:rsid w:val="543EBAB5"/>
    <w:rsid w:val="550A1403"/>
    <w:rsid w:val="562F6D1D"/>
    <w:rsid w:val="5693BB9F"/>
    <w:rsid w:val="5880291D"/>
    <w:rsid w:val="58F03A95"/>
    <w:rsid w:val="59107A9C"/>
    <w:rsid w:val="5ABB3387"/>
    <w:rsid w:val="5B2B628B"/>
    <w:rsid w:val="5D780712"/>
    <w:rsid w:val="604F018A"/>
    <w:rsid w:val="607C4CE3"/>
    <w:rsid w:val="61C3CCC0"/>
    <w:rsid w:val="62EAFDD6"/>
    <w:rsid w:val="632B0FB7"/>
    <w:rsid w:val="6336CC0C"/>
    <w:rsid w:val="63EBC0A6"/>
    <w:rsid w:val="641A409B"/>
    <w:rsid w:val="64818AAF"/>
    <w:rsid w:val="648FD205"/>
    <w:rsid w:val="649C84E8"/>
    <w:rsid w:val="655A558C"/>
    <w:rsid w:val="6607112C"/>
    <w:rsid w:val="662B9C61"/>
    <w:rsid w:val="666052B0"/>
    <w:rsid w:val="67236168"/>
    <w:rsid w:val="673953DA"/>
    <w:rsid w:val="684658F0"/>
    <w:rsid w:val="694B6A3F"/>
    <w:rsid w:val="69BC5F0D"/>
    <w:rsid w:val="69E41953"/>
    <w:rsid w:val="6A1B96E2"/>
    <w:rsid w:val="6A78D7BA"/>
    <w:rsid w:val="6B84E81B"/>
    <w:rsid w:val="6CAD4C82"/>
    <w:rsid w:val="6CB6D966"/>
    <w:rsid w:val="6CB758A5"/>
    <w:rsid w:val="6D38D9BE"/>
    <w:rsid w:val="6E29DA2A"/>
    <w:rsid w:val="6E2B4683"/>
    <w:rsid w:val="71AF9111"/>
    <w:rsid w:val="721381D0"/>
    <w:rsid w:val="726E663C"/>
    <w:rsid w:val="728B626F"/>
    <w:rsid w:val="72E57A08"/>
    <w:rsid w:val="730B7CCA"/>
    <w:rsid w:val="730F1013"/>
    <w:rsid w:val="74ED2360"/>
    <w:rsid w:val="7566B351"/>
    <w:rsid w:val="778122AD"/>
    <w:rsid w:val="77C46F2F"/>
    <w:rsid w:val="7B433C87"/>
    <w:rsid w:val="7B5A5E85"/>
    <w:rsid w:val="7BC215B1"/>
    <w:rsid w:val="7BF87ADA"/>
    <w:rsid w:val="7D8016A7"/>
    <w:rsid w:val="7E270963"/>
    <w:rsid w:val="7E754638"/>
    <w:rsid w:val="7E9953BE"/>
    <w:rsid w:val="7F2D082C"/>
    <w:rsid w:val="7F5B6C2C"/>
    <w:rsid w:val="7FAF03A4"/>
    <w:rsid w:val="7FC0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D8AD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75"/>
  </w:style>
  <w:style w:type="paragraph" w:styleId="Heading1">
    <w:name w:val="heading 1"/>
    <w:basedOn w:val="Normal"/>
    <w:next w:val="Normal"/>
    <w:link w:val="Heading1Char"/>
    <w:autoRedefine/>
    <w:uiPriority w:val="9"/>
    <w:qFormat/>
    <w:rsid w:val="00792B6C"/>
    <w:pPr>
      <w:keepNext/>
      <w:spacing w:before="240" w:after="240"/>
      <w:jc w:val="center"/>
      <w:outlineLvl w:val="0"/>
    </w:pPr>
    <w:rPr>
      <w:rFonts w:eastAsia="Times New Roman" w:cs="Arial"/>
      <w:b/>
      <w:bCs/>
      <w:kern w:val="32"/>
      <w:sz w:val="44"/>
      <w:szCs w:val="44"/>
    </w:rPr>
  </w:style>
  <w:style w:type="paragraph" w:styleId="Heading2">
    <w:name w:val="heading 2"/>
    <w:basedOn w:val="Normal"/>
    <w:next w:val="Normal"/>
    <w:link w:val="Heading2Char"/>
    <w:autoRedefine/>
    <w:unhideWhenUsed/>
    <w:qFormat/>
    <w:rsid w:val="00DC35FD"/>
    <w:pPr>
      <w:keepNext/>
      <w:spacing w:before="240" w:after="240"/>
      <w:outlineLvl w:val="1"/>
    </w:pPr>
    <w:rPr>
      <w:rFonts w:eastAsia="Times New Roman" w:cs="Arial"/>
      <w:b/>
      <w:bCs/>
      <w:iCs/>
      <w:sz w:val="40"/>
      <w:szCs w:val="40"/>
    </w:rPr>
  </w:style>
  <w:style w:type="paragraph" w:styleId="Heading3">
    <w:name w:val="heading 3"/>
    <w:basedOn w:val="Normal"/>
    <w:next w:val="Normal"/>
    <w:link w:val="Heading3Char"/>
    <w:autoRedefine/>
    <w:uiPriority w:val="9"/>
    <w:unhideWhenUsed/>
    <w:qFormat/>
    <w:rsid w:val="003E4C84"/>
    <w:pPr>
      <w:spacing w:before="240" w:after="240"/>
      <w:outlineLvl w:val="2"/>
    </w:pPr>
    <w:rPr>
      <w:b/>
      <w:snapToGrid w:val="0"/>
      <w:sz w:val="36"/>
      <w:szCs w:val="36"/>
    </w:rPr>
  </w:style>
  <w:style w:type="paragraph" w:styleId="Heading4">
    <w:name w:val="heading 4"/>
    <w:basedOn w:val="Normal"/>
    <w:next w:val="Normal"/>
    <w:link w:val="Heading4Char"/>
    <w:autoRedefine/>
    <w:uiPriority w:val="9"/>
    <w:unhideWhenUsed/>
    <w:qFormat/>
    <w:rsid w:val="001B373C"/>
    <w:pPr>
      <w:keepNext/>
      <w:keepLines/>
      <w:spacing w:before="40" w:after="240"/>
      <w:outlineLvl w:val="3"/>
    </w:pPr>
    <w:rPr>
      <w:rFonts w:eastAsiaTheme="majorEastAsia" w:cstheme="majorBidi"/>
      <w:iCs/>
      <w:sz w:val="28"/>
      <w:szCs w:val="28"/>
    </w:rPr>
  </w:style>
  <w:style w:type="paragraph" w:styleId="Heading5">
    <w:name w:val="heading 5"/>
    <w:basedOn w:val="Normal"/>
    <w:next w:val="Normal"/>
    <w:link w:val="Heading5Char"/>
    <w:autoRedefine/>
    <w:uiPriority w:val="9"/>
    <w:unhideWhenUsed/>
    <w:qFormat/>
    <w:rsid w:val="008A49B6"/>
    <w:pPr>
      <w:keepNext/>
      <w:keepLines/>
      <w:spacing w:before="40" w:after="240"/>
      <w:ind w:left="72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A5407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List1,List11,Step Paragraph"/>
    <w:basedOn w:val="Normal"/>
    <w:link w:val="ListParagraphChar"/>
    <w:uiPriority w:val="34"/>
    <w:qFormat/>
    <w:rsid w:val="002910E6"/>
    <w:pPr>
      <w:ind w:left="720"/>
      <w:contextualSpacing/>
    </w:pPr>
  </w:style>
  <w:style w:type="character" w:styleId="Hyperlink">
    <w:name w:val="Hyperlink"/>
    <w:uiPriority w:val="99"/>
    <w:unhideWhenUsed/>
    <w:rsid w:val="00EC52D2"/>
    <w:rPr>
      <w:color w:val="0000FF"/>
      <w:u w:val="single"/>
    </w:rPr>
  </w:style>
  <w:style w:type="paragraph" w:styleId="Header">
    <w:name w:val="header"/>
    <w:basedOn w:val="Normal"/>
    <w:link w:val="HeaderChar"/>
    <w:uiPriority w:val="99"/>
    <w:unhideWhenUsed/>
    <w:rsid w:val="002113D4"/>
    <w:pPr>
      <w:tabs>
        <w:tab w:val="center" w:pos="4680"/>
        <w:tab w:val="right" w:pos="9360"/>
      </w:tabs>
    </w:pPr>
  </w:style>
  <w:style w:type="character" w:customStyle="1" w:styleId="HeaderChar">
    <w:name w:val="Header Char"/>
    <w:basedOn w:val="DefaultParagraphFont"/>
    <w:link w:val="Header"/>
    <w:uiPriority w:val="99"/>
    <w:rsid w:val="002113D4"/>
  </w:style>
  <w:style w:type="paragraph" w:styleId="Footer">
    <w:name w:val="footer"/>
    <w:basedOn w:val="Normal"/>
    <w:link w:val="FooterChar"/>
    <w:uiPriority w:val="99"/>
    <w:unhideWhenUsed/>
    <w:rsid w:val="002113D4"/>
    <w:pPr>
      <w:tabs>
        <w:tab w:val="center" w:pos="4680"/>
        <w:tab w:val="right" w:pos="9360"/>
      </w:tabs>
    </w:pPr>
  </w:style>
  <w:style w:type="character" w:customStyle="1" w:styleId="FooterChar">
    <w:name w:val="Footer Char"/>
    <w:basedOn w:val="DefaultParagraphFont"/>
    <w:link w:val="Footer"/>
    <w:uiPriority w:val="99"/>
    <w:rsid w:val="002113D4"/>
  </w:style>
  <w:style w:type="paragraph" w:styleId="BalloonText">
    <w:name w:val="Balloon Text"/>
    <w:basedOn w:val="Normal"/>
    <w:link w:val="BalloonTextChar"/>
    <w:uiPriority w:val="99"/>
    <w:semiHidden/>
    <w:unhideWhenUsed/>
    <w:rsid w:val="004A4075"/>
    <w:rPr>
      <w:rFonts w:ascii="Calibri" w:hAnsi="Calibri" w:cs="Tahoma"/>
      <w:sz w:val="20"/>
      <w:szCs w:val="16"/>
    </w:rPr>
  </w:style>
  <w:style w:type="character" w:customStyle="1" w:styleId="BalloonTextChar">
    <w:name w:val="Balloon Text Char"/>
    <w:link w:val="BalloonText"/>
    <w:uiPriority w:val="99"/>
    <w:semiHidden/>
    <w:rsid w:val="004A4075"/>
    <w:rPr>
      <w:rFonts w:ascii="Calibri" w:hAnsi="Calibri" w:cs="Tahoma"/>
      <w:szCs w:val="16"/>
    </w:rPr>
  </w:style>
  <w:style w:type="character" w:styleId="FollowedHyperlink">
    <w:name w:val="FollowedHyperlink"/>
    <w:uiPriority w:val="99"/>
    <w:semiHidden/>
    <w:unhideWhenUsed/>
    <w:rsid w:val="00A662B9"/>
    <w:rPr>
      <w:color w:val="800080"/>
      <w:u w:val="single"/>
    </w:rPr>
  </w:style>
  <w:style w:type="paragraph" w:styleId="List4">
    <w:name w:val="List 4"/>
    <w:basedOn w:val="Normal"/>
    <w:rsid w:val="0009408F"/>
    <w:pPr>
      <w:ind w:left="1440" w:hanging="360"/>
    </w:pPr>
    <w:rPr>
      <w:rFonts w:ascii="Times New Roman" w:eastAsia="Times New Roman" w:hAnsi="Times New Roman"/>
      <w:szCs w:val="20"/>
    </w:rPr>
  </w:style>
  <w:style w:type="paragraph" w:customStyle="1" w:styleId="CM88">
    <w:name w:val="CM88"/>
    <w:basedOn w:val="Normal"/>
    <w:next w:val="Normal"/>
    <w:uiPriority w:val="99"/>
    <w:rsid w:val="00D660B8"/>
    <w:pPr>
      <w:widowControl w:val="0"/>
      <w:autoSpaceDE w:val="0"/>
      <w:autoSpaceDN w:val="0"/>
      <w:adjustRightInd w:val="0"/>
    </w:pPr>
    <w:rPr>
      <w:rFonts w:ascii="MKJJO B+ New Century Schlbk" w:eastAsia="Times New Roman" w:hAnsi="MKJJO B+ New Century Schlbk"/>
      <w:szCs w:val="24"/>
    </w:rPr>
  </w:style>
  <w:style w:type="paragraph" w:customStyle="1" w:styleId="WPDefaults">
    <w:name w:val="WP Defaults"/>
    <w:rsid w:val="0028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rPr>
  </w:style>
  <w:style w:type="character" w:styleId="CommentReference">
    <w:name w:val="annotation reference"/>
    <w:uiPriority w:val="99"/>
    <w:semiHidden/>
    <w:unhideWhenUsed/>
    <w:rsid w:val="00B62AB8"/>
    <w:rPr>
      <w:sz w:val="16"/>
      <w:szCs w:val="16"/>
    </w:rPr>
  </w:style>
  <w:style w:type="paragraph" w:styleId="CommentText">
    <w:name w:val="annotation text"/>
    <w:basedOn w:val="Normal"/>
    <w:link w:val="CommentTextChar"/>
    <w:uiPriority w:val="99"/>
    <w:unhideWhenUsed/>
    <w:rsid w:val="00B62AB8"/>
    <w:rPr>
      <w:sz w:val="20"/>
      <w:szCs w:val="20"/>
    </w:rPr>
  </w:style>
  <w:style w:type="character" w:customStyle="1" w:styleId="CommentTextChar">
    <w:name w:val="Comment Text Char"/>
    <w:basedOn w:val="DefaultParagraphFont"/>
    <w:link w:val="CommentText"/>
    <w:uiPriority w:val="99"/>
    <w:rsid w:val="00B62AB8"/>
  </w:style>
  <w:style w:type="paragraph" w:styleId="CommentSubject">
    <w:name w:val="annotation subject"/>
    <w:basedOn w:val="CommentText"/>
    <w:next w:val="CommentText"/>
    <w:link w:val="CommentSubjectChar"/>
    <w:uiPriority w:val="99"/>
    <w:semiHidden/>
    <w:unhideWhenUsed/>
    <w:rsid w:val="00B62AB8"/>
    <w:rPr>
      <w:b/>
      <w:bCs/>
    </w:rPr>
  </w:style>
  <w:style w:type="character" w:customStyle="1" w:styleId="CommentSubjectChar">
    <w:name w:val="Comment Subject Char"/>
    <w:link w:val="CommentSubject"/>
    <w:uiPriority w:val="99"/>
    <w:semiHidden/>
    <w:rsid w:val="00B62AB8"/>
    <w:rPr>
      <w:b/>
      <w:bCs/>
    </w:rPr>
  </w:style>
  <w:style w:type="paragraph" w:styleId="List3">
    <w:name w:val="List 3"/>
    <w:basedOn w:val="Normal"/>
    <w:rsid w:val="00582C2F"/>
    <w:pPr>
      <w:widowControl w:val="0"/>
      <w:ind w:left="1080" w:hanging="360"/>
      <w:contextualSpacing/>
    </w:pPr>
    <w:rPr>
      <w:rFonts w:eastAsia="Times New Roman"/>
      <w:snapToGrid w:val="0"/>
      <w:szCs w:val="20"/>
    </w:rPr>
  </w:style>
  <w:style w:type="paragraph" w:styleId="Revision">
    <w:name w:val="Revision"/>
    <w:hidden/>
    <w:uiPriority w:val="99"/>
    <w:semiHidden/>
    <w:rsid w:val="002150FE"/>
  </w:style>
  <w:style w:type="paragraph" w:styleId="BodyTextIndent2">
    <w:name w:val="Body Text Indent 2"/>
    <w:basedOn w:val="Normal"/>
    <w:link w:val="BodyTextIndent2Char"/>
    <w:rsid w:val="002150FE"/>
    <w:pPr>
      <w:widowControl w:val="0"/>
      <w:ind w:left="2250"/>
      <w:jc w:val="both"/>
    </w:pPr>
    <w:rPr>
      <w:rFonts w:ascii="CG Times" w:eastAsia="Times New Roman" w:hAnsi="CG Times"/>
      <w:snapToGrid w:val="0"/>
      <w:szCs w:val="20"/>
    </w:rPr>
  </w:style>
  <w:style w:type="character" w:customStyle="1" w:styleId="BodyTextIndent2Char">
    <w:name w:val="Body Text Indent 2 Char"/>
    <w:link w:val="BodyTextIndent2"/>
    <w:rsid w:val="002150FE"/>
    <w:rPr>
      <w:rFonts w:ascii="CG Times" w:eastAsia="Times New Roman" w:hAnsi="CG Times"/>
      <w:snapToGrid w:val="0"/>
      <w:sz w:val="24"/>
    </w:rPr>
  </w:style>
  <w:style w:type="paragraph" w:styleId="BodyTextIndent3">
    <w:name w:val="Body Text Indent 3"/>
    <w:basedOn w:val="Normal"/>
    <w:link w:val="BodyTextIndent3Char"/>
    <w:rsid w:val="002150FE"/>
    <w:pPr>
      <w:widowControl w:val="0"/>
      <w:tabs>
        <w:tab w:val="left" w:pos="-1440"/>
      </w:tabs>
      <w:ind w:left="1890" w:hanging="1170"/>
      <w:jc w:val="both"/>
    </w:pPr>
    <w:rPr>
      <w:rFonts w:ascii="CG Times" w:eastAsia="Times New Roman" w:hAnsi="CG Times"/>
      <w:snapToGrid w:val="0"/>
      <w:szCs w:val="20"/>
    </w:rPr>
  </w:style>
  <w:style w:type="character" w:customStyle="1" w:styleId="BodyTextIndent3Char">
    <w:name w:val="Body Text Indent 3 Char"/>
    <w:link w:val="BodyTextIndent3"/>
    <w:rsid w:val="002150FE"/>
    <w:rPr>
      <w:rFonts w:ascii="CG Times" w:eastAsia="Times New Roman" w:hAnsi="CG Times"/>
      <w:snapToGrid w:val="0"/>
      <w:sz w:val="24"/>
    </w:rPr>
  </w:style>
  <w:style w:type="paragraph" w:styleId="BodyText">
    <w:name w:val="Body Text"/>
    <w:basedOn w:val="Normal"/>
    <w:link w:val="BodyTextChar"/>
    <w:rsid w:val="002150FE"/>
    <w:pPr>
      <w:widowControl w:val="0"/>
      <w:jc w:val="both"/>
    </w:pPr>
    <w:rPr>
      <w:rFonts w:eastAsia="Times New Roman" w:cs="Arial"/>
      <w:snapToGrid w:val="0"/>
      <w:szCs w:val="20"/>
    </w:rPr>
  </w:style>
  <w:style w:type="character" w:customStyle="1" w:styleId="BodyTextChar">
    <w:name w:val="Body Text Char"/>
    <w:link w:val="BodyText"/>
    <w:rsid w:val="002150FE"/>
    <w:rPr>
      <w:rFonts w:eastAsia="Times New Roman" w:cs="Arial"/>
      <w:snapToGrid w:val="0"/>
      <w:sz w:val="24"/>
    </w:rPr>
  </w:style>
  <w:style w:type="character" w:styleId="PageNumber">
    <w:name w:val="page number"/>
    <w:rsid w:val="002150FE"/>
  </w:style>
  <w:style w:type="paragraph" w:customStyle="1" w:styleId="Heading11">
    <w:name w:val="Heading 1.1"/>
    <w:basedOn w:val="Header"/>
    <w:rsid w:val="00FC2FC1"/>
    <w:pPr>
      <w:widowControl w:val="0"/>
      <w:tabs>
        <w:tab w:val="clear" w:pos="4680"/>
        <w:tab w:val="clear" w:pos="9360"/>
        <w:tab w:val="center" w:pos="4320"/>
        <w:tab w:val="right" w:pos="8640"/>
      </w:tabs>
    </w:pPr>
    <w:rPr>
      <w:rFonts w:eastAsia="Times New Roman"/>
      <w:b/>
      <w:snapToGrid w:val="0"/>
      <w:sz w:val="40"/>
      <w:szCs w:val="20"/>
    </w:rPr>
  </w:style>
  <w:style w:type="paragraph" w:customStyle="1" w:styleId="Normal1">
    <w:name w:val="Normal1"/>
    <w:basedOn w:val="Normal"/>
    <w:rsid w:val="00775FE2"/>
    <w:pPr>
      <w:spacing w:after="160" w:line="240" w:lineRule="atLeast"/>
    </w:pPr>
    <w:rPr>
      <w:rFonts w:ascii="Calibri" w:eastAsia="Times New Roman" w:hAnsi="Calibri"/>
      <w:sz w:val="22"/>
    </w:rPr>
  </w:style>
  <w:style w:type="character" w:customStyle="1" w:styleId="normalchar1">
    <w:name w:val="normal__char1"/>
    <w:rsid w:val="00775FE2"/>
    <w:rPr>
      <w:rFonts w:ascii="Calibri" w:hAnsi="Calibri" w:hint="default"/>
      <w:sz w:val="22"/>
      <w:szCs w:val="22"/>
    </w:rPr>
  </w:style>
  <w:style w:type="paragraph" w:customStyle="1" w:styleId="Default">
    <w:name w:val="Default"/>
    <w:rsid w:val="00AB26E3"/>
    <w:pPr>
      <w:autoSpaceDE w:val="0"/>
      <w:autoSpaceDN w:val="0"/>
      <w:adjustRightInd w:val="0"/>
    </w:pPr>
    <w:rPr>
      <w:rFonts w:ascii="AvantGarde" w:hAnsi="AvantGarde" w:cs="AvantGarde"/>
      <w:color w:val="000000"/>
      <w:szCs w:val="24"/>
    </w:rPr>
  </w:style>
  <w:style w:type="paragraph" w:customStyle="1" w:styleId="rfasub-title">
    <w:name w:val="rfasub-title"/>
    <w:basedOn w:val="Normal"/>
    <w:rsid w:val="007E21F1"/>
    <w:pPr>
      <w:spacing w:before="100" w:beforeAutospacing="1" w:after="100" w:afterAutospacing="1"/>
    </w:pPr>
    <w:rPr>
      <w:rFonts w:ascii="Arial Unicode MS" w:eastAsia="Arial Unicode MS" w:hAnsi="Arial Unicode MS" w:cs="Arial Unicode MS"/>
      <w:szCs w:val="24"/>
    </w:rPr>
  </w:style>
  <w:style w:type="character" w:customStyle="1" w:styleId="Heading1Char">
    <w:name w:val="Heading 1 Char"/>
    <w:link w:val="Heading1"/>
    <w:uiPriority w:val="9"/>
    <w:rsid w:val="00792B6C"/>
    <w:rPr>
      <w:rFonts w:eastAsia="Times New Roman" w:cs="Arial"/>
      <w:b/>
      <w:bCs/>
      <w:kern w:val="32"/>
      <w:sz w:val="44"/>
      <w:szCs w:val="44"/>
    </w:rPr>
  </w:style>
  <w:style w:type="paragraph" w:styleId="TOCHeading">
    <w:name w:val="TOC Heading"/>
    <w:basedOn w:val="Heading1"/>
    <w:next w:val="Normal"/>
    <w:uiPriority w:val="39"/>
    <w:unhideWhenUsed/>
    <w:qFormat/>
    <w:rsid w:val="00BF2B9B"/>
    <w:pPr>
      <w:keepLines/>
      <w:spacing w:line="259" w:lineRule="auto"/>
      <w:outlineLvl w:val="9"/>
    </w:pPr>
    <w:rPr>
      <w:b w:val="0"/>
      <w:bCs w:val="0"/>
      <w:color w:val="2E74B5"/>
      <w:kern w:val="0"/>
    </w:rPr>
  </w:style>
  <w:style w:type="paragraph" w:styleId="TOC1">
    <w:name w:val="toc 1"/>
    <w:basedOn w:val="Normal"/>
    <w:next w:val="Normal"/>
    <w:autoRedefine/>
    <w:uiPriority w:val="39"/>
    <w:unhideWhenUsed/>
    <w:rsid w:val="00DC35FD"/>
    <w:pPr>
      <w:tabs>
        <w:tab w:val="right" w:leader="dot" w:pos="10344"/>
      </w:tabs>
    </w:pPr>
  </w:style>
  <w:style w:type="character" w:customStyle="1" w:styleId="Heading2Char">
    <w:name w:val="Heading 2 Char"/>
    <w:link w:val="Heading2"/>
    <w:rsid w:val="00DC35FD"/>
    <w:rPr>
      <w:rFonts w:eastAsia="Times New Roman" w:cs="Arial"/>
      <w:b/>
      <w:bCs/>
      <w:iCs/>
      <w:sz w:val="40"/>
      <w:szCs w:val="40"/>
    </w:rPr>
  </w:style>
  <w:style w:type="paragraph" w:styleId="TOC2">
    <w:name w:val="toc 2"/>
    <w:basedOn w:val="Normal"/>
    <w:next w:val="Normal"/>
    <w:autoRedefine/>
    <w:uiPriority w:val="39"/>
    <w:unhideWhenUsed/>
    <w:rsid w:val="00DC35FD"/>
    <w:pPr>
      <w:tabs>
        <w:tab w:val="right" w:leader="dot" w:pos="10344"/>
      </w:tabs>
      <w:ind w:left="240"/>
    </w:pPr>
  </w:style>
  <w:style w:type="character" w:customStyle="1" w:styleId="Heading3Char">
    <w:name w:val="Heading 3 Char"/>
    <w:basedOn w:val="DefaultParagraphFont"/>
    <w:link w:val="Heading3"/>
    <w:uiPriority w:val="9"/>
    <w:rsid w:val="003E4C84"/>
    <w:rPr>
      <w:b/>
      <w:snapToGrid w:val="0"/>
      <w:sz w:val="36"/>
      <w:szCs w:val="36"/>
    </w:rPr>
  </w:style>
  <w:style w:type="paragraph" w:styleId="BodyTextIndent">
    <w:name w:val="Body Text Indent"/>
    <w:basedOn w:val="Normal"/>
    <w:link w:val="BodyTextIndentChar"/>
    <w:uiPriority w:val="99"/>
    <w:semiHidden/>
    <w:unhideWhenUsed/>
    <w:rsid w:val="00B54C0C"/>
    <w:pPr>
      <w:spacing w:after="120"/>
      <w:ind w:left="360"/>
    </w:pPr>
  </w:style>
  <w:style w:type="character" w:customStyle="1" w:styleId="BodyTextIndentChar">
    <w:name w:val="Body Text Indent Char"/>
    <w:basedOn w:val="DefaultParagraphFont"/>
    <w:link w:val="BodyTextIndent"/>
    <w:uiPriority w:val="99"/>
    <w:semiHidden/>
    <w:rsid w:val="00B54C0C"/>
    <w:rPr>
      <w:sz w:val="24"/>
      <w:szCs w:val="22"/>
    </w:rPr>
  </w:style>
  <w:style w:type="paragraph" w:customStyle="1" w:styleId="RFAsub-title0">
    <w:name w:val="RFA ### sub-title"/>
    <w:basedOn w:val="Normal"/>
    <w:rsid w:val="00B54C0C"/>
    <w:pPr>
      <w:ind w:left="2160"/>
    </w:pPr>
    <w:rPr>
      <w:rFonts w:ascii="Times New Roman" w:hAnsi="Times New Roman"/>
      <w:sz w:val="20"/>
      <w:szCs w:val="20"/>
    </w:rPr>
  </w:style>
  <w:style w:type="character" w:styleId="FootnoteReference">
    <w:name w:val="footnote reference"/>
    <w:uiPriority w:val="99"/>
    <w:semiHidden/>
    <w:rsid w:val="00D15B08"/>
  </w:style>
  <w:style w:type="paragraph" w:styleId="Title">
    <w:name w:val="Title"/>
    <w:basedOn w:val="Heading1"/>
    <w:next w:val="Normal"/>
    <w:link w:val="TitleChar"/>
    <w:uiPriority w:val="10"/>
    <w:qFormat/>
    <w:rsid w:val="00937AC7"/>
    <w:pPr>
      <w:spacing w:before="0"/>
    </w:pPr>
    <w:rPr>
      <w:sz w:val="40"/>
      <w:szCs w:val="40"/>
    </w:rPr>
  </w:style>
  <w:style w:type="character" w:customStyle="1" w:styleId="TitleChar">
    <w:name w:val="Title Char"/>
    <w:basedOn w:val="DefaultParagraphFont"/>
    <w:link w:val="Title"/>
    <w:uiPriority w:val="10"/>
    <w:rsid w:val="00937AC7"/>
    <w:rPr>
      <w:rFonts w:eastAsia="Times New Roman" w:cs="Arial"/>
      <w:b/>
      <w:bCs/>
      <w:kern w:val="32"/>
      <w:sz w:val="40"/>
      <w:szCs w:val="40"/>
    </w:rPr>
  </w:style>
  <w:style w:type="paragraph" w:styleId="Subtitle">
    <w:name w:val="Subtitle"/>
    <w:basedOn w:val="Normal"/>
    <w:next w:val="Normal"/>
    <w:link w:val="SubtitleChar"/>
    <w:uiPriority w:val="11"/>
    <w:qFormat/>
    <w:rsid w:val="00937AC7"/>
    <w:pPr>
      <w:autoSpaceDE w:val="0"/>
      <w:autoSpaceDN w:val="0"/>
      <w:adjustRightInd w:val="0"/>
      <w:jc w:val="center"/>
    </w:pPr>
    <w:rPr>
      <w:rFonts w:cs="Arial"/>
      <w:color w:val="000000"/>
      <w:sz w:val="36"/>
      <w:szCs w:val="36"/>
    </w:rPr>
  </w:style>
  <w:style w:type="character" w:customStyle="1" w:styleId="SubtitleChar">
    <w:name w:val="Subtitle Char"/>
    <w:basedOn w:val="DefaultParagraphFont"/>
    <w:link w:val="Subtitle"/>
    <w:uiPriority w:val="11"/>
    <w:rsid w:val="00937AC7"/>
    <w:rPr>
      <w:rFonts w:cs="Arial"/>
      <w:color w:val="000000"/>
      <w:sz w:val="36"/>
      <w:szCs w:val="36"/>
    </w:rPr>
  </w:style>
  <w:style w:type="paragraph" w:customStyle="1" w:styleId="ContactInformation">
    <w:name w:val="Contact Information"/>
    <w:basedOn w:val="Normal"/>
    <w:link w:val="ContactInformationChar"/>
    <w:qFormat/>
    <w:rsid w:val="00937AC7"/>
    <w:pPr>
      <w:jc w:val="center"/>
    </w:pPr>
    <w:rPr>
      <w:rFonts w:cs="Arial"/>
      <w:sz w:val="36"/>
      <w:szCs w:val="36"/>
    </w:rPr>
  </w:style>
  <w:style w:type="character" w:customStyle="1" w:styleId="ContactInformationChar">
    <w:name w:val="Contact Information Char"/>
    <w:basedOn w:val="DefaultParagraphFont"/>
    <w:link w:val="ContactInformation"/>
    <w:rsid w:val="00937AC7"/>
    <w:rPr>
      <w:rFonts w:cs="Arial"/>
      <w:sz w:val="36"/>
      <w:szCs w:val="36"/>
    </w:rPr>
  </w:style>
  <w:style w:type="table" w:styleId="TableGrid">
    <w:name w:val="Table Grid"/>
    <w:basedOn w:val="TableNormal"/>
    <w:uiPriority w:val="59"/>
    <w:rsid w:val="0020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DB3C35"/>
    <w:pPr>
      <w:spacing w:before="150" w:after="150"/>
    </w:pPr>
    <w:rPr>
      <w:rFonts w:ascii="Times New Roman" w:eastAsia="Times New Roman" w:hAnsi="Times New Roman"/>
      <w:szCs w:val="24"/>
    </w:rPr>
  </w:style>
  <w:style w:type="character" w:styleId="Strong">
    <w:name w:val="Strong"/>
    <w:basedOn w:val="DefaultParagraphFont"/>
    <w:uiPriority w:val="22"/>
    <w:qFormat/>
    <w:rsid w:val="008237C0"/>
    <w:rPr>
      <w:rFonts w:ascii="Arial" w:hAnsi="Arial"/>
      <w:b/>
      <w:bCs/>
    </w:rPr>
  </w:style>
  <w:style w:type="paragraph" w:styleId="NoSpacing">
    <w:name w:val="No Spacing"/>
    <w:uiPriority w:val="1"/>
    <w:qFormat/>
    <w:rsid w:val="00DE1CC5"/>
  </w:style>
  <w:style w:type="character" w:customStyle="1" w:styleId="Heading4Char">
    <w:name w:val="Heading 4 Char"/>
    <w:basedOn w:val="DefaultParagraphFont"/>
    <w:link w:val="Heading4"/>
    <w:uiPriority w:val="9"/>
    <w:rsid w:val="001B373C"/>
    <w:rPr>
      <w:rFonts w:eastAsiaTheme="majorEastAsia" w:cstheme="majorBidi"/>
      <w:iCs/>
      <w:sz w:val="28"/>
      <w:szCs w:val="28"/>
    </w:rPr>
  </w:style>
  <w:style w:type="character" w:customStyle="1" w:styleId="Heading5Char">
    <w:name w:val="Heading 5 Char"/>
    <w:basedOn w:val="DefaultParagraphFont"/>
    <w:link w:val="Heading5"/>
    <w:uiPriority w:val="9"/>
    <w:rsid w:val="008A49B6"/>
    <w:rPr>
      <w:rFonts w:eastAsiaTheme="majorEastAsia" w:cstheme="majorBidi"/>
      <w:i/>
      <w:sz w:val="28"/>
    </w:rPr>
  </w:style>
  <w:style w:type="paragraph" w:styleId="Quote">
    <w:name w:val="Quote"/>
    <w:basedOn w:val="Normal"/>
    <w:next w:val="Normal"/>
    <w:link w:val="QuoteChar"/>
    <w:autoRedefine/>
    <w:uiPriority w:val="29"/>
    <w:qFormat/>
    <w:rsid w:val="008237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37C0"/>
    <w:rPr>
      <w:i/>
      <w:iCs/>
      <w:color w:val="404040" w:themeColor="text1" w:themeTint="BF"/>
    </w:rPr>
  </w:style>
  <w:style w:type="paragraph" w:styleId="TOC3">
    <w:name w:val="toc 3"/>
    <w:basedOn w:val="Normal"/>
    <w:next w:val="Normal"/>
    <w:autoRedefine/>
    <w:uiPriority w:val="39"/>
    <w:unhideWhenUsed/>
    <w:rsid w:val="003616B1"/>
    <w:pPr>
      <w:spacing w:after="100"/>
      <w:ind w:left="480"/>
    </w:pPr>
  </w:style>
  <w:style w:type="character" w:customStyle="1" w:styleId="Heading6Char">
    <w:name w:val="Heading 6 Char"/>
    <w:basedOn w:val="DefaultParagraphFont"/>
    <w:link w:val="Heading6"/>
    <w:uiPriority w:val="9"/>
    <w:rsid w:val="00A54076"/>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A262B4"/>
    <w:rPr>
      <w:i/>
      <w:iCs/>
    </w:rPr>
  </w:style>
  <w:style w:type="character" w:styleId="UnresolvedMention">
    <w:name w:val="Unresolved Mention"/>
    <w:basedOn w:val="DefaultParagraphFont"/>
    <w:uiPriority w:val="99"/>
    <w:semiHidden/>
    <w:unhideWhenUsed/>
    <w:rsid w:val="008528F3"/>
    <w:rPr>
      <w:color w:val="605E5C"/>
      <w:shd w:val="clear" w:color="auto" w:fill="E1DFDD"/>
    </w:rPr>
  </w:style>
  <w:style w:type="character" w:customStyle="1" w:styleId="ListParagraphChar">
    <w:name w:val="List Paragraph Char"/>
    <w:aliases w:val="list Char,List1 Char,List11 Char,Step Paragraph Char"/>
    <w:link w:val="ListParagraph"/>
    <w:uiPriority w:val="34"/>
    <w:locked/>
    <w:rsid w:val="00FD70FB"/>
  </w:style>
  <w:style w:type="paragraph" w:styleId="FootnoteText">
    <w:name w:val="footnote text"/>
    <w:basedOn w:val="Normal"/>
    <w:link w:val="FootnoteTextChar"/>
    <w:uiPriority w:val="99"/>
    <w:semiHidden/>
    <w:rsid w:val="00FD70FB"/>
    <w:pPr>
      <w:spacing w:after="24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D70FB"/>
    <w:rPr>
      <w:rFonts w:ascii="Times New Roman" w:hAnsi="Times New Roman"/>
      <w:sz w:val="20"/>
      <w:szCs w:val="20"/>
    </w:rPr>
  </w:style>
  <w:style w:type="character" w:customStyle="1" w:styleId="cf01">
    <w:name w:val="cf01"/>
    <w:basedOn w:val="DefaultParagraphFont"/>
    <w:rsid w:val="00402495"/>
    <w:rPr>
      <w:rFonts w:ascii="Segoe UI" w:hAnsi="Segoe UI" w:cs="Segoe UI" w:hint="default"/>
      <w:sz w:val="18"/>
      <w:szCs w:val="18"/>
    </w:rPr>
  </w:style>
  <w:style w:type="paragraph" w:customStyle="1" w:styleId="pf0">
    <w:name w:val="pf0"/>
    <w:basedOn w:val="Normal"/>
    <w:rsid w:val="00BD6050"/>
    <w:pPr>
      <w:spacing w:before="100" w:beforeAutospacing="1" w:after="100" w:afterAutospacing="1"/>
      <w:ind w:left="72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3183">
      <w:bodyDiv w:val="1"/>
      <w:marLeft w:val="0"/>
      <w:marRight w:val="0"/>
      <w:marTop w:val="0"/>
      <w:marBottom w:val="0"/>
      <w:divBdr>
        <w:top w:val="none" w:sz="0" w:space="0" w:color="auto"/>
        <w:left w:val="none" w:sz="0" w:space="0" w:color="auto"/>
        <w:bottom w:val="none" w:sz="0" w:space="0" w:color="auto"/>
        <w:right w:val="none" w:sz="0" w:space="0" w:color="auto"/>
      </w:divBdr>
    </w:div>
    <w:div w:id="75253547">
      <w:bodyDiv w:val="1"/>
      <w:marLeft w:val="0"/>
      <w:marRight w:val="0"/>
      <w:marTop w:val="0"/>
      <w:marBottom w:val="0"/>
      <w:divBdr>
        <w:top w:val="none" w:sz="0" w:space="0" w:color="auto"/>
        <w:left w:val="none" w:sz="0" w:space="0" w:color="auto"/>
        <w:bottom w:val="none" w:sz="0" w:space="0" w:color="auto"/>
        <w:right w:val="none" w:sz="0" w:space="0" w:color="auto"/>
      </w:divBdr>
    </w:div>
    <w:div w:id="81143599">
      <w:bodyDiv w:val="1"/>
      <w:marLeft w:val="0"/>
      <w:marRight w:val="0"/>
      <w:marTop w:val="0"/>
      <w:marBottom w:val="0"/>
      <w:divBdr>
        <w:top w:val="none" w:sz="0" w:space="0" w:color="auto"/>
        <w:left w:val="none" w:sz="0" w:space="0" w:color="auto"/>
        <w:bottom w:val="none" w:sz="0" w:space="0" w:color="auto"/>
        <w:right w:val="none" w:sz="0" w:space="0" w:color="auto"/>
      </w:divBdr>
    </w:div>
    <w:div w:id="125397046">
      <w:bodyDiv w:val="1"/>
      <w:marLeft w:val="0"/>
      <w:marRight w:val="0"/>
      <w:marTop w:val="0"/>
      <w:marBottom w:val="0"/>
      <w:divBdr>
        <w:top w:val="none" w:sz="0" w:space="0" w:color="auto"/>
        <w:left w:val="none" w:sz="0" w:space="0" w:color="auto"/>
        <w:bottom w:val="none" w:sz="0" w:space="0" w:color="auto"/>
        <w:right w:val="none" w:sz="0" w:space="0" w:color="auto"/>
      </w:divBdr>
      <w:divsChild>
        <w:div w:id="1351486755">
          <w:marLeft w:val="0"/>
          <w:marRight w:val="0"/>
          <w:marTop w:val="0"/>
          <w:marBottom w:val="0"/>
          <w:divBdr>
            <w:top w:val="single" w:sz="2" w:space="0" w:color="D9D9E3"/>
            <w:left w:val="single" w:sz="2" w:space="0" w:color="D9D9E3"/>
            <w:bottom w:val="single" w:sz="2" w:space="0" w:color="D9D9E3"/>
            <w:right w:val="single" w:sz="2" w:space="0" w:color="D9D9E3"/>
          </w:divBdr>
          <w:divsChild>
            <w:div w:id="1144931969">
              <w:marLeft w:val="0"/>
              <w:marRight w:val="0"/>
              <w:marTop w:val="0"/>
              <w:marBottom w:val="0"/>
              <w:divBdr>
                <w:top w:val="single" w:sz="2" w:space="0" w:color="D9D9E3"/>
                <w:left w:val="single" w:sz="2" w:space="0" w:color="D9D9E3"/>
                <w:bottom w:val="single" w:sz="2" w:space="0" w:color="D9D9E3"/>
                <w:right w:val="single" w:sz="2" w:space="0" w:color="D9D9E3"/>
              </w:divBdr>
              <w:divsChild>
                <w:div w:id="1966810633">
                  <w:marLeft w:val="0"/>
                  <w:marRight w:val="0"/>
                  <w:marTop w:val="0"/>
                  <w:marBottom w:val="0"/>
                  <w:divBdr>
                    <w:top w:val="single" w:sz="2" w:space="0" w:color="D9D9E3"/>
                    <w:left w:val="single" w:sz="2" w:space="0" w:color="D9D9E3"/>
                    <w:bottom w:val="single" w:sz="2" w:space="0" w:color="D9D9E3"/>
                    <w:right w:val="single" w:sz="2" w:space="0" w:color="D9D9E3"/>
                  </w:divBdr>
                  <w:divsChild>
                    <w:div w:id="1270965291">
                      <w:marLeft w:val="0"/>
                      <w:marRight w:val="0"/>
                      <w:marTop w:val="0"/>
                      <w:marBottom w:val="0"/>
                      <w:divBdr>
                        <w:top w:val="single" w:sz="2" w:space="0" w:color="D9D9E3"/>
                        <w:left w:val="single" w:sz="2" w:space="0" w:color="D9D9E3"/>
                        <w:bottom w:val="single" w:sz="2" w:space="0" w:color="D9D9E3"/>
                        <w:right w:val="single" w:sz="2" w:space="0" w:color="D9D9E3"/>
                      </w:divBdr>
                      <w:divsChild>
                        <w:div w:id="1490780004">
                          <w:marLeft w:val="0"/>
                          <w:marRight w:val="0"/>
                          <w:marTop w:val="0"/>
                          <w:marBottom w:val="0"/>
                          <w:divBdr>
                            <w:top w:val="single" w:sz="2" w:space="0" w:color="auto"/>
                            <w:left w:val="single" w:sz="2" w:space="0" w:color="auto"/>
                            <w:bottom w:val="single" w:sz="6" w:space="0" w:color="auto"/>
                            <w:right w:val="single" w:sz="2" w:space="0" w:color="auto"/>
                          </w:divBdr>
                          <w:divsChild>
                            <w:div w:id="6313258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752701">
                                  <w:marLeft w:val="0"/>
                                  <w:marRight w:val="0"/>
                                  <w:marTop w:val="0"/>
                                  <w:marBottom w:val="0"/>
                                  <w:divBdr>
                                    <w:top w:val="single" w:sz="2" w:space="0" w:color="D9D9E3"/>
                                    <w:left w:val="single" w:sz="2" w:space="0" w:color="D9D9E3"/>
                                    <w:bottom w:val="single" w:sz="2" w:space="0" w:color="D9D9E3"/>
                                    <w:right w:val="single" w:sz="2" w:space="0" w:color="D9D9E3"/>
                                  </w:divBdr>
                                  <w:divsChild>
                                    <w:div w:id="638654525">
                                      <w:marLeft w:val="0"/>
                                      <w:marRight w:val="0"/>
                                      <w:marTop w:val="0"/>
                                      <w:marBottom w:val="0"/>
                                      <w:divBdr>
                                        <w:top w:val="single" w:sz="2" w:space="0" w:color="D9D9E3"/>
                                        <w:left w:val="single" w:sz="2" w:space="0" w:color="D9D9E3"/>
                                        <w:bottom w:val="single" w:sz="2" w:space="0" w:color="D9D9E3"/>
                                        <w:right w:val="single" w:sz="2" w:space="0" w:color="D9D9E3"/>
                                      </w:divBdr>
                                      <w:divsChild>
                                        <w:div w:id="1179781378">
                                          <w:marLeft w:val="0"/>
                                          <w:marRight w:val="0"/>
                                          <w:marTop w:val="0"/>
                                          <w:marBottom w:val="0"/>
                                          <w:divBdr>
                                            <w:top w:val="single" w:sz="2" w:space="0" w:color="D9D9E3"/>
                                            <w:left w:val="single" w:sz="2" w:space="0" w:color="D9D9E3"/>
                                            <w:bottom w:val="single" w:sz="2" w:space="0" w:color="D9D9E3"/>
                                            <w:right w:val="single" w:sz="2" w:space="0" w:color="D9D9E3"/>
                                          </w:divBdr>
                                          <w:divsChild>
                                            <w:div w:id="2020304435">
                                              <w:marLeft w:val="0"/>
                                              <w:marRight w:val="0"/>
                                              <w:marTop w:val="0"/>
                                              <w:marBottom w:val="0"/>
                                              <w:divBdr>
                                                <w:top w:val="single" w:sz="2" w:space="0" w:color="D9D9E3"/>
                                                <w:left w:val="single" w:sz="2" w:space="0" w:color="D9D9E3"/>
                                                <w:bottom w:val="single" w:sz="2" w:space="0" w:color="D9D9E3"/>
                                                <w:right w:val="single" w:sz="2" w:space="0" w:color="D9D9E3"/>
                                              </w:divBdr>
                                              <w:divsChild>
                                                <w:div w:id="1820655759">
                                                  <w:marLeft w:val="0"/>
                                                  <w:marRight w:val="0"/>
                                                  <w:marTop w:val="0"/>
                                                  <w:marBottom w:val="0"/>
                                                  <w:divBdr>
                                                    <w:top w:val="single" w:sz="2" w:space="0" w:color="D9D9E3"/>
                                                    <w:left w:val="single" w:sz="2" w:space="0" w:color="D9D9E3"/>
                                                    <w:bottom w:val="single" w:sz="2" w:space="0" w:color="D9D9E3"/>
                                                    <w:right w:val="single" w:sz="2" w:space="0" w:color="D9D9E3"/>
                                                  </w:divBdr>
                                                  <w:divsChild>
                                                    <w:div w:id="68336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4275202">
          <w:marLeft w:val="0"/>
          <w:marRight w:val="0"/>
          <w:marTop w:val="0"/>
          <w:marBottom w:val="0"/>
          <w:divBdr>
            <w:top w:val="none" w:sz="0" w:space="0" w:color="auto"/>
            <w:left w:val="none" w:sz="0" w:space="0" w:color="auto"/>
            <w:bottom w:val="none" w:sz="0" w:space="0" w:color="auto"/>
            <w:right w:val="none" w:sz="0" w:space="0" w:color="auto"/>
          </w:divBdr>
        </w:div>
      </w:divsChild>
    </w:div>
    <w:div w:id="134032855">
      <w:bodyDiv w:val="1"/>
      <w:marLeft w:val="0"/>
      <w:marRight w:val="0"/>
      <w:marTop w:val="0"/>
      <w:marBottom w:val="0"/>
      <w:divBdr>
        <w:top w:val="none" w:sz="0" w:space="0" w:color="auto"/>
        <w:left w:val="none" w:sz="0" w:space="0" w:color="auto"/>
        <w:bottom w:val="none" w:sz="0" w:space="0" w:color="auto"/>
        <w:right w:val="none" w:sz="0" w:space="0" w:color="auto"/>
      </w:divBdr>
    </w:div>
    <w:div w:id="155346888">
      <w:bodyDiv w:val="1"/>
      <w:marLeft w:val="0"/>
      <w:marRight w:val="0"/>
      <w:marTop w:val="0"/>
      <w:marBottom w:val="0"/>
      <w:divBdr>
        <w:top w:val="none" w:sz="0" w:space="0" w:color="auto"/>
        <w:left w:val="none" w:sz="0" w:space="0" w:color="auto"/>
        <w:bottom w:val="none" w:sz="0" w:space="0" w:color="auto"/>
        <w:right w:val="none" w:sz="0" w:space="0" w:color="auto"/>
      </w:divBdr>
    </w:div>
    <w:div w:id="198517894">
      <w:bodyDiv w:val="1"/>
      <w:marLeft w:val="0"/>
      <w:marRight w:val="0"/>
      <w:marTop w:val="0"/>
      <w:marBottom w:val="0"/>
      <w:divBdr>
        <w:top w:val="none" w:sz="0" w:space="0" w:color="auto"/>
        <w:left w:val="none" w:sz="0" w:space="0" w:color="auto"/>
        <w:bottom w:val="none" w:sz="0" w:space="0" w:color="auto"/>
        <w:right w:val="none" w:sz="0" w:space="0" w:color="auto"/>
      </w:divBdr>
    </w:div>
    <w:div w:id="228662593">
      <w:bodyDiv w:val="1"/>
      <w:marLeft w:val="0"/>
      <w:marRight w:val="0"/>
      <w:marTop w:val="0"/>
      <w:marBottom w:val="0"/>
      <w:divBdr>
        <w:top w:val="none" w:sz="0" w:space="0" w:color="auto"/>
        <w:left w:val="none" w:sz="0" w:space="0" w:color="auto"/>
        <w:bottom w:val="none" w:sz="0" w:space="0" w:color="auto"/>
        <w:right w:val="none" w:sz="0" w:space="0" w:color="auto"/>
      </w:divBdr>
    </w:div>
    <w:div w:id="257450779">
      <w:bodyDiv w:val="1"/>
      <w:marLeft w:val="0"/>
      <w:marRight w:val="0"/>
      <w:marTop w:val="0"/>
      <w:marBottom w:val="0"/>
      <w:divBdr>
        <w:top w:val="none" w:sz="0" w:space="0" w:color="auto"/>
        <w:left w:val="none" w:sz="0" w:space="0" w:color="auto"/>
        <w:bottom w:val="none" w:sz="0" w:space="0" w:color="auto"/>
        <w:right w:val="none" w:sz="0" w:space="0" w:color="auto"/>
      </w:divBdr>
    </w:div>
    <w:div w:id="260918098">
      <w:bodyDiv w:val="1"/>
      <w:marLeft w:val="0"/>
      <w:marRight w:val="0"/>
      <w:marTop w:val="0"/>
      <w:marBottom w:val="0"/>
      <w:divBdr>
        <w:top w:val="none" w:sz="0" w:space="0" w:color="auto"/>
        <w:left w:val="none" w:sz="0" w:space="0" w:color="auto"/>
        <w:bottom w:val="none" w:sz="0" w:space="0" w:color="auto"/>
        <w:right w:val="none" w:sz="0" w:space="0" w:color="auto"/>
      </w:divBdr>
    </w:div>
    <w:div w:id="463542125">
      <w:bodyDiv w:val="1"/>
      <w:marLeft w:val="0"/>
      <w:marRight w:val="0"/>
      <w:marTop w:val="0"/>
      <w:marBottom w:val="0"/>
      <w:divBdr>
        <w:top w:val="none" w:sz="0" w:space="0" w:color="auto"/>
        <w:left w:val="none" w:sz="0" w:space="0" w:color="auto"/>
        <w:bottom w:val="none" w:sz="0" w:space="0" w:color="auto"/>
        <w:right w:val="none" w:sz="0" w:space="0" w:color="auto"/>
      </w:divBdr>
    </w:div>
    <w:div w:id="498276139">
      <w:bodyDiv w:val="1"/>
      <w:marLeft w:val="1440"/>
      <w:marRight w:val="1440"/>
      <w:marTop w:val="1440"/>
      <w:marBottom w:val="1440"/>
      <w:divBdr>
        <w:top w:val="none" w:sz="0" w:space="0" w:color="auto"/>
        <w:left w:val="none" w:sz="0" w:space="0" w:color="auto"/>
        <w:bottom w:val="none" w:sz="0" w:space="0" w:color="auto"/>
        <w:right w:val="none" w:sz="0" w:space="0" w:color="auto"/>
      </w:divBdr>
    </w:div>
    <w:div w:id="622854428">
      <w:bodyDiv w:val="1"/>
      <w:marLeft w:val="0"/>
      <w:marRight w:val="0"/>
      <w:marTop w:val="0"/>
      <w:marBottom w:val="0"/>
      <w:divBdr>
        <w:top w:val="none" w:sz="0" w:space="0" w:color="auto"/>
        <w:left w:val="none" w:sz="0" w:space="0" w:color="auto"/>
        <w:bottom w:val="none" w:sz="0" w:space="0" w:color="auto"/>
        <w:right w:val="none" w:sz="0" w:space="0" w:color="auto"/>
      </w:divBdr>
    </w:div>
    <w:div w:id="626090032">
      <w:bodyDiv w:val="1"/>
      <w:marLeft w:val="0"/>
      <w:marRight w:val="0"/>
      <w:marTop w:val="0"/>
      <w:marBottom w:val="0"/>
      <w:divBdr>
        <w:top w:val="none" w:sz="0" w:space="0" w:color="auto"/>
        <w:left w:val="none" w:sz="0" w:space="0" w:color="auto"/>
        <w:bottom w:val="none" w:sz="0" w:space="0" w:color="auto"/>
        <w:right w:val="none" w:sz="0" w:space="0" w:color="auto"/>
      </w:divBdr>
      <w:divsChild>
        <w:div w:id="1880776204">
          <w:marLeft w:val="0"/>
          <w:marRight w:val="0"/>
          <w:marTop w:val="0"/>
          <w:marBottom w:val="450"/>
          <w:divBdr>
            <w:top w:val="none" w:sz="0" w:space="0" w:color="auto"/>
            <w:left w:val="none" w:sz="0" w:space="0" w:color="auto"/>
            <w:bottom w:val="none" w:sz="0" w:space="0" w:color="auto"/>
            <w:right w:val="none" w:sz="0" w:space="0" w:color="auto"/>
          </w:divBdr>
          <w:divsChild>
            <w:div w:id="639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5157">
      <w:bodyDiv w:val="1"/>
      <w:marLeft w:val="0"/>
      <w:marRight w:val="0"/>
      <w:marTop w:val="0"/>
      <w:marBottom w:val="0"/>
      <w:divBdr>
        <w:top w:val="none" w:sz="0" w:space="0" w:color="auto"/>
        <w:left w:val="none" w:sz="0" w:space="0" w:color="auto"/>
        <w:bottom w:val="none" w:sz="0" w:space="0" w:color="auto"/>
        <w:right w:val="none" w:sz="0" w:space="0" w:color="auto"/>
      </w:divBdr>
    </w:div>
    <w:div w:id="787118321">
      <w:bodyDiv w:val="1"/>
      <w:marLeft w:val="0"/>
      <w:marRight w:val="0"/>
      <w:marTop w:val="0"/>
      <w:marBottom w:val="0"/>
      <w:divBdr>
        <w:top w:val="none" w:sz="0" w:space="0" w:color="auto"/>
        <w:left w:val="none" w:sz="0" w:space="0" w:color="auto"/>
        <w:bottom w:val="none" w:sz="0" w:space="0" w:color="auto"/>
        <w:right w:val="none" w:sz="0" w:space="0" w:color="auto"/>
      </w:divBdr>
    </w:div>
    <w:div w:id="1067338330">
      <w:bodyDiv w:val="1"/>
      <w:marLeft w:val="0"/>
      <w:marRight w:val="0"/>
      <w:marTop w:val="0"/>
      <w:marBottom w:val="0"/>
      <w:divBdr>
        <w:top w:val="none" w:sz="0" w:space="0" w:color="auto"/>
        <w:left w:val="none" w:sz="0" w:space="0" w:color="auto"/>
        <w:bottom w:val="none" w:sz="0" w:space="0" w:color="auto"/>
        <w:right w:val="none" w:sz="0" w:space="0" w:color="auto"/>
      </w:divBdr>
    </w:div>
    <w:div w:id="1364744070">
      <w:bodyDiv w:val="1"/>
      <w:marLeft w:val="0"/>
      <w:marRight w:val="0"/>
      <w:marTop w:val="0"/>
      <w:marBottom w:val="0"/>
      <w:divBdr>
        <w:top w:val="none" w:sz="0" w:space="0" w:color="auto"/>
        <w:left w:val="none" w:sz="0" w:space="0" w:color="auto"/>
        <w:bottom w:val="none" w:sz="0" w:space="0" w:color="auto"/>
        <w:right w:val="none" w:sz="0" w:space="0" w:color="auto"/>
      </w:divBdr>
    </w:div>
    <w:div w:id="1581283937">
      <w:bodyDiv w:val="1"/>
      <w:marLeft w:val="0"/>
      <w:marRight w:val="0"/>
      <w:marTop w:val="0"/>
      <w:marBottom w:val="0"/>
      <w:divBdr>
        <w:top w:val="none" w:sz="0" w:space="0" w:color="auto"/>
        <w:left w:val="none" w:sz="0" w:space="0" w:color="auto"/>
        <w:bottom w:val="none" w:sz="0" w:space="0" w:color="auto"/>
        <w:right w:val="none" w:sz="0" w:space="0" w:color="auto"/>
      </w:divBdr>
    </w:div>
    <w:div w:id="1691755887">
      <w:bodyDiv w:val="1"/>
      <w:marLeft w:val="0"/>
      <w:marRight w:val="0"/>
      <w:marTop w:val="0"/>
      <w:marBottom w:val="0"/>
      <w:divBdr>
        <w:top w:val="none" w:sz="0" w:space="0" w:color="auto"/>
        <w:left w:val="none" w:sz="0" w:space="0" w:color="auto"/>
        <w:bottom w:val="none" w:sz="0" w:space="0" w:color="auto"/>
        <w:right w:val="none" w:sz="0" w:space="0" w:color="auto"/>
      </w:divBdr>
    </w:div>
    <w:div w:id="1720586493">
      <w:bodyDiv w:val="1"/>
      <w:marLeft w:val="0"/>
      <w:marRight w:val="0"/>
      <w:marTop w:val="0"/>
      <w:marBottom w:val="0"/>
      <w:divBdr>
        <w:top w:val="none" w:sz="0" w:space="0" w:color="auto"/>
        <w:left w:val="none" w:sz="0" w:space="0" w:color="auto"/>
        <w:bottom w:val="none" w:sz="0" w:space="0" w:color="auto"/>
        <w:right w:val="none" w:sz="0" w:space="0" w:color="auto"/>
      </w:divBdr>
    </w:div>
    <w:div w:id="19287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PP@cde.ca.gov" TargetMode="External"/><Relationship Id="rId13" Type="http://schemas.openxmlformats.org/officeDocument/2006/relationships/hyperlink" Target="https://www.dgs.ca.gov/OLS/Resources/Page-Content/Office-of-Legal-Services-Resources-List-Folder/Standard-Contract-Language" TargetMode="External"/><Relationship Id="rId18" Type="http://schemas.openxmlformats.org/officeDocument/2006/relationships/hyperlink" Target="https://www.documents.dgs.ca.gov/dgs/fmc/gs/pd/pd_843.pdf" TargetMode="External"/><Relationship Id="rId26" Type="http://schemas.openxmlformats.org/officeDocument/2006/relationships/hyperlink" Target="http://www.cde.ca.gov/fg/fo/af" TargetMode="External"/><Relationship Id="rId39" Type="http://schemas.openxmlformats.org/officeDocument/2006/relationships/hyperlink" Target="https://www.cde.ca.gov/re/di/ws/webstandards.asp" TargetMode="External"/><Relationship Id="rId3" Type="http://schemas.openxmlformats.org/officeDocument/2006/relationships/styles" Target="styles.xml"/><Relationship Id="rId21" Type="http://schemas.openxmlformats.org/officeDocument/2006/relationships/hyperlink" Target="https://www.dgs.ca.gov/PD/Services/Page-Content/Procurement-Division-Services-List-Folder/Request-a-Target-Area-Contract-Preference" TargetMode="External"/><Relationship Id="rId34" Type="http://schemas.openxmlformats.org/officeDocument/2006/relationships/hyperlink" Target="http://www.cde.ca.gov/re/di/ws/webstandards.asp" TargetMode="External"/><Relationship Id="rId42" Type="http://schemas.openxmlformats.org/officeDocument/2006/relationships/hyperlink" Target="http://www.w3.org/TR/WCAG20/" TargetMode="External"/><Relationship Id="rId7" Type="http://schemas.openxmlformats.org/officeDocument/2006/relationships/endnotes" Target="endnotes.xml"/><Relationship Id="rId12" Type="http://schemas.openxmlformats.org/officeDocument/2006/relationships/hyperlink" Target="https://caleprocure.ca.gov/pages/PublicSearch/supplier-search.aspx" TargetMode="External"/><Relationship Id="rId17" Type="http://schemas.openxmlformats.org/officeDocument/2006/relationships/hyperlink" Target="https://caleprocure.ca.gov/pages/PublicSearch/supplier-search.aspx" TargetMode="External"/><Relationship Id="rId25" Type="http://schemas.openxmlformats.org/officeDocument/2006/relationships/hyperlink" Target="https://caleprocure.ca.gov/pages/Events-BS3/event-search.aspx" TargetMode="External"/><Relationship Id="rId33" Type="http://schemas.openxmlformats.org/officeDocument/2006/relationships/hyperlink" Target="https://www.cde.ca.gov/re/lr/lr/ap/" TargetMode="External"/><Relationship Id="rId38" Type="http://schemas.openxmlformats.org/officeDocument/2006/relationships/hyperlink" Target="https://www.dgs.ca.gov/OLS/Resources/Page-Content/Office-of-Legal-Services-Resources-List-Folder/Standard-Contract-Languag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cuments.dgs.ca.gov/dgs/fmc/gs/pd/gspd05-105.pdf" TargetMode="External"/><Relationship Id="rId20" Type="http://schemas.openxmlformats.org/officeDocument/2006/relationships/hyperlink" Target="https://www.dgs.ca.gov/PD/Resources/Page-Content/Procurement-Division-Resources-List-Folder/How-to-do-business-with-the-state-of-California" TargetMode="External"/><Relationship Id="rId29" Type="http://schemas.openxmlformats.org/officeDocument/2006/relationships/hyperlink" Target="mailto:CONTRACTSOFFICE@cde.ca.gov" TargetMode="External"/><Relationship Id="rId41" Type="http://schemas.openxmlformats.org/officeDocument/2006/relationships/hyperlink" Target="http://nces.ed.gov/pubs2011/20116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uments.dgs.ca.gov/dgs/fmc/gs/pd/gspd05-105.pdf" TargetMode="External"/><Relationship Id="rId24" Type="http://schemas.openxmlformats.org/officeDocument/2006/relationships/hyperlink" Target="mailto:CONTRACTSOFFICE@cde.ca.gov" TargetMode="External"/><Relationship Id="rId32" Type="http://schemas.openxmlformats.org/officeDocument/2006/relationships/hyperlink" Target="http://www.cde.ca.gov/re/di/ws/webstandards.asp" TargetMode="External"/><Relationship Id="rId37" Type="http://schemas.openxmlformats.org/officeDocument/2006/relationships/hyperlink" Target="mailto:CCSPP@cde.ca.gov" TargetMode="External"/><Relationship Id="rId40" Type="http://schemas.openxmlformats.org/officeDocument/2006/relationships/hyperlink" Target="mailto:ISO@cde.ca.go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cuments.dgs.ca.gov/dgs/fmc/pdf/std205.pdf" TargetMode="External"/><Relationship Id="rId23" Type="http://schemas.openxmlformats.org/officeDocument/2006/relationships/hyperlink" Target="https://www.dgs.ca.gov/OLS/Resources/Page-Content/Office-of-Legal-Services-Resources-List-Folder/Standard-Contract-Language" TargetMode="External"/><Relationship Id="rId28" Type="http://schemas.openxmlformats.org/officeDocument/2006/relationships/hyperlink" Target="mailto:JaBrown@cde.ca.gov" TargetMode="External"/><Relationship Id="rId36" Type="http://schemas.openxmlformats.org/officeDocument/2006/relationships/hyperlink" Target="https://drive.google.com/file/d/1Q93dwpo3QpuehVhaxmaJuKqjnHBxqRtm/view?usp=share_link" TargetMode="External"/><Relationship Id="rId10" Type="http://schemas.openxmlformats.org/officeDocument/2006/relationships/hyperlink" Target="mailto:CCSPP@cde.ca.gov" TargetMode="External"/><Relationship Id="rId19" Type="http://schemas.openxmlformats.org/officeDocument/2006/relationships/hyperlink" Target="https://caleprocure.ca.gov/pages/PublicSearch/supplier-search.aspx" TargetMode="External"/><Relationship Id="rId31" Type="http://schemas.openxmlformats.org/officeDocument/2006/relationships/hyperlink" Target="http://www.cde.ca.gov/re/pn/s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s.ca.gov/business-programs/business-entities/information-requests/" TargetMode="External"/><Relationship Id="rId14" Type="http://schemas.openxmlformats.org/officeDocument/2006/relationships/hyperlink" Target="http://www.documents.dgs.ca.gov/dgs/fmc/pdf/std204.pdf" TargetMode="External"/><Relationship Id="rId22" Type="http://schemas.openxmlformats.org/officeDocument/2006/relationships/hyperlink" Target="http://www.documents.dgs.ca.gov/dgs/fmc/pdf/std830.pdf" TargetMode="External"/><Relationship Id="rId27" Type="http://schemas.openxmlformats.org/officeDocument/2006/relationships/hyperlink" Target="http://www.cde.ca.gov/fg/fo/af" TargetMode="External"/><Relationship Id="rId30" Type="http://schemas.openxmlformats.org/officeDocument/2006/relationships/hyperlink" Target="mailto:OLSProtests@dgs.ca.gov" TargetMode="External"/><Relationship Id="rId35" Type="http://schemas.openxmlformats.org/officeDocument/2006/relationships/hyperlink" Target="https://www.cde.ca.gov/fg/fo/r17/ccsppig22rfa.asp" TargetMode="External"/><Relationship Id="rId43" Type="http://schemas.openxmlformats.org/officeDocument/2006/relationships/hyperlink" Target="https://www.cde.ca.gov/re/di/ws/webstandard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eginfo.legislature.ca.gov/faces/billNavClient.xhtml?bill_id=201920200SB820"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s://www.communityschools.org/wp-content/uploads/sites/2/2021/05/CS_fact_sheet_final.pdf" TargetMode="External"/><Relationship Id="rId5" Type="http://schemas.openxmlformats.org/officeDocument/2006/relationships/hyperlink" Target="https://www.cde.ca.gov/be/ag/ag/yr22/agenda202201.asp" TargetMode="External"/><Relationship Id="rId4" Type="http://schemas.openxmlformats.org/officeDocument/2006/relationships/hyperlink" Target="https://leginfo.legislature.ca.gov/faces/codes_displayText.xhtml?lawCode=EDC&amp;division=1.&amp;title=1.&amp;part=6.&amp;chapter=6.&amp;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B606-F717-438F-9B11-4B0A3BD2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28627</Words>
  <Characters>163175</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 CCSPP Formative Evaluation (CA Dept of Education)</dc:title>
  <dc:subject>California Community Schools Partnership Program (CCSPP) Formative Evaluation Request for Proposals (RFP).</dc:subject>
  <dc:creator/>
  <cp:keywords/>
  <dc:description/>
  <cp:lastModifiedBy/>
  <cp:revision>1</cp:revision>
  <dcterms:created xsi:type="dcterms:W3CDTF">2023-12-21T00:49:00Z</dcterms:created>
  <dcterms:modified xsi:type="dcterms:W3CDTF">2023-12-21T01:06:00Z</dcterms:modified>
</cp:coreProperties>
</file>