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945A7" w14:textId="156EF7BC" w:rsidR="00B26C02" w:rsidRPr="00F83B8D" w:rsidRDefault="008B29FC" w:rsidP="00B26C02">
      <w:pPr>
        <w:pStyle w:val="Heading1"/>
        <w:spacing w:before="0" w:after="240"/>
        <w:rPr>
          <w:sz w:val="44"/>
          <w:szCs w:val="44"/>
        </w:rPr>
      </w:pPr>
      <w:bookmarkStart w:id="0" w:name="_Toc3983551"/>
      <w:bookmarkStart w:id="1" w:name="_Toc3998136"/>
      <w:bookmarkStart w:id="2" w:name="_Toc158361579"/>
      <w:bookmarkStart w:id="3" w:name="_Toc274054932"/>
      <w:bookmarkStart w:id="4" w:name="_Toc508894838"/>
      <w:r w:rsidRPr="00F83B8D">
        <w:rPr>
          <w:sz w:val="44"/>
          <w:szCs w:val="44"/>
        </w:rPr>
        <w:t>A</w:t>
      </w:r>
      <w:r w:rsidR="00B54669" w:rsidRPr="00F83B8D">
        <w:rPr>
          <w:sz w:val="44"/>
          <w:szCs w:val="44"/>
        </w:rPr>
        <w:t>merican Indian Education Center</w:t>
      </w:r>
      <w:r w:rsidR="001601B2" w:rsidRPr="00F83B8D">
        <w:rPr>
          <w:sz w:val="44"/>
          <w:szCs w:val="44"/>
        </w:rPr>
        <w:br/>
      </w:r>
      <w:r w:rsidR="00396AE2" w:rsidRPr="00F83B8D">
        <w:rPr>
          <w:sz w:val="44"/>
          <w:szCs w:val="44"/>
        </w:rPr>
        <w:t xml:space="preserve">Tobacco-Use Prevention Education </w:t>
      </w:r>
      <w:r w:rsidRPr="00F83B8D">
        <w:rPr>
          <w:sz w:val="44"/>
          <w:szCs w:val="44"/>
        </w:rPr>
        <w:t>Program</w:t>
      </w:r>
      <w:bookmarkStart w:id="5" w:name="_Toc3983552"/>
      <w:bookmarkStart w:id="6" w:name="_Toc3998137"/>
      <w:bookmarkStart w:id="7" w:name="_Toc155138369"/>
      <w:bookmarkStart w:id="8" w:name="_Toc158361580"/>
      <w:bookmarkEnd w:id="0"/>
      <w:bookmarkEnd w:id="1"/>
      <w:bookmarkEnd w:id="2"/>
      <w:r w:rsidR="006E1E00" w:rsidRPr="00F83B8D">
        <w:rPr>
          <w:sz w:val="44"/>
          <w:szCs w:val="44"/>
        </w:rPr>
        <w:br/>
      </w:r>
      <w:r w:rsidR="00F25FAA" w:rsidRPr="00F83B8D">
        <w:rPr>
          <w:sz w:val="44"/>
          <w:szCs w:val="44"/>
        </w:rPr>
        <w:t>Request for Applications</w:t>
      </w:r>
      <w:bookmarkEnd w:id="5"/>
      <w:bookmarkEnd w:id="6"/>
      <w:bookmarkEnd w:id="7"/>
      <w:bookmarkEnd w:id="8"/>
    </w:p>
    <w:p w14:paraId="2C7DC561" w14:textId="56BEBFCB" w:rsidR="00F25FAA" w:rsidRPr="00F83B8D" w:rsidRDefault="00F25FAA" w:rsidP="00B26C02">
      <w:pPr>
        <w:spacing w:before="840" w:after="240"/>
        <w:jc w:val="center"/>
        <w:rPr>
          <w:b/>
          <w:bCs w:val="0"/>
          <w:sz w:val="44"/>
          <w:szCs w:val="44"/>
        </w:rPr>
      </w:pPr>
      <w:bookmarkStart w:id="9" w:name="_Toc155138370"/>
      <w:bookmarkStart w:id="10" w:name="_Toc158361581"/>
      <w:r w:rsidRPr="00F83B8D">
        <w:rPr>
          <w:b/>
          <w:bCs w:val="0"/>
          <w:sz w:val="44"/>
          <w:szCs w:val="44"/>
        </w:rPr>
        <w:t>October 1, 2024–September 30, 2029</w:t>
      </w:r>
      <w:bookmarkEnd w:id="9"/>
      <w:bookmarkEnd w:id="10"/>
    </w:p>
    <w:p w14:paraId="1949A418" w14:textId="599D8919" w:rsidR="006C5A39" w:rsidRPr="00F83B8D" w:rsidRDefault="006C5A39" w:rsidP="00C86AA2">
      <w:pPr>
        <w:spacing w:after="360"/>
        <w:jc w:val="center"/>
        <w:rPr>
          <w:sz w:val="32"/>
          <w:szCs w:val="32"/>
        </w:rPr>
      </w:pPr>
      <w:r w:rsidRPr="00F83B8D">
        <w:rPr>
          <w:noProof/>
          <w:sz w:val="28"/>
        </w:rPr>
        <w:drawing>
          <wp:inline distT="0" distB="0" distL="0" distR="0" wp14:anchorId="5C54C519" wp14:editId="2272BA6C">
            <wp:extent cx="1695450" cy="1628775"/>
            <wp:effectExtent l="0" t="0" r="0" b="0"/>
            <wp:docPr id="1" name="Picture 1" descr="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1628775"/>
                    </a:xfrm>
                    <a:prstGeom prst="rect">
                      <a:avLst/>
                    </a:prstGeom>
                    <a:noFill/>
                    <a:ln>
                      <a:noFill/>
                    </a:ln>
                  </pic:spPr>
                </pic:pic>
              </a:graphicData>
            </a:graphic>
          </wp:inline>
        </w:drawing>
      </w:r>
    </w:p>
    <w:p w14:paraId="07C0DAEE" w14:textId="2C664C07" w:rsidR="002C3943" w:rsidRPr="00F83B8D" w:rsidRDefault="00E2083D" w:rsidP="00CD6242">
      <w:pPr>
        <w:jc w:val="center"/>
        <w:rPr>
          <w:sz w:val="36"/>
          <w:szCs w:val="36"/>
        </w:rPr>
      </w:pPr>
      <w:r w:rsidRPr="00F83B8D">
        <w:rPr>
          <w:sz w:val="36"/>
          <w:szCs w:val="36"/>
        </w:rPr>
        <w:t>Student Achievement and Support Division</w:t>
      </w:r>
    </w:p>
    <w:p w14:paraId="7501C3C7" w14:textId="77777777" w:rsidR="00225334" w:rsidRPr="00F83B8D" w:rsidRDefault="00225334" w:rsidP="00CD6242">
      <w:pPr>
        <w:jc w:val="center"/>
        <w:rPr>
          <w:sz w:val="36"/>
          <w:szCs w:val="36"/>
        </w:rPr>
      </w:pPr>
      <w:bookmarkStart w:id="11" w:name="_Toc508894841"/>
      <w:bookmarkEnd w:id="3"/>
      <w:bookmarkEnd w:id="4"/>
      <w:r w:rsidRPr="00F83B8D">
        <w:rPr>
          <w:sz w:val="36"/>
          <w:szCs w:val="36"/>
        </w:rPr>
        <w:t>California Department of Education</w:t>
      </w:r>
      <w:bookmarkEnd w:id="11"/>
    </w:p>
    <w:p w14:paraId="5FC0AB11" w14:textId="77777777" w:rsidR="00225334" w:rsidRPr="00F83B8D" w:rsidRDefault="00225334" w:rsidP="00CD6242">
      <w:pPr>
        <w:jc w:val="center"/>
        <w:rPr>
          <w:sz w:val="36"/>
          <w:szCs w:val="36"/>
        </w:rPr>
      </w:pPr>
      <w:bookmarkStart w:id="12" w:name="_Toc274054933"/>
      <w:bookmarkStart w:id="13" w:name="_Toc508894842"/>
      <w:r w:rsidRPr="00F83B8D">
        <w:rPr>
          <w:sz w:val="36"/>
          <w:szCs w:val="36"/>
        </w:rPr>
        <w:t>1430 N Street, Suite 6</w:t>
      </w:r>
      <w:bookmarkEnd w:id="12"/>
      <w:bookmarkEnd w:id="13"/>
      <w:r w:rsidR="00A3567B" w:rsidRPr="00F83B8D">
        <w:rPr>
          <w:sz w:val="36"/>
          <w:szCs w:val="36"/>
        </w:rPr>
        <w:t>208</w:t>
      </w:r>
    </w:p>
    <w:p w14:paraId="7D6F9C17" w14:textId="77777777" w:rsidR="00225334" w:rsidRPr="00F83B8D" w:rsidRDefault="00225334" w:rsidP="00CD6242">
      <w:pPr>
        <w:spacing w:after="240"/>
        <w:jc w:val="center"/>
        <w:rPr>
          <w:sz w:val="36"/>
          <w:szCs w:val="36"/>
        </w:rPr>
      </w:pPr>
      <w:bookmarkStart w:id="14" w:name="_Toc274054934"/>
      <w:bookmarkStart w:id="15" w:name="_Toc508894843"/>
      <w:r w:rsidRPr="00F83B8D">
        <w:rPr>
          <w:sz w:val="36"/>
          <w:szCs w:val="36"/>
        </w:rPr>
        <w:t>Sacramento, CA 95814-5901</w:t>
      </w:r>
      <w:bookmarkEnd w:id="14"/>
      <w:bookmarkEnd w:id="15"/>
    </w:p>
    <w:p w14:paraId="21A27C5F" w14:textId="2AF8A99A" w:rsidR="002C3943" w:rsidRPr="00F83B8D" w:rsidRDefault="00CD6242" w:rsidP="00CD6242">
      <w:pPr>
        <w:spacing w:after="240"/>
        <w:jc w:val="center"/>
        <w:rPr>
          <w:sz w:val="36"/>
          <w:szCs w:val="36"/>
        </w:rPr>
      </w:pPr>
      <w:bookmarkStart w:id="16" w:name="_Toc508894845"/>
      <w:r w:rsidRPr="00F83B8D">
        <w:rPr>
          <w:sz w:val="36"/>
          <w:szCs w:val="36"/>
        </w:rPr>
        <w:t>Applications Due</w:t>
      </w:r>
      <w:r w:rsidR="002C3943" w:rsidRPr="00F83B8D">
        <w:rPr>
          <w:sz w:val="36"/>
          <w:szCs w:val="36"/>
        </w:rPr>
        <w:t>:</w:t>
      </w:r>
      <w:bookmarkEnd w:id="16"/>
    </w:p>
    <w:p w14:paraId="718A1277" w14:textId="0C8F780C" w:rsidR="002C3943" w:rsidRPr="00F83B8D" w:rsidRDefault="002C3943" w:rsidP="00CD6242">
      <w:pPr>
        <w:jc w:val="center"/>
        <w:rPr>
          <w:sz w:val="36"/>
          <w:szCs w:val="36"/>
        </w:rPr>
      </w:pPr>
      <w:bookmarkStart w:id="17" w:name="_Toc508894846"/>
      <w:r w:rsidRPr="00F83B8D">
        <w:rPr>
          <w:sz w:val="36"/>
          <w:szCs w:val="36"/>
        </w:rPr>
        <w:t>4 p.m.</w:t>
      </w:r>
      <w:bookmarkEnd w:id="17"/>
    </w:p>
    <w:p w14:paraId="58F343C8" w14:textId="225EC972" w:rsidR="002C6968" w:rsidRPr="00F83B8D" w:rsidRDefault="00020475" w:rsidP="00CD6242">
      <w:pPr>
        <w:jc w:val="center"/>
        <w:rPr>
          <w:sz w:val="36"/>
          <w:szCs w:val="36"/>
        </w:rPr>
      </w:pPr>
      <w:bookmarkStart w:id="18" w:name="_Toc508894847"/>
      <w:r>
        <w:rPr>
          <w:sz w:val="36"/>
          <w:szCs w:val="36"/>
        </w:rPr>
        <w:t>Tuesday</w:t>
      </w:r>
      <w:r w:rsidR="002C3943" w:rsidRPr="00F83B8D">
        <w:rPr>
          <w:sz w:val="36"/>
          <w:szCs w:val="36"/>
        </w:rPr>
        <w:t>,</w:t>
      </w:r>
      <w:r>
        <w:rPr>
          <w:sz w:val="36"/>
          <w:szCs w:val="36"/>
        </w:rPr>
        <w:t xml:space="preserve"> September 10,</w:t>
      </w:r>
      <w:r w:rsidR="002C3943" w:rsidRPr="00F83B8D">
        <w:rPr>
          <w:sz w:val="36"/>
          <w:szCs w:val="36"/>
        </w:rPr>
        <w:t xml:space="preserve"> 2024</w:t>
      </w:r>
      <w:bookmarkEnd w:id="18"/>
    </w:p>
    <w:p w14:paraId="653BD73C" w14:textId="77777777" w:rsidR="002C6968" w:rsidRPr="00F83B8D" w:rsidRDefault="002C6968">
      <w:pPr>
        <w:rPr>
          <w:sz w:val="36"/>
          <w:szCs w:val="36"/>
        </w:rPr>
      </w:pPr>
      <w:r w:rsidRPr="00F83B8D">
        <w:rPr>
          <w:sz w:val="36"/>
          <w:szCs w:val="36"/>
        </w:rPr>
        <w:br w:type="page"/>
      </w:r>
    </w:p>
    <w:bookmarkStart w:id="19" w:name="_Hlk156981725" w:displacedByCustomXml="next"/>
    <w:sdt>
      <w:sdtPr>
        <w:rPr>
          <w:rFonts w:ascii="Arial" w:eastAsia="Times New Roman" w:hAnsi="Arial" w:cs="Arial"/>
          <w:bCs/>
          <w:color w:val="auto"/>
          <w:sz w:val="24"/>
          <w:szCs w:val="20"/>
        </w:rPr>
        <w:id w:val="-1588612241"/>
        <w:docPartObj>
          <w:docPartGallery w:val="Table of Contents"/>
          <w:docPartUnique/>
        </w:docPartObj>
      </w:sdtPr>
      <w:sdtEndPr>
        <w:rPr>
          <w:b/>
          <w:noProof/>
        </w:rPr>
      </w:sdtEndPr>
      <w:sdtContent>
        <w:p w14:paraId="79CAE793" w14:textId="7EAC15A9" w:rsidR="00941708" w:rsidRPr="00F83B8D" w:rsidRDefault="00941708" w:rsidP="002C6968">
          <w:pPr>
            <w:pStyle w:val="TOCHeading"/>
            <w:spacing w:before="360" w:after="240"/>
            <w:rPr>
              <w:rFonts w:ascii="Arial" w:eastAsia="Times New Roman" w:hAnsi="Arial" w:cs="Arial"/>
              <w:bCs/>
              <w:color w:val="auto"/>
              <w:sz w:val="24"/>
              <w:szCs w:val="20"/>
            </w:rPr>
          </w:pPr>
          <w:r w:rsidRPr="00F83B8D">
            <w:rPr>
              <w:rFonts w:ascii="Arial" w:hAnsi="Arial" w:cs="Arial"/>
              <w:b/>
              <w:color w:val="auto"/>
              <w:sz w:val="32"/>
            </w:rPr>
            <w:t>Table of Contents</w:t>
          </w:r>
        </w:p>
        <w:p w14:paraId="0275AEEE" w14:textId="50007A71" w:rsidR="00476243" w:rsidRPr="00F83B8D" w:rsidRDefault="006E6BE0">
          <w:pPr>
            <w:pStyle w:val="TOC1"/>
            <w:rPr>
              <w:rFonts w:eastAsiaTheme="minorEastAsia"/>
              <w:b w:val="0"/>
              <w:bCs w:val="0"/>
              <w:noProof/>
              <w:kern w:val="2"/>
              <w:szCs w:val="24"/>
              <w14:ligatures w14:val="standardContextual"/>
            </w:rPr>
          </w:pPr>
          <w:r w:rsidRPr="00F83B8D">
            <w:fldChar w:fldCharType="begin"/>
          </w:r>
          <w:r w:rsidRPr="00F83B8D">
            <w:instrText xml:space="preserve"> TOC \o "1-3" \h \z \u </w:instrText>
          </w:r>
          <w:r w:rsidRPr="00F83B8D">
            <w:fldChar w:fldCharType="separate"/>
          </w:r>
          <w:hyperlink w:anchor="_Toc158361579" w:history="1">
            <w:r w:rsidR="00476243" w:rsidRPr="00F83B8D">
              <w:rPr>
                <w:rStyle w:val="Hyperlink"/>
                <w:noProof/>
              </w:rPr>
              <w:t>American Indian Education Center Tobacco-Use Prevention Education Program</w:t>
            </w:r>
            <w:r w:rsidR="00476243" w:rsidRPr="00F83B8D">
              <w:rPr>
                <w:noProof/>
                <w:webHidden/>
              </w:rPr>
              <w:tab/>
            </w:r>
            <w:r w:rsidR="00476243" w:rsidRPr="00F83B8D">
              <w:rPr>
                <w:noProof/>
                <w:webHidden/>
              </w:rPr>
              <w:fldChar w:fldCharType="begin"/>
            </w:r>
            <w:r w:rsidR="00476243" w:rsidRPr="00F83B8D">
              <w:rPr>
                <w:noProof/>
                <w:webHidden/>
              </w:rPr>
              <w:instrText xml:space="preserve"> PAGEREF _Toc158361579 \h </w:instrText>
            </w:r>
            <w:r w:rsidR="00476243" w:rsidRPr="00F83B8D">
              <w:rPr>
                <w:noProof/>
                <w:webHidden/>
              </w:rPr>
            </w:r>
            <w:r w:rsidR="00476243" w:rsidRPr="00F83B8D">
              <w:rPr>
                <w:noProof/>
                <w:webHidden/>
              </w:rPr>
              <w:fldChar w:fldCharType="separate"/>
            </w:r>
            <w:r w:rsidR="002C6968" w:rsidRPr="00F83B8D">
              <w:rPr>
                <w:noProof/>
                <w:webHidden/>
              </w:rPr>
              <w:t>i</w:t>
            </w:r>
            <w:r w:rsidR="00476243" w:rsidRPr="00F83B8D">
              <w:rPr>
                <w:noProof/>
                <w:webHidden/>
              </w:rPr>
              <w:fldChar w:fldCharType="end"/>
            </w:r>
          </w:hyperlink>
        </w:p>
        <w:p w14:paraId="77C4986E" w14:textId="5786B4B5" w:rsidR="00476243" w:rsidRPr="00F83B8D" w:rsidRDefault="00000000">
          <w:pPr>
            <w:pStyle w:val="TOC1"/>
            <w:rPr>
              <w:rFonts w:eastAsiaTheme="minorEastAsia"/>
              <w:b w:val="0"/>
              <w:bCs w:val="0"/>
              <w:noProof/>
              <w:kern w:val="2"/>
              <w:szCs w:val="24"/>
              <w14:ligatures w14:val="standardContextual"/>
            </w:rPr>
          </w:pPr>
          <w:hyperlink w:anchor="_Toc158361580" w:history="1">
            <w:r w:rsidR="00476243" w:rsidRPr="00F83B8D">
              <w:rPr>
                <w:rStyle w:val="Hyperlink"/>
                <w:noProof/>
              </w:rPr>
              <w:t>Request for Applications</w:t>
            </w:r>
            <w:r w:rsidR="00476243" w:rsidRPr="00F83B8D">
              <w:rPr>
                <w:noProof/>
                <w:webHidden/>
              </w:rPr>
              <w:tab/>
            </w:r>
            <w:r w:rsidR="00476243" w:rsidRPr="00F83B8D">
              <w:rPr>
                <w:noProof/>
                <w:webHidden/>
              </w:rPr>
              <w:fldChar w:fldCharType="begin"/>
            </w:r>
            <w:r w:rsidR="00476243" w:rsidRPr="00F83B8D">
              <w:rPr>
                <w:noProof/>
                <w:webHidden/>
              </w:rPr>
              <w:instrText xml:space="preserve"> PAGEREF _Toc158361580 \h </w:instrText>
            </w:r>
            <w:r w:rsidR="00476243" w:rsidRPr="00F83B8D">
              <w:rPr>
                <w:noProof/>
                <w:webHidden/>
              </w:rPr>
            </w:r>
            <w:r w:rsidR="00476243" w:rsidRPr="00F83B8D">
              <w:rPr>
                <w:noProof/>
                <w:webHidden/>
              </w:rPr>
              <w:fldChar w:fldCharType="separate"/>
            </w:r>
            <w:r w:rsidR="002C6968" w:rsidRPr="00F83B8D">
              <w:rPr>
                <w:noProof/>
                <w:webHidden/>
              </w:rPr>
              <w:t>i</w:t>
            </w:r>
            <w:r w:rsidR="00476243" w:rsidRPr="00F83B8D">
              <w:rPr>
                <w:noProof/>
                <w:webHidden/>
              </w:rPr>
              <w:fldChar w:fldCharType="end"/>
            </w:r>
          </w:hyperlink>
        </w:p>
        <w:p w14:paraId="68F5CCD4" w14:textId="553EE309" w:rsidR="00476243" w:rsidRPr="00F83B8D" w:rsidRDefault="00000000">
          <w:pPr>
            <w:pStyle w:val="TOC2"/>
            <w:rPr>
              <w:rFonts w:eastAsiaTheme="minorEastAsia"/>
              <w:b w:val="0"/>
              <w:bCs w:val="0"/>
              <w:kern w:val="2"/>
              <w:szCs w:val="24"/>
              <w14:ligatures w14:val="standardContextual"/>
            </w:rPr>
          </w:pPr>
          <w:hyperlink w:anchor="_Toc158361582" w:history="1">
            <w:r w:rsidR="00476243" w:rsidRPr="00F83B8D">
              <w:rPr>
                <w:rStyle w:val="Hyperlink"/>
              </w:rPr>
              <w:t>I.</w:t>
            </w:r>
            <w:r w:rsidR="00476243" w:rsidRPr="00F83B8D">
              <w:rPr>
                <w:rFonts w:eastAsiaTheme="minorEastAsia"/>
                <w:b w:val="0"/>
                <w:bCs w:val="0"/>
                <w:kern w:val="2"/>
                <w:szCs w:val="24"/>
                <w14:ligatures w14:val="standardContextual"/>
              </w:rPr>
              <w:tab/>
            </w:r>
            <w:r w:rsidR="00476243" w:rsidRPr="00F83B8D">
              <w:rPr>
                <w:rStyle w:val="Hyperlink"/>
              </w:rPr>
              <w:t>INTRODUCTION</w:t>
            </w:r>
            <w:r w:rsidR="00476243" w:rsidRPr="00F83B8D">
              <w:rPr>
                <w:webHidden/>
              </w:rPr>
              <w:tab/>
            </w:r>
            <w:r w:rsidR="00476243" w:rsidRPr="00F83B8D">
              <w:rPr>
                <w:webHidden/>
              </w:rPr>
              <w:fldChar w:fldCharType="begin"/>
            </w:r>
            <w:r w:rsidR="00476243" w:rsidRPr="00F83B8D">
              <w:rPr>
                <w:webHidden/>
              </w:rPr>
              <w:instrText xml:space="preserve"> PAGEREF _Toc158361582 \h </w:instrText>
            </w:r>
            <w:r w:rsidR="00476243" w:rsidRPr="00F83B8D">
              <w:rPr>
                <w:webHidden/>
              </w:rPr>
            </w:r>
            <w:r w:rsidR="00476243" w:rsidRPr="00F83B8D">
              <w:rPr>
                <w:webHidden/>
              </w:rPr>
              <w:fldChar w:fldCharType="separate"/>
            </w:r>
            <w:r w:rsidR="002C6968" w:rsidRPr="00F83B8D">
              <w:rPr>
                <w:webHidden/>
              </w:rPr>
              <w:t>1</w:t>
            </w:r>
            <w:r w:rsidR="00476243" w:rsidRPr="00F83B8D">
              <w:rPr>
                <w:webHidden/>
              </w:rPr>
              <w:fldChar w:fldCharType="end"/>
            </w:r>
          </w:hyperlink>
        </w:p>
        <w:p w14:paraId="38BFC39F" w14:textId="7BB59B7D" w:rsidR="00476243" w:rsidRPr="00F83B8D" w:rsidRDefault="00000000">
          <w:pPr>
            <w:pStyle w:val="TOC3"/>
            <w:rPr>
              <w:rFonts w:eastAsiaTheme="minorEastAsia"/>
              <w:bCs w:val="0"/>
              <w:kern w:val="2"/>
              <w:szCs w:val="24"/>
              <w14:ligatures w14:val="standardContextual"/>
            </w:rPr>
          </w:pPr>
          <w:hyperlink w:anchor="_Toc158361583" w:history="1">
            <w:r w:rsidR="00476243" w:rsidRPr="00F83B8D">
              <w:rPr>
                <w:rStyle w:val="Hyperlink"/>
              </w:rPr>
              <w:t>A.</w:t>
            </w:r>
            <w:r w:rsidR="00476243" w:rsidRPr="00F83B8D">
              <w:rPr>
                <w:rFonts w:eastAsiaTheme="minorEastAsia"/>
                <w:bCs w:val="0"/>
                <w:kern w:val="2"/>
                <w:szCs w:val="24"/>
                <w14:ligatures w14:val="standardContextual"/>
              </w:rPr>
              <w:tab/>
            </w:r>
            <w:r w:rsidR="00476243" w:rsidRPr="00F83B8D">
              <w:rPr>
                <w:rStyle w:val="Hyperlink"/>
              </w:rPr>
              <w:t>Purpose</w:t>
            </w:r>
            <w:r w:rsidR="00476243" w:rsidRPr="00F83B8D">
              <w:rPr>
                <w:webHidden/>
              </w:rPr>
              <w:tab/>
            </w:r>
            <w:r w:rsidR="00476243" w:rsidRPr="00F83B8D">
              <w:rPr>
                <w:webHidden/>
              </w:rPr>
              <w:fldChar w:fldCharType="begin"/>
            </w:r>
            <w:r w:rsidR="00476243" w:rsidRPr="00F83B8D">
              <w:rPr>
                <w:webHidden/>
              </w:rPr>
              <w:instrText xml:space="preserve"> PAGEREF _Toc158361583 \h </w:instrText>
            </w:r>
            <w:r w:rsidR="00476243" w:rsidRPr="00F83B8D">
              <w:rPr>
                <w:webHidden/>
              </w:rPr>
            </w:r>
            <w:r w:rsidR="00476243" w:rsidRPr="00F83B8D">
              <w:rPr>
                <w:webHidden/>
              </w:rPr>
              <w:fldChar w:fldCharType="separate"/>
            </w:r>
            <w:r w:rsidR="002C6968" w:rsidRPr="00F83B8D">
              <w:rPr>
                <w:webHidden/>
              </w:rPr>
              <w:t>1</w:t>
            </w:r>
            <w:r w:rsidR="00476243" w:rsidRPr="00F83B8D">
              <w:rPr>
                <w:webHidden/>
              </w:rPr>
              <w:fldChar w:fldCharType="end"/>
            </w:r>
          </w:hyperlink>
        </w:p>
        <w:p w14:paraId="2FC0861A" w14:textId="5FF4C953" w:rsidR="00476243" w:rsidRPr="00F83B8D" w:rsidRDefault="00000000">
          <w:pPr>
            <w:pStyle w:val="TOC3"/>
            <w:rPr>
              <w:rFonts w:eastAsiaTheme="minorEastAsia"/>
              <w:bCs w:val="0"/>
              <w:kern w:val="2"/>
              <w:szCs w:val="24"/>
              <w14:ligatures w14:val="standardContextual"/>
            </w:rPr>
          </w:pPr>
          <w:hyperlink w:anchor="_Toc158361584" w:history="1">
            <w:r w:rsidR="00476243" w:rsidRPr="00F83B8D">
              <w:rPr>
                <w:rStyle w:val="Hyperlink"/>
              </w:rPr>
              <w:t>B.</w:t>
            </w:r>
            <w:r w:rsidR="00476243" w:rsidRPr="00F83B8D">
              <w:rPr>
                <w:rFonts w:eastAsiaTheme="minorEastAsia"/>
                <w:bCs w:val="0"/>
                <w:kern w:val="2"/>
                <w:szCs w:val="24"/>
                <w14:ligatures w14:val="standardContextual"/>
              </w:rPr>
              <w:tab/>
            </w:r>
            <w:r w:rsidR="00476243" w:rsidRPr="00F83B8D">
              <w:rPr>
                <w:rStyle w:val="Hyperlink"/>
              </w:rPr>
              <w:t>Background</w:t>
            </w:r>
            <w:r w:rsidR="00476243" w:rsidRPr="00F83B8D">
              <w:rPr>
                <w:webHidden/>
              </w:rPr>
              <w:tab/>
            </w:r>
            <w:r w:rsidR="00476243" w:rsidRPr="00F83B8D">
              <w:rPr>
                <w:webHidden/>
              </w:rPr>
              <w:fldChar w:fldCharType="begin"/>
            </w:r>
            <w:r w:rsidR="00476243" w:rsidRPr="00F83B8D">
              <w:rPr>
                <w:webHidden/>
              </w:rPr>
              <w:instrText xml:space="preserve"> PAGEREF _Toc158361584 \h </w:instrText>
            </w:r>
            <w:r w:rsidR="00476243" w:rsidRPr="00F83B8D">
              <w:rPr>
                <w:webHidden/>
              </w:rPr>
            </w:r>
            <w:r w:rsidR="00476243" w:rsidRPr="00F83B8D">
              <w:rPr>
                <w:webHidden/>
              </w:rPr>
              <w:fldChar w:fldCharType="separate"/>
            </w:r>
            <w:r w:rsidR="002C6968" w:rsidRPr="00F83B8D">
              <w:rPr>
                <w:webHidden/>
              </w:rPr>
              <w:t>1</w:t>
            </w:r>
            <w:r w:rsidR="00476243" w:rsidRPr="00F83B8D">
              <w:rPr>
                <w:webHidden/>
              </w:rPr>
              <w:fldChar w:fldCharType="end"/>
            </w:r>
          </w:hyperlink>
        </w:p>
        <w:p w14:paraId="07E55709" w14:textId="4F00CAE5" w:rsidR="00476243" w:rsidRPr="00F83B8D" w:rsidRDefault="00000000">
          <w:pPr>
            <w:pStyle w:val="TOC3"/>
            <w:rPr>
              <w:rFonts w:eastAsiaTheme="minorEastAsia"/>
              <w:bCs w:val="0"/>
              <w:kern w:val="2"/>
              <w:szCs w:val="24"/>
              <w14:ligatures w14:val="standardContextual"/>
            </w:rPr>
          </w:pPr>
          <w:hyperlink w:anchor="_Toc158361585" w:history="1">
            <w:r w:rsidR="00476243" w:rsidRPr="00F83B8D">
              <w:rPr>
                <w:rStyle w:val="Hyperlink"/>
              </w:rPr>
              <w:t>C.</w:t>
            </w:r>
            <w:r w:rsidR="00476243" w:rsidRPr="00F83B8D">
              <w:rPr>
                <w:rFonts w:eastAsiaTheme="minorEastAsia"/>
                <w:bCs w:val="0"/>
                <w:kern w:val="2"/>
                <w:szCs w:val="24"/>
                <w14:ligatures w14:val="standardContextual"/>
              </w:rPr>
              <w:tab/>
            </w:r>
            <w:r w:rsidR="00476243" w:rsidRPr="00F83B8D">
              <w:rPr>
                <w:rStyle w:val="Hyperlink"/>
              </w:rPr>
              <w:t>Eligibility Requirements</w:t>
            </w:r>
            <w:r w:rsidR="00476243" w:rsidRPr="00F83B8D">
              <w:rPr>
                <w:webHidden/>
              </w:rPr>
              <w:tab/>
            </w:r>
            <w:r w:rsidR="00476243" w:rsidRPr="00F83B8D">
              <w:rPr>
                <w:webHidden/>
              </w:rPr>
              <w:fldChar w:fldCharType="begin"/>
            </w:r>
            <w:r w:rsidR="00476243" w:rsidRPr="00F83B8D">
              <w:rPr>
                <w:webHidden/>
              </w:rPr>
              <w:instrText xml:space="preserve"> PAGEREF _Toc158361585 \h </w:instrText>
            </w:r>
            <w:r w:rsidR="00476243" w:rsidRPr="00F83B8D">
              <w:rPr>
                <w:webHidden/>
              </w:rPr>
            </w:r>
            <w:r w:rsidR="00476243" w:rsidRPr="00F83B8D">
              <w:rPr>
                <w:webHidden/>
              </w:rPr>
              <w:fldChar w:fldCharType="separate"/>
            </w:r>
            <w:r w:rsidR="002C6968" w:rsidRPr="00F83B8D">
              <w:rPr>
                <w:webHidden/>
              </w:rPr>
              <w:t>5</w:t>
            </w:r>
            <w:r w:rsidR="00476243" w:rsidRPr="00F83B8D">
              <w:rPr>
                <w:webHidden/>
              </w:rPr>
              <w:fldChar w:fldCharType="end"/>
            </w:r>
          </w:hyperlink>
        </w:p>
        <w:p w14:paraId="0448A19B" w14:textId="21088D33" w:rsidR="00476243" w:rsidRPr="00F83B8D" w:rsidRDefault="00000000">
          <w:pPr>
            <w:pStyle w:val="TOC3"/>
            <w:rPr>
              <w:rFonts w:eastAsiaTheme="minorEastAsia"/>
              <w:bCs w:val="0"/>
              <w:kern w:val="2"/>
              <w:szCs w:val="24"/>
              <w14:ligatures w14:val="standardContextual"/>
            </w:rPr>
          </w:pPr>
          <w:hyperlink w:anchor="_Toc158361586" w:history="1">
            <w:r w:rsidR="00476243" w:rsidRPr="00F83B8D">
              <w:rPr>
                <w:rStyle w:val="Hyperlink"/>
              </w:rPr>
              <w:t>D.</w:t>
            </w:r>
            <w:r w:rsidR="00476243" w:rsidRPr="00F83B8D">
              <w:rPr>
                <w:rFonts w:eastAsiaTheme="minorEastAsia"/>
                <w:bCs w:val="0"/>
                <w:kern w:val="2"/>
                <w:szCs w:val="24"/>
                <w14:ligatures w14:val="standardContextual"/>
              </w:rPr>
              <w:tab/>
            </w:r>
            <w:r w:rsidR="00476243" w:rsidRPr="00F83B8D">
              <w:rPr>
                <w:rStyle w:val="Hyperlink"/>
              </w:rPr>
              <w:t>Grant Award Amounts</w:t>
            </w:r>
            <w:r w:rsidR="00476243" w:rsidRPr="00F83B8D">
              <w:rPr>
                <w:webHidden/>
              </w:rPr>
              <w:tab/>
            </w:r>
            <w:r w:rsidR="00476243" w:rsidRPr="00F83B8D">
              <w:rPr>
                <w:webHidden/>
              </w:rPr>
              <w:fldChar w:fldCharType="begin"/>
            </w:r>
            <w:r w:rsidR="00476243" w:rsidRPr="00F83B8D">
              <w:rPr>
                <w:webHidden/>
              </w:rPr>
              <w:instrText xml:space="preserve"> PAGEREF _Toc158361586 \h </w:instrText>
            </w:r>
            <w:r w:rsidR="00476243" w:rsidRPr="00F83B8D">
              <w:rPr>
                <w:webHidden/>
              </w:rPr>
            </w:r>
            <w:r w:rsidR="00476243" w:rsidRPr="00F83B8D">
              <w:rPr>
                <w:webHidden/>
              </w:rPr>
              <w:fldChar w:fldCharType="separate"/>
            </w:r>
            <w:r w:rsidR="002C6968" w:rsidRPr="00F83B8D">
              <w:rPr>
                <w:webHidden/>
              </w:rPr>
              <w:t>5</w:t>
            </w:r>
            <w:r w:rsidR="00476243" w:rsidRPr="00F83B8D">
              <w:rPr>
                <w:webHidden/>
              </w:rPr>
              <w:fldChar w:fldCharType="end"/>
            </w:r>
          </w:hyperlink>
        </w:p>
        <w:p w14:paraId="716C66A9" w14:textId="58EDC6F6" w:rsidR="00476243" w:rsidRPr="00F83B8D" w:rsidRDefault="00000000">
          <w:pPr>
            <w:pStyle w:val="TOC3"/>
            <w:rPr>
              <w:rFonts w:eastAsiaTheme="minorEastAsia"/>
              <w:bCs w:val="0"/>
              <w:kern w:val="2"/>
              <w:szCs w:val="24"/>
              <w14:ligatures w14:val="standardContextual"/>
            </w:rPr>
          </w:pPr>
          <w:hyperlink w:anchor="_Toc158361587" w:history="1">
            <w:r w:rsidR="00476243" w:rsidRPr="00F83B8D">
              <w:rPr>
                <w:rStyle w:val="Hyperlink"/>
              </w:rPr>
              <w:t>E.</w:t>
            </w:r>
            <w:r w:rsidR="00476243" w:rsidRPr="00F83B8D">
              <w:rPr>
                <w:rFonts w:eastAsiaTheme="minorEastAsia"/>
                <w:bCs w:val="0"/>
                <w:kern w:val="2"/>
                <w:szCs w:val="24"/>
                <w14:ligatures w14:val="standardContextual"/>
              </w:rPr>
              <w:tab/>
            </w:r>
            <w:r w:rsidR="00476243" w:rsidRPr="00F83B8D">
              <w:rPr>
                <w:rStyle w:val="Hyperlink"/>
              </w:rPr>
              <w:t>Grant Funding Period</w:t>
            </w:r>
            <w:r w:rsidR="00476243" w:rsidRPr="00F83B8D">
              <w:rPr>
                <w:webHidden/>
              </w:rPr>
              <w:tab/>
            </w:r>
            <w:r w:rsidR="00476243" w:rsidRPr="00F83B8D">
              <w:rPr>
                <w:webHidden/>
              </w:rPr>
              <w:fldChar w:fldCharType="begin"/>
            </w:r>
            <w:r w:rsidR="00476243" w:rsidRPr="00F83B8D">
              <w:rPr>
                <w:webHidden/>
              </w:rPr>
              <w:instrText xml:space="preserve"> PAGEREF _Toc158361587 \h </w:instrText>
            </w:r>
            <w:r w:rsidR="00476243" w:rsidRPr="00F83B8D">
              <w:rPr>
                <w:webHidden/>
              </w:rPr>
            </w:r>
            <w:r w:rsidR="00476243" w:rsidRPr="00F83B8D">
              <w:rPr>
                <w:webHidden/>
              </w:rPr>
              <w:fldChar w:fldCharType="separate"/>
            </w:r>
            <w:r w:rsidR="002C6968" w:rsidRPr="00F83B8D">
              <w:rPr>
                <w:webHidden/>
              </w:rPr>
              <w:t>6</w:t>
            </w:r>
            <w:r w:rsidR="00476243" w:rsidRPr="00F83B8D">
              <w:rPr>
                <w:webHidden/>
              </w:rPr>
              <w:fldChar w:fldCharType="end"/>
            </w:r>
          </w:hyperlink>
        </w:p>
        <w:p w14:paraId="66AB59CD" w14:textId="39DFF52D" w:rsidR="00476243" w:rsidRPr="00F83B8D" w:rsidRDefault="00000000">
          <w:pPr>
            <w:pStyle w:val="TOC3"/>
            <w:rPr>
              <w:rFonts w:eastAsiaTheme="minorEastAsia"/>
              <w:bCs w:val="0"/>
              <w:kern w:val="2"/>
              <w:szCs w:val="24"/>
              <w14:ligatures w14:val="standardContextual"/>
            </w:rPr>
          </w:pPr>
          <w:hyperlink w:anchor="_Toc158361588" w:history="1">
            <w:r w:rsidR="00476243" w:rsidRPr="00F83B8D">
              <w:rPr>
                <w:rStyle w:val="Hyperlink"/>
              </w:rPr>
              <w:t>F.</w:t>
            </w:r>
            <w:r w:rsidR="00476243" w:rsidRPr="00F83B8D">
              <w:rPr>
                <w:rFonts w:eastAsiaTheme="minorEastAsia"/>
                <w:bCs w:val="0"/>
                <w:kern w:val="2"/>
                <w:szCs w:val="24"/>
                <w14:ligatures w14:val="standardContextual"/>
              </w:rPr>
              <w:tab/>
            </w:r>
            <w:r w:rsidR="00476243" w:rsidRPr="00F83B8D">
              <w:rPr>
                <w:rStyle w:val="Hyperlink"/>
              </w:rPr>
              <w:t>Good Standing</w:t>
            </w:r>
            <w:r w:rsidR="00476243" w:rsidRPr="00F83B8D">
              <w:rPr>
                <w:webHidden/>
              </w:rPr>
              <w:tab/>
            </w:r>
            <w:r w:rsidR="00476243" w:rsidRPr="00F83B8D">
              <w:rPr>
                <w:webHidden/>
              </w:rPr>
              <w:fldChar w:fldCharType="begin"/>
            </w:r>
            <w:r w:rsidR="00476243" w:rsidRPr="00F83B8D">
              <w:rPr>
                <w:webHidden/>
              </w:rPr>
              <w:instrText xml:space="preserve"> PAGEREF _Toc158361588 \h </w:instrText>
            </w:r>
            <w:r w:rsidR="00476243" w:rsidRPr="00F83B8D">
              <w:rPr>
                <w:webHidden/>
              </w:rPr>
            </w:r>
            <w:r w:rsidR="00476243" w:rsidRPr="00F83B8D">
              <w:rPr>
                <w:webHidden/>
              </w:rPr>
              <w:fldChar w:fldCharType="separate"/>
            </w:r>
            <w:r w:rsidR="002C6968" w:rsidRPr="00F83B8D">
              <w:rPr>
                <w:webHidden/>
              </w:rPr>
              <w:t>6</w:t>
            </w:r>
            <w:r w:rsidR="00476243" w:rsidRPr="00F83B8D">
              <w:rPr>
                <w:webHidden/>
              </w:rPr>
              <w:fldChar w:fldCharType="end"/>
            </w:r>
          </w:hyperlink>
        </w:p>
        <w:p w14:paraId="56A109C7" w14:textId="1397CDC3" w:rsidR="00476243" w:rsidRPr="00F83B8D" w:rsidRDefault="00000000">
          <w:pPr>
            <w:pStyle w:val="TOC3"/>
            <w:rPr>
              <w:rFonts w:eastAsiaTheme="minorEastAsia"/>
              <w:bCs w:val="0"/>
              <w:kern w:val="2"/>
              <w:szCs w:val="24"/>
              <w14:ligatures w14:val="standardContextual"/>
            </w:rPr>
          </w:pPr>
          <w:hyperlink w:anchor="_Toc158361589" w:history="1">
            <w:r w:rsidR="00476243" w:rsidRPr="00F83B8D">
              <w:rPr>
                <w:rStyle w:val="Hyperlink"/>
              </w:rPr>
              <w:t>G.</w:t>
            </w:r>
            <w:r w:rsidR="00476243" w:rsidRPr="00F83B8D">
              <w:rPr>
                <w:rFonts w:eastAsiaTheme="minorEastAsia"/>
                <w:bCs w:val="0"/>
                <w:kern w:val="2"/>
                <w:szCs w:val="24"/>
                <w14:ligatures w14:val="standardContextual"/>
              </w:rPr>
              <w:tab/>
            </w:r>
            <w:r w:rsidR="00476243" w:rsidRPr="00F83B8D">
              <w:rPr>
                <w:rStyle w:val="Hyperlink"/>
              </w:rPr>
              <w:t>Application Review Process</w:t>
            </w:r>
            <w:r w:rsidR="00476243" w:rsidRPr="00F83B8D">
              <w:rPr>
                <w:webHidden/>
              </w:rPr>
              <w:tab/>
            </w:r>
            <w:r w:rsidR="00476243" w:rsidRPr="00F83B8D">
              <w:rPr>
                <w:webHidden/>
              </w:rPr>
              <w:fldChar w:fldCharType="begin"/>
            </w:r>
            <w:r w:rsidR="00476243" w:rsidRPr="00F83B8D">
              <w:rPr>
                <w:webHidden/>
              </w:rPr>
              <w:instrText xml:space="preserve"> PAGEREF _Toc158361589 \h </w:instrText>
            </w:r>
            <w:r w:rsidR="00476243" w:rsidRPr="00F83B8D">
              <w:rPr>
                <w:webHidden/>
              </w:rPr>
            </w:r>
            <w:r w:rsidR="00476243" w:rsidRPr="00F83B8D">
              <w:rPr>
                <w:webHidden/>
              </w:rPr>
              <w:fldChar w:fldCharType="separate"/>
            </w:r>
            <w:r w:rsidR="002C6968" w:rsidRPr="00F83B8D">
              <w:rPr>
                <w:webHidden/>
              </w:rPr>
              <w:t>6</w:t>
            </w:r>
            <w:r w:rsidR="00476243" w:rsidRPr="00F83B8D">
              <w:rPr>
                <w:webHidden/>
              </w:rPr>
              <w:fldChar w:fldCharType="end"/>
            </w:r>
          </w:hyperlink>
        </w:p>
        <w:p w14:paraId="7B00FE3E" w14:textId="44B003E1" w:rsidR="00476243" w:rsidRPr="00F83B8D" w:rsidRDefault="00000000">
          <w:pPr>
            <w:pStyle w:val="TOC3"/>
            <w:rPr>
              <w:rFonts w:eastAsiaTheme="minorEastAsia"/>
              <w:bCs w:val="0"/>
              <w:kern w:val="2"/>
              <w:szCs w:val="24"/>
              <w14:ligatures w14:val="standardContextual"/>
            </w:rPr>
          </w:pPr>
          <w:hyperlink w:anchor="_Toc158361590" w:history="1">
            <w:r w:rsidR="00476243" w:rsidRPr="00F83B8D">
              <w:rPr>
                <w:rStyle w:val="Hyperlink"/>
              </w:rPr>
              <w:t>H.</w:t>
            </w:r>
            <w:r w:rsidR="00476243" w:rsidRPr="00F83B8D">
              <w:rPr>
                <w:rFonts w:eastAsiaTheme="minorEastAsia"/>
                <w:bCs w:val="0"/>
                <w:kern w:val="2"/>
                <w:szCs w:val="24"/>
                <w14:ligatures w14:val="standardContextual"/>
              </w:rPr>
              <w:tab/>
            </w:r>
            <w:r w:rsidR="00476243" w:rsidRPr="00F83B8D">
              <w:rPr>
                <w:rStyle w:val="Hyperlink"/>
              </w:rPr>
              <w:t>Appeals</w:t>
            </w:r>
            <w:r w:rsidR="00476243" w:rsidRPr="00F83B8D">
              <w:rPr>
                <w:webHidden/>
              </w:rPr>
              <w:tab/>
            </w:r>
            <w:r w:rsidR="00476243" w:rsidRPr="00F83B8D">
              <w:rPr>
                <w:webHidden/>
              </w:rPr>
              <w:fldChar w:fldCharType="begin"/>
            </w:r>
            <w:r w:rsidR="00476243" w:rsidRPr="00F83B8D">
              <w:rPr>
                <w:webHidden/>
              </w:rPr>
              <w:instrText xml:space="preserve"> PAGEREF _Toc158361590 \h </w:instrText>
            </w:r>
            <w:r w:rsidR="00476243" w:rsidRPr="00F83B8D">
              <w:rPr>
                <w:webHidden/>
              </w:rPr>
            </w:r>
            <w:r w:rsidR="00476243" w:rsidRPr="00F83B8D">
              <w:rPr>
                <w:webHidden/>
              </w:rPr>
              <w:fldChar w:fldCharType="separate"/>
            </w:r>
            <w:r w:rsidR="002C6968" w:rsidRPr="00F83B8D">
              <w:rPr>
                <w:webHidden/>
              </w:rPr>
              <w:t>7</w:t>
            </w:r>
            <w:r w:rsidR="00476243" w:rsidRPr="00F83B8D">
              <w:rPr>
                <w:webHidden/>
              </w:rPr>
              <w:fldChar w:fldCharType="end"/>
            </w:r>
          </w:hyperlink>
        </w:p>
        <w:p w14:paraId="70268064" w14:textId="31CAC2D3" w:rsidR="00476243" w:rsidRPr="00F83B8D" w:rsidRDefault="00000000">
          <w:pPr>
            <w:pStyle w:val="TOC3"/>
            <w:rPr>
              <w:rFonts w:eastAsiaTheme="minorEastAsia"/>
              <w:bCs w:val="0"/>
              <w:kern w:val="2"/>
              <w:szCs w:val="24"/>
              <w14:ligatures w14:val="standardContextual"/>
            </w:rPr>
          </w:pPr>
          <w:hyperlink w:anchor="_Toc158361591" w:history="1">
            <w:r w:rsidR="00476243" w:rsidRPr="00F83B8D">
              <w:rPr>
                <w:rStyle w:val="Hyperlink"/>
              </w:rPr>
              <w:t>I.</w:t>
            </w:r>
            <w:r w:rsidR="00476243" w:rsidRPr="00F83B8D">
              <w:rPr>
                <w:rFonts w:eastAsiaTheme="minorEastAsia"/>
                <w:bCs w:val="0"/>
                <w:kern w:val="2"/>
                <w:szCs w:val="24"/>
                <w14:ligatures w14:val="standardContextual"/>
              </w:rPr>
              <w:tab/>
            </w:r>
            <w:r w:rsidR="00476243" w:rsidRPr="00F83B8D">
              <w:rPr>
                <w:rStyle w:val="Hyperlink"/>
              </w:rPr>
              <w:t>Grant Funding Procedures</w:t>
            </w:r>
            <w:r w:rsidR="00476243" w:rsidRPr="00F83B8D">
              <w:rPr>
                <w:webHidden/>
              </w:rPr>
              <w:tab/>
            </w:r>
            <w:r w:rsidR="00476243" w:rsidRPr="00F83B8D">
              <w:rPr>
                <w:webHidden/>
              </w:rPr>
              <w:fldChar w:fldCharType="begin"/>
            </w:r>
            <w:r w:rsidR="00476243" w:rsidRPr="00F83B8D">
              <w:rPr>
                <w:webHidden/>
              </w:rPr>
              <w:instrText xml:space="preserve"> PAGEREF _Toc158361591 \h </w:instrText>
            </w:r>
            <w:r w:rsidR="00476243" w:rsidRPr="00F83B8D">
              <w:rPr>
                <w:webHidden/>
              </w:rPr>
            </w:r>
            <w:r w:rsidR="00476243" w:rsidRPr="00F83B8D">
              <w:rPr>
                <w:webHidden/>
              </w:rPr>
              <w:fldChar w:fldCharType="separate"/>
            </w:r>
            <w:r w:rsidR="002C6968" w:rsidRPr="00F83B8D">
              <w:rPr>
                <w:webHidden/>
              </w:rPr>
              <w:t>7</w:t>
            </w:r>
            <w:r w:rsidR="00476243" w:rsidRPr="00F83B8D">
              <w:rPr>
                <w:webHidden/>
              </w:rPr>
              <w:fldChar w:fldCharType="end"/>
            </w:r>
          </w:hyperlink>
        </w:p>
        <w:p w14:paraId="10185D83" w14:textId="7B3BAF10" w:rsidR="00476243" w:rsidRPr="00F83B8D" w:rsidRDefault="00000000">
          <w:pPr>
            <w:pStyle w:val="TOC3"/>
            <w:rPr>
              <w:rFonts w:eastAsiaTheme="minorEastAsia"/>
              <w:bCs w:val="0"/>
              <w:kern w:val="2"/>
              <w:szCs w:val="24"/>
              <w14:ligatures w14:val="standardContextual"/>
            </w:rPr>
          </w:pPr>
          <w:hyperlink w:anchor="_Toc158361592" w:history="1">
            <w:r w:rsidR="00476243" w:rsidRPr="00F83B8D">
              <w:rPr>
                <w:rStyle w:val="Hyperlink"/>
              </w:rPr>
              <w:t>J.</w:t>
            </w:r>
            <w:r w:rsidR="00476243" w:rsidRPr="00F83B8D">
              <w:rPr>
                <w:rFonts w:eastAsiaTheme="minorEastAsia"/>
                <w:bCs w:val="0"/>
                <w:kern w:val="2"/>
                <w:szCs w:val="24"/>
                <w14:ligatures w14:val="standardContextual"/>
              </w:rPr>
              <w:tab/>
            </w:r>
            <w:r w:rsidR="00476243" w:rsidRPr="00F83B8D">
              <w:rPr>
                <w:rStyle w:val="Hyperlink"/>
              </w:rPr>
              <w:t>Formatting Requirements</w:t>
            </w:r>
            <w:r w:rsidR="00476243" w:rsidRPr="00F83B8D">
              <w:rPr>
                <w:webHidden/>
              </w:rPr>
              <w:tab/>
            </w:r>
            <w:r w:rsidR="00476243" w:rsidRPr="00F83B8D">
              <w:rPr>
                <w:webHidden/>
              </w:rPr>
              <w:fldChar w:fldCharType="begin"/>
            </w:r>
            <w:r w:rsidR="00476243" w:rsidRPr="00F83B8D">
              <w:rPr>
                <w:webHidden/>
              </w:rPr>
              <w:instrText xml:space="preserve"> PAGEREF _Toc158361592 \h </w:instrText>
            </w:r>
            <w:r w:rsidR="00476243" w:rsidRPr="00F83B8D">
              <w:rPr>
                <w:webHidden/>
              </w:rPr>
            </w:r>
            <w:r w:rsidR="00476243" w:rsidRPr="00F83B8D">
              <w:rPr>
                <w:webHidden/>
              </w:rPr>
              <w:fldChar w:fldCharType="separate"/>
            </w:r>
            <w:r w:rsidR="002C6968" w:rsidRPr="00F83B8D">
              <w:rPr>
                <w:webHidden/>
              </w:rPr>
              <w:t>8</w:t>
            </w:r>
            <w:r w:rsidR="00476243" w:rsidRPr="00F83B8D">
              <w:rPr>
                <w:webHidden/>
              </w:rPr>
              <w:fldChar w:fldCharType="end"/>
            </w:r>
          </w:hyperlink>
        </w:p>
        <w:p w14:paraId="11C834B2" w14:textId="798F2E1D" w:rsidR="00476243" w:rsidRPr="00F83B8D" w:rsidRDefault="00000000">
          <w:pPr>
            <w:pStyle w:val="TOC3"/>
            <w:rPr>
              <w:rFonts w:eastAsiaTheme="minorEastAsia"/>
              <w:bCs w:val="0"/>
              <w:kern w:val="2"/>
              <w:szCs w:val="24"/>
              <w14:ligatures w14:val="standardContextual"/>
            </w:rPr>
          </w:pPr>
          <w:hyperlink w:anchor="_Toc158361593" w:history="1">
            <w:r w:rsidR="00476243" w:rsidRPr="00F83B8D">
              <w:rPr>
                <w:rStyle w:val="Hyperlink"/>
              </w:rPr>
              <w:t>K.</w:t>
            </w:r>
            <w:r w:rsidR="00476243" w:rsidRPr="00F83B8D">
              <w:rPr>
                <w:rFonts w:eastAsiaTheme="minorEastAsia"/>
                <w:bCs w:val="0"/>
                <w:kern w:val="2"/>
                <w:szCs w:val="24"/>
                <w14:ligatures w14:val="standardContextual"/>
              </w:rPr>
              <w:tab/>
            </w:r>
            <w:r w:rsidR="00476243" w:rsidRPr="00F83B8D">
              <w:rPr>
                <w:rStyle w:val="Hyperlink"/>
              </w:rPr>
              <w:t>Grant Amount Amendments</w:t>
            </w:r>
            <w:r w:rsidR="00476243" w:rsidRPr="00F83B8D">
              <w:rPr>
                <w:webHidden/>
              </w:rPr>
              <w:tab/>
            </w:r>
            <w:r w:rsidR="00476243" w:rsidRPr="00F83B8D">
              <w:rPr>
                <w:webHidden/>
              </w:rPr>
              <w:fldChar w:fldCharType="begin"/>
            </w:r>
            <w:r w:rsidR="00476243" w:rsidRPr="00F83B8D">
              <w:rPr>
                <w:webHidden/>
              </w:rPr>
              <w:instrText xml:space="preserve"> PAGEREF _Toc158361593 \h </w:instrText>
            </w:r>
            <w:r w:rsidR="00476243" w:rsidRPr="00F83B8D">
              <w:rPr>
                <w:webHidden/>
              </w:rPr>
            </w:r>
            <w:r w:rsidR="00476243" w:rsidRPr="00F83B8D">
              <w:rPr>
                <w:webHidden/>
              </w:rPr>
              <w:fldChar w:fldCharType="separate"/>
            </w:r>
            <w:r w:rsidR="002C6968" w:rsidRPr="00F83B8D">
              <w:rPr>
                <w:webHidden/>
              </w:rPr>
              <w:t>9</w:t>
            </w:r>
            <w:r w:rsidR="00476243" w:rsidRPr="00F83B8D">
              <w:rPr>
                <w:webHidden/>
              </w:rPr>
              <w:fldChar w:fldCharType="end"/>
            </w:r>
          </w:hyperlink>
        </w:p>
        <w:p w14:paraId="489A5CCA" w14:textId="346D13E7" w:rsidR="00476243" w:rsidRPr="00F83B8D" w:rsidRDefault="00000000">
          <w:pPr>
            <w:pStyle w:val="TOC3"/>
            <w:rPr>
              <w:rFonts w:eastAsiaTheme="minorEastAsia"/>
              <w:bCs w:val="0"/>
              <w:kern w:val="2"/>
              <w:szCs w:val="24"/>
              <w14:ligatures w14:val="standardContextual"/>
            </w:rPr>
          </w:pPr>
          <w:hyperlink w:anchor="_Toc158361594" w:history="1">
            <w:r w:rsidR="00476243" w:rsidRPr="00F83B8D">
              <w:rPr>
                <w:rStyle w:val="Hyperlink"/>
              </w:rPr>
              <w:t>L.</w:t>
            </w:r>
            <w:r w:rsidR="00476243" w:rsidRPr="00F83B8D">
              <w:rPr>
                <w:rFonts w:eastAsiaTheme="minorEastAsia"/>
                <w:bCs w:val="0"/>
                <w:kern w:val="2"/>
                <w:szCs w:val="24"/>
                <w14:ligatures w14:val="standardContextual"/>
              </w:rPr>
              <w:tab/>
            </w:r>
            <w:r w:rsidR="00476243" w:rsidRPr="00F83B8D">
              <w:rPr>
                <w:rStyle w:val="Hyperlink"/>
              </w:rPr>
              <w:t>Grant Extension</w:t>
            </w:r>
            <w:r w:rsidR="00476243" w:rsidRPr="00F83B8D">
              <w:rPr>
                <w:webHidden/>
              </w:rPr>
              <w:tab/>
            </w:r>
            <w:r w:rsidR="00476243" w:rsidRPr="00F83B8D">
              <w:rPr>
                <w:webHidden/>
              </w:rPr>
              <w:fldChar w:fldCharType="begin"/>
            </w:r>
            <w:r w:rsidR="00476243" w:rsidRPr="00F83B8D">
              <w:rPr>
                <w:webHidden/>
              </w:rPr>
              <w:instrText xml:space="preserve"> PAGEREF _Toc158361594 \h </w:instrText>
            </w:r>
            <w:r w:rsidR="00476243" w:rsidRPr="00F83B8D">
              <w:rPr>
                <w:webHidden/>
              </w:rPr>
            </w:r>
            <w:r w:rsidR="00476243" w:rsidRPr="00F83B8D">
              <w:rPr>
                <w:webHidden/>
              </w:rPr>
              <w:fldChar w:fldCharType="separate"/>
            </w:r>
            <w:r w:rsidR="002C6968" w:rsidRPr="00F83B8D">
              <w:rPr>
                <w:webHidden/>
              </w:rPr>
              <w:t>9</w:t>
            </w:r>
            <w:r w:rsidR="00476243" w:rsidRPr="00F83B8D">
              <w:rPr>
                <w:webHidden/>
              </w:rPr>
              <w:fldChar w:fldCharType="end"/>
            </w:r>
          </w:hyperlink>
        </w:p>
        <w:p w14:paraId="64E6A033" w14:textId="49D43DA6" w:rsidR="00476243" w:rsidRPr="00F83B8D" w:rsidRDefault="00000000">
          <w:pPr>
            <w:pStyle w:val="TOC2"/>
            <w:rPr>
              <w:rFonts w:eastAsiaTheme="minorEastAsia"/>
              <w:b w:val="0"/>
              <w:bCs w:val="0"/>
              <w:kern w:val="2"/>
              <w:szCs w:val="24"/>
              <w14:ligatures w14:val="standardContextual"/>
            </w:rPr>
          </w:pPr>
          <w:hyperlink w:anchor="_Toc158361595" w:history="1">
            <w:r w:rsidR="00476243" w:rsidRPr="00F83B8D">
              <w:rPr>
                <w:rStyle w:val="Hyperlink"/>
              </w:rPr>
              <w:t>II.</w:t>
            </w:r>
            <w:r w:rsidR="00476243" w:rsidRPr="00F83B8D">
              <w:rPr>
                <w:rFonts w:eastAsiaTheme="minorEastAsia"/>
                <w:b w:val="0"/>
                <w:bCs w:val="0"/>
                <w:kern w:val="2"/>
                <w:szCs w:val="24"/>
                <w14:ligatures w14:val="standardContextual"/>
              </w:rPr>
              <w:tab/>
            </w:r>
            <w:r w:rsidR="00476243" w:rsidRPr="00F83B8D">
              <w:rPr>
                <w:rStyle w:val="Hyperlink"/>
              </w:rPr>
              <w:t>APPLICATION INSTRUCTIONS</w:t>
            </w:r>
            <w:r w:rsidR="00476243" w:rsidRPr="00F83B8D">
              <w:rPr>
                <w:webHidden/>
              </w:rPr>
              <w:tab/>
            </w:r>
            <w:r w:rsidR="00476243" w:rsidRPr="00F83B8D">
              <w:rPr>
                <w:webHidden/>
              </w:rPr>
              <w:fldChar w:fldCharType="begin"/>
            </w:r>
            <w:r w:rsidR="00476243" w:rsidRPr="00F83B8D">
              <w:rPr>
                <w:webHidden/>
              </w:rPr>
              <w:instrText xml:space="preserve"> PAGEREF _Toc158361595 \h </w:instrText>
            </w:r>
            <w:r w:rsidR="00476243" w:rsidRPr="00F83B8D">
              <w:rPr>
                <w:webHidden/>
              </w:rPr>
            </w:r>
            <w:r w:rsidR="00476243" w:rsidRPr="00F83B8D">
              <w:rPr>
                <w:webHidden/>
              </w:rPr>
              <w:fldChar w:fldCharType="separate"/>
            </w:r>
            <w:r w:rsidR="002C6968" w:rsidRPr="00F83B8D">
              <w:rPr>
                <w:webHidden/>
              </w:rPr>
              <w:t>10</w:t>
            </w:r>
            <w:r w:rsidR="00476243" w:rsidRPr="00F83B8D">
              <w:rPr>
                <w:webHidden/>
              </w:rPr>
              <w:fldChar w:fldCharType="end"/>
            </w:r>
          </w:hyperlink>
        </w:p>
        <w:p w14:paraId="7E9CB72A" w14:textId="51702C22" w:rsidR="00476243" w:rsidRPr="00F83B8D" w:rsidRDefault="00000000">
          <w:pPr>
            <w:pStyle w:val="TOC3"/>
            <w:rPr>
              <w:rFonts w:eastAsiaTheme="minorEastAsia"/>
              <w:bCs w:val="0"/>
              <w:kern w:val="2"/>
              <w:szCs w:val="24"/>
              <w14:ligatures w14:val="standardContextual"/>
            </w:rPr>
          </w:pPr>
          <w:hyperlink w:anchor="_Toc158361596" w:history="1">
            <w:r w:rsidR="00476243" w:rsidRPr="00F83B8D">
              <w:rPr>
                <w:rStyle w:val="Hyperlink"/>
              </w:rPr>
              <w:t>A.</w:t>
            </w:r>
            <w:r w:rsidR="00476243" w:rsidRPr="00F83B8D">
              <w:rPr>
                <w:rFonts w:eastAsiaTheme="minorEastAsia"/>
                <w:bCs w:val="0"/>
                <w:kern w:val="2"/>
                <w:szCs w:val="24"/>
                <w14:ligatures w14:val="standardContextual"/>
              </w:rPr>
              <w:tab/>
            </w:r>
            <w:r w:rsidR="00476243" w:rsidRPr="00F83B8D">
              <w:rPr>
                <w:rStyle w:val="Hyperlink"/>
              </w:rPr>
              <w:t>Required Assurances</w:t>
            </w:r>
            <w:r w:rsidR="00476243" w:rsidRPr="00F83B8D">
              <w:rPr>
                <w:webHidden/>
              </w:rPr>
              <w:tab/>
            </w:r>
            <w:r w:rsidR="00476243" w:rsidRPr="00F83B8D">
              <w:rPr>
                <w:webHidden/>
              </w:rPr>
              <w:fldChar w:fldCharType="begin"/>
            </w:r>
            <w:r w:rsidR="00476243" w:rsidRPr="00F83B8D">
              <w:rPr>
                <w:webHidden/>
              </w:rPr>
              <w:instrText xml:space="preserve"> PAGEREF _Toc158361596 \h </w:instrText>
            </w:r>
            <w:r w:rsidR="00476243" w:rsidRPr="00F83B8D">
              <w:rPr>
                <w:webHidden/>
              </w:rPr>
            </w:r>
            <w:r w:rsidR="00476243" w:rsidRPr="00F83B8D">
              <w:rPr>
                <w:webHidden/>
              </w:rPr>
              <w:fldChar w:fldCharType="separate"/>
            </w:r>
            <w:r w:rsidR="002C6968" w:rsidRPr="00F83B8D">
              <w:rPr>
                <w:webHidden/>
              </w:rPr>
              <w:t>10</w:t>
            </w:r>
            <w:r w:rsidR="00476243" w:rsidRPr="00F83B8D">
              <w:rPr>
                <w:webHidden/>
              </w:rPr>
              <w:fldChar w:fldCharType="end"/>
            </w:r>
          </w:hyperlink>
        </w:p>
        <w:p w14:paraId="5D2BC303" w14:textId="3A8FAF6D" w:rsidR="00476243" w:rsidRPr="00F83B8D" w:rsidRDefault="00000000">
          <w:pPr>
            <w:pStyle w:val="TOC3"/>
            <w:rPr>
              <w:rFonts w:eastAsiaTheme="minorEastAsia"/>
              <w:bCs w:val="0"/>
              <w:kern w:val="2"/>
              <w:szCs w:val="24"/>
              <w14:ligatures w14:val="standardContextual"/>
            </w:rPr>
          </w:pPr>
          <w:hyperlink w:anchor="_Toc158361597" w:history="1">
            <w:r w:rsidR="00476243" w:rsidRPr="00F83B8D">
              <w:rPr>
                <w:rStyle w:val="Hyperlink"/>
              </w:rPr>
              <w:t>B.</w:t>
            </w:r>
            <w:r w:rsidR="00476243" w:rsidRPr="00F83B8D">
              <w:rPr>
                <w:rFonts w:eastAsiaTheme="minorEastAsia"/>
                <w:bCs w:val="0"/>
                <w:kern w:val="2"/>
                <w:szCs w:val="24"/>
                <w14:ligatures w14:val="standardContextual"/>
              </w:rPr>
              <w:tab/>
            </w:r>
            <w:r w:rsidR="00476243" w:rsidRPr="00F83B8D">
              <w:rPr>
                <w:rStyle w:val="Hyperlink"/>
              </w:rPr>
              <w:t>Commercial Tobacco-Free Certification</w:t>
            </w:r>
            <w:r w:rsidR="00476243" w:rsidRPr="00F83B8D">
              <w:rPr>
                <w:webHidden/>
              </w:rPr>
              <w:tab/>
            </w:r>
            <w:r w:rsidR="00476243" w:rsidRPr="00F83B8D">
              <w:rPr>
                <w:webHidden/>
              </w:rPr>
              <w:fldChar w:fldCharType="begin"/>
            </w:r>
            <w:r w:rsidR="00476243" w:rsidRPr="00F83B8D">
              <w:rPr>
                <w:webHidden/>
              </w:rPr>
              <w:instrText xml:space="preserve"> PAGEREF _Toc158361597 \h </w:instrText>
            </w:r>
            <w:r w:rsidR="00476243" w:rsidRPr="00F83B8D">
              <w:rPr>
                <w:webHidden/>
              </w:rPr>
            </w:r>
            <w:r w:rsidR="00476243" w:rsidRPr="00F83B8D">
              <w:rPr>
                <w:webHidden/>
              </w:rPr>
              <w:fldChar w:fldCharType="separate"/>
            </w:r>
            <w:r w:rsidR="002C6968" w:rsidRPr="00F83B8D">
              <w:rPr>
                <w:webHidden/>
              </w:rPr>
              <w:t>10</w:t>
            </w:r>
            <w:r w:rsidR="00476243" w:rsidRPr="00F83B8D">
              <w:rPr>
                <w:webHidden/>
              </w:rPr>
              <w:fldChar w:fldCharType="end"/>
            </w:r>
          </w:hyperlink>
        </w:p>
        <w:p w14:paraId="72E5348F" w14:textId="3FCA0C95" w:rsidR="00476243" w:rsidRPr="00F83B8D" w:rsidRDefault="00000000">
          <w:pPr>
            <w:pStyle w:val="TOC3"/>
            <w:rPr>
              <w:rFonts w:eastAsiaTheme="minorEastAsia"/>
              <w:bCs w:val="0"/>
              <w:kern w:val="2"/>
              <w:szCs w:val="24"/>
              <w14:ligatures w14:val="standardContextual"/>
            </w:rPr>
          </w:pPr>
          <w:hyperlink w:anchor="_Toc158361598" w:history="1">
            <w:r w:rsidR="00476243" w:rsidRPr="00F83B8D">
              <w:rPr>
                <w:rStyle w:val="Hyperlink"/>
              </w:rPr>
              <w:t>C.</w:t>
            </w:r>
            <w:r w:rsidR="00476243" w:rsidRPr="00F83B8D">
              <w:rPr>
                <w:rFonts w:eastAsiaTheme="minorEastAsia"/>
                <w:bCs w:val="0"/>
                <w:kern w:val="2"/>
                <w:szCs w:val="24"/>
                <w14:ligatures w14:val="standardContextual"/>
              </w:rPr>
              <w:tab/>
            </w:r>
            <w:r w:rsidR="00476243" w:rsidRPr="00F83B8D">
              <w:rPr>
                <w:rStyle w:val="Hyperlink"/>
              </w:rPr>
              <w:t>Required Documents</w:t>
            </w:r>
            <w:r w:rsidR="00476243" w:rsidRPr="00F83B8D">
              <w:rPr>
                <w:webHidden/>
              </w:rPr>
              <w:tab/>
            </w:r>
            <w:r w:rsidR="00476243" w:rsidRPr="00F83B8D">
              <w:rPr>
                <w:webHidden/>
              </w:rPr>
              <w:fldChar w:fldCharType="begin"/>
            </w:r>
            <w:r w:rsidR="00476243" w:rsidRPr="00F83B8D">
              <w:rPr>
                <w:webHidden/>
              </w:rPr>
              <w:instrText xml:space="preserve"> PAGEREF _Toc158361598 \h </w:instrText>
            </w:r>
            <w:r w:rsidR="00476243" w:rsidRPr="00F83B8D">
              <w:rPr>
                <w:webHidden/>
              </w:rPr>
            </w:r>
            <w:r w:rsidR="00476243" w:rsidRPr="00F83B8D">
              <w:rPr>
                <w:webHidden/>
              </w:rPr>
              <w:fldChar w:fldCharType="separate"/>
            </w:r>
            <w:r w:rsidR="002C6968" w:rsidRPr="00F83B8D">
              <w:rPr>
                <w:webHidden/>
              </w:rPr>
              <w:t>11</w:t>
            </w:r>
            <w:r w:rsidR="00476243" w:rsidRPr="00F83B8D">
              <w:rPr>
                <w:webHidden/>
              </w:rPr>
              <w:fldChar w:fldCharType="end"/>
            </w:r>
          </w:hyperlink>
        </w:p>
        <w:p w14:paraId="5E1E566C" w14:textId="061C730D" w:rsidR="00476243" w:rsidRPr="00F83B8D" w:rsidRDefault="00000000">
          <w:pPr>
            <w:pStyle w:val="TOC3"/>
            <w:rPr>
              <w:rFonts w:eastAsiaTheme="minorEastAsia"/>
              <w:bCs w:val="0"/>
              <w:kern w:val="2"/>
              <w:szCs w:val="24"/>
              <w14:ligatures w14:val="standardContextual"/>
            </w:rPr>
          </w:pPr>
          <w:hyperlink w:anchor="_Toc158361599" w:history="1">
            <w:r w:rsidR="00476243" w:rsidRPr="00F83B8D">
              <w:rPr>
                <w:rStyle w:val="Hyperlink"/>
              </w:rPr>
              <w:t>D.</w:t>
            </w:r>
            <w:r w:rsidR="00476243" w:rsidRPr="00F83B8D">
              <w:rPr>
                <w:rFonts w:eastAsiaTheme="minorEastAsia"/>
                <w:bCs w:val="0"/>
                <w:kern w:val="2"/>
                <w:szCs w:val="24"/>
                <w14:ligatures w14:val="standardContextual"/>
              </w:rPr>
              <w:tab/>
            </w:r>
            <w:r w:rsidR="00476243" w:rsidRPr="00F83B8D">
              <w:rPr>
                <w:rStyle w:val="Hyperlink"/>
              </w:rPr>
              <w:t>Tobacco Industry Funding</w:t>
            </w:r>
            <w:r w:rsidR="00476243" w:rsidRPr="00F83B8D">
              <w:rPr>
                <w:webHidden/>
              </w:rPr>
              <w:tab/>
            </w:r>
            <w:r w:rsidR="00476243" w:rsidRPr="00F83B8D">
              <w:rPr>
                <w:webHidden/>
              </w:rPr>
              <w:fldChar w:fldCharType="begin"/>
            </w:r>
            <w:r w:rsidR="00476243" w:rsidRPr="00F83B8D">
              <w:rPr>
                <w:webHidden/>
              </w:rPr>
              <w:instrText xml:space="preserve"> PAGEREF _Toc158361599 \h </w:instrText>
            </w:r>
            <w:r w:rsidR="00476243" w:rsidRPr="00F83B8D">
              <w:rPr>
                <w:webHidden/>
              </w:rPr>
            </w:r>
            <w:r w:rsidR="00476243" w:rsidRPr="00F83B8D">
              <w:rPr>
                <w:webHidden/>
              </w:rPr>
              <w:fldChar w:fldCharType="separate"/>
            </w:r>
            <w:r w:rsidR="002C6968" w:rsidRPr="00F83B8D">
              <w:rPr>
                <w:webHidden/>
              </w:rPr>
              <w:t>11</w:t>
            </w:r>
            <w:r w:rsidR="00476243" w:rsidRPr="00F83B8D">
              <w:rPr>
                <w:webHidden/>
              </w:rPr>
              <w:fldChar w:fldCharType="end"/>
            </w:r>
          </w:hyperlink>
        </w:p>
        <w:p w14:paraId="4CE64C78" w14:textId="75917CE5" w:rsidR="00476243" w:rsidRPr="00F83B8D" w:rsidRDefault="00000000">
          <w:pPr>
            <w:pStyle w:val="TOC3"/>
            <w:rPr>
              <w:rFonts w:eastAsiaTheme="minorEastAsia"/>
              <w:bCs w:val="0"/>
              <w:kern w:val="2"/>
              <w:szCs w:val="24"/>
              <w14:ligatures w14:val="standardContextual"/>
            </w:rPr>
          </w:pPr>
          <w:hyperlink w:anchor="_Toc158361600" w:history="1">
            <w:r w:rsidR="00476243" w:rsidRPr="00F83B8D">
              <w:rPr>
                <w:rStyle w:val="Hyperlink"/>
              </w:rPr>
              <w:t>E.</w:t>
            </w:r>
            <w:r w:rsidR="00476243" w:rsidRPr="00F83B8D">
              <w:rPr>
                <w:rFonts w:eastAsiaTheme="minorEastAsia"/>
                <w:bCs w:val="0"/>
                <w:kern w:val="2"/>
                <w:szCs w:val="24"/>
                <w14:ligatures w14:val="standardContextual"/>
              </w:rPr>
              <w:tab/>
            </w:r>
            <w:r w:rsidR="00476243" w:rsidRPr="00F83B8D">
              <w:rPr>
                <w:rStyle w:val="Hyperlink"/>
              </w:rPr>
              <w:t>Clarification of This Request for Applications</w:t>
            </w:r>
            <w:r w:rsidR="00476243" w:rsidRPr="00F83B8D">
              <w:rPr>
                <w:webHidden/>
              </w:rPr>
              <w:tab/>
            </w:r>
            <w:r w:rsidR="00476243" w:rsidRPr="00F83B8D">
              <w:rPr>
                <w:webHidden/>
              </w:rPr>
              <w:fldChar w:fldCharType="begin"/>
            </w:r>
            <w:r w:rsidR="00476243" w:rsidRPr="00F83B8D">
              <w:rPr>
                <w:webHidden/>
              </w:rPr>
              <w:instrText xml:space="preserve"> PAGEREF _Toc158361600 \h </w:instrText>
            </w:r>
            <w:r w:rsidR="00476243" w:rsidRPr="00F83B8D">
              <w:rPr>
                <w:webHidden/>
              </w:rPr>
            </w:r>
            <w:r w:rsidR="00476243" w:rsidRPr="00F83B8D">
              <w:rPr>
                <w:webHidden/>
              </w:rPr>
              <w:fldChar w:fldCharType="separate"/>
            </w:r>
            <w:r w:rsidR="002C6968" w:rsidRPr="00F83B8D">
              <w:rPr>
                <w:webHidden/>
              </w:rPr>
              <w:t>11</w:t>
            </w:r>
            <w:r w:rsidR="00476243" w:rsidRPr="00F83B8D">
              <w:rPr>
                <w:webHidden/>
              </w:rPr>
              <w:fldChar w:fldCharType="end"/>
            </w:r>
          </w:hyperlink>
        </w:p>
        <w:p w14:paraId="3A106C43" w14:textId="2C549AB7" w:rsidR="00476243" w:rsidRPr="00F83B8D" w:rsidRDefault="00000000">
          <w:pPr>
            <w:pStyle w:val="TOC2"/>
            <w:rPr>
              <w:rFonts w:eastAsiaTheme="minorEastAsia"/>
              <w:b w:val="0"/>
              <w:bCs w:val="0"/>
              <w:kern w:val="2"/>
              <w:szCs w:val="24"/>
              <w14:ligatures w14:val="standardContextual"/>
            </w:rPr>
          </w:pPr>
          <w:hyperlink w:anchor="_Toc158361601" w:history="1">
            <w:r w:rsidR="00476243" w:rsidRPr="00F83B8D">
              <w:rPr>
                <w:rStyle w:val="Hyperlink"/>
              </w:rPr>
              <w:t>III.</w:t>
            </w:r>
            <w:r w:rsidR="00476243" w:rsidRPr="00F83B8D">
              <w:rPr>
                <w:rFonts w:eastAsiaTheme="minorEastAsia"/>
                <w:b w:val="0"/>
                <w:bCs w:val="0"/>
                <w:kern w:val="2"/>
                <w:szCs w:val="24"/>
                <w14:ligatures w14:val="standardContextual"/>
              </w:rPr>
              <w:tab/>
            </w:r>
            <w:r w:rsidR="00476243" w:rsidRPr="00F83B8D">
              <w:rPr>
                <w:rStyle w:val="Hyperlink"/>
              </w:rPr>
              <w:t>DEVELOPING TOBACCO-USE EDUCATION CENTER PROGRAM</w:t>
            </w:r>
            <w:r w:rsidR="00476243" w:rsidRPr="00F83B8D">
              <w:rPr>
                <w:webHidden/>
              </w:rPr>
              <w:tab/>
            </w:r>
            <w:r w:rsidR="00476243" w:rsidRPr="00F83B8D">
              <w:rPr>
                <w:webHidden/>
              </w:rPr>
              <w:fldChar w:fldCharType="begin"/>
            </w:r>
            <w:r w:rsidR="00476243" w:rsidRPr="00F83B8D">
              <w:rPr>
                <w:webHidden/>
              </w:rPr>
              <w:instrText xml:space="preserve"> PAGEREF _Toc158361601 \h </w:instrText>
            </w:r>
            <w:r w:rsidR="00476243" w:rsidRPr="00F83B8D">
              <w:rPr>
                <w:webHidden/>
              </w:rPr>
            </w:r>
            <w:r w:rsidR="00476243" w:rsidRPr="00F83B8D">
              <w:rPr>
                <w:webHidden/>
              </w:rPr>
              <w:fldChar w:fldCharType="separate"/>
            </w:r>
            <w:r w:rsidR="002C6968" w:rsidRPr="00F83B8D">
              <w:rPr>
                <w:webHidden/>
              </w:rPr>
              <w:t>12</w:t>
            </w:r>
            <w:r w:rsidR="00476243" w:rsidRPr="00F83B8D">
              <w:rPr>
                <w:webHidden/>
              </w:rPr>
              <w:fldChar w:fldCharType="end"/>
            </w:r>
          </w:hyperlink>
        </w:p>
        <w:p w14:paraId="231629EC" w14:textId="7993644B" w:rsidR="00476243" w:rsidRPr="00F83B8D" w:rsidRDefault="00000000">
          <w:pPr>
            <w:pStyle w:val="TOC3"/>
            <w:rPr>
              <w:rFonts w:eastAsiaTheme="minorEastAsia"/>
              <w:bCs w:val="0"/>
              <w:kern w:val="2"/>
              <w:szCs w:val="24"/>
              <w14:ligatures w14:val="standardContextual"/>
            </w:rPr>
          </w:pPr>
          <w:hyperlink w:anchor="_Toc158361602" w:history="1">
            <w:r w:rsidR="00476243" w:rsidRPr="00F83B8D">
              <w:rPr>
                <w:rStyle w:val="Hyperlink"/>
              </w:rPr>
              <w:t>A.</w:t>
            </w:r>
            <w:r w:rsidR="00476243" w:rsidRPr="00F83B8D">
              <w:rPr>
                <w:rFonts w:eastAsiaTheme="minorEastAsia"/>
                <w:bCs w:val="0"/>
                <w:kern w:val="2"/>
                <w:szCs w:val="24"/>
                <w14:ligatures w14:val="standardContextual"/>
              </w:rPr>
              <w:tab/>
            </w:r>
            <w:r w:rsidR="00476243" w:rsidRPr="00F83B8D">
              <w:rPr>
                <w:rStyle w:val="Hyperlink"/>
              </w:rPr>
              <w:t>Overall Program Summary</w:t>
            </w:r>
            <w:r w:rsidR="00476243" w:rsidRPr="00F83B8D">
              <w:rPr>
                <w:webHidden/>
              </w:rPr>
              <w:tab/>
            </w:r>
            <w:r w:rsidR="00476243" w:rsidRPr="00F83B8D">
              <w:rPr>
                <w:webHidden/>
              </w:rPr>
              <w:fldChar w:fldCharType="begin"/>
            </w:r>
            <w:r w:rsidR="00476243" w:rsidRPr="00F83B8D">
              <w:rPr>
                <w:webHidden/>
              </w:rPr>
              <w:instrText xml:space="preserve"> PAGEREF _Toc158361602 \h </w:instrText>
            </w:r>
            <w:r w:rsidR="00476243" w:rsidRPr="00F83B8D">
              <w:rPr>
                <w:webHidden/>
              </w:rPr>
            </w:r>
            <w:r w:rsidR="00476243" w:rsidRPr="00F83B8D">
              <w:rPr>
                <w:webHidden/>
              </w:rPr>
              <w:fldChar w:fldCharType="separate"/>
            </w:r>
            <w:r w:rsidR="002C6968" w:rsidRPr="00F83B8D">
              <w:rPr>
                <w:webHidden/>
              </w:rPr>
              <w:t>13</w:t>
            </w:r>
            <w:r w:rsidR="00476243" w:rsidRPr="00F83B8D">
              <w:rPr>
                <w:webHidden/>
              </w:rPr>
              <w:fldChar w:fldCharType="end"/>
            </w:r>
          </w:hyperlink>
        </w:p>
        <w:p w14:paraId="24530593" w14:textId="0E3A4FE9" w:rsidR="00476243" w:rsidRPr="00F83B8D" w:rsidRDefault="00000000">
          <w:pPr>
            <w:pStyle w:val="TOC3"/>
            <w:rPr>
              <w:rFonts w:eastAsiaTheme="minorEastAsia"/>
              <w:bCs w:val="0"/>
              <w:kern w:val="2"/>
              <w:szCs w:val="24"/>
              <w14:ligatures w14:val="standardContextual"/>
            </w:rPr>
          </w:pPr>
          <w:hyperlink w:anchor="_Toc158361603" w:history="1">
            <w:r w:rsidR="00476243" w:rsidRPr="00F83B8D">
              <w:rPr>
                <w:rStyle w:val="Hyperlink"/>
              </w:rPr>
              <w:t>B.</w:t>
            </w:r>
            <w:r w:rsidR="00476243" w:rsidRPr="00F83B8D">
              <w:rPr>
                <w:rFonts w:eastAsiaTheme="minorEastAsia"/>
                <w:bCs w:val="0"/>
                <w:kern w:val="2"/>
                <w:szCs w:val="24"/>
                <w14:ligatures w14:val="standardContextual"/>
              </w:rPr>
              <w:tab/>
            </w:r>
            <w:r w:rsidR="00476243" w:rsidRPr="00F83B8D">
              <w:rPr>
                <w:rStyle w:val="Hyperlink"/>
              </w:rPr>
              <w:t>Comprehensive Needs Assessment</w:t>
            </w:r>
            <w:r w:rsidR="00476243" w:rsidRPr="00F83B8D">
              <w:rPr>
                <w:webHidden/>
              </w:rPr>
              <w:tab/>
            </w:r>
            <w:r w:rsidR="00476243" w:rsidRPr="00F83B8D">
              <w:rPr>
                <w:webHidden/>
              </w:rPr>
              <w:fldChar w:fldCharType="begin"/>
            </w:r>
            <w:r w:rsidR="00476243" w:rsidRPr="00F83B8D">
              <w:rPr>
                <w:webHidden/>
              </w:rPr>
              <w:instrText xml:space="preserve"> PAGEREF _Toc158361603 \h </w:instrText>
            </w:r>
            <w:r w:rsidR="00476243" w:rsidRPr="00F83B8D">
              <w:rPr>
                <w:webHidden/>
              </w:rPr>
            </w:r>
            <w:r w:rsidR="00476243" w:rsidRPr="00F83B8D">
              <w:rPr>
                <w:webHidden/>
              </w:rPr>
              <w:fldChar w:fldCharType="separate"/>
            </w:r>
            <w:r w:rsidR="002C6968" w:rsidRPr="00F83B8D">
              <w:rPr>
                <w:webHidden/>
              </w:rPr>
              <w:t>13</w:t>
            </w:r>
            <w:r w:rsidR="00476243" w:rsidRPr="00F83B8D">
              <w:rPr>
                <w:webHidden/>
              </w:rPr>
              <w:fldChar w:fldCharType="end"/>
            </w:r>
          </w:hyperlink>
        </w:p>
        <w:p w14:paraId="20098CC8" w14:textId="0DC1BC90" w:rsidR="00476243" w:rsidRPr="00F83B8D" w:rsidRDefault="00000000">
          <w:pPr>
            <w:pStyle w:val="TOC3"/>
            <w:rPr>
              <w:rFonts w:eastAsiaTheme="minorEastAsia"/>
              <w:bCs w:val="0"/>
              <w:kern w:val="2"/>
              <w:szCs w:val="24"/>
              <w14:ligatures w14:val="standardContextual"/>
            </w:rPr>
          </w:pPr>
          <w:hyperlink w:anchor="_Toc158361604" w:history="1">
            <w:r w:rsidR="00476243" w:rsidRPr="00F83B8D">
              <w:rPr>
                <w:rStyle w:val="Hyperlink"/>
              </w:rPr>
              <w:t>C.</w:t>
            </w:r>
            <w:r w:rsidR="00476243" w:rsidRPr="00F83B8D">
              <w:rPr>
                <w:rFonts w:eastAsiaTheme="minorEastAsia"/>
                <w:bCs w:val="0"/>
                <w:kern w:val="2"/>
                <w:szCs w:val="24"/>
                <w14:ligatures w14:val="standardContextual"/>
              </w:rPr>
              <w:tab/>
            </w:r>
            <w:r w:rsidR="00476243" w:rsidRPr="00F83B8D">
              <w:rPr>
                <w:rStyle w:val="Hyperlink"/>
              </w:rPr>
              <w:t>Parent, School, and Community Involvement</w:t>
            </w:r>
            <w:r w:rsidR="00476243" w:rsidRPr="00F83B8D">
              <w:rPr>
                <w:webHidden/>
              </w:rPr>
              <w:tab/>
            </w:r>
            <w:r w:rsidR="00476243" w:rsidRPr="00F83B8D">
              <w:rPr>
                <w:webHidden/>
              </w:rPr>
              <w:fldChar w:fldCharType="begin"/>
            </w:r>
            <w:r w:rsidR="00476243" w:rsidRPr="00F83B8D">
              <w:rPr>
                <w:webHidden/>
              </w:rPr>
              <w:instrText xml:space="preserve"> PAGEREF _Toc158361604 \h </w:instrText>
            </w:r>
            <w:r w:rsidR="00476243" w:rsidRPr="00F83B8D">
              <w:rPr>
                <w:webHidden/>
              </w:rPr>
            </w:r>
            <w:r w:rsidR="00476243" w:rsidRPr="00F83B8D">
              <w:rPr>
                <w:webHidden/>
              </w:rPr>
              <w:fldChar w:fldCharType="separate"/>
            </w:r>
            <w:r w:rsidR="002C6968" w:rsidRPr="00F83B8D">
              <w:rPr>
                <w:webHidden/>
              </w:rPr>
              <w:t>14</w:t>
            </w:r>
            <w:r w:rsidR="00476243" w:rsidRPr="00F83B8D">
              <w:rPr>
                <w:webHidden/>
              </w:rPr>
              <w:fldChar w:fldCharType="end"/>
            </w:r>
          </w:hyperlink>
        </w:p>
        <w:p w14:paraId="296A86DC" w14:textId="0194DE67" w:rsidR="00476243" w:rsidRPr="00F83B8D" w:rsidRDefault="00000000">
          <w:pPr>
            <w:pStyle w:val="TOC3"/>
            <w:rPr>
              <w:rFonts w:eastAsiaTheme="minorEastAsia"/>
              <w:bCs w:val="0"/>
              <w:kern w:val="2"/>
              <w:szCs w:val="24"/>
              <w14:ligatures w14:val="standardContextual"/>
            </w:rPr>
          </w:pPr>
          <w:hyperlink w:anchor="_Toc158361605" w:history="1">
            <w:r w:rsidR="00476243" w:rsidRPr="00F83B8D">
              <w:rPr>
                <w:rStyle w:val="Hyperlink"/>
                <w:lang w:val="en"/>
              </w:rPr>
              <w:t>D.</w:t>
            </w:r>
            <w:r w:rsidR="00476243" w:rsidRPr="00F83B8D">
              <w:rPr>
                <w:rFonts w:eastAsiaTheme="minorEastAsia"/>
                <w:bCs w:val="0"/>
                <w:kern w:val="2"/>
                <w:szCs w:val="24"/>
                <w14:ligatures w14:val="standardContextual"/>
              </w:rPr>
              <w:tab/>
            </w:r>
            <w:r w:rsidR="00476243" w:rsidRPr="00F83B8D">
              <w:rPr>
                <w:rStyle w:val="Hyperlink"/>
                <w:lang w:val="en"/>
              </w:rPr>
              <w:t>Overall Program Goals and Measurable Objectives</w:t>
            </w:r>
            <w:r w:rsidR="00476243" w:rsidRPr="00F83B8D">
              <w:rPr>
                <w:webHidden/>
              </w:rPr>
              <w:tab/>
            </w:r>
            <w:r w:rsidR="00476243" w:rsidRPr="00F83B8D">
              <w:rPr>
                <w:webHidden/>
              </w:rPr>
              <w:fldChar w:fldCharType="begin"/>
            </w:r>
            <w:r w:rsidR="00476243" w:rsidRPr="00F83B8D">
              <w:rPr>
                <w:webHidden/>
              </w:rPr>
              <w:instrText xml:space="preserve"> PAGEREF _Toc158361605 \h </w:instrText>
            </w:r>
            <w:r w:rsidR="00476243" w:rsidRPr="00F83B8D">
              <w:rPr>
                <w:webHidden/>
              </w:rPr>
            </w:r>
            <w:r w:rsidR="00476243" w:rsidRPr="00F83B8D">
              <w:rPr>
                <w:webHidden/>
              </w:rPr>
              <w:fldChar w:fldCharType="separate"/>
            </w:r>
            <w:r w:rsidR="002C6968" w:rsidRPr="00F83B8D">
              <w:rPr>
                <w:webHidden/>
              </w:rPr>
              <w:t>14</w:t>
            </w:r>
            <w:r w:rsidR="00476243" w:rsidRPr="00F83B8D">
              <w:rPr>
                <w:webHidden/>
              </w:rPr>
              <w:fldChar w:fldCharType="end"/>
            </w:r>
          </w:hyperlink>
        </w:p>
        <w:p w14:paraId="76C47438" w14:textId="1489D90B" w:rsidR="00476243" w:rsidRPr="00F83B8D" w:rsidRDefault="00000000">
          <w:pPr>
            <w:pStyle w:val="TOC3"/>
            <w:rPr>
              <w:rFonts w:eastAsiaTheme="minorEastAsia"/>
              <w:bCs w:val="0"/>
              <w:kern w:val="2"/>
              <w:szCs w:val="24"/>
              <w14:ligatures w14:val="standardContextual"/>
            </w:rPr>
          </w:pPr>
          <w:hyperlink w:anchor="_Toc158361606" w:history="1">
            <w:r w:rsidR="00476243" w:rsidRPr="00F83B8D">
              <w:rPr>
                <w:rStyle w:val="Hyperlink"/>
              </w:rPr>
              <w:t>E.</w:t>
            </w:r>
            <w:r w:rsidR="00476243" w:rsidRPr="00F83B8D">
              <w:rPr>
                <w:rFonts w:eastAsiaTheme="minorEastAsia"/>
                <w:bCs w:val="0"/>
                <w:kern w:val="2"/>
                <w:szCs w:val="24"/>
                <w14:ligatures w14:val="standardContextual"/>
              </w:rPr>
              <w:tab/>
            </w:r>
            <w:r w:rsidR="00476243" w:rsidRPr="00F83B8D">
              <w:rPr>
                <w:rStyle w:val="Hyperlink"/>
              </w:rPr>
              <w:t>Program Description, Including Strategies and Rationale</w:t>
            </w:r>
            <w:r w:rsidR="00476243" w:rsidRPr="00F83B8D">
              <w:rPr>
                <w:webHidden/>
              </w:rPr>
              <w:tab/>
            </w:r>
            <w:r w:rsidR="00476243" w:rsidRPr="00F83B8D">
              <w:rPr>
                <w:webHidden/>
              </w:rPr>
              <w:fldChar w:fldCharType="begin"/>
            </w:r>
            <w:r w:rsidR="00476243" w:rsidRPr="00F83B8D">
              <w:rPr>
                <w:webHidden/>
              </w:rPr>
              <w:instrText xml:space="preserve"> PAGEREF _Toc158361606 \h </w:instrText>
            </w:r>
            <w:r w:rsidR="00476243" w:rsidRPr="00F83B8D">
              <w:rPr>
                <w:webHidden/>
              </w:rPr>
            </w:r>
            <w:r w:rsidR="00476243" w:rsidRPr="00F83B8D">
              <w:rPr>
                <w:webHidden/>
              </w:rPr>
              <w:fldChar w:fldCharType="separate"/>
            </w:r>
            <w:r w:rsidR="002C6968" w:rsidRPr="00F83B8D">
              <w:rPr>
                <w:webHidden/>
              </w:rPr>
              <w:t>15</w:t>
            </w:r>
            <w:r w:rsidR="00476243" w:rsidRPr="00F83B8D">
              <w:rPr>
                <w:webHidden/>
              </w:rPr>
              <w:fldChar w:fldCharType="end"/>
            </w:r>
          </w:hyperlink>
        </w:p>
        <w:p w14:paraId="69AB816D" w14:textId="3D96811B" w:rsidR="00476243" w:rsidRPr="00F83B8D" w:rsidRDefault="00000000">
          <w:pPr>
            <w:pStyle w:val="TOC3"/>
            <w:rPr>
              <w:rFonts w:eastAsiaTheme="minorEastAsia"/>
              <w:bCs w:val="0"/>
              <w:kern w:val="2"/>
              <w:szCs w:val="24"/>
              <w14:ligatures w14:val="standardContextual"/>
            </w:rPr>
          </w:pPr>
          <w:hyperlink w:anchor="_Toc158361607" w:history="1">
            <w:r w:rsidR="00476243" w:rsidRPr="00F83B8D">
              <w:rPr>
                <w:rStyle w:val="Hyperlink"/>
              </w:rPr>
              <w:t>F.</w:t>
            </w:r>
            <w:r w:rsidR="00476243" w:rsidRPr="00F83B8D">
              <w:rPr>
                <w:rFonts w:eastAsiaTheme="minorEastAsia"/>
                <w:bCs w:val="0"/>
                <w:kern w:val="2"/>
                <w:szCs w:val="24"/>
                <w14:ligatures w14:val="standardContextual"/>
              </w:rPr>
              <w:tab/>
            </w:r>
            <w:r w:rsidR="00476243" w:rsidRPr="00F83B8D">
              <w:rPr>
                <w:rStyle w:val="Hyperlink"/>
              </w:rPr>
              <w:t>Projected Key Activities and Timelines</w:t>
            </w:r>
            <w:r w:rsidR="00476243" w:rsidRPr="00F83B8D">
              <w:rPr>
                <w:webHidden/>
              </w:rPr>
              <w:tab/>
            </w:r>
            <w:r w:rsidR="00476243" w:rsidRPr="00F83B8D">
              <w:rPr>
                <w:webHidden/>
              </w:rPr>
              <w:fldChar w:fldCharType="begin"/>
            </w:r>
            <w:r w:rsidR="00476243" w:rsidRPr="00F83B8D">
              <w:rPr>
                <w:webHidden/>
              </w:rPr>
              <w:instrText xml:space="preserve"> PAGEREF _Toc158361607 \h </w:instrText>
            </w:r>
            <w:r w:rsidR="00476243" w:rsidRPr="00F83B8D">
              <w:rPr>
                <w:webHidden/>
              </w:rPr>
            </w:r>
            <w:r w:rsidR="00476243" w:rsidRPr="00F83B8D">
              <w:rPr>
                <w:webHidden/>
              </w:rPr>
              <w:fldChar w:fldCharType="separate"/>
            </w:r>
            <w:r w:rsidR="002C6968" w:rsidRPr="00F83B8D">
              <w:rPr>
                <w:webHidden/>
              </w:rPr>
              <w:t>17</w:t>
            </w:r>
            <w:r w:rsidR="00476243" w:rsidRPr="00F83B8D">
              <w:rPr>
                <w:webHidden/>
              </w:rPr>
              <w:fldChar w:fldCharType="end"/>
            </w:r>
          </w:hyperlink>
        </w:p>
        <w:p w14:paraId="739120D0" w14:textId="43E4AB1C" w:rsidR="00476243" w:rsidRPr="00F83B8D" w:rsidRDefault="00000000">
          <w:pPr>
            <w:pStyle w:val="TOC3"/>
            <w:rPr>
              <w:rFonts w:eastAsiaTheme="minorEastAsia"/>
              <w:bCs w:val="0"/>
              <w:kern w:val="2"/>
              <w:szCs w:val="24"/>
              <w14:ligatures w14:val="standardContextual"/>
            </w:rPr>
          </w:pPr>
          <w:hyperlink w:anchor="_Toc158361608" w:history="1">
            <w:r w:rsidR="00476243" w:rsidRPr="00F83B8D">
              <w:rPr>
                <w:rStyle w:val="Hyperlink"/>
              </w:rPr>
              <w:t>H.</w:t>
            </w:r>
            <w:r w:rsidR="00476243" w:rsidRPr="00F83B8D">
              <w:rPr>
                <w:rFonts w:eastAsiaTheme="minorEastAsia"/>
                <w:bCs w:val="0"/>
                <w:kern w:val="2"/>
                <w:szCs w:val="24"/>
                <w14:ligatures w14:val="standardContextual"/>
              </w:rPr>
              <w:tab/>
            </w:r>
            <w:r w:rsidR="00476243" w:rsidRPr="00F83B8D">
              <w:rPr>
                <w:rStyle w:val="Hyperlink"/>
              </w:rPr>
              <w:t>Personnel</w:t>
            </w:r>
            <w:r w:rsidR="00476243" w:rsidRPr="00F83B8D">
              <w:rPr>
                <w:webHidden/>
              </w:rPr>
              <w:tab/>
            </w:r>
            <w:r w:rsidR="00476243" w:rsidRPr="00F83B8D">
              <w:rPr>
                <w:webHidden/>
              </w:rPr>
              <w:fldChar w:fldCharType="begin"/>
            </w:r>
            <w:r w:rsidR="00476243" w:rsidRPr="00F83B8D">
              <w:rPr>
                <w:webHidden/>
              </w:rPr>
              <w:instrText xml:space="preserve"> PAGEREF _Toc158361608 \h </w:instrText>
            </w:r>
            <w:r w:rsidR="00476243" w:rsidRPr="00F83B8D">
              <w:rPr>
                <w:webHidden/>
              </w:rPr>
            </w:r>
            <w:r w:rsidR="00476243" w:rsidRPr="00F83B8D">
              <w:rPr>
                <w:webHidden/>
              </w:rPr>
              <w:fldChar w:fldCharType="separate"/>
            </w:r>
            <w:r w:rsidR="002C6968" w:rsidRPr="00F83B8D">
              <w:rPr>
                <w:webHidden/>
              </w:rPr>
              <w:t>17</w:t>
            </w:r>
            <w:r w:rsidR="00476243" w:rsidRPr="00F83B8D">
              <w:rPr>
                <w:webHidden/>
              </w:rPr>
              <w:fldChar w:fldCharType="end"/>
            </w:r>
          </w:hyperlink>
        </w:p>
        <w:p w14:paraId="21A4D32F" w14:textId="51098707" w:rsidR="00476243" w:rsidRPr="00F83B8D" w:rsidRDefault="00000000">
          <w:pPr>
            <w:pStyle w:val="TOC3"/>
            <w:rPr>
              <w:rFonts w:eastAsiaTheme="minorEastAsia"/>
              <w:bCs w:val="0"/>
              <w:kern w:val="2"/>
              <w:szCs w:val="24"/>
              <w14:ligatures w14:val="standardContextual"/>
            </w:rPr>
          </w:pPr>
          <w:hyperlink w:anchor="_Toc158361609" w:history="1">
            <w:r w:rsidR="00476243" w:rsidRPr="00F83B8D">
              <w:rPr>
                <w:rStyle w:val="Hyperlink"/>
              </w:rPr>
              <w:t>I.</w:t>
            </w:r>
            <w:r w:rsidR="00476243" w:rsidRPr="00F83B8D">
              <w:rPr>
                <w:rFonts w:eastAsiaTheme="minorEastAsia"/>
                <w:bCs w:val="0"/>
                <w:kern w:val="2"/>
                <w:szCs w:val="24"/>
                <w14:ligatures w14:val="standardContextual"/>
              </w:rPr>
              <w:tab/>
            </w:r>
            <w:r w:rsidR="00476243" w:rsidRPr="00F83B8D">
              <w:rPr>
                <w:rStyle w:val="Hyperlink"/>
              </w:rPr>
              <w:t>Budget Pages</w:t>
            </w:r>
            <w:r w:rsidR="00476243" w:rsidRPr="00F83B8D">
              <w:rPr>
                <w:webHidden/>
              </w:rPr>
              <w:tab/>
            </w:r>
            <w:r w:rsidR="00476243" w:rsidRPr="00F83B8D">
              <w:rPr>
                <w:webHidden/>
              </w:rPr>
              <w:fldChar w:fldCharType="begin"/>
            </w:r>
            <w:r w:rsidR="00476243" w:rsidRPr="00F83B8D">
              <w:rPr>
                <w:webHidden/>
              </w:rPr>
              <w:instrText xml:space="preserve"> PAGEREF _Toc158361609 \h </w:instrText>
            </w:r>
            <w:r w:rsidR="00476243" w:rsidRPr="00F83B8D">
              <w:rPr>
                <w:webHidden/>
              </w:rPr>
            </w:r>
            <w:r w:rsidR="00476243" w:rsidRPr="00F83B8D">
              <w:rPr>
                <w:webHidden/>
              </w:rPr>
              <w:fldChar w:fldCharType="separate"/>
            </w:r>
            <w:r w:rsidR="002C6968" w:rsidRPr="00F83B8D">
              <w:rPr>
                <w:webHidden/>
              </w:rPr>
              <w:t>17</w:t>
            </w:r>
            <w:r w:rsidR="00476243" w:rsidRPr="00F83B8D">
              <w:rPr>
                <w:webHidden/>
              </w:rPr>
              <w:fldChar w:fldCharType="end"/>
            </w:r>
          </w:hyperlink>
        </w:p>
        <w:p w14:paraId="4B468339" w14:textId="4A61B5D5" w:rsidR="00476243" w:rsidRPr="00F83B8D" w:rsidRDefault="00000000">
          <w:pPr>
            <w:pStyle w:val="TOC3"/>
            <w:rPr>
              <w:rFonts w:eastAsiaTheme="minorEastAsia"/>
              <w:bCs w:val="0"/>
              <w:kern w:val="2"/>
              <w:szCs w:val="24"/>
              <w14:ligatures w14:val="standardContextual"/>
            </w:rPr>
          </w:pPr>
          <w:hyperlink w:anchor="_Toc158361610" w:history="1">
            <w:r w:rsidR="00476243" w:rsidRPr="00F83B8D">
              <w:rPr>
                <w:rStyle w:val="Hyperlink"/>
                <w:rFonts w:eastAsia="Calibri"/>
              </w:rPr>
              <w:t>J.</w:t>
            </w:r>
            <w:r w:rsidR="00476243" w:rsidRPr="00F83B8D">
              <w:rPr>
                <w:rFonts w:eastAsiaTheme="minorEastAsia"/>
                <w:bCs w:val="0"/>
                <w:kern w:val="2"/>
                <w:szCs w:val="24"/>
                <w14:ligatures w14:val="standardContextual"/>
              </w:rPr>
              <w:tab/>
            </w:r>
            <w:r w:rsidR="00476243" w:rsidRPr="00F83B8D">
              <w:rPr>
                <w:rStyle w:val="Hyperlink"/>
                <w:rFonts w:eastAsia="Calibri"/>
              </w:rPr>
              <w:t>Process Evaluation</w:t>
            </w:r>
            <w:r w:rsidR="00476243" w:rsidRPr="00F83B8D">
              <w:rPr>
                <w:webHidden/>
              </w:rPr>
              <w:tab/>
            </w:r>
            <w:r w:rsidR="00476243" w:rsidRPr="00F83B8D">
              <w:rPr>
                <w:webHidden/>
              </w:rPr>
              <w:fldChar w:fldCharType="begin"/>
            </w:r>
            <w:r w:rsidR="00476243" w:rsidRPr="00F83B8D">
              <w:rPr>
                <w:webHidden/>
              </w:rPr>
              <w:instrText xml:space="preserve"> PAGEREF _Toc158361610 \h </w:instrText>
            </w:r>
            <w:r w:rsidR="00476243" w:rsidRPr="00F83B8D">
              <w:rPr>
                <w:webHidden/>
              </w:rPr>
            </w:r>
            <w:r w:rsidR="00476243" w:rsidRPr="00F83B8D">
              <w:rPr>
                <w:webHidden/>
              </w:rPr>
              <w:fldChar w:fldCharType="separate"/>
            </w:r>
            <w:r w:rsidR="002C6968" w:rsidRPr="00F83B8D">
              <w:rPr>
                <w:webHidden/>
              </w:rPr>
              <w:t>26</w:t>
            </w:r>
            <w:r w:rsidR="00476243" w:rsidRPr="00F83B8D">
              <w:rPr>
                <w:webHidden/>
              </w:rPr>
              <w:fldChar w:fldCharType="end"/>
            </w:r>
          </w:hyperlink>
        </w:p>
        <w:p w14:paraId="6B24F0AE" w14:textId="7382F70B" w:rsidR="00476243" w:rsidRPr="00F83B8D" w:rsidRDefault="00000000">
          <w:pPr>
            <w:pStyle w:val="TOC3"/>
            <w:rPr>
              <w:rFonts w:eastAsiaTheme="minorEastAsia"/>
              <w:bCs w:val="0"/>
              <w:kern w:val="2"/>
              <w:szCs w:val="24"/>
              <w14:ligatures w14:val="standardContextual"/>
            </w:rPr>
          </w:pPr>
          <w:hyperlink w:anchor="_Toc158361611" w:history="1">
            <w:r w:rsidR="00476243" w:rsidRPr="00F83B8D">
              <w:rPr>
                <w:rStyle w:val="Hyperlink"/>
                <w:rFonts w:eastAsia="Calibri"/>
              </w:rPr>
              <w:t>K.</w:t>
            </w:r>
            <w:r w:rsidR="00476243" w:rsidRPr="00F83B8D">
              <w:rPr>
                <w:rFonts w:eastAsiaTheme="minorEastAsia"/>
                <w:bCs w:val="0"/>
                <w:kern w:val="2"/>
                <w:szCs w:val="24"/>
                <w14:ligatures w14:val="standardContextual"/>
              </w:rPr>
              <w:tab/>
            </w:r>
            <w:r w:rsidR="00476243" w:rsidRPr="00F83B8D">
              <w:rPr>
                <w:rStyle w:val="Hyperlink"/>
                <w:rFonts w:eastAsia="Calibri"/>
              </w:rPr>
              <w:t>Overall Coherence and Merit of Application</w:t>
            </w:r>
            <w:r w:rsidR="00476243" w:rsidRPr="00F83B8D">
              <w:rPr>
                <w:webHidden/>
              </w:rPr>
              <w:tab/>
            </w:r>
            <w:r w:rsidR="00476243" w:rsidRPr="00F83B8D">
              <w:rPr>
                <w:webHidden/>
              </w:rPr>
              <w:fldChar w:fldCharType="begin"/>
            </w:r>
            <w:r w:rsidR="00476243" w:rsidRPr="00F83B8D">
              <w:rPr>
                <w:webHidden/>
              </w:rPr>
              <w:instrText xml:space="preserve"> PAGEREF _Toc158361611 \h </w:instrText>
            </w:r>
            <w:r w:rsidR="00476243" w:rsidRPr="00F83B8D">
              <w:rPr>
                <w:webHidden/>
              </w:rPr>
            </w:r>
            <w:r w:rsidR="00476243" w:rsidRPr="00F83B8D">
              <w:rPr>
                <w:webHidden/>
              </w:rPr>
              <w:fldChar w:fldCharType="separate"/>
            </w:r>
            <w:r w:rsidR="002C6968" w:rsidRPr="00F83B8D">
              <w:rPr>
                <w:webHidden/>
              </w:rPr>
              <w:t>27</w:t>
            </w:r>
            <w:r w:rsidR="00476243" w:rsidRPr="00F83B8D">
              <w:rPr>
                <w:webHidden/>
              </w:rPr>
              <w:fldChar w:fldCharType="end"/>
            </w:r>
          </w:hyperlink>
        </w:p>
        <w:p w14:paraId="03322E4A" w14:textId="45CFD047" w:rsidR="00476243" w:rsidRPr="00F83B8D" w:rsidRDefault="00000000">
          <w:pPr>
            <w:pStyle w:val="TOC3"/>
            <w:rPr>
              <w:rFonts w:eastAsiaTheme="minorEastAsia"/>
              <w:bCs w:val="0"/>
              <w:kern w:val="2"/>
              <w:szCs w:val="24"/>
              <w14:ligatures w14:val="standardContextual"/>
            </w:rPr>
          </w:pPr>
          <w:hyperlink w:anchor="_Toc158361612" w:history="1">
            <w:r w:rsidR="00476243" w:rsidRPr="00F83B8D">
              <w:rPr>
                <w:rStyle w:val="Hyperlink"/>
                <w:lang w:val="en"/>
              </w:rPr>
              <w:t>L.</w:t>
            </w:r>
            <w:r w:rsidR="00476243" w:rsidRPr="00F83B8D">
              <w:rPr>
                <w:rFonts w:eastAsiaTheme="minorEastAsia"/>
                <w:bCs w:val="0"/>
                <w:kern w:val="2"/>
                <w:szCs w:val="24"/>
                <w14:ligatures w14:val="standardContextual"/>
              </w:rPr>
              <w:tab/>
            </w:r>
            <w:r w:rsidR="00476243" w:rsidRPr="00F83B8D">
              <w:rPr>
                <w:rStyle w:val="Hyperlink"/>
                <w:lang w:val="en"/>
              </w:rPr>
              <w:t>Program Description</w:t>
            </w:r>
            <w:r w:rsidR="00476243" w:rsidRPr="00F83B8D">
              <w:rPr>
                <w:webHidden/>
              </w:rPr>
              <w:tab/>
            </w:r>
            <w:r w:rsidR="00476243" w:rsidRPr="00F83B8D">
              <w:rPr>
                <w:webHidden/>
              </w:rPr>
              <w:fldChar w:fldCharType="begin"/>
            </w:r>
            <w:r w:rsidR="00476243" w:rsidRPr="00F83B8D">
              <w:rPr>
                <w:webHidden/>
              </w:rPr>
              <w:instrText xml:space="preserve"> PAGEREF _Toc158361612 \h </w:instrText>
            </w:r>
            <w:r w:rsidR="00476243" w:rsidRPr="00F83B8D">
              <w:rPr>
                <w:webHidden/>
              </w:rPr>
            </w:r>
            <w:r w:rsidR="00476243" w:rsidRPr="00F83B8D">
              <w:rPr>
                <w:webHidden/>
              </w:rPr>
              <w:fldChar w:fldCharType="separate"/>
            </w:r>
            <w:r w:rsidR="002C6968" w:rsidRPr="00F83B8D">
              <w:rPr>
                <w:webHidden/>
              </w:rPr>
              <w:t>28</w:t>
            </w:r>
            <w:r w:rsidR="00476243" w:rsidRPr="00F83B8D">
              <w:rPr>
                <w:webHidden/>
              </w:rPr>
              <w:fldChar w:fldCharType="end"/>
            </w:r>
          </w:hyperlink>
        </w:p>
        <w:p w14:paraId="37266FBA" w14:textId="7E40B02B" w:rsidR="00476243" w:rsidRPr="00F83B8D" w:rsidRDefault="00000000">
          <w:pPr>
            <w:pStyle w:val="TOC2"/>
            <w:rPr>
              <w:rFonts w:eastAsiaTheme="minorEastAsia"/>
              <w:b w:val="0"/>
              <w:bCs w:val="0"/>
              <w:kern w:val="2"/>
              <w:szCs w:val="24"/>
              <w14:ligatures w14:val="standardContextual"/>
            </w:rPr>
          </w:pPr>
          <w:hyperlink w:anchor="_Toc158361613" w:history="1">
            <w:r w:rsidR="00476243" w:rsidRPr="00F83B8D">
              <w:rPr>
                <w:rStyle w:val="Hyperlink"/>
              </w:rPr>
              <w:t>IV.</w:t>
            </w:r>
            <w:r w:rsidR="00476243" w:rsidRPr="00F83B8D">
              <w:rPr>
                <w:rFonts w:eastAsiaTheme="minorEastAsia"/>
                <w:b w:val="0"/>
                <w:bCs w:val="0"/>
                <w:kern w:val="2"/>
                <w:szCs w:val="24"/>
                <w14:ligatures w14:val="standardContextual"/>
              </w:rPr>
              <w:tab/>
            </w:r>
            <w:r w:rsidR="00476243" w:rsidRPr="00F83B8D">
              <w:rPr>
                <w:rStyle w:val="Hyperlink"/>
              </w:rPr>
              <w:t>BUDGET REVISIONS, FISCAL, AND PROGRAMMATIC REPORTING</w:t>
            </w:r>
            <w:r w:rsidR="00476243" w:rsidRPr="00F83B8D">
              <w:rPr>
                <w:webHidden/>
              </w:rPr>
              <w:tab/>
            </w:r>
            <w:r w:rsidR="00476243" w:rsidRPr="00F83B8D">
              <w:rPr>
                <w:webHidden/>
              </w:rPr>
              <w:fldChar w:fldCharType="begin"/>
            </w:r>
            <w:r w:rsidR="00476243" w:rsidRPr="00F83B8D">
              <w:rPr>
                <w:webHidden/>
              </w:rPr>
              <w:instrText xml:space="preserve"> PAGEREF _Toc158361613 \h </w:instrText>
            </w:r>
            <w:r w:rsidR="00476243" w:rsidRPr="00F83B8D">
              <w:rPr>
                <w:webHidden/>
              </w:rPr>
            </w:r>
            <w:r w:rsidR="00476243" w:rsidRPr="00F83B8D">
              <w:rPr>
                <w:webHidden/>
              </w:rPr>
              <w:fldChar w:fldCharType="separate"/>
            </w:r>
            <w:r w:rsidR="002C6968" w:rsidRPr="00F83B8D">
              <w:rPr>
                <w:webHidden/>
              </w:rPr>
              <w:t>29</w:t>
            </w:r>
            <w:r w:rsidR="00476243" w:rsidRPr="00F83B8D">
              <w:rPr>
                <w:webHidden/>
              </w:rPr>
              <w:fldChar w:fldCharType="end"/>
            </w:r>
          </w:hyperlink>
        </w:p>
        <w:p w14:paraId="5898F7CE" w14:textId="293A0D6F" w:rsidR="00476243" w:rsidRPr="00F83B8D" w:rsidRDefault="00000000">
          <w:pPr>
            <w:pStyle w:val="TOC2"/>
            <w:rPr>
              <w:rFonts w:eastAsiaTheme="minorEastAsia"/>
              <w:b w:val="0"/>
              <w:bCs w:val="0"/>
              <w:kern w:val="2"/>
              <w:szCs w:val="24"/>
              <w14:ligatures w14:val="standardContextual"/>
            </w:rPr>
          </w:pPr>
          <w:hyperlink w:anchor="_Toc158361614" w:history="1">
            <w:r w:rsidR="00476243" w:rsidRPr="00F83B8D">
              <w:rPr>
                <w:rStyle w:val="Hyperlink"/>
              </w:rPr>
              <w:t>REQUIREMENTS</w:t>
            </w:r>
            <w:r w:rsidR="00476243" w:rsidRPr="00F83B8D">
              <w:rPr>
                <w:webHidden/>
              </w:rPr>
              <w:tab/>
            </w:r>
            <w:r w:rsidR="00476243" w:rsidRPr="00F83B8D">
              <w:rPr>
                <w:webHidden/>
              </w:rPr>
              <w:fldChar w:fldCharType="begin"/>
            </w:r>
            <w:r w:rsidR="00476243" w:rsidRPr="00F83B8D">
              <w:rPr>
                <w:webHidden/>
              </w:rPr>
              <w:instrText xml:space="preserve"> PAGEREF _Toc158361614 \h </w:instrText>
            </w:r>
            <w:r w:rsidR="00476243" w:rsidRPr="00F83B8D">
              <w:rPr>
                <w:webHidden/>
              </w:rPr>
            </w:r>
            <w:r w:rsidR="00476243" w:rsidRPr="00F83B8D">
              <w:rPr>
                <w:webHidden/>
              </w:rPr>
              <w:fldChar w:fldCharType="separate"/>
            </w:r>
            <w:r w:rsidR="002C6968" w:rsidRPr="00F83B8D">
              <w:rPr>
                <w:webHidden/>
              </w:rPr>
              <w:t>29</w:t>
            </w:r>
            <w:r w:rsidR="00476243" w:rsidRPr="00F83B8D">
              <w:rPr>
                <w:webHidden/>
              </w:rPr>
              <w:fldChar w:fldCharType="end"/>
            </w:r>
          </w:hyperlink>
        </w:p>
        <w:p w14:paraId="7F678461" w14:textId="3E27948E" w:rsidR="00476243" w:rsidRPr="00F83B8D" w:rsidRDefault="00000000">
          <w:pPr>
            <w:pStyle w:val="TOC3"/>
            <w:rPr>
              <w:rFonts w:eastAsiaTheme="minorEastAsia"/>
              <w:bCs w:val="0"/>
              <w:kern w:val="2"/>
              <w:szCs w:val="24"/>
              <w14:ligatures w14:val="standardContextual"/>
            </w:rPr>
          </w:pPr>
          <w:hyperlink w:anchor="_Toc158361615" w:history="1">
            <w:r w:rsidR="00476243" w:rsidRPr="00F83B8D">
              <w:rPr>
                <w:rStyle w:val="Hyperlink"/>
                <w:lang w:val="en"/>
              </w:rPr>
              <w:t>A.</w:t>
            </w:r>
            <w:r w:rsidR="00476243" w:rsidRPr="00F83B8D">
              <w:rPr>
                <w:rFonts w:eastAsiaTheme="minorEastAsia"/>
                <w:bCs w:val="0"/>
                <w:kern w:val="2"/>
                <w:szCs w:val="24"/>
                <w14:ligatures w14:val="standardContextual"/>
              </w:rPr>
              <w:tab/>
            </w:r>
            <w:r w:rsidR="00476243" w:rsidRPr="00F83B8D">
              <w:rPr>
                <w:rStyle w:val="Hyperlink"/>
                <w:lang w:val="en"/>
              </w:rPr>
              <w:t>Fiscal Accountability Requirements</w:t>
            </w:r>
            <w:r w:rsidR="00476243" w:rsidRPr="00F83B8D">
              <w:rPr>
                <w:webHidden/>
              </w:rPr>
              <w:tab/>
            </w:r>
            <w:r w:rsidR="00476243" w:rsidRPr="00F83B8D">
              <w:rPr>
                <w:webHidden/>
              </w:rPr>
              <w:fldChar w:fldCharType="begin"/>
            </w:r>
            <w:r w:rsidR="00476243" w:rsidRPr="00F83B8D">
              <w:rPr>
                <w:webHidden/>
              </w:rPr>
              <w:instrText xml:space="preserve"> PAGEREF _Toc158361615 \h </w:instrText>
            </w:r>
            <w:r w:rsidR="00476243" w:rsidRPr="00F83B8D">
              <w:rPr>
                <w:webHidden/>
              </w:rPr>
            </w:r>
            <w:r w:rsidR="00476243" w:rsidRPr="00F83B8D">
              <w:rPr>
                <w:webHidden/>
              </w:rPr>
              <w:fldChar w:fldCharType="separate"/>
            </w:r>
            <w:r w:rsidR="002C6968" w:rsidRPr="00F83B8D">
              <w:rPr>
                <w:webHidden/>
              </w:rPr>
              <w:t>29</w:t>
            </w:r>
            <w:r w:rsidR="00476243" w:rsidRPr="00F83B8D">
              <w:rPr>
                <w:webHidden/>
              </w:rPr>
              <w:fldChar w:fldCharType="end"/>
            </w:r>
          </w:hyperlink>
        </w:p>
        <w:p w14:paraId="414E88AE" w14:textId="3F64B562" w:rsidR="00476243" w:rsidRPr="00F83B8D" w:rsidRDefault="00000000">
          <w:pPr>
            <w:pStyle w:val="TOC3"/>
            <w:rPr>
              <w:rFonts w:eastAsiaTheme="minorEastAsia"/>
              <w:bCs w:val="0"/>
              <w:kern w:val="2"/>
              <w:szCs w:val="24"/>
              <w14:ligatures w14:val="standardContextual"/>
            </w:rPr>
          </w:pPr>
          <w:hyperlink w:anchor="_Toc158361616" w:history="1">
            <w:r w:rsidR="00476243" w:rsidRPr="00F83B8D">
              <w:rPr>
                <w:rStyle w:val="Hyperlink"/>
                <w:lang w:val="en"/>
              </w:rPr>
              <w:t>B.</w:t>
            </w:r>
            <w:r w:rsidR="00476243" w:rsidRPr="00F83B8D">
              <w:rPr>
                <w:rFonts w:eastAsiaTheme="minorEastAsia"/>
                <w:bCs w:val="0"/>
                <w:kern w:val="2"/>
                <w:szCs w:val="24"/>
                <w14:ligatures w14:val="standardContextual"/>
              </w:rPr>
              <w:tab/>
            </w:r>
            <w:r w:rsidR="00476243" w:rsidRPr="00F83B8D">
              <w:rPr>
                <w:rStyle w:val="Hyperlink"/>
                <w:lang w:val="en"/>
              </w:rPr>
              <w:t>Financial Management Standards</w:t>
            </w:r>
            <w:r w:rsidR="00476243" w:rsidRPr="00F83B8D">
              <w:rPr>
                <w:webHidden/>
              </w:rPr>
              <w:tab/>
            </w:r>
            <w:r w:rsidR="00476243" w:rsidRPr="00F83B8D">
              <w:rPr>
                <w:webHidden/>
              </w:rPr>
              <w:fldChar w:fldCharType="begin"/>
            </w:r>
            <w:r w:rsidR="00476243" w:rsidRPr="00F83B8D">
              <w:rPr>
                <w:webHidden/>
              </w:rPr>
              <w:instrText xml:space="preserve"> PAGEREF _Toc158361616 \h </w:instrText>
            </w:r>
            <w:r w:rsidR="00476243" w:rsidRPr="00F83B8D">
              <w:rPr>
                <w:webHidden/>
              </w:rPr>
            </w:r>
            <w:r w:rsidR="00476243" w:rsidRPr="00F83B8D">
              <w:rPr>
                <w:webHidden/>
              </w:rPr>
              <w:fldChar w:fldCharType="separate"/>
            </w:r>
            <w:r w:rsidR="002C6968" w:rsidRPr="00F83B8D">
              <w:rPr>
                <w:webHidden/>
              </w:rPr>
              <w:t>29</w:t>
            </w:r>
            <w:r w:rsidR="00476243" w:rsidRPr="00F83B8D">
              <w:rPr>
                <w:webHidden/>
              </w:rPr>
              <w:fldChar w:fldCharType="end"/>
            </w:r>
          </w:hyperlink>
        </w:p>
        <w:p w14:paraId="7CDE5665" w14:textId="10AA32F6" w:rsidR="00476243" w:rsidRPr="00F83B8D" w:rsidRDefault="00000000">
          <w:pPr>
            <w:pStyle w:val="TOC3"/>
            <w:rPr>
              <w:rFonts w:eastAsiaTheme="minorEastAsia"/>
              <w:bCs w:val="0"/>
              <w:kern w:val="2"/>
              <w:szCs w:val="24"/>
              <w14:ligatures w14:val="standardContextual"/>
            </w:rPr>
          </w:pPr>
          <w:hyperlink w:anchor="_Toc158361617" w:history="1">
            <w:r w:rsidR="00476243" w:rsidRPr="00F83B8D">
              <w:rPr>
                <w:rStyle w:val="Hyperlink"/>
              </w:rPr>
              <w:t>C.</w:t>
            </w:r>
            <w:r w:rsidR="00476243" w:rsidRPr="00F83B8D">
              <w:rPr>
                <w:rFonts w:eastAsiaTheme="minorEastAsia"/>
                <w:bCs w:val="0"/>
                <w:kern w:val="2"/>
                <w:szCs w:val="24"/>
                <w14:ligatures w14:val="standardContextual"/>
              </w:rPr>
              <w:tab/>
            </w:r>
            <w:r w:rsidR="00476243" w:rsidRPr="00F83B8D">
              <w:rPr>
                <w:rStyle w:val="Hyperlink"/>
              </w:rPr>
              <w:t>Internal Control Standards</w:t>
            </w:r>
            <w:r w:rsidR="00476243" w:rsidRPr="00F83B8D">
              <w:rPr>
                <w:webHidden/>
              </w:rPr>
              <w:tab/>
            </w:r>
            <w:r w:rsidR="00476243" w:rsidRPr="00F83B8D">
              <w:rPr>
                <w:webHidden/>
              </w:rPr>
              <w:fldChar w:fldCharType="begin"/>
            </w:r>
            <w:r w:rsidR="00476243" w:rsidRPr="00F83B8D">
              <w:rPr>
                <w:webHidden/>
              </w:rPr>
              <w:instrText xml:space="preserve"> PAGEREF _Toc158361617 \h </w:instrText>
            </w:r>
            <w:r w:rsidR="00476243" w:rsidRPr="00F83B8D">
              <w:rPr>
                <w:webHidden/>
              </w:rPr>
            </w:r>
            <w:r w:rsidR="00476243" w:rsidRPr="00F83B8D">
              <w:rPr>
                <w:webHidden/>
              </w:rPr>
              <w:fldChar w:fldCharType="separate"/>
            </w:r>
            <w:r w:rsidR="002C6968" w:rsidRPr="00F83B8D">
              <w:rPr>
                <w:webHidden/>
              </w:rPr>
              <w:t>31</w:t>
            </w:r>
            <w:r w:rsidR="00476243" w:rsidRPr="00F83B8D">
              <w:rPr>
                <w:webHidden/>
              </w:rPr>
              <w:fldChar w:fldCharType="end"/>
            </w:r>
          </w:hyperlink>
        </w:p>
        <w:p w14:paraId="78A56310" w14:textId="4BDA5E64" w:rsidR="00476243" w:rsidRPr="00F83B8D" w:rsidRDefault="00000000">
          <w:pPr>
            <w:pStyle w:val="TOC3"/>
            <w:rPr>
              <w:rFonts w:eastAsiaTheme="minorEastAsia"/>
              <w:bCs w:val="0"/>
              <w:kern w:val="2"/>
              <w:szCs w:val="24"/>
              <w14:ligatures w14:val="standardContextual"/>
            </w:rPr>
          </w:pPr>
          <w:hyperlink w:anchor="_Toc158361618" w:history="1">
            <w:r w:rsidR="00476243" w:rsidRPr="00F83B8D">
              <w:rPr>
                <w:rStyle w:val="Hyperlink"/>
              </w:rPr>
              <w:t>D.</w:t>
            </w:r>
            <w:r w:rsidR="00476243" w:rsidRPr="00F83B8D">
              <w:rPr>
                <w:rFonts w:eastAsiaTheme="minorEastAsia"/>
                <w:bCs w:val="0"/>
                <w:kern w:val="2"/>
                <w:szCs w:val="24"/>
                <w14:ligatures w14:val="standardContextual"/>
              </w:rPr>
              <w:tab/>
            </w:r>
            <w:r w:rsidR="00476243" w:rsidRPr="00F83B8D">
              <w:rPr>
                <w:rStyle w:val="Hyperlink"/>
              </w:rPr>
              <w:t>Audit Standards</w:t>
            </w:r>
            <w:r w:rsidR="00476243" w:rsidRPr="00F83B8D">
              <w:rPr>
                <w:webHidden/>
              </w:rPr>
              <w:tab/>
            </w:r>
            <w:r w:rsidR="00476243" w:rsidRPr="00F83B8D">
              <w:rPr>
                <w:webHidden/>
              </w:rPr>
              <w:fldChar w:fldCharType="begin"/>
            </w:r>
            <w:r w:rsidR="00476243" w:rsidRPr="00F83B8D">
              <w:rPr>
                <w:webHidden/>
              </w:rPr>
              <w:instrText xml:space="preserve"> PAGEREF _Toc158361618 \h </w:instrText>
            </w:r>
            <w:r w:rsidR="00476243" w:rsidRPr="00F83B8D">
              <w:rPr>
                <w:webHidden/>
              </w:rPr>
            </w:r>
            <w:r w:rsidR="00476243" w:rsidRPr="00F83B8D">
              <w:rPr>
                <w:webHidden/>
              </w:rPr>
              <w:fldChar w:fldCharType="separate"/>
            </w:r>
            <w:r w:rsidR="002C6968" w:rsidRPr="00F83B8D">
              <w:rPr>
                <w:webHidden/>
              </w:rPr>
              <w:t>33</w:t>
            </w:r>
            <w:r w:rsidR="00476243" w:rsidRPr="00F83B8D">
              <w:rPr>
                <w:webHidden/>
              </w:rPr>
              <w:fldChar w:fldCharType="end"/>
            </w:r>
          </w:hyperlink>
        </w:p>
        <w:p w14:paraId="7BD65F1C" w14:textId="631853F1" w:rsidR="00476243" w:rsidRPr="00F83B8D" w:rsidRDefault="00000000">
          <w:pPr>
            <w:pStyle w:val="TOC3"/>
            <w:rPr>
              <w:rFonts w:eastAsiaTheme="minorEastAsia"/>
              <w:bCs w:val="0"/>
              <w:kern w:val="2"/>
              <w:szCs w:val="24"/>
              <w14:ligatures w14:val="standardContextual"/>
            </w:rPr>
          </w:pPr>
          <w:hyperlink w:anchor="_Toc158361619" w:history="1">
            <w:r w:rsidR="00476243" w:rsidRPr="00F83B8D">
              <w:rPr>
                <w:rStyle w:val="Hyperlink"/>
              </w:rPr>
              <w:t>E.</w:t>
            </w:r>
            <w:r w:rsidR="00476243" w:rsidRPr="00F83B8D">
              <w:rPr>
                <w:rFonts w:eastAsiaTheme="minorEastAsia"/>
                <w:bCs w:val="0"/>
                <w:kern w:val="2"/>
                <w:szCs w:val="24"/>
                <w14:ligatures w14:val="standardContextual"/>
              </w:rPr>
              <w:tab/>
            </w:r>
            <w:r w:rsidR="00476243" w:rsidRPr="00F83B8D">
              <w:rPr>
                <w:rStyle w:val="Hyperlink"/>
              </w:rPr>
              <w:t>References</w:t>
            </w:r>
            <w:r w:rsidR="00476243" w:rsidRPr="00F83B8D">
              <w:rPr>
                <w:webHidden/>
              </w:rPr>
              <w:tab/>
            </w:r>
            <w:r w:rsidR="00476243" w:rsidRPr="00F83B8D">
              <w:rPr>
                <w:webHidden/>
              </w:rPr>
              <w:fldChar w:fldCharType="begin"/>
            </w:r>
            <w:r w:rsidR="00476243" w:rsidRPr="00F83B8D">
              <w:rPr>
                <w:webHidden/>
              </w:rPr>
              <w:instrText xml:space="preserve"> PAGEREF _Toc158361619 \h </w:instrText>
            </w:r>
            <w:r w:rsidR="00476243" w:rsidRPr="00F83B8D">
              <w:rPr>
                <w:webHidden/>
              </w:rPr>
            </w:r>
            <w:r w:rsidR="00476243" w:rsidRPr="00F83B8D">
              <w:rPr>
                <w:webHidden/>
              </w:rPr>
              <w:fldChar w:fldCharType="separate"/>
            </w:r>
            <w:r w:rsidR="002C6968" w:rsidRPr="00F83B8D">
              <w:rPr>
                <w:webHidden/>
              </w:rPr>
              <w:t>33</w:t>
            </w:r>
            <w:r w:rsidR="00476243" w:rsidRPr="00F83B8D">
              <w:rPr>
                <w:webHidden/>
              </w:rPr>
              <w:fldChar w:fldCharType="end"/>
            </w:r>
          </w:hyperlink>
        </w:p>
        <w:p w14:paraId="6A0BB094" w14:textId="1D4A1812" w:rsidR="00476243" w:rsidRPr="00F83B8D" w:rsidRDefault="00000000">
          <w:pPr>
            <w:pStyle w:val="TOC3"/>
            <w:rPr>
              <w:rFonts w:eastAsiaTheme="minorEastAsia"/>
              <w:bCs w:val="0"/>
              <w:kern w:val="2"/>
              <w:szCs w:val="24"/>
              <w14:ligatures w14:val="standardContextual"/>
            </w:rPr>
          </w:pPr>
          <w:hyperlink w:anchor="_Toc158361620" w:history="1">
            <w:r w:rsidR="00476243" w:rsidRPr="00F83B8D">
              <w:rPr>
                <w:rStyle w:val="Hyperlink"/>
              </w:rPr>
              <w:t>F.</w:t>
            </w:r>
            <w:r w:rsidR="00476243" w:rsidRPr="00F83B8D">
              <w:rPr>
                <w:rFonts w:eastAsiaTheme="minorEastAsia"/>
                <w:bCs w:val="0"/>
                <w:kern w:val="2"/>
                <w:szCs w:val="24"/>
                <w14:ligatures w14:val="standardContextual"/>
              </w:rPr>
              <w:tab/>
            </w:r>
            <w:r w:rsidR="00476243" w:rsidRPr="00F83B8D">
              <w:rPr>
                <w:rStyle w:val="Hyperlink"/>
              </w:rPr>
              <w:t>Application Budget Revisions</w:t>
            </w:r>
            <w:r w:rsidR="00476243" w:rsidRPr="00F83B8D">
              <w:rPr>
                <w:webHidden/>
              </w:rPr>
              <w:tab/>
            </w:r>
            <w:r w:rsidR="00476243" w:rsidRPr="00F83B8D">
              <w:rPr>
                <w:webHidden/>
              </w:rPr>
              <w:fldChar w:fldCharType="begin"/>
            </w:r>
            <w:r w:rsidR="00476243" w:rsidRPr="00F83B8D">
              <w:rPr>
                <w:webHidden/>
              </w:rPr>
              <w:instrText xml:space="preserve"> PAGEREF _Toc158361620 \h </w:instrText>
            </w:r>
            <w:r w:rsidR="00476243" w:rsidRPr="00F83B8D">
              <w:rPr>
                <w:webHidden/>
              </w:rPr>
            </w:r>
            <w:r w:rsidR="00476243" w:rsidRPr="00F83B8D">
              <w:rPr>
                <w:webHidden/>
              </w:rPr>
              <w:fldChar w:fldCharType="separate"/>
            </w:r>
            <w:r w:rsidR="002C6968" w:rsidRPr="00F83B8D">
              <w:rPr>
                <w:webHidden/>
              </w:rPr>
              <w:t>33</w:t>
            </w:r>
            <w:r w:rsidR="00476243" w:rsidRPr="00F83B8D">
              <w:rPr>
                <w:webHidden/>
              </w:rPr>
              <w:fldChar w:fldCharType="end"/>
            </w:r>
          </w:hyperlink>
        </w:p>
        <w:p w14:paraId="5D81FDE6" w14:textId="0B7C7AB2" w:rsidR="00476243" w:rsidRPr="00F83B8D" w:rsidRDefault="00000000">
          <w:pPr>
            <w:pStyle w:val="TOC3"/>
            <w:rPr>
              <w:rFonts w:eastAsiaTheme="minorEastAsia"/>
              <w:bCs w:val="0"/>
              <w:kern w:val="2"/>
              <w:szCs w:val="24"/>
              <w14:ligatures w14:val="standardContextual"/>
            </w:rPr>
          </w:pPr>
          <w:hyperlink w:anchor="_Toc158361621" w:history="1">
            <w:r w:rsidR="00476243" w:rsidRPr="00F83B8D">
              <w:rPr>
                <w:rStyle w:val="Hyperlink"/>
                <w:rFonts w:eastAsia="Times"/>
              </w:rPr>
              <w:t>G.</w:t>
            </w:r>
            <w:r w:rsidR="00476243" w:rsidRPr="00F83B8D">
              <w:rPr>
                <w:rFonts w:eastAsiaTheme="minorEastAsia"/>
                <w:bCs w:val="0"/>
                <w:kern w:val="2"/>
                <w:szCs w:val="24"/>
                <w14:ligatures w14:val="standardContextual"/>
              </w:rPr>
              <w:tab/>
            </w:r>
            <w:r w:rsidR="00476243" w:rsidRPr="00F83B8D">
              <w:rPr>
                <w:rStyle w:val="Hyperlink"/>
                <w:rFonts w:eastAsia="Times"/>
              </w:rPr>
              <w:t>Reporting Requirements</w:t>
            </w:r>
            <w:r w:rsidR="00476243" w:rsidRPr="00F83B8D">
              <w:rPr>
                <w:webHidden/>
              </w:rPr>
              <w:tab/>
            </w:r>
            <w:r w:rsidR="00476243" w:rsidRPr="00F83B8D">
              <w:rPr>
                <w:webHidden/>
              </w:rPr>
              <w:fldChar w:fldCharType="begin"/>
            </w:r>
            <w:r w:rsidR="00476243" w:rsidRPr="00F83B8D">
              <w:rPr>
                <w:webHidden/>
              </w:rPr>
              <w:instrText xml:space="preserve"> PAGEREF _Toc158361621 \h </w:instrText>
            </w:r>
            <w:r w:rsidR="00476243" w:rsidRPr="00F83B8D">
              <w:rPr>
                <w:webHidden/>
              </w:rPr>
            </w:r>
            <w:r w:rsidR="00476243" w:rsidRPr="00F83B8D">
              <w:rPr>
                <w:webHidden/>
              </w:rPr>
              <w:fldChar w:fldCharType="separate"/>
            </w:r>
            <w:r w:rsidR="002C6968" w:rsidRPr="00F83B8D">
              <w:rPr>
                <w:webHidden/>
              </w:rPr>
              <w:t>34</w:t>
            </w:r>
            <w:r w:rsidR="00476243" w:rsidRPr="00F83B8D">
              <w:rPr>
                <w:webHidden/>
              </w:rPr>
              <w:fldChar w:fldCharType="end"/>
            </w:r>
          </w:hyperlink>
        </w:p>
        <w:p w14:paraId="5EF63C1E" w14:textId="7BB5B92D" w:rsidR="00476243" w:rsidRPr="00F83B8D" w:rsidRDefault="00000000">
          <w:pPr>
            <w:pStyle w:val="TOC3"/>
            <w:rPr>
              <w:rFonts w:eastAsiaTheme="minorEastAsia"/>
              <w:bCs w:val="0"/>
              <w:kern w:val="2"/>
              <w:szCs w:val="24"/>
              <w14:ligatures w14:val="standardContextual"/>
            </w:rPr>
          </w:pPr>
          <w:hyperlink w:anchor="_Toc158361622" w:history="1">
            <w:r w:rsidR="00476243" w:rsidRPr="00F83B8D">
              <w:rPr>
                <w:rStyle w:val="Hyperlink"/>
                <w:rFonts w:eastAsia="Times"/>
              </w:rPr>
              <w:t>H.</w:t>
            </w:r>
            <w:r w:rsidR="00476243" w:rsidRPr="00F83B8D">
              <w:rPr>
                <w:rFonts w:eastAsiaTheme="minorEastAsia"/>
                <w:bCs w:val="0"/>
                <w:kern w:val="2"/>
                <w:szCs w:val="24"/>
                <w14:ligatures w14:val="standardContextual"/>
              </w:rPr>
              <w:tab/>
            </w:r>
            <w:r w:rsidR="00476243" w:rsidRPr="00F83B8D">
              <w:rPr>
                <w:rStyle w:val="Hyperlink"/>
                <w:rFonts w:eastAsia="Times"/>
              </w:rPr>
              <w:t>Programmatic Reporting</w:t>
            </w:r>
            <w:r w:rsidR="00476243" w:rsidRPr="00F83B8D">
              <w:rPr>
                <w:webHidden/>
              </w:rPr>
              <w:tab/>
            </w:r>
            <w:r w:rsidR="00476243" w:rsidRPr="00F83B8D">
              <w:rPr>
                <w:webHidden/>
              </w:rPr>
              <w:fldChar w:fldCharType="begin"/>
            </w:r>
            <w:r w:rsidR="00476243" w:rsidRPr="00F83B8D">
              <w:rPr>
                <w:webHidden/>
              </w:rPr>
              <w:instrText xml:space="preserve"> PAGEREF _Toc158361622 \h </w:instrText>
            </w:r>
            <w:r w:rsidR="00476243" w:rsidRPr="00F83B8D">
              <w:rPr>
                <w:webHidden/>
              </w:rPr>
            </w:r>
            <w:r w:rsidR="00476243" w:rsidRPr="00F83B8D">
              <w:rPr>
                <w:webHidden/>
              </w:rPr>
              <w:fldChar w:fldCharType="separate"/>
            </w:r>
            <w:r w:rsidR="002C6968" w:rsidRPr="00F83B8D">
              <w:rPr>
                <w:webHidden/>
              </w:rPr>
              <w:t>34</w:t>
            </w:r>
            <w:r w:rsidR="00476243" w:rsidRPr="00F83B8D">
              <w:rPr>
                <w:webHidden/>
              </w:rPr>
              <w:fldChar w:fldCharType="end"/>
            </w:r>
          </w:hyperlink>
        </w:p>
        <w:p w14:paraId="276D2364" w14:textId="17DD7F07" w:rsidR="00476243" w:rsidRPr="00F83B8D" w:rsidRDefault="00000000">
          <w:pPr>
            <w:pStyle w:val="TOC3"/>
            <w:rPr>
              <w:rFonts w:eastAsiaTheme="minorEastAsia"/>
              <w:bCs w:val="0"/>
              <w:kern w:val="2"/>
              <w:szCs w:val="24"/>
              <w14:ligatures w14:val="standardContextual"/>
            </w:rPr>
          </w:pPr>
          <w:hyperlink w:anchor="_Toc158361623" w:history="1">
            <w:r w:rsidR="00476243" w:rsidRPr="00F83B8D">
              <w:rPr>
                <w:rStyle w:val="Hyperlink"/>
              </w:rPr>
              <w:t>I.</w:t>
            </w:r>
            <w:r w:rsidR="00476243" w:rsidRPr="00F83B8D">
              <w:rPr>
                <w:rFonts w:eastAsiaTheme="minorEastAsia"/>
                <w:bCs w:val="0"/>
                <w:kern w:val="2"/>
                <w:szCs w:val="24"/>
                <w14:ligatures w14:val="standardContextual"/>
              </w:rPr>
              <w:tab/>
            </w:r>
            <w:r w:rsidR="00476243" w:rsidRPr="00F83B8D">
              <w:rPr>
                <w:rStyle w:val="Hyperlink"/>
              </w:rPr>
              <w:t>Fiscal Reporting</w:t>
            </w:r>
            <w:r w:rsidR="00476243" w:rsidRPr="00F83B8D">
              <w:rPr>
                <w:webHidden/>
              </w:rPr>
              <w:tab/>
            </w:r>
            <w:r w:rsidR="00476243" w:rsidRPr="00F83B8D">
              <w:rPr>
                <w:webHidden/>
              </w:rPr>
              <w:fldChar w:fldCharType="begin"/>
            </w:r>
            <w:r w:rsidR="00476243" w:rsidRPr="00F83B8D">
              <w:rPr>
                <w:webHidden/>
              </w:rPr>
              <w:instrText xml:space="preserve"> PAGEREF _Toc158361623 \h </w:instrText>
            </w:r>
            <w:r w:rsidR="00476243" w:rsidRPr="00F83B8D">
              <w:rPr>
                <w:webHidden/>
              </w:rPr>
            </w:r>
            <w:r w:rsidR="00476243" w:rsidRPr="00F83B8D">
              <w:rPr>
                <w:webHidden/>
              </w:rPr>
              <w:fldChar w:fldCharType="separate"/>
            </w:r>
            <w:r w:rsidR="002C6968" w:rsidRPr="00F83B8D">
              <w:rPr>
                <w:webHidden/>
              </w:rPr>
              <w:t>35</w:t>
            </w:r>
            <w:r w:rsidR="00476243" w:rsidRPr="00F83B8D">
              <w:rPr>
                <w:webHidden/>
              </w:rPr>
              <w:fldChar w:fldCharType="end"/>
            </w:r>
          </w:hyperlink>
        </w:p>
        <w:p w14:paraId="20F37AA9" w14:textId="17AAE9DC" w:rsidR="00476243" w:rsidRPr="00F83B8D" w:rsidRDefault="00000000">
          <w:pPr>
            <w:pStyle w:val="TOC3"/>
            <w:rPr>
              <w:rFonts w:eastAsiaTheme="minorEastAsia"/>
              <w:bCs w:val="0"/>
              <w:kern w:val="2"/>
              <w:szCs w:val="24"/>
              <w14:ligatures w14:val="standardContextual"/>
            </w:rPr>
          </w:pPr>
          <w:hyperlink w:anchor="_Toc158361624" w:history="1">
            <w:r w:rsidR="00476243" w:rsidRPr="00F83B8D">
              <w:rPr>
                <w:rStyle w:val="Hyperlink"/>
              </w:rPr>
              <w:t>J.</w:t>
            </w:r>
            <w:r w:rsidR="00476243" w:rsidRPr="00F83B8D">
              <w:rPr>
                <w:rFonts w:eastAsiaTheme="minorEastAsia"/>
                <w:bCs w:val="0"/>
                <w:kern w:val="2"/>
                <w:szCs w:val="24"/>
                <w14:ligatures w14:val="standardContextual"/>
              </w:rPr>
              <w:tab/>
            </w:r>
            <w:r w:rsidR="00476243" w:rsidRPr="00F83B8D">
              <w:rPr>
                <w:rStyle w:val="Hyperlink"/>
              </w:rPr>
              <w:t>Allowable and Reasonable Costs</w:t>
            </w:r>
            <w:r w:rsidR="00476243" w:rsidRPr="00F83B8D">
              <w:rPr>
                <w:webHidden/>
              </w:rPr>
              <w:tab/>
            </w:r>
            <w:r w:rsidR="00476243" w:rsidRPr="00F83B8D">
              <w:rPr>
                <w:webHidden/>
              </w:rPr>
              <w:fldChar w:fldCharType="begin"/>
            </w:r>
            <w:r w:rsidR="00476243" w:rsidRPr="00F83B8D">
              <w:rPr>
                <w:webHidden/>
              </w:rPr>
              <w:instrText xml:space="preserve"> PAGEREF _Toc158361624 \h </w:instrText>
            </w:r>
            <w:r w:rsidR="00476243" w:rsidRPr="00F83B8D">
              <w:rPr>
                <w:webHidden/>
              </w:rPr>
            </w:r>
            <w:r w:rsidR="00476243" w:rsidRPr="00F83B8D">
              <w:rPr>
                <w:webHidden/>
              </w:rPr>
              <w:fldChar w:fldCharType="separate"/>
            </w:r>
            <w:r w:rsidR="002C6968" w:rsidRPr="00F83B8D">
              <w:rPr>
                <w:webHidden/>
              </w:rPr>
              <w:t>36</w:t>
            </w:r>
            <w:r w:rsidR="00476243" w:rsidRPr="00F83B8D">
              <w:rPr>
                <w:webHidden/>
              </w:rPr>
              <w:fldChar w:fldCharType="end"/>
            </w:r>
          </w:hyperlink>
        </w:p>
        <w:p w14:paraId="37B57C3D" w14:textId="285EF312" w:rsidR="00476243" w:rsidRPr="00F83B8D" w:rsidRDefault="00000000">
          <w:pPr>
            <w:pStyle w:val="TOC3"/>
            <w:rPr>
              <w:rFonts w:eastAsiaTheme="minorEastAsia"/>
              <w:bCs w:val="0"/>
              <w:kern w:val="2"/>
              <w:szCs w:val="24"/>
              <w14:ligatures w14:val="standardContextual"/>
            </w:rPr>
          </w:pPr>
          <w:hyperlink w:anchor="_Toc158361625" w:history="1">
            <w:r w:rsidR="00476243" w:rsidRPr="00F83B8D">
              <w:rPr>
                <w:rStyle w:val="Hyperlink"/>
                <w:rFonts w:eastAsia="Calibri"/>
              </w:rPr>
              <w:t>K.</w:t>
            </w:r>
            <w:r w:rsidR="00476243" w:rsidRPr="00F83B8D">
              <w:rPr>
                <w:rFonts w:eastAsiaTheme="minorEastAsia"/>
                <w:bCs w:val="0"/>
                <w:kern w:val="2"/>
                <w:szCs w:val="24"/>
                <w14:ligatures w14:val="standardContextual"/>
              </w:rPr>
              <w:tab/>
            </w:r>
            <w:r w:rsidR="00476243" w:rsidRPr="00F83B8D">
              <w:rPr>
                <w:rStyle w:val="Hyperlink"/>
                <w:rFonts w:eastAsia="Calibri"/>
              </w:rPr>
              <w:t>Unallowable Costs</w:t>
            </w:r>
            <w:r w:rsidR="00476243" w:rsidRPr="00F83B8D">
              <w:rPr>
                <w:webHidden/>
              </w:rPr>
              <w:tab/>
            </w:r>
            <w:r w:rsidR="00476243" w:rsidRPr="00F83B8D">
              <w:rPr>
                <w:webHidden/>
              </w:rPr>
              <w:fldChar w:fldCharType="begin"/>
            </w:r>
            <w:r w:rsidR="00476243" w:rsidRPr="00F83B8D">
              <w:rPr>
                <w:webHidden/>
              </w:rPr>
              <w:instrText xml:space="preserve"> PAGEREF _Toc158361625 \h </w:instrText>
            </w:r>
            <w:r w:rsidR="00476243" w:rsidRPr="00F83B8D">
              <w:rPr>
                <w:webHidden/>
              </w:rPr>
            </w:r>
            <w:r w:rsidR="00476243" w:rsidRPr="00F83B8D">
              <w:rPr>
                <w:webHidden/>
              </w:rPr>
              <w:fldChar w:fldCharType="separate"/>
            </w:r>
            <w:r w:rsidR="002C6968" w:rsidRPr="00F83B8D">
              <w:rPr>
                <w:webHidden/>
              </w:rPr>
              <w:t>37</w:t>
            </w:r>
            <w:r w:rsidR="00476243" w:rsidRPr="00F83B8D">
              <w:rPr>
                <w:webHidden/>
              </w:rPr>
              <w:fldChar w:fldCharType="end"/>
            </w:r>
          </w:hyperlink>
        </w:p>
        <w:p w14:paraId="486BF7A4" w14:textId="3B9BCCE6" w:rsidR="00476243" w:rsidRPr="00F83B8D" w:rsidRDefault="00000000">
          <w:pPr>
            <w:pStyle w:val="TOC3"/>
            <w:rPr>
              <w:rFonts w:eastAsiaTheme="minorEastAsia"/>
              <w:bCs w:val="0"/>
              <w:kern w:val="2"/>
              <w:szCs w:val="24"/>
              <w14:ligatures w14:val="standardContextual"/>
            </w:rPr>
          </w:pPr>
          <w:hyperlink w:anchor="_Toc158361626" w:history="1">
            <w:r w:rsidR="00476243" w:rsidRPr="00F83B8D">
              <w:rPr>
                <w:rStyle w:val="Hyperlink"/>
                <w:rFonts w:eastAsia="Calibri"/>
              </w:rPr>
              <w:t>L.</w:t>
            </w:r>
            <w:r w:rsidR="00476243" w:rsidRPr="00F83B8D">
              <w:rPr>
                <w:rFonts w:eastAsiaTheme="minorEastAsia"/>
                <w:bCs w:val="0"/>
                <w:kern w:val="2"/>
                <w:szCs w:val="24"/>
                <w14:ligatures w14:val="standardContextual"/>
              </w:rPr>
              <w:tab/>
            </w:r>
            <w:r w:rsidR="00476243" w:rsidRPr="00F83B8D">
              <w:rPr>
                <w:rStyle w:val="Hyperlink"/>
                <w:rFonts w:eastAsia="Calibri"/>
              </w:rPr>
              <w:t>Costs Requiring California Department of Education Approval</w:t>
            </w:r>
            <w:r w:rsidR="00476243" w:rsidRPr="00F83B8D">
              <w:rPr>
                <w:webHidden/>
              </w:rPr>
              <w:tab/>
            </w:r>
            <w:r w:rsidR="00476243" w:rsidRPr="00F83B8D">
              <w:rPr>
                <w:webHidden/>
              </w:rPr>
              <w:fldChar w:fldCharType="begin"/>
            </w:r>
            <w:r w:rsidR="00476243" w:rsidRPr="00F83B8D">
              <w:rPr>
                <w:webHidden/>
              </w:rPr>
              <w:instrText xml:space="preserve"> PAGEREF _Toc158361626 \h </w:instrText>
            </w:r>
            <w:r w:rsidR="00476243" w:rsidRPr="00F83B8D">
              <w:rPr>
                <w:webHidden/>
              </w:rPr>
            </w:r>
            <w:r w:rsidR="00476243" w:rsidRPr="00F83B8D">
              <w:rPr>
                <w:webHidden/>
              </w:rPr>
              <w:fldChar w:fldCharType="separate"/>
            </w:r>
            <w:r w:rsidR="002C6968" w:rsidRPr="00F83B8D">
              <w:rPr>
                <w:webHidden/>
              </w:rPr>
              <w:t>39</w:t>
            </w:r>
            <w:r w:rsidR="00476243" w:rsidRPr="00F83B8D">
              <w:rPr>
                <w:webHidden/>
              </w:rPr>
              <w:fldChar w:fldCharType="end"/>
            </w:r>
          </w:hyperlink>
        </w:p>
        <w:p w14:paraId="6FDC930F" w14:textId="7108335B" w:rsidR="006E6BE0" w:rsidRPr="00F83B8D" w:rsidRDefault="006E6BE0">
          <w:r w:rsidRPr="00F83B8D">
            <w:rPr>
              <w:b/>
              <w:noProof/>
            </w:rPr>
            <w:fldChar w:fldCharType="end"/>
          </w:r>
        </w:p>
      </w:sdtContent>
    </w:sdt>
    <w:bookmarkEnd w:id="19" w:displacedByCustomXml="prev"/>
    <w:p w14:paraId="1B05264E" w14:textId="77777777" w:rsidR="00A90C8D" w:rsidRPr="00F83B8D" w:rsidRDefault="00A90C8D" w:rsidP="00396AE2">
      <w:pPr>
        <w:spacing w:after="240"/>
        <w:rPr>
          <w:b/>
        </w:rPr>
      </w:pPr>
    </w:p>
    <w:p w14:paraId="6F61555B" w14:textId="77777777" w:rsidR="00AE2D08" w:rsidRPr="00F83B8D" w:rsidRDefault="00C472BC" w:rsidP="00C472BC">
      <w:pPr>
        <w:tabs>
          <w:tab w:val="center" w:pos="4680"/>
        </w:tabs>
        <w:sectPr w:rsidR="00AE2D08" w:rsidRPr="00F83B8D" w:rsidSect="00E2116E">
          <w:footerReference w:type="default" r:id="rId9"/>
          <w:footerReference w:type="first" r:id="rId10"/>
          <w:pgSz w:w="12240" w:h="15840" w:code="1"/>
          <w:pgMar w:top="1440" w:right="1440" w:bottom="864" w:left="1440" w:header="720" w:footer="720" w:gutter="0"/>
          <w:pgNumType w:fmt="lowerRoman" w:start="1"/>
          <w:cols w:space="720"/>
          <w:docGrid w:linePitch="326"/>
        </w:sectPr>
      </w:pPr>
      <w:r w:rsidRPr="00F83B8D">
        <w:tab/>
      </w:r>
    </w:p>
    <w:p w14:paraId="7A2D425A" w14:textId="7EAE4267" w:rsidR="00FC5408" w:rsidRPr="00F83B8D" w:rsidRDefault="00D544E6" w:rsidP="005F66D9">
      <w:pPr>
        <w:pStyle w:val="Heading2"/>
        <w:spacing w:before="360"/>
      </w:pPr>
      <w:bookmarkStart w:id="20" w:name="_Toc158361582"/>
      <w:r w:rsidRPr="00F83B8D">
        <w:lastRenderedPageBreak/>
        <w:t>INTRODUCTION</w:t>
      </w:r>
      <w:bookmarkEnd w:id="20"/>
    </w:p>
    <w:p w14:paraId="1F908DC8" w14:textId="77777777" w:rsidR="00732EFE" w:rsidRPr="00F83B8D" w:rsidRDefault="00732EFE" w:rsidP="00B36AD4">
      <w:pPr>
        <w:pStyle w:val="Heading3"/>
        <w:numPr>
          <w:ilvl w:val="0"/>
          <w:numId w:val="9"/>
        </w:numPr>
        <w:tabs>
          <w:tab w:val="clear" w:pos="960"/>
          <w:tab w:val="clear" w:pos="1440"/>
          <w:tab w:val="clear" w:pos="1800"/>
          <w:tab w:val="clear" w:pos="2160"/>
        </w:tabs>
        <w:spacing w:before="360" w:after="240"/>
      </w:pPr>
      <w:bookmarkStart w:id="21" w:name="_Toc158361583"/>
      <w:r w:rsidRPr="00F83B8D">
        <w:t>Purpose</w:t>
      </w:r>
      <w:bookmarkEnd w:id="21"/>
    </w:p>
    <w:p w14:paraId="079BE343" w14:textId="3E8CD99A" w:rsidR="00396AE2" w:rsidRPr="00F83B8D" w:rsidRDefault="00732EFE" w:rsidP="00396AE2">
      <w:pPr>
        <w:tabs>
          <w:tab w:val="left" w:pos="5040"/>
        </w:tabs>
        <w:spacing w:after="240"/>
        <w:ind w:left="720"/>
        <w:rPr>
          <w:bCs w:val="0"/>
          <w:szCs w:val="24"/>
        </w:rPr>
      </w:pPr>
      <w:r w:rsidRPr="00F83B8D">
        <w:t xml:space="preserve">The purpose </w:t>
      </w:r>
      <w:r w:rsidR="00396AE2" w:rsidRPr="00F83B8D">
        <w:rPr>
          <w:bCs w:val="0"/>
          <w:szCs w:val="24"/>
        </w:rPr>
        <w:t>of this grant award process is to enable American Indian Education Centers (AIEC)</w:t>
      </w:r>
      <w:r w:rsidR="00E23421" w:rsidRPr="00F83B8D">
        <w:rPr>
          <w:bCs w:val="0"/>
          <w:szCs w:val="24"/>
        </w:rPr>
        <w:t>,</w:t>
      </w:r>
      <w:r w:rsidR="00396AE2" w:rsidRPr="00F83B8D">
        <w:rPr>
          <w:bCs w:val="0"/>
          <w:szCs w:val="24"/>
        </w:rPr>
        <w:t xml:space="preserve"> </w:t>
      </w:r>
      <w:r w:rsidR="00E23421" w:rsidRPr="00F83B8D">
        <w:rPr>
          <w:bCs w:val="0"/>
          <w:szCs w:val="24"/>
        </w:rPr>
        <w:t xml:space="preserve">funded by the California Department of Education (CDE) under California </w:t>
      </w:r>
      <w:r w:rsidR="00E23421" w:rsidRPr="00F83B8D">
        <w:rPr>
          <w:bCs w:val="0"/>
          <w:i/>
          <w:szCs w:val="24"/>
        </w:rPr>
        <w:t>Education Code</w:t>
      </w:r>
      <w:r w:rsidR="00E23421" w:rsidRPr="00F83B8D">
        <w:rPr>
          <w:bCs w:val="0"/>
          <w:szCs w:val="24"/>
        </w:rPr>
        <w:t xml:space="preserve"> </w:t>
      </w:r>
      <w:r w:rsidR="00002D29" w:rsidRPr="00F83B8D">
        <w:rPr>
          <w:bCs w:val="0"/>
          <w:szCs w:val="24"/>
        </w:rPr>
        <w:t>(</w:t>
      </w:r>
      <w:r w:rsidR="00002D29" w:rsidRPr="00F83B8D">
        <w:rPr>
          <w:bCs w:val="0"/>
          <w:i/>
          <w:iCs/>
          <w:szCs w:val="24"/>
        </w:rPr>
        <w:t>EC</w:t>
      </w:r>
      <w:r w:rsidR="00002D29" w:rsidRPr="00F83B8D">
        <w:rPr>
          <w:bCs w:val="0"/>
          <w:szCs w:val="24"/>
        </w:rPr>
        <w:t xml:space="preserve">) </w:t>
      </w:r>
      <w:r w:rsidR="00E23421" w:rsidRPr="00F83B8D">
        <w:rPr>
          <w:bCs w:val="0"/>
          <w:szCs w:val="24"/>
        </w:rPr>
        <w:t xml:space="preserve">sections 33380-84, </w:t>
      </w:r>
      <w:r w:rsidR="00396AE2" w:rsidRPr="00F83B8D">
        <w:rPr>
          <w:bCs w:val="0"/>
          <w:szCs w:val="24"/>
        </w:rPr>
        <w:t>to implement supplemental prevention education, intervention, and cessation programs, and youth development programs directed at the reduction of commercial tobacco use among youths.</w:t>
      </w:r>
    </w:p>
    <w:p w14:paraId="026A3E43" w14:textId="77777777" w:rsidR="00396AE2" w:rsidRPr="00F83B8D" w:rsidRDefault="00396AE2" w:rsidP="00396AE2">
      <w:pPr>
        <w:tabs>
          <w:tab w:val="left" w:pos="5040"/>
        </w:tabs>
        <w:spacing w:after="240"/>
        <w:ind w:left="720"/>
        <w:rPr>
          <w:bCs w:val="0"/>
          <w:szCs w:val="24"/>
        </w:rPr>
      </w:pPr>
      <w:r w:rsidRPr="00F83B8D">
        <w:rPr>
          <w:bCs w:val="0"/>
          <w:szCs w:val="24"/>
        </w:rPr>
        <w:t>The proposed programs must:</w:t>
      </w:r>
    </w:p>
    <w:p w14:paraId="40E3374E" w14:textId="77777777" w:rsidR="00396AE2" w:rsidRPr="00F83B8D" w:rsidRDefault="00396AE2" w:rsidP="00991C5B">
      <w:pPr>
        <w:numPr>
          <w:ilvl w:val="0"/>
          <w:numId w:val="47"/>
        </w:numPr>
        <w:tabs>
          <w:tab w:val="left" w:pos="1080"/>
        </w:tabs>
        <w:spacing w:after="240"/>
        <w:ind w:left="1440"/>
        <w:rPr>
          <w:bCs w:val="0"/>
          <w:szCs w:val="24"/>
        </w:rPr>
      </w:pPr>
      <w:r w:rsidRPr="00F83B8D">
        <w:rPr>
          <w:bCs w:val="0"/>
          <w:szCs w:val="24"/>
        </w:rPr>
        <w:t>Implement research validated Tobacco-Use Prevention Education Programs (TUPE)</w:t>
      </w:r>
    </w:p>
    <w:p w14:paraId="67CD7032" w14:textId="77777777" w:rsidR="00396AE2" w:rsidRPr="00F83B8D" w:rsidRDefault="00396AE2" w:rsidP="00991C5B">
      <w:pPr>
        <w:numPr>
          <w:ilvl w:val="0"/>
          <w:numId w:val="47"/>
        </w:numPr>
        <w:tabs>
          <w:tab w:val="left" w:pos="1080"/>
        </w:tabs>
        <w:spacing w:after="240"/>
        <w:ind w:left="1440"/>
        <w:rPr>
          <w:bCs w:val="0"/>
          <w:szCs w:val="24"/>
        </w:rPr>
      </w:pPr>
      <w:r w:rsidRPr="00F83B8D">
        <w:rPr>
          <w:bCs w:val="0"/>
          <w:szCs w:val="24"/>
        </w:rPr>
        <w:t>Target current smokers and students most at risk for beginning to use commercial tobacco</w:t>
      </w:r>
    </w:p>
    <w:p w14:paraId="4F561C3C" w14:textId="77777777" w:rsidR="00396AE2" w:rsidRPr="00F83B8D" w:rsidRDefault="00396AE2" w:rsidP="00991C5B">
      <w:pPr>
        <w:numPr>
          <w:ilvl w:val="0"/>
          <w:numId w:val="47"/>
        </w:numPr>
        <w:tabs>
          <w:tab w:val="left" w:pos="1080"/>
        </w:tabs>
        <w:spacing w:after="240"/>
        <w:ind w:left="1440"/>
        <w:rPr>
          <w:bCs w:val="0"/>
          <w:szCs w:val="24"/>
        </w:rPr>
      </w:pPr>
      <w:r w:rsidRPr="00F83B8D">
        <w:rPr>
          <w:bCs w:val="0"/>
          <w:szCs w:val="24"/>
        </w:rPr>
        <w:t>Offer cessation and pre-cessation classes or refer students who are current smokers to cessation classes</w:t>
      </w:r>
    </w:p>
    <w:p w14:paraId="3585FD1E" w14:textId="77777777" w:rsidR="00396AE2" w:rsidRPr="00F83B8D" w:rsidRDefault="00396AE2" w:rsidP="00991C5B">
      <w:pPr>
        <w:numPr>
          <w:ilvl w:val="0"/>
          <w:numId w:val="47"/>
        </w:numPr>
        <w:tabs>
          <w:tab w:val="left" w:pos="1080"/>
        </w:tabs>
        <w:spacing w:after="240"/>
        <w:ind w:left="1440"/>
        <w:rPr>
          <w:bCs w:val="0"/>
          <w:szCs w:val="24"/>
        </w:rPr>
      </w:pPr>
      <w:r w:rsidRPr="00F83B8D">
        <w:rPr>
          <w:bCs w:val="0"/>
          <w:szCs w:val="24"/>
        </w:rPr>
        <w:t>Utilize existing antismoking resources, including local antismoking efforts by local lead agencies and competitive grant recipients</w:t>
      </w:r>
    </w:p>
    <w:p w14:paraId="704C4123" w14:textId="77777777" w:rsidR="00A62F48" w:rsidRPr="00F83B8D" w:rsidRDefault="00396AE2" w:rsidP="00396AE2">
      <w:pPr>
        <w:spacing w:after="480"/>
        <w:ind w:left="720"/>
        <w:rPr>
          <w:bCs w:val="0"/>
          <w:szCs w:val="24"/>
        </w:rPr>
      </w:pPr>
      <w:r w:rsidRPr="00F83B8D">
        <w:rPr>
          <w:bCs w:val="0"/>
          <w:szCs w:val="24"/>
        </w:rPr>
        <w:t>TUPE funds are only intended for the enforcement of Commercial Tobacco-Free Policies, administration of the California Healthy Kids Survey (CHKS), and support for activities that prevent the use of all tobacco products by youth. Use of funds for any non-TUPE purposes is not allowable.</w:t>
      </w:r>
    </w:p>
    <w:p w14:paraId="386BC25E" w14:textId="77777777" w:rsidR="00A62F48" w:rsidRPr="00F83B8D" w:rsidRDefault="00A62F48" w:rsidP="00203B86">
      <w:pPr>
        <w:pStyle w:val="Heading3"/>
        <w:numPr>
          <w:ilvl w:val="0"/>
          <w:numId w:val="9"/>
        </w:numPr>
        <w:spacing w:before="360" w:after="240"/>
      </w:pPr>
      <w:bookmarkStart w:id="22" w:name="_Toc3983556"/>
      <w:bookmarkStart w:id="23" w:name="_Toc158361584"/>
      <w:r w:rsidRPr="00F83B8D">
        <w:t>Background</w:t>
      </w:r>
      <w:bookmarkEnd w:id="22"/>
      <w:bookmarkEnd w:id="23"/>
    </w:p>
    <w:p w14:paraId="190C644C" w14:textId="20570EEF" w:rsidR="00E23421" w:rsidRPr="00F83B8D" w:rsidRDefault="00E23421" w:rsidP="000250E5">
      <w:pPr>
        <w:pStyle w:val="NormalWeb"/>
        <w:shd w:val="clear" w:color="auto" w:fill="FFFFFF"/>
        <w:ind w:left="720"/>
        <w:rPr>
          <w:bCs w:val="0"/>
          <w:color w:val="333333"/>
        </w:rPr>
      </w:pPr>
      <w:r w:rsidRPr="00F83B8D">
        <w:rPr>
          <w:color w:val="333333"/>
        </w:rPr>
        <w:t>Studies show that Native youth are more susceptible to e-cigarette use than their non-Native peers, and they demonstrate disproportionately high experimentation and current use of e-cigarettes. Data from the</w:t>
      </w:r>
      <w:r w:rsidR="00441787" w:rsidRPr="00F83B8D">
        <w:rPr>
          <w:color w:val="333333"/>
        </w:rPr>
        <w:t xml:space="preserve"> Center for Disease Control and Prevention’s</w:t>
      </w:r>
      <w:r w:rsidR="00BF56AF" w:rsidRPr="00F83B8D">
        <w:rPr>
          <w:rStyle w:val="FootnoteReference"/>
          <w:color w:val="007CBA"/>
          <w:u w:val="single"/>
        </w:rPr>
        <w:footnoteReference w:id="2"/>
      </w:r>
      <w:r w:rsidR="009E402E" w:rsidRPr="00F83B8D">
        <w:rPr>
          <w:color w:val="333333"/>
        </w:rPr>
        <w:t xml:space="preserve"> </w:t>
      </w:r>
      <w:r w:rsidR="00441787" w:rsidRPr="00F83B8D">
        <w:rPr>
          <w:color w:val="333333"/>
        </w:rPr>
        <w:t>(CDC)</w:t>
      </w:r>
      <w:r w:rsidR="00864A02" w:rsidRPr="00F83B8D">
        <w:rPr>
          <w:color w:val="333333"/>
        </w:rPr>
        <w:t xml:space="preserve"> located at </w:t>
      </w:r>
      <w:hyperlink r:id="rId11" w:tooltip="Youth Risk Behavior Surveillance Overview " w:history="1">
        <w:r w:rsidR="00BF56AF">
          <w:rPr>
            <w:color w:val="0000FF"/>
            <w:u w:val="single"/>
          </w:rPr>
          <w:t>https://www.cdc.gov/healthyyouth/data/yrbs/overview.htm</w:t>
        </w:r>
      </w:hyperlink>
      <w:r w:rsidRPr="00F83B8D">
        <w:rPr>
          <w:color w:val="333333"/>
        </w:rPr>
        <w:t> indicate that:</w:t>
      </w:r>
    </w:p>
    <w:p w14:paraId="0B706A6A" w14:textId="77777777" w:rsidR="00E23421" w:rsidRPr="00F83B8D" w:rsidRDefault="000250E5" w:rsidP="00002D29">
      <w:pPr>
        <w:numPr>
          <w:ilvl w:val="0"/>
          <w:numId w:val="91"/>
        </w:numPr>
        <w:shd w:val="clear" w:color="auto" w:fill="FFFFFF"/>
        <w:tabs>
          <w:tab w:val="clear" w:pos="720"/>
          <w:tab w:val="num" w:pos="2520"/>
        </w:tabs>
        <w:spacing w:before="240" w:after="240"/>
        <w:ind w:left="1440"/>
        <w:rPr>
          <w:color w:val="333333"/>
        </w:rPr>
      </w:pPr>
      <w:r w:rsidRPr="00F83B8D">
        <w:rPr>
          <w:color w:val="333333"/>
        </w:rPr>
        <w:lastRenderedPageBreak/>
        <w:t xml:space="preserve">American Indian/Alaska Native </w:t>
      </w:r>
      <w:r w:rsidR="00E23421" w:rsidRPr="00F83B8D">
        <w:rPr>
          <w:color w:val="333333"/>
        </w:rPr>
        <w:t>youth are more likely to use e-cigarettes and almost twice as likely to be frequent users of e-cigarettes than high school students overall;</w:t>
      </w:r>
    </w:p>
    <w:p w14:paraId="72AF1DD3" w14:textId="3C45126F" w:rsidR="00E23421" w:rsidRPr="00F83B8D" w:rsidRDefault="00E23421" w:rsidP="00002D29">
      <w:pPr>
        <w:numPr>
          <w:ilvl w:val="0"/>
          <w:numId w:val="91"/>
        </w:numPr>
        <w:shd w:val="clear" w:color="auto" w:fill="FFFFFF"/>
        <w:tabs>
          <w:tab w:val="clear" w:pos="720"/>
          <w:tab w:val="num" w:pos="2160"/>
        </w:tabs>
        <w:spacing w:before="240" w:after="240"/>
        <w:ind w:left="1440"/>
        <w:rPr>
          <w:color w:val="333333"/>
        </w:rPr>
      </w:pPr>
      <w:r w:rsidRPr="00F83B8D">
        <w:rPr>
          <w:color w:val="333333"/>
        </w:rPr>
        <w:t xml:space="preserve">47.3% of </w:t>
      </w:r>
      <w:r w:rsidR="000250E5" w:rsidRPr="00F83B8D">
        <w:rPr>
          <w:color w:val="333333"/>
        </w:rPr>
        <w:t xml:space="preserve">American Indian/Alaska Native </w:t>
      </w:r>
      <w:r w:rsidRPr="00F83B8D">
        <w:rPr>
          <w:color w:val="333333"/>
        </w:rPr>
        <w:t>high school students reported past 30-day use of “electronic vapor products” including e-cigarettes compared to 32.7% of high school students overall; and </w:t>
      </w:r>
    </w:p>
    <w:p w14:paraId="43182622" w14:textId="77777777" w:rsidR="00E23421" w:rsidRPr="00F83B8D" w:rsidRDefault="00E23421" w:rsidP="00002D29">
      <w:pPr>
        <w:numPr>
          <w:ilvl w:val="0"/>
          <w:numId w:val="91"/>
        </w:numPr>
        <w:shd w:val="clear" w:color="auto" w:fill="FFFFFF"/>
        <w:tabs>
          <w:tab w:val="clear" w:pos="720"/>
          <w:tab w:val="num" w:pos="2160"/>
        </w:tabs>
        <w:spacing w:before="240" w:after="240"/>
        <w:ind w:left="1440"/>
        <w:rPr>
          <w:color w:val="333333"/>
          <w:szCs w:val="24"/>
        </w:rPr>
      </w:pPr>
      <w:r w:rsidRPr="00F83B8D">
        <w:rPr>
          <w:color w:val="333333"/>
          <w:szCs w:val="24"/>
        </w:rPr>
        <w:t xml:space="preserve">19.9% of </w:t>
      </w:r>
      <w:r w:rsidR="000250E5" w:rsidRPr="00F83B8D">
        <w:rPr>
          <w:color w:val="333333"/>
          <w:szCs w:val="24"/>
        </w:rPr>
        <w:t xml:space="preserve">American Indian/Alaska Native </w:t>
      </w:r>
      <w:r w:rsidRPr="00F83B8D">
        <w:rPr>
          <w:color w:val="333333"/>
          <w:szCs w:val="24"/>
        </w:rPr>
        <w:t>high school students reported using electronic vapor products frequently (on 20 or more days in the last 30 days) compared to 10.7% of high school students overall.</w:t>
      </w:r>
    </w:p>
    <w:p w14:paraId="744A0356" w14:textId="77777777" w:rsidR="00441787" w:rsidRPr="00F83B8D" w:rsidRDefault="00396AE2" w:rsidP="00002D29">
      <w:pPr>
        <w:spacing w:before="240" w:after="240"/>
        <w:ind w:left="720"/>
        <w:rPr>
          <w:bCs w:val="0"/>
          <w:szCs w:val="24"/>
        </w:rPr>
      </w:pPr>
      <w:r w:rsidRPr="00F83B8D">
        <w:t>Cigarette smoking is</w:t>
      </w:r>
      <w:r w:rsidRPr="00F83B8D">
        <w:rPr>
          <w:b/>
          <w:bCs w:val="0"/>
          <w:szCs w:val="24"/>
        </w:rPr>
        <w:t xml:space="preserve"> </w:t>
      </w:r>
      <w:r w:rsidRPr="00F83B8D">
        <w:rPr>
          <w:bCs w:val="0"/>
          <w:szCs w:val="24"/>
        </w:rPr>
        <w:t>the leading cause of preventable disease and death in the United States (U.S.), accounting for more than 480,000 deaths every year, or 1 of every 5 deaths.</w:t>
      </w:r>
      <w:r w:rsidRPr="00F83B8D">
        <w:rPr>
          <w:bCs w:val="0"/>
          <w:szCs w:val="24"/>
          <w:vertAlign w:val="superscript"/>
        </w:rPr>
        <w:footnoteReference w:id="3"/>
      </w:r>
      <w:r w:rsidRPr="00F83B8D">
        <w:rPr>
          <w:bCs w:val="0"/>
          <w:szCs w:val="24"/>
        </w:rPr>
        <w:t xml:space="preserve"> </w:t>
      </w:r>
      <w:r w:rsidR="00441787" w:rsidRPr="00F83B8D">
        <w:rPr>
          <w:bCs w:val="0"/>
          <w:szCs w:val="24"/>
        </w:rPr>
        <w:t>CDC Facts</w:t>
      </w:r>
      <w:r w:rsidR="00441787" w:rsidRPr="00F83B8D">
        <w:rPr>
          <w:rStyle w:val="FootnoteReference"/>
          <w:bCs w:val="0"/>
          <w:szCs w:val="24"/>
        </w:rPr>
        <w:footnoteReference w:id="4"/>
      </w:r>
      <w:r w:rsidR="00441787" w:rsidRPr="00F83B8D">
        <w:rPr>
          <w:bCs w:val="0"/>
          <w:szCs w:val="24"/>
        </w:rPr>
        <w:t>:</w:t>
      </w:r>
    </w:p>
    <w:p w14:paraId="68AA8BC5" w14:textId="0995E2E7"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Smoking leads to disease and disability and harms nearly every organ of the body.</w:t>
      </w:r>
    </w:p>
    <w:p w14:paraId="71C102F8" w14:textId="5C1E7AA4"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Cigarette smoking remains the leading cause of preventable disease, disability, and death in the U</w:t>
      </w:r>
      <w:r w:rsidR="003472BB" w:rsidRPr="00F83B8D">
        <w:rPr>
          <w:bCs w:val="0"/>
          <w:color w:val="000000"/>
          <w:szCs w:val="24"/>
        </w:rPr>
        <w:t>.S</w:t>
      </w:r>
      <w:r w:rsidRPr="00F83B8D">
        <w:rPr>
          <w:bCs w:val="0"/>
          <w:color w:val="000000"/>
          <w:szCs w:val="24"/>
        </w:rPr>
        <w:t>.</w:t>
      </w:r>
    </w:p>
    <w:p w14:paraId="3847CF53" w14:textId="77777777"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The tobacco industry spends billions of dollars each year on marketing cigarettes.</w:t>
      </w:r>
    </w:p>
    <w:p w14:paraId="586D1974" w14:textId="4739C225"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 xml:space="preserve">Smoking costs the </w:t>
      </w:r>
      <w:r w:rsidR="003472BB" w:rsidRPr="00F83B8D">
        <w:rPr>
          <w:bCs w:val="0"/>
          <w:color w:val="000000"/>
          <w:szCs w:val="24"/>
        </w:rPr>
        <w:t xml:space="preserve">U.S. </w:t>
      </w:r>
      <w:r w:rsidRPr="00F83B8D">
        <w:rPr>
          <w:bCs w:val="0"/>
          <w:color w:val="000000"/>
          <w:szCs w:val="24"/>
        </w:rPr>
        <w:t>hundreds of billions of dollars each year.</w:t>
      </w:r>
    </w:p>
    <w:p w14:paraId="15353A85" w14:textId="3260A0D4"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In 2021, 11.5</w:t>
      </w:r>
      <w:r w:rsidR="00002D29" w:rsidRPr="00F83B8D">
        <w:rPr>
          <w:bCs w:val="0"/>
          <w:color w:val="000000"/>
          <w:szCs w:val="24"/>
        </w:rPr>
        <w:t xml:space="preserve"> percent</w:t>
      </w:r>
      <w:r w:rsidRPr="00F83B8D">
        <w:rPr>
          <w:bCs w:val="0"/>
          <w:color w:val="000000"/>
          <w:szCs w:val="24"/>
        </w:rPr>
        <w:t xml:space="preserve"> of U.S. adults (an estimated 28.3 million people) currently smoked cigarettes: 13.1</w:t>
      </w:r>
      <w:r w:rsidR="00002D29" w:rsidRPr="00F83B8D">
        <w:rPr>
          <w:bCs w:val="0"/>
          <w:color w:val="000000"/>
          <w:szCs w:val="24"/>
        </w:rPr>
        <w:t xml:space="preserve">percent </w:t>
      </w:r>
      <w:r w:rsidRPr="00F83B8D">
        <w:rPr>
          <w:bCs w:val="0"/>
          <w:color w:val="000000"/>
          <w:szCs w:val="24"/>
        </w:rPr>
        <w:t>of men, 10.1</w:t>
      </w:r>
      <w:r w:rsidR="00002D29" w:rsidRPr="00F83B8D">
        <w:rPr>
          <w:bCs w:val="0"/>
          <w:color w:val="000000"/>
          <w:szCs w:val="24"/>
        </w:rPr>
        <w:t xml:space="preserve"> percent</w:t>
      </w:r>
      <w:r w:rsidRPr="00F83B8D">
        <w:rPr>
          <w:bCs w:val="0"/>
          <w:color w:val="000000"/>
          <w:szCs w:val="24"/>
        </w:rPr>
        <w:t xml:space="preserve"> of women.</w:t>
      </w:r>
    </w:p>
    <w:p w14:paraId="0568D15B" w14:textId="77777777"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Each day, about 1,600 youth try their first cigarette.</w:t>
      </w:r>
    </w:p>
    <w:p w14:paraId="6B830249" w14:textId="77777777" w:rsidR="00441787" w:rsidRPr="00F83B8D" w:rsidRDefault="00441787" w:rsidP="00002D29">
      <w:pPr>
        <w:numPr>
          <w:ilvl w:val="0"/>
          <w:numId w:val="92"/>
        </w:numPr>
        <w:shd w:val="clear" w:color="auto" w:fill="FFFFFF"/>
        <w:spacing w:before="240" w:after="240"/>
        <w:rPr>
          <w:bCs w:val="0"/>
          <w:color w:val="000000"/>
          <w:szCs w:val="24"/>
        </w:rPr>
      </w:pPr>
      <w:r w:rsidRPr="00F83B8D">
        <w:rPr>
          <w:bCs w:val="0"/>
          <w:color w:val="000000"/>
          <w:szCs w:val="24"/>
        </w:rPr>
        <w:t>Many adult cigarette smokers want to quit smoking.</w:t>
      </w:r>
    </w:p>
    <w:p w14:paraId="1FBD595F" w14:textId="6DD0C139" w:rsidR="00396AE2" w:rsidRPr="00F83B8D" w:rsidRDefault="002A1ED6" w:rsidP="00002D29">
      <w:pPr>
        <w:spacing w:before="240" w:after="240"/>
        <w:rPr>
          <w:bCs w:val="0"/>
          <w:szCs w:val="24"/>
        </w:rPr>
      </w:pPr>
      <w:r w:rsidRPr="00F83B8D">
        <w:rPr>
          <w:color w:val="000000"/>
          <w:szCs w:val="24"/>
          <w:shd w:val="clear" w:color="auto" w:fill="FFFFFF"/>
        </w:rPr>
        <w:t>In 2020, an estimated 3.7 million people identified as American Indian and Alaska Native (AI/AN) alone, accounting for 1.1</w:t>
      </w:r>
      <w:r w:rsidR="00707403" w:rsidRPr="00F83B8D">
        <w:rPr>
          <w:color w:val="000000"/>
          <w:szCs w:val="24"/>
          <w:shd w:val="clear" w:color="auto" w:fill="FFFFFF"/>
        </w:rPr>
        <w:t xml:space="preserve"> </w:t>
      </w:r>
      <w:r w:rsidRPr="00F83B8D">
        <w:rPr>
          <w:color w:val="000000"/>
          <w:szCs w:val="24"/>
          <w:shd w:val="clear" w:color="auto" w:fill="FFFFFF"/>
        </w:rPr>
        <w:t xml:space="preserve">percent of all people living in the </w:t>
      </w:r>
      <w:r w:rsidR="003472BB" w:rsidRPr="00F83B8D">
        <w:rPr>
          <w:color w:val="000000"/>
          <w:szCs w:val="24"/>
          <w:shd w:val="clear" w:color="auto" w:fill="FFFFFF"/>
        </w:rPr>
        <w:t xml:space="preserve">U.S. </w:t>
      </w:r>
      <w:r w:rsidRPr="00F83B8D">
        <w:rPr>
          <w:color w:val="000000"/>
          <w:szCs w:val="24"/>
          <w:shd w:val="clear" w:color="auto" w:fill="FFFFFF"/>
        </w:rPr>
        <w:t xml:space="preserve">An additional 5.9 million people identified as American Indian and Alaska Native and another race group. This makes the total of American Indian/Alaska Native alone or in combination population comprised of 9.7 million or 2.9 percent of the US population in </w:t>
      </w:r>
      <w:r w:rsidRPr="00F83B8D">
        <w:rPr>
          <w:color w:val="000000"/>
          <w:szCs w:val="24"/>
          <w:shd w:val="clear" w:color="auto" w:fill="FFFFFF"/>
        </w:rPr>
        <w:lastRenderedPageBreak/>
        <w:t>2020.</w:t>
      </w:r>
      <w:r w:rsidRPr="00F83B8D">
        <w:rPr>
          <w:rStyle w:val="FootnoteReference"/>
          <w:color w:val="000000"/>
          <w:szCs w:val="24"/>
          <w:shd w:val="clear" w:color="auto" w:fill="FFFFFF"/>
        </w:rPr>
        <w:footnoteReference w:id="5"/>
      </w:r>
      <w:r w:rsidRPr="00F83B8D">
        <w:rPr>
          <w:bCs w:val="0"/>
          <w:szCs w:val="24"/>
        </w:rPr>
        <w:t xml:space="preserve"> </w:t>
      </w:r>
      <w:r w:rsidR="00396AE2" w:rsidRPr="00F83B8D">
        <w:rPr>
          <w:bCs w:val="0"/>
          <w:szCs w:val="24"/>
        </w:rPr>
        <w:t>American Indians/Alaska Natives have the highest prevalence of cigarette smoking compared to all other racial/ethnic groups in the U.S.</w:t>
      </w:r>
      <w:r w:rsidR="00396AE2" w:rsidRPr="00F83B8D">
        <w:rPr>
          <w:bCs w:val="0"/>
          <w:szCs w:val="24"/>
          <w:vertAlign w:val="superscript"/>
        </w:rPr>
        <w:footnoteReference w:id="6"/>
      </w:r>
      <w:r w:rsidR="00396AE2" w:rsidRPr="00F83B8D">
        <w:rPr>
          <w:bCs w:val="0"/>
          <w:sz w:val="15"/>
          <w:szCs w:val="15"/>
        </w:rPr>
        <w:t xml:space="preserve"> </w:t>
      </w:r>
      <w:r w:rsidR="00396AE2" w:rsidRPr="00F83B8D">
        <w:rPr>
          <w:bCs w:val="0"/>
          <w:szCs w:val="24"/>
        </w:rPr>
        <w:t xml:space="preserve"> Some American Indians use tobacco for ceremonial, religious, or medicinal purposes. For this reason, it is important to make the distinction between commercial and traditional tobacco use.</w:t>
      </w:r>
    </w:p>
    <w:p w14:paraId="139B6FA4" w14:textId="77777777" w:rsidR="00396AE2" w:rsidRPr="00F83B8D" w:rsidRDefault="00396AE2" w:rsidP="00002D29">
      <w:pPr>
        <w:numPr>
          <w:ilvl w:val="0"/>
          <w:numId w:val="48"/>
        </w:numPr>
        <w:spacing w:before="240" w:after="240"/>
        <w:rPr>
          <w:bCs w:val="0"/>
          <w:szCs w:val="24"/>
        </w:rPr>
      </w:pPr>
      <w:r w:rsidRPr="00F83B8D">
        <w:rPr>
          <w:bCs w:val="0"/>
          <w:szCs w:val="24"/>
        </w:rPr>
        <w:t>Regional variations in cigarette smoking exist among American Indians/Alaska Natives, with lower prevalence in the Southwest and higher prevalence in the Northern Plains and Alaska.</w:t>
      </w:r>
      <w:r w:rsidRPr="00F83B8D">
        <w:rPr>
          <w:bCs w:val="0"/>
          <w:szCs w:val="24"/>
          <w:vertAlign w:val="superscript"/>
        </w:rPr>
        <w:footnoteReference w:id="7"/>
      </w:r>
    </w:p>
    <w:p w14:paraId="79BE9E9F" w14:textId="77777777" w:rsidR="00FB03F2" w:rsidRPr="00F83B8D" w:rsidRDefault="00396AE2" w:rsidP="00002D29">
      <w:pPr>
        <w:numPr>
          <w:ilvl w:val="0"/>
          <w:numId w:val="48"/>
        </w:numPr>
        <w:spacing w:before="240" w:after="240"/>
        <w:rPr>
          <w:bCs w:val="0"/>
          <w:szCs w:val="24"/>
        </w:rPr>
      </w:pPr>
      <w:r w:rsidRPr="00F83B8D">
        <w:rPr>
          <w:bCs w:val="0"/>
          <w:szCs w:val="24"/>
        </w:rPr>
        <w:t>More American Indian/Alaska Native women smoke during their last three months of pregnancy—26 percent compared</w:t>
      </w:r>
      <w:r w:rsidR="00B02D59" w:rsidRPr="00F83B8D">
        <w:rPr>
          <w:bCs w:val="0"/>
          <w:szCs w:val="24"/>
        </w:rPr>
        <w:t xml:space="preserve"> to 14.3 percent of W</w:t>
      </w:r>
      <w:r w:rsidRPr="00F83B8D">
        <w:rPr>
          <w:bCs w:val="0"/>
          <w:szCs w:val="24"/>
        </w:rPr>
        <w:t>hites, 8.9 percent of African Americans, 3.4 percent of Hispanics, and 2.1 percent of Asians/Pacific Islanders.</w:t>
      </w:r>
      <w:r w:rsidRPr="00F83B8D">
        <w:rPr>
          <w:bCs w:val="0"/>
          <w:szCs w:val="24"/>
          <w:vertAlign w:val="superscript"/>
        </w:rPr>
        <w:footnoteReference w:id="8"/>
      </w:r>
    </w:p>
    <w:p w14:paraId="21F82D45" w14:textId="77777777" w:rsidR="00396AE2" w:rsidRPr="00F83B8D" w:rsidRDefault="00396AE2" w:rsidP="000963F9">
      <w:pPr>
        <w:numPr>
          <w:ilvl w:val="0"/>
          <w:numId w:val="48"/>
        </w:numPr>
        <w:spacing w:before="240" w:after="240"/>
        <w:rPr>
          <w:bCs w:val="0"/>
          <w:szCs w:val="24"/>
        </w:rPr>
      </w:pPr>
      <w:r w:rsidRPr="00F83B8D">
        <w:rPr>
          <w:bCs w:val="0"/>
          <w:szCs w:val="24"/>
        </w:rPr>
        <w:t>Quitting rates are relatively low among American Indians/Alaska Natives compared to other racial/ethnic groups.</w:t>
      </w:r>
      <w:r w:rsidRPr="00F83B8D">
        <w:rPr>
          <w:bCs w:val="0"/>
          <w:szCs w:val="24"/>
          <w:vertAlign w:val="superscript"/>
        </w:rPr>
        <w:footnoteReference w:id="9"/>
      </w:r>
    </w:p>
    <w:p w14:paraId="598E94F2" w14:textId="77777777" w:rsidR="00396AE2" w:rsidRPr="00F83B8D" w:rsidRDefault="00396AE2" w:rsidP="000963F9">
      <w:pPr>
        <w:numPr>
          <w:ilvl w:val="0"/>
          <w:numId w:val="48"/>
        </w:numPr>
        <w:spacing w:before="240" w:after="240"/>
        <w:rPr>
          <w:bCs w:val="0"/>
          <w:szCs w:val="24"/>
        </w:rPr>
      </w:pPr>
      <w:r w:rsidRPr="00F83B8D">
        <w:rPr>
          <w:bCs w:val="0"/>
          <w:szCs w:val="24"/>
        </w:rPr>
        <w:t>An estimated 52.1 percent of American Indians/Alaska Natives report that they want to quit compared to 74.1 percent of Afri</w:t>
      </w:r>
      <w:r w:rsidR="00B02D59" w:rsidRPr="00F83B8D">
        <w:rPr>
          <w:bCs w:val="0"/>
          <w:szCs w:val="24"/>
        </w:rPr>
        <w:t>can Americans, 69.4 percent of W</w:t>
      </w:r>
      <w:r w:rsidRPr="00F83B8D">
        <w:rPr>
          <w:bCs w:val="0"/>
          <w:szCs w:val="24"/>
        </w:rPr>
        <w:t>hites, 63.3 percent of Asians, and 58.4 percent of Hispanics.</w:t>
      </w:r>
      <w:r w:rsidRPr="00F83B8D">
        <w:rPr>
          <w:bCs w:val="0"/>
          <w:szCs w:val="24"/>
          <w:vertAlign w:val="superscript"/>
        </w:rPr>
        <w:footnoteReference w:id="10"/>
      </w:r>
    </w:p>
    <w:p w14:paraId="4DF4F802" w14:textId="77777777" w:rsidR="00396AE2" w:rsidRPr="00F83B8D" w:rsidRDefault="00396AE2" w:rsidP="000963F9">
      <w:pPr>
        <w:numPr>
          <w:ilvl w:val="0"/>
          <w:numId w:val="48"/>
        </w:numPr>
        <w:spacing w:before="240" w:after="240"/>
        <w:rPr>
          <w:bCs w:val="0"/>
          <w:szCs w:val="24"/>
        </w:rPr>
      </w:pPr>
      <w:r w:rsidRPr="00F83B8D">
        <w:rPr>
          <w:szCs w:val="24"/>
        </w:rPr>
        <w:lastRenderedPageBreak/>
        <w:t>Tobacco companies target American Indian/Alaska Native communities through extensive promotions, sponsorships, and advertising campaigns.</w:t>
      </w:r>
      <w:r w:rsidRPr="00F83B8D">
        <w:rPr>
          <w:szCs w:val="24"/>
          <w:vertAlign w:val="superscript"/>
        </w:rPr>
        <w:footnoteReference w:id="11"/>
      </w:r>
    </w:p>
    <w:p w14:paraId="49DB3460" w14:textId="77777777" w:rsidR="00396AE2" w:rsidRPr="00F83B8D" w:rsidRDefault="00396AE2" w:rsidP="000963F9">
      <w:pPr>
        <w:spacing w:before="240" w:after="240"/>
        <w:ind w:left="360"/>
        <w:rPr>
          <w:bCs w:val="0"/>
          <w:szCs w:val="24"/>
        </w:rPr>
      </w:pPr>
      <w:r w:rsidRPr="00F83B8D">
        <w:rPr>
          <w:bCs w:val="0"/>
          <w:szCs w:val="24"/>
        </w:rPr>
        <w:t>Historically, tobacco industry product promotions to American Indians and Alaska Natives featured symbols and names with special meanings to this group. For example, the American Spirit™ cigarettes were promoted as “natural” cigarettes, and their packaging featured an American Indian smoking a pipe.</w:t>
      </w:r>
      <w:r w:rsidRPr="00F83B8D">
        <w:rPr>
          <w:bCs w:val="0"/>
          <w:szCs w:val="24"/>
          <w:vertAlign w:val="superscript"/>
        </w:rPr>
        <w:footnoteReference w:id="12"/>
      </w:r>
    </w:p>
    <w:p w14:paraId="797523EF" w14:textId="50A8238A" w:rsidR="00396AE2" w:rsidRPr="00F83B8D" w:rsidRDefault="00396AE2" w:rsidP="000963F9">
      <w:pPr>
        <w:tabs>
          <w:tab w:val="left" w:pos="5040"/>
        </w:tabs>
        <w:spacing w:before="240" w:after="240"/>
        <w:ind w:left="360"/>
        <w:rPr>
          <w:bCs w:val="0"/>
          <w:szCs w:val="24"/>
          <w:lang w:val="en"/>
        </w:rPr>
      </w:pPr>
      <w:r w:rsidRPr="00F83B8D">
        <w:rPr>
          <w:bCs w:val="0"/>
          <w:szCs w:val="24"/>
        </w:rPr>
        <w:t xml:space="preserve">Proposition 99, approved by the California voters in the November 1988 general election, increased the sales tax on each pack of cigarettes sold in the state by 25 cents. </w:t>
      </w:r>
      <w:r w:rsidRPr="00F83B8D">
        <w:rPr>
          <w:bCs w:val="0"/>
          <w:szCs w:val="24"/>
          <w:lang w:val="en"/>
        </w:rPr>
        <w:t>The enabling legislation for Prop 99 includes Assembly Bill 75 (Chapter 1331, Statutes of 1989), AB 99 (Chapter 278, Statutes of 1991), AB 816 (Chapter 195, Statutes of 1994), AB 3487 (Chapter 199, Statutes of 1996), Senate Bill 99 (Chapter 1170, Statutes of 1991), SB 960 (Chapter 1328, Statutes of 1989), SB 493 (Chapter 194, Statutes of 1995); the annual State B</w:t>
      </w:r>
      <w:r w:rsidR="00B02D59" w:rsidRPr="00F83B8D">
        <w:rPr>
          <w:bCs w:val="0"/>
          <w:szCs w:val="24"/>
          <w:lang w:val="en"/>
        </w:rPr>
        <w:t>udget; Health and Safety Code, s</w:t>
      </w:r>
      <w:r w:rsidRPr="00F83B8D">
        <w:rPr>
          <w:bCs w:val="0"/>
          <w:szCs w:val="24"/>
          <w:lang w:val="en"/>
        </w:rPr>
        <w:t xml:space="preserve">ections 104350-104480, 104500-104545; and </w:t>
      </w:r>
      <w:r w:rsidR="00B02D59" w:rsidRPr="00F83B8D">
        <w:rPr>
          <w:bCs w:val="0"/>
          <w:szCs w:val="24"/>
          <w:lang w:val="en"/>
        </w:rPr>
        <w:t>the Revenue and Taxation Code, s</w:t>
      </w:r>
      <w:r w:rsidRPr="00F83B8D">
        <w:rPr>
          <w:bCs w:val="0"/>
          <w:szCs w:val="24"/>
          <w:lang w:val="en"/>
        </w:rPr>
        <w:t>ections 30121-30130. The enabling legislation, the various codes, and the annual State Budget, provide legislative and funding authority for programs administered by the California Tobacco Control Program to:</w:t>
      </w:r>
    </w:p>
    <w:p w14:paraId="1DF07898" w14:textId="77777777" w:rsidR="00396AE2" w:rsidRPr="00F83B8D" w:rsidRDefault="00396AE2" w:rsidP="000963F9">
      <w:pPr>
        <w:numPr>
          <w:ilvl w:val="0"/>
          <w:numId w:val="49"/>
        </w:numPr>
        <w:tabs>
          <w:tab w:val="clear" w:pos="1080"/>
          <w:tab w:val="num" w:pos="1440"/>
        </w:tabs>
        <w:spacing w:before="240" w:after="240"/>
        <w:ind w:left="1440"/>
        <w:rPr>
          <w:bCs w:val="0"/>
          <w:szCs w:val="24"/>
          <w:lang w:val="en"/>
        </w:rPr>
      </w:pPr>
      <w:r w:rsidRPr="00F83B8D">
        <w:rPr>
          <w:bCs w:val="0"/>
          <w:szCs w:val="24"/>
        </w:rPr>
        <w:t xml:space="preserve">Conduct health education interventions and behavior change </w:t>
      </w:r>
      <w:r w:rsidRPr="00F83B8D">
        <w:rPr>
          <w:bCs w:val="0"/>
          <w:szCs w:val="24"/>
          <w:lang w:val="en"/>
        </w:rPr>
        <w:t>programs at the state level, in the community and in other non-school settings.</w:t>
      </w:r>
    </w:p>
    <w:p w14:paraId="2D4F20EF" w14:textId="77777777" w:rsidR="00396AE2" w:rsidRPr="00F83B8D" w:rsidRDefault="00396AE2" w:rsidP="000963F9">
      <w:pPr>
        <w:numPr>
          <w:ilvl w:val="0"/>
          <w:numId w:val="49"/>
        </w:numPr>
        <w:tabs>
          <w:tab w:val="num" w:pos="1440"/>
        </w:tabs>
        <w:spacing w:before="240" w:after="240"/>
        <w:ind w:left="1440"/>
        <w:rPr>
          <w:bCs w:val="0"/>
          <w:szCs w:val="24"/>
          <w:lang w:val="en"/>
        </w:rPr>
      </w:pPr>
      <w:r w:rsidRPr="00F83B8D">
        <w:rPr>
          <w:bCs w:val="0"/>
          <w:szCs w:val="24"/>
          <w:lang w:val="en"/>
        </w:rPr>
        <w:t>Apply the most current research and findings.</w:t>
      </w:r>
    </w:p>
    <w:p w14:paraId="4FAF2FC3" w14:textId="77777777" w:rsidR="00396AE2" w:rsidRPr="00F83B8D" w:rsidRDefault="00396AE2" w:rsidP="000963F9">
      <w:pPr>
        <w:numPr>
          <w:ilvl w:val="0"/>
          <w:numId w:val="49"/>
        </w:numPr>
        <w:tabs>
          <w:tab w:val="num" w:pos="1440"/>
        </w:tabs>
        <w:spacing w:before="240" w:after="240"/>
        <w:ind w:left="1440"/>
        <w:rPr>
          <w:bCs w:val="0"/>
          <w:color w:val="444444"/>
          <w:szCs w:val="24"/>
          <w:lang w:val="en"/>
        </w:rPr>
      </w:pPr>
      <w:r w:rsidRPr="00F83B8D">
        <w:rPr>
          <w:bCs w:val="0"/>
          <w:szCs w:val="24"/>
          <w:lang w:val="en"/>
        </w:rPr>
        <w:t>Give priority to programs that demonstrate an understanding of the role community norm change has in influencing behavioral change regarding tobacco</w:t>
      </w:r>
      <w:r w:rsidRPr="00F83B8D">
        <w:rPr>
          <w:bCs w:val="0"/>
          <w:color w:val="444444"/>
          <w:szCs w:val="24"/>
          <w:lang w:val="en"/>
        </w:rPr>
        <w:t xml:space="preserve"> use.</w:t>
      </w:r>
    </w:p>
    <w:p w14:paraId="0EC83BDC" w14:textId="1340703C" w:rsidR="00396AE2" w:rsidRPr="00F83B8D" w:rsidRDefault="00396AE2" w:rsidP="000963F9">
      <w:pPr>
        <w:tabs>
          <w:tab w:val="left" w:pos="5040"/>
        </w:tabs>
        <w:spacing w:before="240" w:after="240"/>
        <w:ind w:left="360"/>
        <w:rPr>
          <w:bCs w:val="0"/>
          <w:szCs w:val="24"/>
        </w:rPr>
      </w:pPr>
      <w:r w:rsidRPr="00F83B8D">
        <w:rPr>
          <w:bCs w:val="0"/>
          <w:szCs w:val="24"/>
        </w:rPr>
        <w:t xml:space="preserve">The 1988 legislation requires that 90 percent of the funds received for local assistance be allocated to county offices of education and </w:t>
      </w:r>
      <w:r w:rsidR="00F722CF" w:rsidRPr="00F83B8D">
        <w:rPr>
          <w:bCs w:val="0"/>
          <w:szCs w:val="24"/>
        </w:rPr>
        <w:t>public-school</w:t>
      </w:r>
      <w:r w:rsidRPr="00F83B8D">
        <w:rPr>
          <w:bCs w:val="0"/>
          <w:szCs w:val="24"/>
        </w:rPr>
        <w:t xml:space="preserve"> districts for programs in schools. Additionally, funding for commercial tobacco-use prevention, intervention, and cessation programs in AIECs is to be awarded on a competitive grant basis.</w:t>
      </w:r>
    </w:p>
    <w:p w14:paraId="32AD2F9A" w14:textId="77777777" w:rsidR="00396AE2" w:rsidRPr="00F83B8D" w:rsidRDefault="00396AE2" w:rsidP="000963F9">
      <w:pPr>
        <w:tabs>
          <w:tab w:val="left" w:pos="5040"/>
        </w:tabs>
        <w:spacing w:before="240" w:after="240"/>
        <w:ind w:left="360"/>
        <w:rPr>
          <w:bCs w:val="0"/>
          <w:szCs w:val="24"/>
        </w:rPr>
      </w:pPr>
      <w:r w:rsidRPr="00F83B8D">
        <w:rPr>
          <w:bCs w:val="0"/>
          <w:szCs w:val="24"/>
        </w:rPr>
        <w:t xml:space="preserve">Successful tobacco-use prevention, intervention, and cessation programs are an important part of this effort and an effective weapon against four of the five leading </w:t>
      </w:r>
      <w:r w:rsidRPr="00F83B8D">
        <w:rPr>
          <w:bCs w:val="0"/>
          <w:szCs w:val="24"/>
        </w:rPr>
        <w:lastRenderedPageBreak/>
        <w:t>causes of death in California: heart disease, cancer, chronic obstructive pulmonary disease, and fires caused by smoking.</w:t>
      </w:r>
    </w:p>
    <w:p w14:paraId="39080821" w14:textId="77777777" w:rsidR="00C5537D" w:rsidRPr="00F83B8D" w:rsidRDefault="00C5537D" w:rsidP="00203B86">
      <w:pPr>
        <w:pStyle w:val="Heading3"/>
        <w:numPr>
          <w:ilvl w:val="0"/>
          <w:numId w:val="9"/>
        </w:numPr>
        <w:spacing w:before="360" w:after="240"/>
      </w:pPr>
      <w:bookmarkStart w:id="27" w:name="_Toc3983557"/>
      <w:bookmarkStart w:id="28" w:name="_Toc158361585"/>
      <w:r w:rsidRPr="00F83B8D">
        <w:t>Eligibility Requirements</w:t>
      </w:r>
      <w:bookmarkEnd w:id="27"/>
      <w:bookmarkEnd w:id="28"/>
    </w:p>
    <w:p w14:paraId="042CA405" w14:textId="5A95EE9B" w:rsidR="00396AE2" w:rsidRPr="00F83B8D" w:rsidRDefault="00C5537D" w:rsidP="000963F9">
      <w:pPr>
        <w:tabs>
          <w:tab w:val="left" w:pos="5040"/>
        </w:tabs>
        <w:spacing w:before="240" w:after="240"/>
        <w:ind w:left="720"/>
        <w:rPr>
          <w:bCs w:val="0"/>
          <w:szCs w:val="24"/>
        </w:rPr>
      </w:pPr>
      <w:r w:rsidRPr="00F83B8D">
        <w:t xml:space="preserve">An application for the establishment of a </w:t>
      </w:r>
      <w:r w:rsidR="00396AE2" w:rsidRPr="00F83B8D">
        <w:rPr>
          <w:bCs w:val="0"/>
          <w:szCs w:val="24"/>
        </w:rPr>
        <w:t xml:space="preserve">TUPE Program may be made to the CDE by any </w:t>
      </w:r>
      <w:r w:rsidR="001B050F" w:rsidRPr="00F83B8D">
        <w:rPr>
          <w:bCs w:val="0"/>
          <w:szCs w:val="24"/>
        </w:rPr>
        <w:t xml:space="preserve">AIEC currently funded under </w:t>
      </w:r>
      <w:r w:rsidR="001B050F" w:rsidRPr="00F83B8D">
        <w:rPr>
          <w:bCs w:val="0"/>
          <w:i/>
          <w:szCs w:val="24"/>
        </w:rPr>
        <w:t>EC</w:t>
      </w:r>
      <w:r w:rsidR="001B050F" w:rsidRPr="00F83B8D">
        <w:rPr>
          <w:bCs w:val="0"/>
          <w:szCs w:val="24"/>
        </w:rPr>
        <w:t xml:space="preserve"> 33380-84</w:t>
      </w:r>
      <w:r w:rsidR="00396AE2" w:rsidRPr="00F83B8D">
        <w:rPr>
          <w:bCs w:val="0"/>
          <w:szCs w:val="24"/>
        </w:rPr>
        <w:t>.</w:t>
      </w:r>
    </w:p>
    <w:p w14:paraId="3F9D18FA" w14:textId="77777777" w:rsidR="00396AE2" w:rsidRPr="00F83B8D" w:rsidRDefault="00396AE2" w:rsidP="000963F9">
      <w:pPr>
        <w:tabs>
          <w:tab w:val="left" w:pos="5040"/>
        </w:tabs>
        <w:spacing w:before="240" w:after="240"/>
        <w:ind w:left="720"/>
        <w:rPr>
          <w:bCs w:val="0"/>
          <w:szCs w:val="24"/>
        </w:rPr>
      </w:pPr>
      <w:r w:rsidRPr="00F83B8D">
        <w:rPr>
          <w:bCs w:val="0"/>
          <w:szCs w:val="24"/>
        </w:rPr>
        <w:t xml:space="preserve">An AIEC may be represented in </w:t>
      </w:r>
      <w:r w:rsidR="00B02D59" w:rsidRPr="00F83B8D">
        <w:rPr>
          <w:b/>
          <w:bCs w:val="0"/>
          <w:szCs w:val="24"/>
        </w:rPr>
        <w:t>only one</w:t>
      </w:r>
      <w:r w:rsidRPr="00F83B8D">
        <w:rPr>
          <w:bCs w:val="0"/>
          <w:szCs w:val="24"/>
        </w:rPr>
        <w:t xml:space="preserve"> grant application. Projects targeting out-of-school youth may not be funded under this application, according to statute.</w:t>
      </w:r>
    </w:p>
    <w:p w14:paraId="08D3FB67" w14:textId="3050046E" w:rsidR="00DE0F74" w:rsidRPr="00F83B8D" w:rsidRDefault="00396AE2" w:rsidP="000963F9">
      <w:pPr>
        <w:pStyle w:val="NormalWeb"/>
        <w:spacing w:before="240" w:beforeAutospacing="0" w:after="240" w:afterAutospacing="0"/>
        <w:ind w:left="720"/>
        <w:rPr>
          <w:bCs w:val="0"/>
          <w:color w:val="000000"/>
          <w:szCs w:val="24"/>
        </w:rPr>
      </w:pPr>
      <w:r w:rsidRPr="00F83B8D">
        <w:rPr>
          <w:bCs w:val="0"/>
          <w:szCs w:val="24"/>
        </w:rPr>
        <w:t>In order to apply, the application AIEC must have met the commercial tobacco-free criteria.</w:t>
      </w:r>
      <w:r w:rsidR="00DE0F74" w:rsidRPr="00F83B8D">
        <w:rPr>
          <w:bCs w:val="0"/>
          <w:color w:val="000000"/>
          <w:szCs w:val="24"/>
        </w:rPr>
        <w:t xml:space="preserve"> Applicants are ineligible for any TUPE grant funding if they have received directly or indirectly, any funding, educational materials, or services from the tobacco, vaping, or marijuana industries—even if for the purpose of implementing tobacco use prevention, youth development, intervention, or cessation programs. In addition, TUPE grantees are prohibited from accepting such materials and services for the duration of the grant. Acceptance of such items will result in termination of the grant, the return of all advanced grant funds, and may disqualify </w:t>
      </w:r>
      <w:r w:rsidR="00C344FD" w:rsidRPr="00F83B8D">
        <w:rPr>
          <w:bCs w:val="0"/>
          <w:color w:val="000000"/>
          <w:szCs w:val="24"/>
        </w:rPr>
        <w:t>l</w:t>
      </w:r>
      <w:r w:rsidR="009E402E" w:rsidRPr="00F83B8D">
        <w:rPr>
          <w:bCs w:val="0"/>
          <w:color w:val="000000"/>
          <w:szCs w:val="24"/>
        </w:rPr>
        <w:t xml:space="preserve">ocal </w:t>
      </w:r>
      <w:r w:rsidR="00C344FD" w:rsidRPr="00F83B8D">
        <w:rPr>
          <w:bCs w:val="0"/>
          <w:color w:val="000000"/>
          <w:szCs w:val="24"/>
        </w:rPr>
        <w:t>e</w:t>
      </w:r>
      <w:r w:rsidR="009E402E" w:rsidRPr="00F83B8D">
        <w:rPr>
          <w:bCs w:val="0"/>
          <w:color w:val="000000"/>
          <w:szCs w:val="24"/>
        </w:rPr>
        <w:t xml:space="preserve">ducational </w:t>
      </w:r>
      <w:r w:rsidR="00C344FD" w:rsidRPr="00F83B8D">
        <w:rPr>
          <w:bCs w:val="0"/>
          <w:color w:val="000000"/>
          <w:szCs w:val="24"/>
        </w:rPr>
        <w:t>a</w:t>
      </w:r>
      <w:r w:rsidR="009E402E" w:rsidRPr="00F83B8D">
        <w:rPr>
          <w:bCs w:val="0"/>
          <w:color w:val="000000"/>
          <w:szCs w:val="24"/>
        </w:rPr>
        <w:t>gencies (LEA</w:t>
      </w:r>
      <w:r w:rsidR="00DE0F74" w:rsidRPr="00F83B8D">
        <w:rPr>
          <w:bCs w:val="0"/>
          <w:color w:val="000000"/>
          <w:szCs w:val="24"/>
        </w:rPr>
        <w:t>s</w:t>
      </w:r>
      <w:r w:rsidR="009E402E" w:rsidRPr="00F83B8D">
        <w:rPr>
          <w:bCs w:val="0"/>
          <w:color w:val="000000"/>
          <w:szCs w:val="24"/>
        </w:rPr>
        <w:t>)</w:t>
      </w:r>
      <w:r w:rsidR="00DE0F74" w:rsidRPr="00F83B8D">
        <w:rPr>
          <w:bCs w:val="0"/>
          <w:color w:val="000000"/>
          <w:szCs w:val="24"/>
        </w:rPr>
        <w:t xml:space="preserve"> from future TUPE funding opportunities.</w:t>
      </w:r>
    </w:p>
    <w:p w14:paraId="476043F5" w14:textId="77777777" w:rsidR="00DE0F74" w:rsidRPr="00F83B8D" w:rsidRDefault="00DE0F74" w:rsidP="00DE0F74">
      <w:pPr>
        <w:spacing w:before="100" w:beforeAutospacing="1" w:after="100" w:afterAutospacing="1"/>
        <w:ind w:left="720"/>
        <w:rPr>
          <w:bCs w:val="0"/>
          <w:color w:val="000000"/>
          <w:szCs w:val="24"/>
        </w:rPr>
      </w:pPr>
      <w:r w:rsidRPr="00F83B8D">
        <w:rPr>
          <w:bCs w:val="0"/>
          <w:color w:val="000000"/>
          <w:szCs w:val="24"/>
        </w:rPr>
        <w:t>A signature by the Board/Tribal Chairperson or Designee on the application materials constitutes an assurance that the AIEC will not accept materials, services, or funding from the tobacco, vaping, or marijuana industries.</w:t>
      </w:r>
    </w:p>
    <w:p w14:paraId="531BE7EB" w14:textId="77777777" w:rsidR="00C5537D" w:rsidRPr="00F83B8D" w:rsidRDefault="00C5537D" w:rsidP="009E402E">
      <w:pPr>
        <w:pStyle w:val="Heading3"/>
        <w:numPr>
          <w:ilvl w:val="0"/>
          <w:numId w:val="9"/>
        </w:numPr>
        <w:spacing w:before="240" w:after="240"/>
      </w:pPr>
      <w:bookmarkStart w:id="29" w:name="_Toc3983558"/>
      <w:bookmarkStart w:id="30" w:name="_Toc158361586"/>
      <w:r w:rsidRPr="00F83B8D">
        <w:t>Grant Award Amounts</w:t>
      </w:r>
      <w:bookmarkEnd w:id="29"/>
      <w:bookmarkEnd w:id="30"/>
    </w:p>
    <w:p w14:paraId="709CFB02" w14:textId="5C02BEDB" w:rsidR="00396AE2" w:rsidRPr="00F83B8D" w:rsidRDefault="00C5537D" w:rsidP="00396AE2">
      <w:pPr>
        <w:tabs>
          <w:tab w:val="left" w:pos="5040"/>
        </w:tabs>
        <w:spacing w:after="240"/>
        <w:ind w:left="720"/>
        <w:rPr>
          <w:bCs w:val="0"/>
          <w:szCs w:val="24"/>
        </w:rPr>
      </w:pPr>
      <w:r w:rsidRPr="00F83B8D">
        <w:t xml:space="preserve">The </w:t>
      </w:r>
      <w:r w:rsidR="00396AE2" w:rsidRPr="00F83B8D">
        <w:t xml:space="preserve">total amount of funding anticipated to be available for </w:t>
      </w:r>
      <w:r w:rsidR="00396AE2" w:rsidRPr="00F83B8D">
        <w:rPr>
          <w:bCs w:val="0"/>
          <w:szCs w:val="24"/>
        </w:rPr>
        <w:t xml:space="preserve">competitive grants for commercial tobacco-use prevention education, intervention, and cessation programs for students in AIECs is $400,000 each year for five years. Grant awards will not exceed $50,000 per year. Grant funding requests must be based on </w:t>
      </w:r>
      <w:r w:rsidR="00F722CF" w:rsidRPr="00F83B8D">
        <w:rPr>
          <w:bCs w:val="0"/>
          <w:szCs w:val="24"/>
        </w:rPr>
        <w:t>the cost</w:t>
      </w:r>
      <w:r w:rsidR="00396AE2" w:rsidRPr="00F83B8D">
        <w:rPr>
          <w:bCs w:val="0"/>
          <w:szCs w:val="24"/>
        </w:rPr>
        <w:t xml:space="preserve"> of the planned activities described in this Request for Applications (RFA).</w:t>
      </w:r>
    </w:p>
    <w:p w14:paraId="5156775C" w14:textId="1C8CCDE1" w:rsidR="00C5537D" w:rsidRPr="00F83B8D" w:rsidRDefault="00396AE2" w:rsidP="009E402E">
      <w:pPr>
        <w:spacing w:before="240" w:after="240"/>
        <w:ind w:left="720" w:right="-86"/>
        <w:rPr>
          <w:szCs w:val="24"/>
        </w:rPr>
      </w:pPr>
      <w:r w:rsidRPr="00F83B8D">
        <w:rPr>
          <w:bCs w:val="0"/>
          <w:szCs w:val="24"/>
        </w:rPr>
        <w:t xml:space="preserve">The competitive aspect of this RFA process is very important since grants will be awarded only to applicants meeting the CDE's quality criteria based on the </w:t>
      </w:r>
      <w:r w:rsidR="0082504B" w:rsidRPr="00F83B8D">
        <w:rPr>
          <w:bCs w:val="0"/>
          <w:szCs w:val="24"/>
        </w:rPr>
        <w:t xml:space="preserve"> </w:t>
      </w:r>
      <w:r w:rsidRPr="00F83B8D">
        <w:rPr>
          <w:bCs w:val="0"/>
          <w:szCs w:val="24"/>
        </w:rPr>
        <w:t xml:space="preserve"> Scoring Rubric </w:t>
      </w:r>
      <w:r w:rsidR="009E402E" w:rsidRPr="00F83B8D">
        <w:rPr>
          <w:bCs w:val="0"/>
          <w:szCs w:val="24"/>
        </w:rPr>
        <w:t xml:space="preserve">Template </w:t>
      </w:r>
      <w:r w:rsidRPr="00F83B8D">
        <w:rPr>
          <w:bCs w:val="0"/>
          <w:szCs w:val="24"/>
        </w:rPr>
        <w:t>(Attachment 2).</w:t>
      </w:r>
    </w:p>
    <w:p w14:paraId="7D2DD32B" w14:textId="77777777" w:rsidR="00042C64" w:rsidRPr="00F83B8D" w:rsidRDefault="00042C64" w:rsidP="00203B86">
      <w:pPr>
        <w:pStyle w:val="Heading3"/>
        <w:numPr>
          <w:ilvl w:val="0"/>
          <w:numId w:val="9"/>
        </w:numPr>
        <w:spacing w:before="360" w:after="240"/>
      </w:pPr>
      <w:bookmarkStart w:id="31" w:name="_Toc3983559"/>
      <w:bookmarkStart w:id="32" w:name="_Toc158361587"/>
      <w:r w:rsidRPr="00F83B8D">
        <w:lastRenderedPageBreak/>
        <w:t>Grant Funding Period</w:t>
      </w:r>
      <w:bookmarkEnd w:id="31"/>
      <w:bookmarkEnd w:id="32"/>
    </w:p>
    <w:p w14:paraId="620B1526" w14:textId="77777777" w:rsidR="00042C64" w:rsidRPr="00F83B8D" w:rsidRDefault="00396AE2" w:rsidP="009E402E">
      <w:pPr>
        <w:pStyle w:val="ListBullet2"/>
        <w:keepNext/>
        <w:keepLines/>
        <w:numPr>
          <w:ilvl w:val="0"/>
          <w:numId w:val="0"/>
        </w:numPr>
        <w:spacing w:before="240" w:after="240" w:line="240" w:lineRule="auto"/>
        <w:ind w:left="720"/>
        <w:rPr>
          <w:rFonts w:cs="Arial"/>
        </w:rPr>
      </w:pPr>
      <w:r w:rsidRPr="00F83B8D">
        <w:rPr>
          <w:rFonts w:cs="Arial"/>
        </w:rPr>
        <w:t xml:space="preserve">Successful applicants will be awarded on a competitive basis with a </w:t>
      </w:r>
      <w:r w:rsidR="00643E51" w:rsidRPr="00F83B8D">
        <w:rPr>
          <w:rFonts w:cs="Arial"/>
        </w:rPr>
        <w:t>starting date of October 1, 20</w:t>
      </w:r>
      <w:r w:rsidR="00E54C13" w:rsidRPr="00F83B8D">
        <w:rPr>
          <w:rFonts w:cs="Arial"/>
        </w:rPr>
        <w:t>24</w:t>
      </w:r>
      <w:r w:rsidR="00643E51" w:rsidRPr="00F83B8D">
        <w:rPr>
          <w:rFonts w:cs="Arial"/>
        </w:rPr>
        <w:t>, through September 30, 202</w:t>
      </w:r>
      <w:r w:rsidR="00DE0F74" w:rsidRPr="00F83B8D">
        <w:rPr>
          <w:rFonts w:cs="Arial"/>
        </w:rPr>
        <w:t>9</w:t>
      </w:r>
      <w:r w:rsidR="00643E51" w:rsidRPr="00F83B8D">
        <w:rPr>
          <w:rFonts w:cs="Arial"/>
        </w:rPr>
        <w:t xml:space="preserve">. </w:t>
      </w:r>
      <w:r w:rsidR="0027200F" w:rsidRPr="00F83B8D">
        <w:rPr>
          <w:rFonts w:cs="Arial"/>
        </w:rPr>
        <w:t>The application is a five-</w:t>
      </w:r>
      <w:r w:rsidR="0083310F" w:rsidRPr="00F83B8D">
        <w:rPr>
          <w:rFonts w:cs="Arial"/>
        </w:rPr>
        <w:t>year cycle. Every year the applicant will submit a Continuing Application on forms provided by the CDE. Each applicant will be asked to update their objectives and provide updated program information. The applicant will be asked to submit a budget annually.</w:t>
      </w:r>
    </w:p>
    <w:p w14:paraId="5E374ECF" w14:textId="77777777" w:rsidR="00042C64" w:rsidRPr="00F83B8D" w:rsidRDefault="00042C64" w:rsidP="00203B86">
      <w:pPr>
        <w:pStyle w:val="Heading3"/>
        <w:numPr>
          <w:ilvl w:val="0"/>
          <w:numId w:val="9"/>
        </w:numPr>
        <w:spacing w:before="360" w:after="240"/>
      </w:pPr>
      <w:bookmarkStart w:id="33" w:name="_Toc3983560"/>
      <w:bookmarkStart w:id="34" w:name="_Toc158361588"/>
      <w:r w:rsidRPr="00F83B8D">
        <w:t>Good Standing</w:t>
      </w:r>
      <w:bookmarkEnd w:id="33"/>
      <w:bookmarkEnd w:id="34"/>
    </w:p>
    <w:p w14:paraId="0AD74CA5" w14:textId="77777777" w:rsidR="00042C64" w:rsidRPr="00F83B8D" w:rsidRDefault="00643E51" w:rsidP="009E402E">
      <w:pPr>
        <w:spacing w:before="240" w:after="240"/>
        <w:ind w:left="720"/>
        <w:rPr>
          <w:color w:val="000000"/>
          <w:szCs w:val="24"/>
        </w:rPr>
      </w:pPr>
      <w:r w:rsidRPr="00F83B8D">
        <w:t xml:space="preserve">Current AIEC grantees applying must meet the </w:t>
      </w:r>
      <w:r w:rsidRPr="00F83B8D">
        <w:rPr>
          <w:bCs w:val="0"/>
        </w:rPr>
        <w:t xml:space="preserve">administrative reporting requirements for fiscal year (FY) </w:t>
      </w:r>
      <w:r w:rsidR="00DE0F74" w:rsidRPr="00F83B8D">
        <w:rPr>
          <w:bCs w:val="0"/>
        </w:rPr>
        <w:t>2023-24</w:t>
      </w:r>
      <w:r w:rsidRPr="00F83B8D">
        <w:rPr>
          <w:bCs w:val="0"/>
        </w:rPr>
        <w:t xml:space="preserve"> and be considered in Good Standing</w:t>
      </w:r>
      <w:r w:rsidRPr="00F83B8D">
        <w:rPr>
          <w:bCs w:val="0"/>
          <w:color w:val="000000"/>
        </w:rPr>
        <w:t xml:space="preserve"> in order to be eligible for AIEC–TUPE </w:t>
      </w:r>
      <w:r w:rsidR="00714734" w:rsidRPr="00F83B8D">
        <w:rPr>
          <w:bCs w:val="0"/>
          <w:color w:val="000000"/>
        </w:rPr>
        <w:t xml:space="preserve">Program </w:t>
      </w:r>
      <w:r w:rsidRPr="00F83B8D">
        <w:rPr>
          <w:bCs w:val="0"/>
          <w:color w:val="000000"/>
        </w:rPr>
        <w:t>funds.</w:t>
      </w:r>
    </w:p>
    <w:p w14:paraId="00A40992" w14:textId="77777777" w:rsidR="00042C64" w:rsidRPr="00F83B8D" w:rsidRDefault="00042C64" w:rsidP="009E402E">
      <w:pPr>
        <w:spacing w:before="240" w:after="240"/>
        <w:ind w:left="360" w:firstLine="360"/>
        <w:rPr>
          <w:color w:val="000000"/>
          <w:szCs w:val="24"/>
        </w:rPr>
      </w:pPr>
      <w:r w:rsidRPr="00F83B8D">
        <w:rPr>
          <w:bCs w:val="0"/>
          <w:szCs w:val="24"/>
        </w:rPr>
        <w:t>Good Standing f</w:t>
      </w:r>
      <w:r w:rsidRPr="00F83B8D">
        <w:rPr>
          <w:szCs w:val="24"/>
        </w:rPr>
        <w:t>or AIEC grantees refers to all of the following conditions:</w:t>
      </w:r>
      <w:r w:rsidR="00643E51" w:rsidRPr="00F83B8D">
        <w:rPr>
          <w:szCs w:val="24"/>
        </w:rPr>
        <w:t xml:space="preserve"> </w:t>
      </w:r>
    </w:p>
    <w:p w14:paraId="300FDF49" w14:textId="77777777" w:rsidR="00042C64" w:rsidRPr="00F83B8D" w:rsidRDefault="00042C64" w:rsidP="009E402E">
      <w:pPr>
        <w:numPr>
          <w:ilvl w:val="0"/>
          <w:numId w:val="23"/>
        </w:numPr>
        <w:tabs>
          <w:tab w:val="clear" w:pos="3240"/>
        </w:tabs>
        <w:spacing w:before="240" w:after="240"/>
        <w:ind w:left="1440"/>
        <w:rPr>
          <w:szCs w:val="24"/>
        </w:rPr>
      </w:pPr>
      <w:r w:rsidRPr="00F83B8D">
        <w:rPr>
          <w:szCs w:val="24"/>
        </w:rPr>
        <w:t>All expenditure reports for grantees have been submitted prior to the report</w:t>
      </w:r>
      <w:r w:rsidR="0020774F" w:rsidRPr="00F83B8D">
        <w:rPr>
          <w:szCs w:val="24"/>
        </w:rPr>
        <w:t>ing deadline and have been approved by the CDE</w:t>
      </w:r>
      <w:r w:rsidRPr="00F83B8D">
        <w:rPr>
          <w:szCs w:val="24"/>
        </w:rPr>
        <w:t>.</w:t>
      </w:r>
    </w:p>
    <w:p w14:paraId="6BF5C4AA" w14:textId="77777777" w:rsidR="00042C64" w:rsidRPr="00F83B8D" w:rsidRDefault="00042C64" w:rsidP="009E402E">
      <w:pPr>
        <w:numPr>
          <w:ilvl w:val="0"/>
          <w:numId w:val="23"/>
        </w:numPr>
        <w:tabs>
          <w:tab w:val="clear" w:pos="3240"/>
        </w:tabs>
        <w:spacing w:before="240" w:after="240"/>
        <w:ind w:left="1440"/>
        <w:rPr>
          <w:szCs w:val="24"/>
        </w:rPr>
      </w:pPr>
      <w:r w:rsidRPr="00F83B8D">
        <w:rPr>
          <w:szCs w:val="24"/>
        </w:rPr>
        <w:t>All annual outcome-based data for grantees has been submitted prior to the reporting deadline and have been found by the CDE to be accurate and complete.</w:t>
      </w:r>
    </w:p>
    <w:p w14:paraId="4E86AE99" w14:textId="77777777" w:rsidR="00042C64" w:rsidRPr="00F83B8D" w:rsidRDefault="00042C64" w:rsidP="00991C5B">
      <w:pPr>
        <w:numPr>
          <w:ilvl w:val="0"/>
          <w:numId w:val="23"/>
        </w:numPr>
        <w:tabs>
          <w:tab w:val="clear" w:pos="3240"/>
        </w:tabs>
        <w:spacing w:after="240"/>
        <w:ind w:left="1440"/>
        <w:rPr>
          <w:szCs w:val="24"/>
        </w:rPr>
      </w:pPr>
      <w:r w:rsidRPr="00F83B8D">
        <w:rPr>
          <w:szCs w:val="24"/>
        </w:rPr>
        <w:t>All annual audit findings for grantees have been found by the CDE to be resolved or are in the process of being resolved to the satisfaction of the CDE.</w:t>
      </w:r>
    </w:p>
    <w:p w14:paraId="1FE4F6FB" w14:textId="2DFFD74A" w:rsidR="00042C64" w:rsidRPr="00F83B8D" w:rsidRDefault="00B02D59" w:rsidP="00991C5B">
      <w:pPr>
        <w:numPr>
          <w:ilvl w:val="0"/>
          <w:numId w:val="23"/>
        </w:numPr>
        <w:tabs>
          <w:tab w:val="clear" w:pos="3240"/>
        </w:tabs>
        <w:spacing w:after="240"/>
        <w:ind w:left="1440"/>
        <w:rPr>
          <w:szCs w:val="24"/>
        </w:rPr>
      </w:pPr>
      <w:r w:rsidRPr="00F83B8D">
        <w:rPr>
          <w:szCs w:val="24"/>
        </w:rPr>
        <w:t>All p</w:t>
      </w:r>
      <w:r w:rsidR="00042C64" w:rsidRPr="00F83B8D">
        <w:rPr>
          <w:szCs w:val="24"/>
        </w:rPr>
        <w:t xml:space="preserve">rogram </w:t>
      </w:r>
      <w:r w:rsidRPr="00F83B8D">
        <w:rPr>
          <w:szCs w:val="24"/>
        </w:rPr>
        <w:t>m</w:t>
      </w:r>
      <w:r w:rsidR="00042C64" w:rsidRPr="00F83B8D">
        <w:rPr>
          <w:szCs w:val="24"/>
        </w:rPr>
        <w:t>onitoring (PM</w:t>
      </w:r>
      <w:r w:rsidR="00337F60" w:rsidRPr="00F83B8D">
        <w:rPr>
          <w:szCs w:val="24"/>
        </w:rPr>
        <w:t xml:space="preserve">) </w:t>
      </w:r>
      <w:r w:rsidR="00042C64" w:rsidRPr="00F83B8D">
        <w:rPr>
          <w:szCs w:val="24"/>
        </w:rPr>
        <w:t>findings for grantees have been found by the CDE to be resolved or are in the process of being resolved to the satisfaction of the CDE.</w:t>
      </w:r>
    </w:p>
    <w:p w14:paraId="2DE3B508" w14:textId="77777777" w:rsidR="00042C64" w:rsidRPr="00F83B8D" w:rsidRDefault="00643E51" w:rsidP="00601A44">
      <w:pPr>
        <w:spacing w:before="240" w:after="240"/>
        <w:ind w:left="720"/>
        <w:rPr>
          <w:szCs w:val="24"/>
        </w:rPr>
      </w:pPr>
      <w:r w:rsidRPr="00F83B8D">
        <w:rPr>
          <w:szCs w:val="24"/>
        </w:rPr>
        <w:t>If the applicant is i</w:t>
      </w:r>
      <w:r w:rsidR="00042C64" w:rsidRPr="00F83B8D">
        <w:rPr>
          <w:szCs w:val="24"/>
        </w:rPr>
        <w:t>n Good Standing at the time the application is submitted to the CDE, the application will be considered “Priority” and the application will be moved</w:t>
      </w:r>
      <w:r w:rsidRPr="00F83B8D">
        <w:rPr>
          <w:szCs w:val="24"/>
        </w:rPr>
        <w:t xml:space="preserve"> forward in the review process, provided that all other submission requirements are met.</w:t>
      </w:r>
    </w:p>
    <w:p w14:paraId="13A4B014" w14:textId="77777777" w:rsidR="00C5537D" w:rsidRPr="00F83B8D" w:rsidRDefault="00042C64" w:rsidP="00203B86">
      <w:pPr>
        <w:pStyle w:val="Heading3"/>
        <w:numPr>
          <w:ilvl w:val="0"/>
          <w:numId w:val="9"/>
        </w:numPr>
        <w:spacing w:before="360" w:after="240"/>
      </w:pPr>
      <w:bookmarkStart w:id="35" w:name="_Toc3983561"/>
      <w:bookmarkStart w:id="36" w:name="_Toc158361589"/>
      <w:r w:rsidRPr="00F83B8D">
        <w:t>Application Review Process</w:t>
      </w:r>
      <w:bookmarkEnd w:id="35"/>
      <w:bookmarkEnd w:id="36"/>
    </w:p>
    <w:p w14:paraId="30039D46" w14:textId="765085BD" w:rsidR="00042C64" w:rsidRPr="00F83B8D" w:rsidRDefault="00042C64" w:rsidP="00601A44">
      <w:pPr>
        <w:spacing w:before="240" w:after="240"/>
        <w:ind w:left="720"/>
        <w:rPr>
          <w:szCs w:val="24"/>
        </w:rPr>
      </w:pPr>
      <w:r w:rsidRPr="00F83B8D">
        <w:t xml:space="preserve">Each application shall be reviewed by a panel of readers selected by the CDE. Applications </w:t>
      </w:r>
      <w:r w:rsidRPr="00F83B8D">
        <w:rPr>
          <w:szCs w:val="24"/>
        </w:rPr>
        <w:t xml:space="preserve">that are determined by the panel to best meet the criteria stated in law and regulations shall be </w:t>
      </w:r>
      <w:r w:rsidR="00F722CF" w:rsidRPr="00F83B8D">
        <w:rPr>
          <w:szCs w:val="24"/>
        </w:rPr>
        <w:t>funded</w:t>
      </w:r>
      <w:r w:rsidR="00643E51" w:rsidRPr="00F83B8D">
        <w:rPr>
          <w:szCs w:val="24"/>
        </w:rPr>
        <w:t xml:space="preserve"> within the constraints imposed by the State B</w:t>
      </w:r>
      <w:r w:rsidR="001C5337" w:rsidRPr="00F83B8D">
        <w:rPr>
          <w:szCs w:val="24"/>
        </w:rPr>
        <w:t xml:space="preserve">udget Act. A minimum score of 70 percent on the Scoring Rubric </w:t>
      </w:r>
      <w:r w:rsidR="00601A44" w:rsidRPr="00F83B8D">
        <w:rPr>
          <w:szCs w:val="24"/>
        </w:rPr>
        <w:t xml:space="preserve">Template </w:t>
      </w:r>
      <w:r w:rsidR="001C5337" w:rsidRPr="00F83B8D">
        <w:rPr>
          <w:szCs w:val="24"/>
        </w:rPr>
        <w:t>(Attachment 2) is required for funding</w:t>
      </w:r>
      <w:r w:rsidR="0001781B" w:rsidRPr="00F83B8D">
        <w:rPr>
          <w:szCs w:val="24"/>
        </w:rPr>
        <w:t xml:space="preserve"> consideration</w:t>
      </w:r>
      <w:r w:rsidR="001C5337" w:rsidRPr="00F83B8D">
        <w:rPr>
          <w:szCs w:val="24"/>
        </w:rPr>
        <w:t xml:space="preserve"> and the AIEC has completed and submitted all required reports for the current funding cycle</w:t>
      </w:r>
      <w:r w:rsidR="00643E51" w:rsidRPr="00F83B8D">
        <w:rPr>
          <w:szCs w:val="24"/>
        </w:rPr>
        <w:t>.</w:t>
      </w:r>
    </w:p>
    <w:p w14:paraId="15B54E24" w14:textId="77777777" w:rsidR="00042C64" w:rsidRPr="00F83B8D" w:rsidRDefault="00042C64" w:rsidP="00601A44">
      <w:pPr>
        <w:numPr>
          <w:ilvl w:val="0"/>
          <w:numId w:val="50"/>
        </w:numPr>
        <w:spacing w:before="240" w:after="240"/>
        <w:rPr>
          <w:szCs w:val="24"/>
        </w:rPr>
      </w:pPr>
      <w:r w:rsidRPr="00F83B8D">
        <w:rPr>
          <w:szCs w:val="24"/>
        </w:rPr>
        <w:lastRenderedPageBreak/>
        <w:t>The initial screening of applications will be conducted by a CDE staff member. Applications that do not contain all required sections will not be considered for funding.</w:t>
      </w:r>
    </w:p>
    <w:p w14:paraId="67836808" w14:textId="5E2CB05A" w:rsidR="00042C64" w:rsidRPr="00F83B8D" w:rsidRDefault="00042C64" w:rsidP="00991C5B">
      <w:pPr>
        <w:numPr>
          <w:ilvl w:val="0"/>
          <w:numId w:val="50"/>
        </w:numPr>
        <w:tabs>
          <w:tab w:val="left" w:pos="360"/>
        </w:tabs>
        <w:spacing w:after="240"/>
        <w:rPr>
          <w:szCs w:val="24"/>
        </w:rPr>
      </w:pPr>
      <w:r w:rsidRPr="00F83B8D">
        <w:rPr>
          <w:szCs w:val="24"/>
        </w:rPr>
        <w:t>Application readers will rate each application on its own merits against the standardized scoring criteria described in the</w:t>
      </w:r>
      <w:r w:rsidR="00A3567B" w:rsidRPr="00F83B8D">
        <w:rPr>
          <w:szCs w:val="24"/>
        </w:rPr>
        <w:t xml:space="preserve"> </w:t>
      </w:r>
      <w:r w:rsidRPr="00F83B8D">
        <w:rPr>
          <w:szCs w:val="24"/>
        </w:rPr>
        <w:t xml:space="preserve">Scoring Rubric </w:t>
      </w:r>
      <w:r w:rsidR="00601A44" w:rsidRPr="00F83B8D">
        <w:rPr>
          <w:szCs w:val="24"/>
        </w:rPr>
        <w:t xml:space="preserve">Template </w:t>
      </w:r>
      <w:r w:rsidRPr="00F83B8D">
        <w:rPr>
          <w:szCs w:val="24"/>
        </w:rPr>
        <w:t>(A</w:t>
      </w:r>
      <w:r w:rsidR="00A3567B" w:rsidRPr="00F83B8D">
        <w:rPr>
          <w:szCs w:val="24"/>
        </w:rPr>
        <w:t>ttachment 2</w:t>
      </w:r>
      <w:r w:rsidRPr="00F83B8D">
        <w:rPr>
          <w:szCs w:val="24"/>
        </w:rPr>
        <w:t>).</w:t>
      </w:r>
    </w:p>
    <w:p w14:paraId="373AFA83" w14:textId="77777777" w:rsidR="00042C64" w:rsidRPr="00F83B8D" w:rsidRDefault="00042C64" w:rsidP="00991C5B">
      <w:pPr>
        <w:numPr>
          <w:ilvl w:val="0"/>
          <w:numId w:val="50"/>
        </w:numPr>
        <w:tabs>
          <w:tab w:val="left" w:pos="360"/>
        </w:tabs>
        <w:spacing w:after="240"/>
        <w:rPr>
          <w:szCs w:val="24"/>
        </w:rPr>
      </w:pPr>
      <w:r w:rsidRPr="00F83B8D">
        <w:rPr>
          <w:szCs w:val="24"/>
        </w:rPr>
        <w:t>The narrative and the budget will be reviewed together to ensure that the costs relate to the activities and objectives of the project. Budgets will be screened for adherence to applicable laws and regulations. Any costs that are deemed unallowable by the CDE must be removed from the budget prior to funding.</w:t>
      </w:r>
    </w:p>
    <w:p w14:paraId="6CA933E0" w14:textId="20E7AF12" w:rsidR="00643E51" w:rsidRPr="00F83B8D" w:rsidRDefault="00643E51" w:rsidP="00991C5B">
      <w:pPr>
        <w:numPr>
          <w:ilvl w:val="0"/>
          <w:numId w:val="50"/>
        </w:numPr>
        <w:tabs>
          <w:tab w:val="left" w:pos="360"/>
        </w:tabs>
        <w:spacing w:after="240"/>
        <w:rPr>
          <w:szCs w:val="24"/>
        </w:rPr>
      </w:pPr>
      <w:r w:rsidRPr="00F83B8D">
        <w:rPr>
          <w:szCs w:val="24"/>
        </w:rPr>
        <w:t xml:space="preserve">Only AIECs funded in </w:t>
      </w:r>
      <w:r w:rsidR="00DE0F74" w:rsidRPr="00F83B8D">
        <w:rPr>
          <w:szCs w:val="24"/>
        </w:rPr>
        <w:t>2023-24</w:t>
      </w:r>
      <w:r w:rsidRPr="00F83B8D">
        <w:rPr>
          <w:szCs w:val="24"/>
        </w:rPr>
        <w:t xml:space="preserve"> </w:t>
      </w:r>
      <w:r w:rsidRPr="00F83B8D">
        <w:t xml:space="preserve">under </w:t>
      </w:r>
      <w:r w:rsidRPr="00F83B8D">
        <w:rPr>
          <w:i/>
        </w:rPr>
        <w:t xml:space="preserve">EC </w:t>
      </w:r>
      <w:r w:rsidRPr="00F83B8D">
        <w:t>sections 333</w:t>
      </w:r>
      <w:r w:rsidR="001B050F" w:rsidRPr="00F83B8D">
        <w:t>8</w:t>
      </w:r>
      <w:r w:rsidRPr="00F83B8D">
        <w:t>0–</w:t>
      </w:r>
      <w:r w:rsidR="00B02D59" w:rsidRPr="00F83B8D">
        <w:t>333</w:t>
      </w:r>
      <w:r w:rsidRPr="00F83B8D">
        <w:t>8</w:t>
      </w:r>
      <w:r w:rsidR="001B050F" w:rsidRPr="00F83B8D">
        <w:t>4</w:t>
      </w:r>
      <w:r w:rsidRPr="00F83B8D">
        <w:t xml:space="preserve"> will be funded.</w:t>
      </w:r>
    </w:p>
    <w:p w14:paraId="323812BC" w14:textId="77777777" w:rsidR="00042C64" w:rsidRPr="00F83B8D" w:rsidRDefault="00042C64" w:rsidP="001B050F">
      <w:pPr>
        <w:numPr>
          <w:ilvl w:val="0"/>
          <w:numId w:val="50"/>
        </w:numPr>
        <w:rPr>
          <w:rFonts w:eastAsia="MS Mincho"/>
          <w:szCs w:val="24"/>
        </w:rPr>
      </w:pPr>
      <w:r w:rsidRPr="00F83B8D">
        <w:rPr>
          <w:rFonts w:eastAsia="MS Mincho"/>
          <w:szCs w:val="24"/>
        </w:rPr>
        <w:t>Geographic distribution will be considered when funding decisions are made.</w:t>
      </w:r>
    </w:p>
    <w:p w14:paraId="1E7C5646" w14:textId="77777777" w:rsidR="00601A44" w:rsidRPr="00F83B8D" w:rsidRDefault="00601A44" w:rsidP="00203B86">
      <w:pPr>
        <w:pStyle w:val="Heading3"/>
        <w:numPr>
          <w:ilvl w:val="0"/>
          <w:numId w:val="9"/>
        </w:numPr>
        <w:spacing w:before="360" w:after="240"/>
      </w:pPr>
      <w:bookmarkStart w:id="37" w:name="_Toc158361590"/>
      <w:r w:rsidRPr="00F83B8D">
        <w:t>Appeals</w:t>
      </w:r>
      <w:bookmarkEnd w:id="37"/>
    </w:p>
    <w:p w14:paraId="2306731A" w14:textId="77777777" w:rsidR="00601A44" w:rsidRPr="00F83B8D" w:rsidRDefault="00601A44" w:rsidP="00C344FD">
      <w:pPr>
        <w:keepNext/>
        <w:keepLines/>
        <w:spacing w:before="240" w:after="240"/>
        <w:ind w:left="720"/>
        <w:rPr>
          <w:szCs w:val="24"/>
        </w:rPr>
      </w:pPr>
      <w:r w:rsidRPr="00F83B8D">
        <w:t xml:space="preserve">Applicants who wish to appeal </w:t>
      </w:r>
      <w:r w:rsidRPr="00F83B8D">
        <w:rPr>
          <w:szCs w:val="24"/>
        </w:rPr>
        <w:t>a grant award decision shall submit a written appeal to the CDE within five working days of the posted decision for grant year 2024-25. Appeals shall be limited to the grounds that the CDE failed to correctly apply the standards for reviewing the applications or for the grant award process as specified in the regulations. The appellant applicant shall file a full and complete written appeal, including the issue(s) in dispute, the legal authority or other basis for the appeal position, and the remedy sought. The CDE will not consider incomplete appeals, late appeals, or appeals that only refute the readers’ comments.</w:t>
      </w:r>
    </w:p>
    <w:p w14:paraId="7BA16810" w14:textId="156F6711" w:rsidR="001F5884" w:rsidRPr="00F83B8D" w:rsidRDefault="001F5884" w:rsidP="00C344FD">
      <w:pPr>
        <w:keepNext/>
        <w:keepLines/>
        <w:spacing w:before="240" w:after="240"/>
        <w:ind w:left="720"/>
        <w:rPr>
          <w:szCs w:val="24"/>
        </w:rPr>
      </w:pPr>
      <w:r w:rsidRPr="00F83B8D">
        <w:rPr>
          <w:szCs w:val="24"/>
        </w:rPr>
        <w:t xml:space="preserve">Any decision to revise the original score or fund the application shall be documented in writing. The CDE’s decision is the final administrative action afforded the appeal. A PDF of a signed appeal must be submitted by email to </w:t>
      </w:r>
      <w:hyperlink r:id="rId12" w:tooltip="mailto:AmericanIndianEducation@cde.ca.gov" w:history="1">
        <w:r w:rsidR="006B1539" w:rsidRPr="00F83B8D">
          <w:rPr>
            <w:rStyle w:val="Hyperlink"/>
            <w:szCs w:val="24"/>
          </w:rPr>
          <w:t>AmericanIndianEducation@cde.ca.gov</w:t>
        </w:r>
      </w:hyperlink>
      <w:r w:rsidR="006B1539" w:rsidRPr="00F83B8D">
        <w:rPr>
          <w:szCs w:val="24"/>
        </w:rPr>
        <w:t xml:space="preserve">. </w:t>
      </w:r>
    </w:p>
    <w:p w14:paraId="51B160E7" w14:textId="50B600AE" w:rsidR="007D37D0" w:rsidRPr="00F83B8D" w:rsidRDefault="007D37D0" w:rsidP="00203B86">
      <w:pPr>
        <w:pStyle w:val="Heading3"/>
        <w:numPr>
          <w:ilvl w:val="0"/>
          <w:numId w:val="9"/>
        </w:numPr>
        <w:spacing w:before="360" w:after="240"/>
      </w:pPr>
      <w:bookmarkStart w:id="38" w:name="_Toc3983564"/>
      <w:bookmarkStart w:id="39" w:name="_Toc158361591"/>
      <w:r w:rsidRPr="00F83B8D">
        <w:t>Grant Funding Procedures</w:t>
      </w:r>
      <w:bookmarkEnd w:id="38"/>
      <w:bookmarkEnd w:id="39"/>
    </w:p>
    <w:p w14:paraId="1CDF71E9" w14:textId="2483D5BD" w:rsidR="000054E7" w:rsidRPr="00F83B8D" w:rsidRDefault="000054E7" w:rsidP="00877898">
      <w:pPr>
        <w:pStyle w:val="EnvelopeReturn"/>
        <w:spacing w:after="240"/>
        <w:ind w:left="720"/>
        <w:rPr>
          <w:rFonts w:ascii="Arial" w:hAnsi="Arial"/>
        </w:rPr>
      </w:pPr>
      <w:r w:rsidRPr="00F83B8D">
        <w:rPr>
          <w:rFonts w:ascii="Arial" w:hAnsi="Arial"/>
        </w:rPr>
        <w:t>A 50 percent cash advance will be given provided:</w:t>
      </w:r>
    </w:p>
    <w:p w14:paraId="4321B204" w14:textId="77777777" w:rsidR="000054E7" w:rsidRPr="00F83B8D" w:rsidRDefault="000054E7" w:rsidP="00991C5B">
      <w:pPr>
        <w:numPr>
          <w:ilvl w:val="0"/>
          <w:numId w:val="51"/>
        </w:numPr>
        <w:spacing w:after="240"/>
        <w:ind w:left="1530"/>
        <w:rPr>
          <w:bCs w:val="0"/>
          <w:szCs w:val="24"/>
        </w:rPr>
      </w:pPr>
      <w:r w:rsidRPr="00F83B8D">
        <w:t>The State Budget Act has</w:t>
      </w:r>
      <w:r w:rsidRPr="00F83B8D">
        <w:rPr>
          <w:bCs w:val="0"/>
          <w:szCs w:val="24"/>
        </w:rPr>
        <w:t xml:space="preserve"> been signed and funds are appropriated for this purpose.</w:t>
      </w:r>
    </w:p>
    <w:p w14:paraId="7EB70A08" w14:textId="77777777" w:rsidR="000054E7" w:rsidRPr="00F83B8D" w:rsidRDefault="000054E7" w:rsidP="00991C5B">
      <w:pPr>
        <w:numPr>
          <w:ilvl w:val="0"/>
          <w:numId w:val="51"/>
        </w:numPr>
        <w:spacing w:after="240"/>
        <w:ind w:left="1530"/>
        <w:rPr>
          <w:bCs w:val="0"/>
          <w:szCs w:val="24"/>
        </w:rPr>
      </w:pPr>
      <w:r w:rsidRPr="00F83B8D">
        <w:rPr>
          <w:bCs w:val="0"/>
          <w:szCs w:val="24"/>
        </w:rPr>
        <w:t>All program and/or budget stipulations have been satisfactorily addressed.</w:t>
      </w:r>
    </w:p>
    <w:p w14:paraId="4F08D927" w14:textId="77777777" w:rsidR="000054E7" w:rsidRPr="00F83B8D" w:rsidRDefault="000054E7" w:rsidP="00991C5B">
      <w:pPr>
        <w:numPr>
          <w:ilvl w:val="0"/>
          <w:numId w:val="51"/>
        </w:numPr>
        <w:spacing w:after="240"/>
        <w:ind w:left="1530"/>
        <w:rPr>
          <w:bCs w:val="0"/>
          <w:szCs w:val="24"/>
        </w:rPr>
      </w:pPr>
      <w:r w:rsidRPr="00F83B8D">
        <w:rPr>
          <w:bCs w:val="0"/>
          <w:szCs w:val="24"/>
        </w:rPr>
        <w:lastRenderedPageBreak/>
        <w:t>All assurances have been submitted.</w:t>
      </w:r>
    </w:p>
    <w:p w14:paraId="217F9DF0" w14:textId="77777777" w:rsidR="000054E7" w:rsidRPr="00F83B8D" w:rsidRDefault="000054E7" w:rsidP="00991C5B">
      <w:pPr>
        <w:numPr>
          <w:ilvl w:val="0"/>
          <w:numId w:val="51"/>
        </w:numPr>
        <w:spacing w:after="240"/>
        <w:ind w:left="1530"/>
        <w:rPr>
          <w:bCs w:val="0"/>
          <w:szCs w:val="24"/>
        </w:rPr>
      </w:pPr>
      <w:r w:rsidRPr="00F83B8D">
        <w:rPr>
          <w:bCs w:val="0"/>
          <w:szCs w:val="24"/>
        </w:rPr>
        <w:t>A signed Grant Award Notification has been signed by the grantee and received by the CDE.</w:t>
      </w:r>
    </w:p>
    <w:p w14:paraId="37DAC1D3" w14:textId="60900A36" w:rsidR="000054E7" w:rsidRPr="00F83B8D" w:rsidRDefault="000054E7" w:rsidP="000054E7">
      <w:pPr>
        <w:tabs>
          <w:tab w:val="left" w:pos="5040"/>
        </w:tabs>
        <w:spacing w:after="240"/>
        <w:ind w:left="720"/>
        <w:rPr>
          <w:bCs w:val="0"/>
          <w:szCs w:val="24"/>
        </w:rPr>
      </w:pPr>
      <w:r w:rsidRPr="00F83B8D">
        <w:rPr>
          <w:bCs w:val="0"/>
          <w:szCs w:val="24"/>
        </w:rPr>
        <w:t xml:space="preserve">The grantee will receive another 40 percent payment by submitting to the CDE the second Expenditure Report due May 11, </w:t>
      </w:r>
      <w:r w:rsidR="00F722CF" w:rsidRPr="00F83B8D">
        <w:rPr>
          <w:bCs w:val="0"/>
          <w:szCs w:val="24"/>
        </w:rPr>
        <w:t>2025,</w:t>
      </w:r>
      <w:r w:rsidR="00592F78" w:rsidRPr="00F83B8D">
        <w:rPr>
          <w:bCs w:val="0"/>
          <w:szCs w:val="24"/>
        </w:rPr>
        <w:t xml:space="preserve"> </w:t>
      </w:r>
      <w:r w:rsidRPr="00F83B8D">
        <w:rPr>
          <w:bCs w:val="0"/>
          <w:szCs w:val="24"/>
        </w:rPr>
        <w:t>indicating that 80 percent of the prior 50 percent has been expended.</w:t>
      </w:r>
    </w:p>
    <w:p w14:paraId="5E4A99FC" w14:textId="77777777" w:rsidR="000054E7" w:rsidRPr="00F83B8D" w:rsidRDefault="00B02D59" w:rsidP="000054E7">
      <w:pPr>
        <w:tabs>
          <w:tab w:val="left" w:pos="5040"/>
        </w:tabs>
        <w:spacing w:after="240"/>
        <w:ind w:left="720"/>
        <w:rPr>
          <w:bCs w:val="0"/>
          <w:szCs w:val="24"/>
        </w:rPr>
      </w:pPr>
      <w:r w:rsidRPr="00F83B8D">
        <w:rPr>
          <w:bCs w:val="0"/>
          <w:szCs w:val="24"/>
        </w:rPr>
        <w:t>The final 10</w:t>
      </w:r>
      <w:r w:rsidR="000054E7" w:rsidRPr="00F83B8D">
        <w:rPr>
          <w:bCs w:val="0"/>
          <w:szCs w:val="24"/>
        </w:rPr>
        <w:t xml:space="preserve"> percent, or portion thereof, will be held pending receipt of the final program report, evaluation report, the final expenditure report, and the Inventory form all of which are due within 45 days of the grant termination date.</w:t>
      </w:r>
    </w:p>
    <w:p w14:paraId="6F024CAF" w14:textId="77777777" w:rsidR="000054E7" w:rsidRPr="00F83B8D" w:rsidRDefault="000054E7" w:rsidP="000054E7">
      <w:pPr>
        <w:tabs>
          <w:tab w:val="left" w:pos="5040"/>
        </w:tabs>
        <w:spacing w:after="480"/>
        <w:ind w:left="720"/>
        <w:rPr>
          <w:bCs w:val="0"/>
          <w:szCs w:val="24"/>
        </w:rPr>
      </w:pPr>
      <w:r w:rsidRPr="00F83B8D">
        <w:rPr>
          <w:b/>
          <w:bCs w:val="0"/>
          <w:szCs w:val="24"/>
        </w:rPr>
        <w:t>Note:</w:t>
      </w:r>
      <w:r w:rsidRPr="00F83B8D">
        <w:rPr>
          <w:bCs w:val="0"/>
          <w:szCs w:val="24"/>
        </w:rPr>
        <w:t xml:space="preserve"> Applicants are to be current on all required reports before any payments can be processed.</w:t>
      </w:r>
    </w:p>
    <w:p w14:paraId="4644C43E" w14:textId="77777777" w:rsidR="007D37D0" w:rsidRPr="00F83B8D" w:rsidRDefault="007D37D0" w:rsidP="00203B86">
      <w:pPr>
        <w:pStyle w:val="Heading3"/>
        <w:numPr>
          <w:ilvl w:val="0"/>
          <w:numId w:val="9"/>
        </w:numPr>
        <w:spacing w:before="360" w:after="240"/>
      </w:pPr>
      <w:bookmarkStart w:id="40" w:name="_Toc3983565"/>
      <w:bookmarkStart w:id="41" w:name="_Toc158361592"/>
      <w:r w:rsidRPr="00F83B8D">
        <w:t>Formatting Requirements</w:t>
      </w:r>
      <w:bookmarkEnd w:id="40"/>
      <w:bookmarkEnd w:id="41"/>
    </w:p>
    <w:p w14:paraId="5729634D" w14:textId="77777777" w:rsidR="007D37D0" w:rsidRPr="00F83B8D" w:rsidRDefault="007D37D0" w:rsidP="00D818BD">
      <w:pPr>
        <w:spacing w:before="240" w:after="240"/>
        <w:ind w:left="720"/>
        <w:rPr>
          <w:szCs w:val="24"/>
        </w:rPr>
      </w:pPr>
      <w:r w:rsidRPr="00F83B8D">
        <w:t>The narrative for the AIEC</w:t>
      </w:r>
      <w:r w:rsidR="000054E7" w:rsidRPr="00F83B8D">
        <w:t>–TUPE</w:t>
      </w:r>
      <w:r w:rsidRPr="00F83B8D">
        <w:t xml:space="preserve"> </w:t>
      </w:r>
      <w:r w:rsidR="00243A06" w:rsidRPr="00F83B8D">
        <w:t>Program g</w:t>
      </w:r>
      <w:r w:rsidR="00243A06" w:rsidRPr="00F83B8D">
        <w:rPr>
          <w:szCs w:val="24"/>
        </w:rPr>
        <w:t>rant a</w:t>
      </w:r>
      <w:r w:rsidRPr="00F83B8D">
        <w:rPr>
          <w:szCs w:val="24"/>
        </w:rPr>
        <w:t>pplication must be limited to 20 pages, single</w:t>
      </w:r>
      <w:r w:rsidRPr="00F83B8D">
        <w:rPr>
          <w:szCs w:val="24"/>
        </w:rPr>
        <w:noBreakHyphen/>
        <w:t>sided, 8½- by 11-inch paper, using 12-point Arial font, with half-inch margins (not including required budget forms, other required doc</w:t>
      </w:r>
      <w:r w:rsidR="0020774F" w:rsidRPr="00F83B8D">
        <w:rPr>
          <w:szCs w:val="24"/>
        </w:rPr>
        <w:t>umentation forms, and attachments). Attachments</w:t>
      </w:r>
      <w:r w:rsidRPr="00F83B8D">
        <w:rPr>
          <w:szCs w:val="24"/>
        </w:rPr>
        <w:t xml:space="preserve"> shall be limited to the forms provided by the </w:t>
      </w:r>
      <w:smartTag w:uri="urn:schemas-microsoft-com:office:smarttags" w:element="stockticker">
        <w:r w:rsidRPr="00F83B8D">
          <w:rPr>
            <w:szCs w:val="24"/>
          </w:rPr>
          <w:t>CDE</w:t>
        </w:r>
      </w:smartTag>
      <w:r w:rsidR="00877898" w:rsidRPr="00F83B8D">
        <w:rPr>
          <w:szCs w:val="24"/>
        </w:rPr>
        <w:t>:</w:t>
      </w:r>
    </w:p>
    <w:p w14:paraId="69D36693" w14:textId="77777777" w:rsidR="000054E7" w:rsidRPr="00F83B8D" w:rsidRDefault="000054E7" w:rsidP="00D818BD">
      <w:pPr>
        <w:pStyle w:val="ListParagraph"/>
        <w:numPr>
          <w:ilvl w:val="0"/>
          <w:numId w:val="52"/>
        </w:numPr>
        <w:spacing w:before="240" w:after="240"/>
        <w:rPr>
          <w:szCs w:val="24"/>
        </w:rPr>
      </w:pPr>
      <w:r w:rsidRPr="00F83B8D">
        <w:rPr>
          <w:szCs w:val="24"/>
        </w:rPr>
        <w:t>Commercial Tobacco-Free Certification (Attachment 3)</w:t>
      </w:r>
    </w:p>
    <w:p w14:paraId="69315B05" w14:textId="363C2361" w:rsidR="000054E7" w:rsidRPr="00F83B8D" w:rsidRDefault="000054E7" w:rsidP="00D818BD">
      <w:pPr>
        <w:pStyle w:val="ListParagraph"/>
        <w:numPr>
          <w:ilvl w:val="0"/>
          <w:numId w:val="52"/>
        </w:numPr>
        <w:spacing w:before="240" w:after="240"/>
        <w:rPr>
          <w:szCs w:val="24"/>
        </w:rPr>
      </w:pPr>
      <w:r w:rsidRPr="00F83B8D">
        <w:rPr>
          <w:szCs w:val="24"/>
        </w:rPr>
        <w:t>Budget</w:t>
      </w:r>
      <w:r w:rsidR="00181582" w:rsidRPr="00F83B8D">
        <w:rPr>
          <w:szCs w:val="24"/>
        </w:rPr>
        <w:t xml:space="preserve"> </w:t>
      </w:r>
      <w:r w:rsidR="00207427" w:rsidRPr="00F83B8D">
        <w:rPr>
          <w:szCs w:val="24"/>
        </w:rPr>
        <w:t xml:space="preserve">Request </w:t>
      </w:r>
      <w:r w:rsidRPr="00F83B8D">
        <w:rPr>
          <w:szCs w:val="24"/>
        </w:rPr>
        <w:t>(Attachment 4)</w:t>
      </w:r>
    </w:p>
    <w:p w14:paraId="257DB1A6" w14:textId="781BE346" w:rsidR="000054E7" w:rsidRPr="00F83B8D" w:rsidRDefault="000054E7" w:rsidP="00D818BD">
      <w:pPr>
        <w:pStyle w:val="ListParagraph"/>
        <w:numPr>
          <w:ilvl w:val="0"/>
          <w:numId w:val="52"/>
        </w:numPr>
        <w:spacing w:before="240" w:after="240"/>
        <w:rPr>
          <w:szCs w:val="24"/>
        </w:rPr>
      </w:pPr>
      <w:r w:rsidRPr="00F83B8D">
        <w:rPr>
          <w:szCs w:val="24"/>
        </w:rPr>
        <w:t xml:space="preserve">Budget </w:t>
      </w:r>
      <w:r w:rsidR="00181582" w:rsidRPr="00F83B8D">
        <w:rPr>
          <w:szCs w:val="24"/>
        </w:rPr>
        <w:t>S</w:t>
      </w:r>
      <w:r w:rsidR="00D31EDE" w:rsidRPr="00F83B8D">
        <w:rPr>
          <w:szCs w:val="24"/>
        </w:rPr>
        <w:t>ignature</w:t>
      </w:r>
      <w:r w:rsidR="00181582" w:rsidRPr="00F83B8D">
        <w:rPr>
          <w:szCs w:val="24"/>
        </w:rPr>
        <w:t xml:space="preserve"> Form</w:t>
      </w:r>
      <w:r w:rsidRPr="00F83B8D">
        <w:rPr>
          <w:szCs w:val="24"/>
        </w:rPr>
        <w:t xml:space="preserve"> (Attachment </w:t>
      </w:r>
      <w:r w:rsidR="00D31EDE" w:rsidRPr="00F83B8D">
        <w:rPr>
          <w:szCs w:val="24"/>
        </w:rPr>
        <w:t>5</w:t>
      </w:r>
      <w:r w:rsidRPr="00F83B8D">
        <w:rPr>
          <w:szCs w:val="24"/>
        </w:rPr>
        <w:t>)</w:t>
      </w:r>
    </w:p>
    <w:p w14:paraId="6214F72F" w14:textId="595079DB" w:rsidR="00A62F48" w:rsidRPr="00F83B8D" w:rsidRDefault="00A62F48" w:rsidP="00D818BD">
      <w:pPr>
        <w:spacing w:before="240" w:after="240"/>
        <w:ind w:left="720"/>
        <w:rPr>
          <w:szCs w:val="24"/>
        </w:rPr>
      </w:pPr>
      <w:r w:rsidRPr="00F83B8D">
        <w:rPr>
          <w:szCs w:val="24"/>
        </w:rPr>
        <w:t xml:space="preserve">Each </w:t>
      </w:r>
      <w:r w:rsidR="00B73A69" w:rsidRPr="00F83B8D">
        <w:rPr>
          <w:szCs w:val="24"/>
        </w:rPr>
        <w:t>application</w:t>
      </w:r>
      <w:r w:rsidRPr="00F83B8D">
        <w:rPr>
          <w:szCs w:val="24"/>
        </w:rPr>
        <w:t xml:space="preserve"> must be stapled or clipped in the upper left-hand corner with the</w:t>
      </w:r>
      <w:r w:rsidR="00AA4F00" w:rsidRPr="00F83B8D">
        <w:rPr>
          <w:szCs w:val="24"/>
        </w:rPr>
        <w:t xml:space="preserve"> 20</w:t>
      </w:r>
      <w:r w:rsidR="004E429A" w:rsidRPr="00F83B8D">
        <w:rPr>
          <w:szCs w:val="24"/>
        </w:rPr>
        <w:t>24</w:t>
      </w:r>
      <w:r w:rsidR="00AA4F00" w:rsidRPr="00F83B8D">
        <w:rPr>
          <w:szCs w:val="24"/>
        </w:rPr>
        <w:t>–2</w:t>
      </w:r>
      <w:r w:rsidR="004E429A" w:rsidRPr="00F83B8D">
        <w:rPr>
          <w:szCs w:val="24"/>
        </w:rPr>
        <w:t>5</w:t>
      </w:r>
      <w:r w:rsidR="00AA4F00" w:rsidRPr="00F83B8D">
        <w:rPr>
          <w:szCs w:val="24"/>
        </w:rPr>
        <w:t xml:space="preserve"> Program</w:t>
      </w:r>
      <w:r w:rsidRPr="00F83B8D">
        <w:rPr>
          <w:szCs w:val="24"/>
        </w:rPr>
        <w:t xml:space="preserve"> Application Cover </w:t>
      </w:r>
      <w:r w:rsidR="00AA4F00" w:rsidRPr="00F83B8D">
        <w:rPr>
          <w:szCs w:val="24"/>
        </w:rPr>
        <w:t>Page</w:t>
      </w:r>
      <w:r w:rsidRPr="00F83B8D">
        <w:rPr>
          <w:szCs w:val="24"/>
        </w:rPr>
        <w:t xml:space="preserve"> on the top of the application. Do not use binders, covers, flat folders, or cover letters.</w:t>
      </w:r>
    </w:p>
    <w:p w14:paraId="595BA3A9" w14:textId="77777777" w:rsidR="00A62F48" w:rsidRPr="00F83B8D" w:rsidRDefault="00B73A69" w:rsidP="00D818BD">
      <w:pPr>
        <w:spacing w:before="240" w:after="240"/>
        <w:ind w:left="720"/>
        <w:rPr>
          <w:szCs w:val="24"/>
        </w:rPr>
      </w:pPr>
      <w:r w:rsidRPr="00F83B8D">
        <w:rPr>
          <w:szCs w:val="24"/>
        </w:rPr>
        <w:t>The a</w:t>
      </w:r>
      <w:r w:rsidR="00A62F48" w:rsidRPr="00F83B8D">
        <w:rPr>
          <w:szCs w:val="24"/>
        </w:rPr>
        <w:t xml:space="preserve">pplicant is responsible for ensuring that the application package is complete and </w:t>
      </w:r>
      <w:r w:rsidR="00B02D59" w:rsidRPr="00F83B8D">
        <w:rPr>
          <w:szCs w:val="24"/>
        </w:rPr>
        <w:t xml:space="preserve">that there are no missing pages or </w:t>
      </w:r>
      <w:r w:rsidR="00A62F48" w:rsidRPr="00F83B8D">
        <w:rPr>
          <w:szCs w:val="24"/>
        </w:rPr>
        <w:t>forms prior to submission. The CDE cannot add items to or remove items from the applications received.</w:t>
      </w:r>
    </w:p>
    <w:p w14:paraId="0F2B8C23" w14:textId="5DA8FC85" w:rsidR="00FA2A48" w:rsidRPr="00F83B8D" w:rsidRDefault="00FA2A48" w:rsidP="00D818BD">
      <w:pPr>
        <w:spacing w:before="240" w:after="240"/>
        <w:ind w:left="720"/>
        <w:rPr>
          <w:szCs w:val="24"/>
        </w:rPr>
      </w:pPr>
      <w:r w:rsidRPr="00F83B8D">
        <w:rPr>
          <w:szCs w:val="24"/>
        </w:rPr>
        <w:t xml:space="preserve">In order to be competitive, all applications must adhere to the required format and include all of the requested information and completed forms. All documents and forms required for submission may be found on the </w:t>
      </w:r>
      <w:r w:rsidR="00C04D05">
        <w:rPr>
          <w:szCs w:val="24"/>
        </w:rPr>
        <w:t xml:space="preserve">CDE Funding </w:t>
      </w:r>
      <w:r w:rsidR="00C04D05">
        <w:t xml:space="preserve">Web page at </w:t>
      </w:r>
      <w:hyperlink r:id="rId13" w:tooltip="Funding Web page for American Indian Education Centers (AIEC) and AIEC Tobacco-Use Prevention Education (TUPE) Programs" w:history="1">
        <w:r w:rsidR="00C04D05" w:rsidRPr="00316A56">
          <w:rPr>
            <w:rStyle w:val="Hyperlink"/>
          </w:rPr>
          <w:t>https://www.cde.ca.gov/sp/ai/re/funding.asp</w:t>
        </w:r>
      </w:hyperlink>
      <w:r w:rsidR="00C04D05">
        <w:t xml:space="preserve">. </w:t>
      </w:r>
      <w:r w:rsidRPr="00F83B8D">
        <w:rPr>
          <w:szCs w:val="24"/>
        </w:rPr>
        <w:t xml:space="preserve">The application for an AIEC Program grant must be emailed to the CDE on or before </w:t>
      </w:r>
      <w:r w:rsidR="00020475">
        <w:rPr>
          <w:szCs w:val="24"/>
        </w:rPr>
        <w:t>Tuesday</w:t>
      </w:r>
      <w:r w:rsidRPr="00F83B8D">
        <w:rPr>
          <w:szCs w:val="24"/>
        </w:rPr>
        <w:t>,</w:t>
      </w:r>
      <w:r w:rsidR="00020475">
        <w:rPr>
          <w:szCs w:val="24"/>
        </w:rPr>
        <w:t xml:space="preserve"> September 10,</w:t>
      </w:r>
      <w:r w:rsidRPr="00F83B8D">
        <w:rPr>
          <w:szCs w:val="24"/>
        </w:rPr>
        <w:t xml:space="preserve"> 2024, no later than 4 pm PST. </w:t>
      </w:r>
    </w:p>
    <w:p w14:paraId="14ABD550" w14:textId="2DEED4E8" w:rsidR="00FA2A48" w:rsidRPr="00F83B8D" w:rsidRDefault="00FA2A48" w:rsidP="00D818BD">
      <w:pPr>
        <w:spacing w:before="240" w:after="240"/>
        <w:ind w:left="720"/>
        <w:rPr>
          <w:szCs w:val="24"/>
        </w:rPr>
      </w:pPr>
      <w:r w:rsidRPr="00F83B8D">
        <w:rPr>
          <w:szCs w:val="24"/>
        </w:rPr>
        <w:lastRenderedPageBreak/>
        <w:t xml:space="preserve">Email application: Applications must be emailed on or before </w:t>
      </w:r>
      <w:r w:rsidR="00020475">
        <w:rPr>
          <w:szCs w:val="24"/>
        </w:rPr>
        <w:t xml:space="preserve">Tuesday, September </w:t>
      </w:r>
      <w:r w:rsidRPr="00F83B8D">
        <w:rPr>
          <w:szCs w:val="24"/>
        </w:rPr>
        <w:t>1</w:t>
      </w:r>
      <w:r w:rsidR="00020475">
        <w:rPr>
          <w:szCs w:val="24"/>
        </w:rPr>
        <w:t>0</w:t>
      </w:r>
      <w:r w:rsidRPr="00F83B8D">
        <w:rPr>
          <w:szCs w:val="24"/>
        </w:rPr>
        <w:t xml:space="preserve">, 2024, no later than 4 pm PST. The complete digitally signed copy of all attached documents as a PDF must be submitted by email to </w:t>
      </w:r>
      <w:hyperlink r:id="rId14" w:tooltip="mailto:AmericanIndianEducation@cde.ca.gov" w:history="1">
        <w:r w:rsidRPr="00F83B8D">
          <w:rPr>
            <w:rStyle w:val="Hyperlink"/>
            <w:szCs w:val="24"/>
          </w:rPr>
          <w:t>AmericanIndianEducation@cde.ca.gov</w:t>
        </w:r>
      </w:hyperlink>
      <w:r w:rsidRPr="00F83B8D">
        <w:rPr>
          <w:szCs w:val="24"/>
        </w:rPr>
        <w:t xml:space="preserve">. The digital copies must be submitted as a continuous PDF document. </w:t>
      </w:r>
    </w:p>
    <w:p w14:paraId="0E1CAA82" w14:textId="6EECE3AD" w:rsidR="00A62F48" w:rsidRPr="00F83B8D" w:rsidRDefault="00FA2A48" w:rsidP="00D818BD">
      <w:pPr>
        <w:spacing w:before="240" w:after="240"/>
        <w:ind w:left="720"/>
        <w:rPr>
          <w:szCs w:val="24"/>
        </w:rPr>
      </w:pPr>
      <w:r w:rsidRPr="00F83B8D">
        <w:rPr>
          <w:szCs w:val="24"/>
        </w:rPr>
        <w:t>The applicant is responsible for ensuring that the application package is complete and that there are no missing pages/forms prior to submission. The CDE cannot add items to or remove items from the applications received.</w:t>
      </w:r>
    </w:p>
    <w:p w14:paraId="7CC5ED54" w14:textId="77777777" w:rsidR="00A62F48" w:rsidRPr="00F83B8D" w:rsidRDefault="00A62F48" w:rsidP="00D818BD">
      <w:pPr>
        <w:spacing w:before="240" w:after="240"/>
        <w:ind w:left="720"/>
        <w:rPr>
          <w:szCs w:val="24"/>
        </w:rPr>
      </w:pPr>
      <w:r w:rsidRPr="00F83B8D">
        <w:rPr>
          <w:szCs w:val="24"/>
        </w:rPr>
        <w:t xml:space="preserve">The CDE reserves the right to reject any or all applications. The state's waiver of any submission of material not required in the </w:t>
      </w:r>
      <w:r w:rsidR="00734EAA" w:rsidRPr="00F83B8D">
        <w:rPr>
          <w:szCs w:val="24"/>
        </w:rPr>
        <w:t xml:space="preserve">RFA does </w:t>
      </w:r>
      <w:r w:rsidRPr="00F83B8D">
        <w:rPr>
          <w:szCs w:val="24"/>
        </w:rPr>
        <w:t>not excuse the grantee from full compliance with the grant terms, if a grant is awarded.</w:t>
      </w:r>
    </w:p>
    <w:p w14:paraId="502EA0E2" w14:textId="77777777" w:rsidR="008E74DE" w:rsidRPr="00F83B8D" w:rsidRDefault="008E74DE" w:rsidP="00D818BD">
      <w:pPr>
        <w:spacing w:before="240" w:after="240"/>
        <w:ind w:left="720"/>
        <w:rPr>
          <w:szCs w:val="24"/>
        </w:rPr>
      </w:pPr>
      <w:r w:rsidRPr="00F83B8D">
        <w:rPr>
          <w:szCs w:val="24"/>
        </w:rPr>
        <w:t xml:space="preserve">The costs for preparing and delivering the application shall be the sole responsibility of the applicant. </w:t>
      </w:r>
      <w:r w:rsidR="0020774F" w:rsidRPr="00F83B8D">
        <w:rPr>
          <w:szCs w:val="24"/>
        </w:rPr>
        <w:t>(AIEC</w:t>
      </w:r>
      <w:r w:rsidR="00604990" w:rsidRPr="00F83B8D">
        <w:rPr>
          <w:szCs w:val="24"/>
        </w:rPr>
        <w:t xml:space="preserve"> or AIEC–TUPE</w:t>
      </w:r>
      <w:r w:rsidR="0020774F" w:rsidRPr="00F83B8D">
        <w:rPr>
          <w:szCs w:val="24"/>
        </w:rPr>
        <w:t xml:space="preserve"> </w:t>
      </w:r>
      <w:r w:rsidR="00243A06" w:rsidRPr="00F83B8D">
        <w:rPr>
          <w:szCs w:val="24"/>
        </w:rPr>
        <w:t xml:space="preserve">Program </w:t>
      </w:r>
      <w:r w:rsidR="0020774F" w:rsidRPr="00F83B8D">
        <w:rPr>
          <w:szCs w:val="24"/>
        </w:rPr>
        <w:t xml:space="preserve">funds cannot be </w:t>
      </w:r>
      <w:r w:rsidR="00243A06" w:rsidRPr="00F83B8D">
        <w:rPr>
          <w:szCs w:val="24"/>
        </w:rPr>
        <w:t xml:space="preserve">used </w:t>
      </w:r>
      <w:r w:rsidR="00DE19FE" w:rsidRPr="00F83B8D">
        <w:rPr>
          <w:szCs w:val="24"/>
        </w:rPr>
        <w:t xml:space="preserve">for postage or </w:t>
      </w:r>
      <w:r w:rsidR="0020774F" w:rsidRPr="00F83B8D">
        <w:rPr>
          <w:szCs w:val="24"/>
        </w:rPr>
        <w:t xml:space="preserve">for travel to deliver the application.) </w:t>
      </w:r>
      <w:r w:rsidRPr="00F83B8D">
        <w:rPr>
          <w:szCs w:val="24"/>
        </w:rPr>
        <w:t>The CDE shall not provide reimbursement for such costs.</w:t>
      </w:r>
    </w:p>
    <w:p w14:paraId="27DED133" w14:textId="77777777" w:rsidR="00D06605" w:rsidRPr="00F83B8D" w:rsidRDefault="00734EAA" w:rsidP="00203B86">
      <w:pPr>
        <w:pStyle w:val="Heading3"/>
        <w:numPr>
          <w:ilvl w:val="0"/>
          <w:numId w:val="9"/>
        </w:numPr>
        <w:tabs>
          <w:tab w:val="clear" w:pos="960"/>
          <w:tab w:val="clear" w:pos="1440"/>
          <w:tab w:val="clear" w:pos="1800"/>
          <w:tab w:val="clear" w:pos="2160"/>
        </w:tabs>
        <w:spacing w:before="360" w:after="240"/>
      </w:pPr>
      <w:bookmarkStart w:id="42" w:name="_Toc3983567"/>
      <w:bookmarkStart w:id="43" w:name="_Toc158361593"/>
      <w:r w:rsidRPr="00F83B8D">
        <w:t xml:space="preserve">Grant </w:t>
      </w:r>
      <w:r w:rsidR="00604990" w:rsidRPr="00F83B8D">
        <w:t xml:space="preserve">Amount </w:t>
      </w:r>
      <w:r w:rsidRPr="00F83B8D">
        <w:t>Amendments</w:t>
      </w:r>
      <w:bookmarkEnd w:id="42"/>
      <w:bookmarkEnd w:id="43"/>
    </w:p>
    <w:p w14:paraId="2A0C55DD" w14:textId="77777777" w:rsidR="00734EAA" w:rsidRPr="00F83B8D" w:rsidRDefault="00734EAA" w:rsidP="00601A44">
      <w:pPr>
        <w:keepNext/>
        <w:keepLines/>
        <w:spacing w:before="240" w:after="240"/>
        <w:ind w:left="360" w:firstLine="360"/>
        <w:rPr>
          <w:bCs w:val="0"/>
          <w:szCs w:val="24"/>
        </w:rPr>
      </w:pPr>
      <w:r w:rsidRPr="00F83B8D">
        <w:rPr>
          <w:szCs w:val="24"/>
        </w:rPr>
        <w:t xml:space="preserve">The CDE may </w:t>
      </w:r>
      <w:r w:rsidRPr="00F83B8D">
        <w:rPr>
          <w:bCs w:val="0"/>
          <w:szCs w:val="24"/>
        </w:rPr>
        <w:t>reduce grant amounts as follows:</w:t>
      </w:r>
    </w:p>
    <w:p w14:paraId="3646CBF0" w14:textId="77777777" w:rsidR="00734EAA" w:rsidRPr="00F83B8D" w:rsidRDefault="00734EAA" w:rsidP="00601A44">
      <w:pPr>
        <w:numPr>
          <w:ilvl w:val="0"/>
          <w:numId w:val="28"/>
        </w:numPr>
        <w:tabs>
          <w:tab w:val="left" w:pos="360"/>
        </w:tabs>
        <w:spacing w:before="240" w:after="240"/>
        <w:rPr>
          <w:bCs w:val="0"/>
          <w:szCs w:val="24"/>
        </w:rPr>
      </w:pPr>
      <w:r w:rsidRPr="00F83B8D">
        <w:rPr>
          <w:bCs w:val="0"/>
          <w:szCs w:val="24"/>
        </w:rPr>
        <w:t>An across-the-board reduction will be made in the event of an allocation reduction in the State Budget. Each AIEC</w:t>
      </w:r>
      <w:r w:rsidR="00604990" w:rsidRPr="00F83B8D">
        <w:rPr>
          <w:bCs w:val="0"/>
          <w:szCs w:val="24"/>
        </w:rPr>
        <w:t>–TUPE Program</w:t>
      </w:r>
      <w:r w:rsidRPr="00F83B8D">
        <w:rPr>
          <w:bCs w:val="0"/>
          <w:szCs w:val="24"/>
        </w:rPr>
        <w:t xml:space="preserve">’s grant amount will be reduced proportionately to the allocation reduction in the </w:t>
      </w:r>
      <w:r w:rsidR="00604990" w:rsidRPr="00F83B8D">
        <w:rPr>
          <w:bCs w:val="0"/>
          <w:szCs w:val="24"/>
        </w:rPr>
        <w:t xml:space="preserve">State </w:t>
      </w:r>
      <w:r w:rsidRPr="00F83B8D">
        <w:rPr>
          <w:bCs w:val="0"/>
          <w:szCs w:val="24"/>
        </w:rPr>
        <w:t>Budget Act.</w:t>
      </w:r>
    </w:p>
    <w:p w14:paraId="550A890F" w14:textId="77777777" w:rsidR="00734EAA" w:rsidRPr="00F83B8D" w:rsidRDefault="00734EAA" w:rsidP="001023CC">
      <w:pPr>
        <w:numPr>
          <w:ilvl w:val="0"/>
          <w:numId w:val="28"/>
        </w:numPr>
        <w:tabs>
          <w:tab w:val="left" w:pos="360"/>
        </w:tabs>
        <w:spacing w:before="240" w:after="240"/>
        <w:rPr>
          <w:bCs w:val="0"/>
          <w:szCs w:val="24"/>
        </w:rPr>
      </w:pPr>
      <w:r w:rsidRPr="00F83B8D">
        <w:rPr>
          <w:bCs w:val="0"/>
          <w:szCs w:val="24"/>
        </w:rPr>
        <w:t>If any services budgeted in an AIEC</w:t>
      </w:r>
      <w:r w:rsidR="00604990" w:rsidRPr="00F83B8D">
        <w:rPr>
          <w:bCs w:val="0"/>
          <w:szCs w:val="24"/>
        </w:rPr>
        <w:t xml:space="preserve">–TUPE </w:t>
      </w:r>
      <w:r w:rsidR="00243A06" w:rsidRPr="00F83B8D">
        <w:rPr>
          <w:bCs w:val="0"/>
          <w:szCs w:val="24"/>
        </w:rPr>
        <w:t>Program</w:t>
      </w:r>
      <w:r w:rsidR="00604990" w:rsidRPr="00F83B8D">
        <w:rPr>
          <w:bCs w:val="0"/>
          <w:szCs w:val="24"/>
        </w:rPr>
        <w:t>’s</w:t>
      </w:r>
      <w:r w:rsidR="00243A06" w:rsidRPr="00F83B8D">
        <w:rPr>
          <w:bCs w:val="0"/>
          <w:szCs w:val="24"/>
        </w:rPr>
        <w:t xml:space="preserve"> </w:t>
      </w:r>
      <w:r w:rsidRPr="00F83B8D">
        <w:rPr>
          <w:bCs w:val="0"/>
          <w:szCs w:val="24"/>
        </w:rPr>
        <w:t xml:space="preserve">application or approved budget revision are not provided within the grant year or within the first quarter of the subsequent grant year, and if a grant extension is not provided pursuant to </w:t>
      </w:r>
      <w:r w:rsidR="00604990" w:rsidRPr="00F83B8D">
        <w:rPr>
          <w:bCs w:val="0"/>
          <w:i/>
        </w:rPr>
        <w:t>California Code of Regulations</w:t>
      </w:r>
      <w:r w:rsidR="00604990" w:rsidRPr="00F83B8D">
        <w:rPr>
          <w:bCs w:val="0"/>
        </w:rPr>
        <w:t xml:space="preserve">, Title 5 (5 </w:t>
      </w:r>
      <w:r w:rsidR="00604990" w:rsidRPr="00F83B8D">
        <w:rPr>
          <w:i/>
        </w:rPr>
        <w:t>CCR</w:t>
      </w:r>
      <w:r w:rsidR="00604990" w:rsidRPr="00F83B8D">
        <w:t xml:space="preserve">), Section </w:t>
      </w:r>
      <w:r w:rsidR="00604990" w:rsidRPr="00F83B8D">
        <w:rPr>
          <w:bCs w:val="0"/>
        </w:rPr>
        <w:t>11996.9(a), the CDE shall reduce the grant award to the AIEC–TUPE Program accordingly.</w:t>
      </w:r>
    </w:p>
    <w:p w14:paraId="1038DA3F" w14:textId="77777777" w:rsidR="00D06605" w:rsidRPr="00F83B8D" w:rsidRDefault="00734EAA" w:rsidP="00203B86">
      <w:pPr>
        <w:pStyle w:val="Heading3"/>
        <w:numPr>
          <w:ilvl w:val="0"/>
          <w:numId w:val="9"/>
        </w:numPr>
        <w:tabs>
          <w:tab w:val="clear" w:pos="960"/>
          <w:tab w:val="clear" w:pos="1440"/>
          <w:tab w:val="clear" w:pos="1800"/>
          <w:tab w:val="clear" w:pos="2160"/>
        </w:tabs>
        <w:spacing w:before="360" w:after="240"/>
      </w:pPr>
      <w:bookmarkStart w:id="44" w:name="_Toc3983568"/>
      <w:bookmarkStart w:id="45" w:name="_Toc158361594"/>
      <w:r w:rsidRPr="00F83B8D">
        <w:t>Grant Extension</w:t>
      </w:r>
      <w:bookmarkEnd w:id="44"/>
      <w:bookmarkEnd w:id="45"/>
    </w:p>
    <w:p w14:paraId="70195589" w14:textId="77777777" w:rsidR="008E74DE" w:rsidRPr="00F83B8D" w:rsidRDefault="00734EAA" w:rsidP="001023CC">
      <w:pPr>
        <w:pStyle w:val="ListParagraph"/>
        <w:spacing w:before="240" w:after="240"/>
        <w:rPr>
          <w:color w:val="000000"/>
          <w:szCs w:val="24"/>
        </w:rPr>
      </w:pPr>
      <w:r w:rsidRPr="00F83B8D">
        <w:rPr>
          <w:i/>
          <w:color w:val="000000"/>
          <w:szCs w:val="24"/>
        </w:rPr>
        <w:t>5 CCR</w:t>
      </w:r>
      <w:r w:rsidRPr="00F83B8D">
        <w:rPr>
          <w:color w:val="000000"/>
          <w:szCs w:val="24"/>
        </w:rPr>
        <w:t xml:space="preserve"> Section 11996.10 states the following:</w:t>
      </w:r>
    </w:p>
    <w:p w14:paraId="16F360E2" w14:textId="77777777" w:rsidR="00734EAA" w:rsidRPr="00F83B8D" w:rsidRDefault="00734EAA" w:rsidP="001023CC">
      <w:pPr>
        <w:pStyle w:val="ListParagraph"/>
        <w:spacing w:before="240" w:after="240"/>
        <w:ind w:left="1440"/>
        <w:rPr>
          <w:szCs w:val="24"/>
        </w:rPr>
      </w:pPr>
      <w:r w:rsidRPr="00F83B8D">
        <w:rPr>
          <w:color w:val="000000"/>
          <w:szCs w:val="24"/>
        </w:rPr>
        <w:t xml:space="preserve">The CDE will </w:t>
      </w:r>
      <w:r w:rsidRPr="00F83B8D">
        <w:rPr>
          <w:szCs w:val="24"/>
        </w:rPr>
        <w:t>determine whether extensions for the use of grant funds will be made available in the first quarter of the subsequent grant year by June 30 of the grant year. Funds from a grant year must be used to provide services in the first quarter of the subsequent grant year, provided that the AIEC</w:t>
      </w:r>
      <w:r w:rsidR="00604990" w:rsidRPr="00F83B8D">
        <w:rPr>
          <w:szCs w:val="24"/>
        </w:rPr>
        <w:t>–TUPE</w:t>
      </w:r>
      <w:r w:rsidRPr="00F83B8D">
        <w:rPr>
          <w:szCs w:val="24"/>
        </w:rPr>
        <w:t xml:space="preserve"> submits to the CDE a plan, budget revision, and line-item budget for use of the funds in the subsequent grant year. The plan</w:t>
      </w:r>
      <w:r w:rsidRPr="00F83B8D">
        <w:rPr>
          <w:b/>
          <w:szCs w:val="24"/>
        </w:rPr>
        <w:t xml:space="preserve"> </w:t>
      </w:r>
      <w:r w:rsidRPr="00F83B8D">
        <w:rPr>
          <w:szCs w:val="24"/>
        </w:rPr>
        <w:t xml:space="preserve">must </w:t>
      </w:r>
      <w:r w:rsidRPr="00F83B8D">
        <w:rPr>
          <w:szCs w:val="24"/>
        </w:rPr>
        <w:lastRenderedPageBreak/>
        <w:t>demonstrate that the funds will be used to provide supplemental services that would not otherwise be funded from the grant funds of the new year.</w:t>
      </w:r>
    </w:p>
    <w:p w14:paraId="11D8782D" w14:textId="77777777" w:rsidR="00CC4E03" w:rsidRPr="00F83B8D" w:rsidRDefault="00E539FD" w:rsidP="005F66D9">
      <w:pPr>
        <w:pStyle w:val="Heading2"/>
        <w:spacing w:before="360"/>
      </w:pPr>
      <w:bookmarkStart w:id="46" w:name="_Toc3983569"/>
      <w:bookmarkStart w:id="47" w:name="_Toc158361595"/>
      <w:r w:rsidRPr="00F83B8D">
        <w:t>APPLICATION INSTRUCTIONS</w:t>
      </w:r>
      <w:bookmarkEnd w:id="46"/>
      <w:bookmarkEnd w:id="47"/>
    </w:p>
    <w:p w14:paraId="3887010F" w14:textId="194DEAC6" w:rsidR="00CC4E03" w:rsidRPr="00F83B8D" w:rsidRDefault="00CC4E03" w:rsidP="001023CC">
      <w:pPr>
        <w:spacing w:before="240" w:after="240"/>
        <w:ind w:left="720"/>
      </w:pPr>
      <w:r w:rsidRPr="00F83B8D">
        <w:t>The application</w:t>
      </w:r>
      <w:r w:rsidRPr="00F83B8D">
        <w:rPr>
          <w:b/>
          <w:szCs w:val="24"/>
        </w:rPr>
        <w:t xml:space="preserve"> </w:t>
      </w:r>
      <w:r w:rsidRPr="00F83B8D">
        <w:rPr>
          <w:szCs w:val="24"/>
        </w:rPr>
        <w:t>is due 60 days from the date of release. All applications will be reviewed for completeness and for the likelihood of success in meeting the purposes of the AIEC</w:t>
      </w:r>
      <w:r w:rsidR="00604990" w:rsidRPr="00F83B8D">
        <w:rPr>
          <w:szCs w:val="24"/>
        </w:rPr>
        <w:t>–TUPE</w:t>
      </w:r>
      <w:r w:rsidRPr="00F83B8D">
        <w:rPr>
          <w:szCs w:val="24"/>
        </w:rPr>
        <w:t xml:space="preserve"> Program. Please follow the directions for each section carefully to ensure that the proposal will be given every consideration. Please organize the application in the order described in this section. The</w:t>
      </w:r>
      <w:r w:rsidR="008C4B19" w:rsidRPr="00F83B8D">
        <w:rPr>
          <w:szCs w:val="24"/>
        </w:rPr>
        <w:t xml:space="preserve"> </w:t>
      </w:r>
      <w:r w:rsidRPr="00F83B8D">
        <w:rPr>
          <w:szCs w:val="24"/>
        </w:rPr>
        <w:t xml:space="preserve">Scoring Rubric </w:t>
      </w:r>
      <w:r w:rsidR="00D818BD" w:rsidRPr="00F83B8D">
        <w:rPr>
          <w:szCs w:val="24"/>
        </w:rPr>
        <w:t xml:space="preserve">Template </w:t>
      </w:r>
      <w:r w:rsidRPr="00F83B8D">
        <w:rPr>
          <w:szCs w:val="24"/>
        </w:rPr>
        <w:t>(</w:t>
      </w:r>
      <w:r w:rsidR="005E1801" w:rsidRPr="00F83B8D">
        <w:rPr>
          <w:szCs w:val="24"/>
        </w:rPr>
        <w:t>Attachment</w:t>
      </w:r>
      <w:r w:rsidRPr="00F83B8D">
        <w:rPr>
          <w:szCs w:val="24"/>
        </w:rPr>
        <w:t xml:space="preserve"> </w:t>
      </w:r>
      <w:r w:rsidR="005E1801" w:rsidRPr="00F83B8D">
        <w:rPr>
          <w:szCs w:val="24"/>
        </w:rPr>
        <w:t>2</w:t>
      </w:r>
      <w:r w:rsidRPr="00F83B8D">
        <w:rPr>
          <w:szCs w:val="24"/>
        </w:rPr>
        <w:t>) should be used as a guide in writing the proposal.</w:t>
      </w:r>
    </w:p>
    <w:p w14:paraId="2E406475" w14:textId="77777777" w:rsidR="00D06605" w:rsidRPr="00F83B8D" w:rsidRDefault="00CC4E03" w:rsidP="00203B86">
      <w:pPr>
        <w:pStyle w:val="Heading3"/>
        <w:numPr>
          <w:ilvl w:val="0"/>
          <w:numId w:val="29"/>
        </w:numPr>
        <w:tabs>
          <w:tab w:val="clear" w:pos="720"/>
          <w:tab w:val="clear" w:pos="960"/>
          <w:tab w:val="clear" w:pos="1440"/>
          <w:tab w:val="clear" w:pos="1800"/>
          <w:tab w:val="clear" w:pos="2160"/>
        </w:tabs>
        <w:spacing w:before="360" w:after="240"/>
      </w:pPr>
      <w:bookmarkStart w:id="48" w:name="_Toc3983570"/>
      <w:bookmarkStart w:id="49" w:name="_Toc158361596"/>
      <w:r w:rsidRPr="00F83B8D">
        <w:t>Required Assurances</w:t>
      </w:r>
      <w:bookmarkEnd w:id="48"/>
      <w:bookmarkEnd w:id="49"/>
    </w:p>
    <w:p w14:paraId="67A2B58D" w14:textId="4BACE008" w:rsidR="004D4451" w:rsidRPr="00F83B8D" w:rsidRDefault="004D4451" w:rsidP="001023CC">
      <w:pPr>
        <w:keepNext/>
        <w:spacing w:before="240" w:after="240"/>
        <w:ind w:left="720"/>
        <w:rPr>
          <w:bCs w:val="0"/>
        </w:rPr>
      </w:pPr>
      <w:r w:rsidRPr="00F83B8D">
        <w:t xml:space="preserve">The </w:t>
      </w:r>
      <w:r w:rsidRPr="00F83B8D">
        <w:rPr>
          <w:color w:val="000000"/>
        </w:rPr>
        <w:t xml:space="preserve">General Assurances and Certifications </w:t>
      </w:r>
      <w:r w:rsidRPr="00F83B8D">
        <w:t xml:space="preserve">form is </w:t>
      </w:r>
      <w:r w:rsidR="00677B0D" w:rsidRPr="00F83B8D">
        <w:t>required</w:t>
      </w:r>
      <w:r w:rsidRPr="00F83B8D">
        <w:t>.</w:t>
      </w:r>
      <w:r w:rsidR="00677B0D" w:rsidRPr="00F83B8D">
        <w:t xml:space="preserve"> The form can be found </w:t>
      </w:r>
      <w:r w:rsidR="00C04D05">
        <w:t xml:space="preserve">on the CDE </w:t>
      </w:r>
      <w:hyperlink r:id="rId15" w:tooltip="Califoprnia Department of Education General Assurances" w:history="1">
        <w:r w:rsidR="00C04D05">
          <w:rPr>
            <w:rStyle w:val="Hyperlink"/>
          </w:rPr>
          <w:t>General Assurances and Certifications 2023-24</w:t>
        </w:r>
      </w:hyperlink>
      <w:r w:rsidR="00C04D05">
        <w:t xml:space="preserve"> webpage. </w:t>
      </w:r>
      <w:r w:rsidR="00677B0D" w:rsidRPr="00F83B8D">
        <w:t xml:space="preserve"> </w:t>
      </w:r>
    </w:p>
    <w:p w14:paraId="681BC4AD" w14:textId="77777777" w:rsidR="004D4451" w:rsidRPr="00F83B8D" w:rsidRDefault="004D4451" w:rsidP="001023CC">
      <w:pPr>
        <w:spacing w:before="240" w:after="240"/>
        <w:ind w:left="720"/>
        <w:rPr>
          <w:color w:val="000000"/>
        </w:rPr>
      </w:pPr>
      <w:r w:rsidRPr="00F83B8D">
        <w:rPr>
          <w:b/>
          <w:bCs w:val="0"/>
          <w:color w:val="000000"/>
        </w:rPr>
        <w:t>Note:</w:t>
      </w:r>
      <w:r w:rsidRPr="00F83B8D">
        <w:rPr>
          <w:color w:val="000000"/>
        </w:rPr>
        <w:t xml:space="preserve"> The signed grant application submitted to the CDE confirms a commitment to comply with the General Assurances and Certifications. </w:t>
      </w:r>
      <w:r w:rsidRPr="00F83B8D">
        <w:rPr>
          <w:b/>
          <w:bCs w:val="0"/>
          <w:color w:val="000000"/>
        </w:rPr>
        <w:t>Applicants must download and submit them with their applications.</w:t>
      </w:r>
    </w:p>
    <w:p w14:paraId="556AE59D" w14:textId="77777777" w:rsidR="005912CD" w:rsidRPr="00F83B8D" w:rsidRDefault="005912CD" w:rsidP="001023CC">
      <w:pPr>
        <w:tabs>
          <w:tab w:val="left" w:pos="720"/>
        </w:tabs>
        <w:autoSpaceDE w:val="0"/>
        <w:autoSpaceDN w:val="0"/>
        <w:adjustRightInd w:val="0"/>
        <w:spacing w:before="240" w:after="240"/>
        <w:ind w:left="720"/>
        <w:rPr>
          <w:bCs w:val="0"/>
          <w:szCs w:val="24"/>
        </w:rPr>
      </w:pPr>
      <w:r w:rsidRPr="00F83B8D">
        <w:rPr>
          <w:bCs w:val="0"/>
          <w:szCs w:val="24"/>
        </w:rPr>
        <w:t>The following also must be completed and submitted:</w:t>
      </w:r>
    </w:p>
    <w:p w14:paraId="00F7AAAE" w14:textId="77777777" w:rsidR="00CC4E03" w:rsidRPr="00F83B8D" w:rsidRDefault="005912CD" w:rsidP="001023CC">
      <w:pPr>
        <w:numPr>
          <w:ilvl w:val="0"/>
          <w:numId w:val="54"/>
        </w:numPr>
        <w:tabs>
          <w:tab w:val="left" w:pos="720"/>
        </w:tabs>
        <w:autoSpaceDE w:val="0"/>
        <w:autoSpaceDN w:val="0"/>
        <w:adjustRightInd w:val="0"/>
        <w:spacing w:before="240" w:after="240"/>
        <w:rPr>
          <w:bCs w:val="0"/>
          <w:szCs w:val="24"/>
        </w:rPr>
      </w:pPr>
      <w:r w:rsidRPr="00F83B8D">
        <w:rPr>
          <w:bCs w:val="0"/>
          <w:szCs w:val="24"/>
        </w:rPr>
        <w:t>Commercial Tobacco-Free Certification (Attachment 3)</w:t>
      </w:r>
    </w:p>
    <w:p w14:paraId="385B853E" w14:textId="0DEDC1E3" w:rsidR="00CC4E03" w:rsidRPr="00F83B8D" w:rsidRDefault="00AC478E" w:rsidP="00203B86">
      <w:pPr>
        <w:pStyle w:val="Heading3"/>
        <w:numPr>
          <w:ilvl w:val="0"/>
          <w:numId w:val="30"/>
        </w:numPr>
        <w:tabs>
          <w:tab w:val="clear" w:pos="960"/>
          <w:tab w:val="clear" w:pos="1440"/>
          <w:tab w:val="clear" w:pos="1800"/>
          <w:tab w:val="clear" w:pos="2160"/>
        </w:tabs>
        <w:spacing w:before="360" w:after="240"/>
      </w:pPr>
      <w:bookmarkStart w:id="50" w:name="_Toc158361597"/>
      <w:r w:rsidRPr="00F83B8D">
        <w:t xml:space="preserve">Commercial </w:t>
      </w:r>
      <w:r w:rsidR="005912CD" w:rsidRPr="00F83B8D">
        <w:t>Tobacco-Free Certification</w:t>
      </w:r>
      <w:bookmarkEnd w:id="50"/>
      <w:r w:rsidR="005912CD" w:rsidRPr="00F83B8D">
        <w:t xml:space="preserve"> </w:t>
      </w:r>
    </w:p>
    <w:p w14:paraId="2A135F90" w14:textId="7CD92296" w:rsidR="005912CD" w:rsidRPr="00F83B8D" w:rsidRDefault="005912CD" w:rsidP="005912CD">
      <w:pPr>
        <w:tabs>
          <w:tab w:val="left" w:pos="5040"/>
        </w:tabs>
        <w:spacing w:after="240"/>
        <w:ind w:left="720" w:right="-90"/>
        <w:rPr>
          <w:bCs w:val="0"/>
          <w:szCs w:val="24"/>
        </w:rPr>
      </w:pPr>
      <w:r w:rsidRPr="00F83B8D">
        <w:t xml:space="preserve">In order to apply for any AIEC–TUPE Program funds, the applicant agency must be </w:t>
      </w:r>
      <w:r w:rsidRPr="00F83B8D">
        <w:rPr>
          <w:bCs w:val="0"/>
          <w:szCs w:val="24"/>
        </w:rPr>
        <w:t>certified by the CDE as having met the commercial tobacco-free criteria. The AIEC in the application must continue to meet the criteria, including enforcement of the commercial tobacco-free policy. Each AIEC applicant is required to submit a certifi</w:t>
      </w:r>
      <w:r w:rsidR="00F873D0" w:rsidRPr="00F83B8D">
        <w:rPr>
          <w:bCs w:val="0"/>
          <w:szCs w:val="24"/>
        </w:rPr>
        <w:t xml:space="preserve">cation form along with </w:t>
      </w:r>
      <w:r w:rsidR="00F722CF" w:rsidRPr="00F83B8D">
        <w:rPr>
          <w:bCs w:val="0"/>
          <w:szCs w:val="24"/>
        </w:rPr>
        <w:t>the adopted</w:t>
      </w:r>
      <w:r w:rsidR="00F873D0" w:rsidRPr="00F83B8D">
        <w:rPr>
          <w:bCs w:val="0"/>
          <w:szCs w:val="24"/>
        </w:rPr>
        <w:t xml:space="preserve"> Commercial Tobacco-F</w:t>
      </w:r>
      <w:r w:rsidRPr="00F83B8D">
        <w:rPr>
          <w:bCs w:val="0"/>
          <w:szCs w:val="24"/>
        </w:rPr>
        <w:t>ree policy with the application package (Attachment 3).</w:t>
      </w:r>
    </w:p>
    <w:p w14:paraId="4445D38E" w14:textId="77777777" w:rsidR="005912CD" w:rsidRPr="00F83B8D" w:rsidRDefault="005912CD" w:rsidP="005912CD">
      <w:pPr>
        <w:tabs>
          <w:tab w:val="left" w:pos="5040"/>
        </w:tabs>
        <w:spacing w:after="240"/>
        <w:ind w:left="720"/>
        <w:rPr>
          <w:bCs w:val="0"/>
          <w:szCs w:val="24"/>
        </w:rPr>
      </w:pPr>
      <w:r w:rsidRPr="00F83B8D">
        <w:rPr>
          <w:bCs w:val="0"/>
          <w:szCs w:val="24"/>
        </w:rPr>
        <w:t>A fully implemented tobacco-free policy must be board-adopted and include the following:</w:t>
      </w:r>
    </w:p>
    <w:p w14:paraId="45D1C9EC" w14:textId="77777777" w:rsidR="005912CD" w:rsidRPr="00F83B8D" w:rsidRDefault="005912CD" w:rsidP="00991C5B">
      <w:pPr>
        <w:numPr>
          <w:ilvl w:val="0"/>
          <w:numId w:val="55"/>
        </w:numPr>
        <w:tabs>
          <w:tab w:val="left" w:pos="720"/>
        </w:tabs>
        <w:spacing w:after="240"/>
        <w:rPr>
          <w:bCs w:val="0"/>
          <w:szCs w:val="24"/>
        </w:rPr>
      </w:pPr>
      <w:r w:rsidRPr="00F83B8D">
        <w:rPr>
          <w:bCs w:val="0"/>
          <w:szCs w:val="24"/>
        </w:rPr>
        <w:t>The policy shall prohibit the use of commercial tobacco products at any time on the AIEC premises and vehicles.</w:t>
      </w:r>
    </w:p>
    <w:p w14:paraId="1C3C4CAF" w14:textId="0C871777" w:rsidR="005912CD" w:rsidRPr="00F83B8D" w:rsidRDefault="005912CD" w:rsidP="00991C5B">
      <w:pPr>
        <w:numPr>
          <w:ilvl w:val="0"/>
          <w:numId w:val="55"/>
        </w:numPr>
        <w:tabs>
          <w:tab w:val="left" w:pos="720"/>
        </w:tabs>
        <w:spacing w:after="240"/>
        <w:rPr>
          <w:bCs w:val="0"/>
          <w:szCs w:val="24"/>
        </w:rPr>
      </w:pPr>
      <w:r w:rsidRPr="00F83B8D">
        <w:rPr>
          <w:bCs w:val="0"/>
          <w:szCs w:val="24"/>
        </w:rPr>
        <w:t xml:space="preserve">Information about the policy and enforcement procedures shall be communicated clearly to </w:t>
      </w:r>
      <w:r w:rsidR="008E279E" w:rsidRPr="00F83B8D">
        <w:rPr>
          <w:bCs w:val="0"/>
          <w:szCs w:val="24"/>
        </w:rPr>
        <w:t>AIEC</w:t>
      </w:r>
      <w:r w:rsidRPr="00F83B8D">
        <w:rPr>
          <w:bCs w:val="0"/>
          <w:szCs w:val="24"/>
        </w:rPr>
        <w:t xml:space="preserve"> personnel, parents, students, and the larger community.</w:t>
      </w:r>
    </w:p>
    <w:p w14:paraId="5056A945" w14:textId="77777777" w:rsidR="00E539FD" w:rsidRPr="00F83B8D" w:rsidRDefault="005912CD" w:rsidP="00991C5B">
      <w:pPr>
        <w:numPr>
          <w:ilvl w:val="0"/>
          <w:numId w:val="55"/>
        </w:numPr>
        <w:tabs>
          <w:tab w:val="left" w:pos="720"/>
        </w:tabs>
        <w:spacing w:after="240"/>
        <w:rPr>
          <w:bCs w:val="0"/>
          <w:szCs w:val="24"/>
        </w:rPr>
      </w:pPr>
      <w:r w:rsidRPr="00F83B8D">
        <w:rPr>
          <w:bCs w:val="0"/>
          <w:szCs w:val="24"/>
        </w:rPr>
        <w:lastRenderedPageBreak/>
        <w:t>Signs stating</w:t>
      </w:r>
      <w:r w:rsidR="00B02D59" w:rsidRPr="00F83B8D">
        <w:rPr>
          <w:bCs w:val="0"/>
          <w:szCs w:val="24"/>
        </w:rPr>
        <w:t>,</w:t>
      </w:r>
      <w:r w:rsidRPr="00F83B8D">
        <w:rPr>
          <w:bCs w:val="0"/>
          <w:szCs w:val="24"/>
        </w:rPr>
        <w:t xml:space="preserve"> “Commercial Tobacco Use is </w:t>
      </w:r>
      <w:r w:rsidR="00B02D59" w:rsidRPr="00F83B8D">
        <w:rPr>
          <w:bCs w:val="0"/>
          <w:szCs w:val="24"/>
        </w:rPr>
        <w:t>P</w:t>
      </w:r>
      <w:r w:rsidR="00184869" w:rsidRPr="00F83B8D">
        <w:rPr>
          <w:bCs w:val="0"/>
          <w:szCs w:val="24"/>
        </w:rPr>
        <w:t>rohibited</w:t>
      </w:r>
      <w:r w:rsidRPr="00F83B8D">
        <w:rPr>
          <w:bCs w:val="0"/>
          <w:szCs w:val="24"/>
        </w:rPr>
        <w:t>” shall be prominently displayed at all entrances to Center property.</w:t>
      </w:r>
    </w:p>
    <w:p w14:paraId="27A891C9" w14:textId="77777777" w:rsidR="005912CD" w:rsidRPr="00F83B8D" w:rsidRDefault="005912CD" w:rsidP="00AC478E">
      <w:pPr>
        <w:numPr>
          <w:ilvl w:val="0"/>
          <w:numId w:val="55"/>
        </w:numPr>
        <w:tabs>
          <w:tab w:val="left" w:pos="720"/>
        </w:tabs>
        <w:spacing w:before="240" w:after="240"/>
        <w:rPr>
          <w:bCs w:val="0"/>
          <w:szCs w:val="24"/>
        </w:rPr>
      </w:pPr>
      <w:r w:rsidRPr="00F83B8D">
        <w:rPr>
          <w:bCs w:val="0"/>
          <w:szCs w:val="24"/>
        </w:rPr>
        <w:t>Information about smoking cessation support programs shall be made available and encouraged for students and staff.</w:t>
      </w:r>
    </w:p>
    <w:p w14:paraId="08ED9E12" w14:textId="77777777" w:rsidR="005912CD" w:rsidRPr="00F83B8D" w:rsidRDefault="005912CD" w:rsidP="00203B86">
      <w:pPr>
        <w:pStyle w:val="Heading3"/>
        <w:numPr>
          <w:ilvl w:val="0"/>
          <w:numId w:val="78"/>
        </w:numPr>
        <w:spacing w:before="360" w:after="240"/>
      </w:pPr>
      <w:bookmarkStart w:id="51" w:name="_Toc158361598"/>
      <w:r w:rsidRPr="00F83B8D">
        <w:t>Required Documents</w:t>
      </w:r>
      <w:bookmarkEnd w:id="51"/>
    </w:p>
    <w:p w14:paraId="1ED5C80C" w14:textId="1589E7B3" w:rsidR="005912CD" w:rsidRPr="00F83B8D" w:rsidRDefault="005912CD" w:rsidP="005912CD">
      <w:pPr>
        <w:tabs>
          <w:tab w:val="left" w:pos="5040"/>
        </w:tabs>
        <w:spacing w:after="240"/>
        <w:ind w:left="720"/>
        <w:rPr>
          <w:bCs w:val="0"/>
          <w:szCs w:val="24"/>
        </w:rPr>
      </w:pPr>
      <w:r w:rsidRPr="00F83B8D">
        <w:rPr>
          <w:bCs w:val="0"/>
          <w:szCs w:val="24"/>
        </w:rPr>
        <w:t xml:space="preserve">The following documents are required to be maintained on the AIEC premises. Copies of these documents must be submitted with this </w:t>
      </w:r>
      <w:r w:rsidR="00B832C1" w:rsidRPr="00F83B8D">
        <w:rPr>
          <w:bCs w:val="0"/>
          <w:szCs w:val="24"/>
        </w:rPr>
        <w:t xml:space="preserve">2024-29 </w:t>
      </w:r>
      <w:r w:rsidRPr="00F83B8D">
        <w:rPr>
          <w:bCs w:val="0"/>
          <w:szCs w:val="24"/>
        </w:rPr>
        <w:t>application. Failure to submit these documents will result in the application being disqualified. These documents are subject to audit in subsequent years.</w:t>
      </w:r>
    </w:p>
    <w:p w14:paraId="0A682DFC" w14:textId="77777777" w:rsidR="005912CD" w:rsidRPr="00F83B8D" w:rsidRDefault="005912CD" w:rsidP="00D818BD">
      <w:pPr>
        <w:numPr>
          <w:ilvl w:val="0"/>
          <w:numId w:val="27"/>
        </w:numPr>
        <w:tabs>
          <w:tab w:val="left" w:pos="1080"/>
          <w:tab w:val="left" w:pos="1440"/>
          <w:tab w:val="left" w:pos="5040"/>
        </w:tabs>
        <w:rPr>
          <w:bCs w:val="0"/>
          <w:szCs w:val="24"/>
        </w:rPr>
      </w:pPr>
      <w:r w:rsidRPr="00F83B8D">
        <w:rPr>
          <w:bCs w:val="0"/>
          <w:szCs w:val="24"/>
        </w:rPr>
        <w:t>Job descriptions.</w:t>
      </w:r>
    </w:p>
    <w:p w14:paraId="59B8C3CF" w14:textId="77777777" w:rsidR="005912CD" w:rsidRPr="00F83B8D" w:rsidRDefault="005912CD" w:rsidP="00D818BD">
      <w:pPr>
        <w:numPr>
          <w:ilvl w:val="0"/>
          <w:numId w:val="26"/>
        </w:numPr>
        <w:tabs>
          <w:tab w:val="num" w:pos="1080"/>
          <w:tab w:val="left" w:pos="5040"/>
        </w:tabs>
        <w:rPr>
          <w:bCs w:val="0"/>
          <w:szCs w:val="24"/>
        </w:rPr>
      </w:pPr>
      <w:r w:rsidRPr="00F83B8D">
        <w:rPr>
          <w:bCs w:val="0"/>
          <w:szCs w:val="24"/>
        </w:rPr>
        <w:t>Board Approved Salary and Benefit Schedules for each position.</w:t>
      </w:r>
    </w:p>
    <w:p w14:paraId="203CBCEF" w14:textId="77777777" w:rsidR="005912CD" w:rsidRPr="00F83B8D" w:rsidRDefault="005912CD" w:rsidP="00D818BD">
      <w:pPr>
        <w:numPr>
          <w:ilvl w:val="0"/>
          <w:numId w:val="26"/>
        </w:numPr>
        <w:tabs>
          <w:tab w:val="num" w:pos="1080"/>
          <w:tab w:val="left" w:pos="5040"/>
        </w:tabs>
        <w:spacing w:after="240"/>
        <w:rPr>
          <w:bCs w:val="0"/>
          <w:szCs w:val="24"/>
        </w:rPr>
      </w:pPr>
      <w:r w:rsidRPr="00F83B8D">
        <w:rPr>
          <w:bCs w:val="0"/>
          <w:szCs w:val="24"/>
        </w:rPr>
        <w:t>Copies of all contracts, including maintenance and service agreements.</w:t>
      </w:r>
    </w:p>
    <w:p w14:paraId="5528E368" w14:textId="77777777" w:rsidR="005912CD" w:rsidRPr="00F83B8D" w:rsidRDefault="005912CD" w:rsidP="00203B86">
      <w:pPr>
        <w:pStyle w:val="Heading3"/>
        <w:numPr>
          <w:ilvl w:val="0"/>
          <w:numId w:val="79"/>
        </w:numPr>
        <w:spacing w:before="360" w:after="240"/>
      </w:pPr>
      <w:bookmarkStart w:id="52" w:name="_Toc158361599"/>
      <w:r w:rsidRPr="00F83B8D">
        <w:t>Tobacco Industry Funding</w:t>
      </w:r>
      <w:bookmarkEnd w:id="52"/>
    </w:p>
    <w:p w14:paraId="1CA8EAAB" w14:textId="77777777" w:rsidR="005912CD" w:rsidRPr="00F83B8D" w:rsidRDefault="005912CD" w:rsidP="00AC478E">
      <w:pPr>
        <w:autoSpaceDE w:val="0"/>
        <w:autoSpaceDN w:val="0"/>
        <w:adjustRightInd w:val="0"/>
        <w:spacing w:before="240" w:after="240"/>
        <w:ind w:left="720"/>
        <w:rPr>
          <w:bCs w:val="0"/>
          <w:szCs w:val="24"/>
        </w:rPr>
      </w:pPr>
      <w:r w:rsidRPr="00F83B8D">
        <w:rPr>
          <w:bCs w:val="0"/>
          <w:szCs w:val="24"/>
        </w:rPr>
        <w:t>An applicant for TUPE Program grant funding that receives any funding, services, or educational materials from the tobacco industry or from any agency that has received funding from the tobacco industry for the purpose of implementing tobacco-use prevention or intervention programs is prohibited from applying for these funds. In addition, TUPE Program grantees are prohibited from accepting such materials and services for the duration of the grant. Acceptance of such items will result in termination of the grant and a request for the return of all advanced grant funds.</w:t>
      </w:r>
    </w:p>
    <w:p w14:paraId="173F6C74" w14:textId="77777777" w:rsidR="005912CD" w:rsidRPr="00F83B8D" w:rsidRDefault="005912CD" w:rsidP="00203B86">
      <w:pPr>
        <w:pStyle w:val="Heading3"/>
        <w:numPr>
          <w:ilvl w:val="0"/>
          <w:numId w:val="79"/>
        </w:numPr>
        <w:spacing w:before="360" w:after="240"/>
      </w:pPr>
      <w:bookmarkStart w:id="53" w:name="_Toc158361600"/>
      <w:r w:rsidRPr="00F83B8D">
        <w:t>Clarification of This Request for Applications</w:t>
      </w:r>
      <w:bookmarkEnd w:id="53"/>
    </w:p>
    <w:p w14:paraId="6C4FFD94" w14:textId="2C2A23CF" w:rsidR="005912CD" w:rsidRPr="00F83B8D" w:rsidRDefault="005912CD" w:rsidP="00D818BD">
      <w:pPr>
        <w:tabs>
          <w:tab w:val="left" w:pos="5040"/>
        </w:tabs>
        <w:spacing w:before="120" w:after="240"/>
        <w:ind w:left="720"/>
        <w:rPr>
          <w:bCs w:val="0"/>
          <w:szCs w:val="24"/>
        </w:rPr>
      </w:pPr>
      <w:r w:rsidRPr="00F83B8D">
        <w:rPr>
          <w:bCs w:val="0"/>
          <w:szCs w:val="24"/>
        </w:rPr>
        <w:t>Any prospective applicant needing clarification on this RFA may contact Judy Delgado, American Indian Education Consultant</w:t>
      </w:r>
      <w:r w:rsidR="007C31EB" w:rsidRPr="00F83B8D">
        <w:rPr>
          <w:bCs w:val="0"/>
          <w:szCs w:val="24"/>
        </w:rPr>
        <w:t xml:space="preserve"> by e</w:t>
      </w:r>
      <w:r w:rsidRPr="00F83B8D">
        <w:rPr>
          <w:bCs w:val="0"/>
          <w:szCs w:val="24"/>
        </w:rPr>
        <w:t xml:space="preserve">mail at </w:t>
      </w:r>
      <w:hyperlink r:id="rId16" w:history="1">
        <w:r w:rsidR="00D46824" w:rsidRPr="00F83B8D">
          <w:rPr>
            <w:rStyle w:val="Hyperlink"/>
            <w:bCs w:val="0"/>
            <w:szCs w:val="24"/>
          </w:rPr>
          <w:t>judelgado@cde.ca.gov</w:t>
        </w:r>
      </w:hyperlink>
      <w:r w:rsidR="00D46824" w:rsidRPr="00F83B8D">
        <w:rPr>
          <w:bCs w:val="0"/>
          <w:szCs w:val="24"/>
        </w:rPr>
        <w:t xml:space="preserve"> </w:t>
      </w:r>
      <w:r w:rsidRPr="00F83B8D">
        <w:rPr>
          <w:bCs w:val="0"/>
          <w:szCs w:val="24"/>
        </w:rPr>
        <w:t xml:space="preserve">for program clarification issues, or </w:t>
      </w:r>
      <w:r w:rsidR="00DB7291" w:rsidRPr="00F83B8D">
        <w:rPr>
          <w:bCs w:val="0"/>
          <w:szCs w:val="24"/>
        </w:rPr>
        <w:t>Cindy Rodriguez</w:t>
      </w:r>
      <w:r w:rsidR="00B832C1" w:rsidRPr="00F83B8D">
        <w:rPr>
          <w:bCs w:val="0"/>
          <w:szCs w:val="24"/>
        </w:rPr>
        <w:t>, Analyst by email at</w:t>
      </w:r>
      <w:r w:rsidR="00DB7291" w:rsidRPr="00F83B8D">
        <w:rPr>
          <w:bCs w:val="0"/>
          <w:szCs w:val="24"/>
        </w:rPr>
        <w:t xml:space="preserve"> </w:t>
      </w:r>
      <w:hyperlink r:id="rId17" w:history="1">
        <w:r w:rsidR="00DB7291" w:rsidRPr="00F83B8D">
          <w:rPr>
            <w:rStyle w:val="Hyperlink"/>
            <w:bCs w:val="0"/>
            <w:szCs w:val="24"/>
          </w:rPr>
          <w:t>cirodriguez@cde.ca.gov</w:t>
        </w:r>
      </w:hyperlink>
      <w:r w:rsidR="00DB7291" w:rsidRPr="00F83B8D">
        <w:rPr>
          <w:bCs w:val="0"/>
          <w:szCs w:val="24"/>
        </w:rPr>
        <w:t xml:space="preserve"> </w:t>
      </w:r>
      <w:r w:rsidRPr="00F83B8D">
        <w:rPr>
          <w:bCs w:val="0"/>
          <w:szCs w:val="24"/>
        </w:rPr>
        <w:t>for fiscal clarification issues.</w:t>
      </w:r>
    </w:p>
    <w:p w14:paraId="0B3B1A0C" w14:textId="77777777" w:rsidR="00E539FD" w:rsidRPr="00F83B8D" w:rsidRDefault="005912CD" w:rsidP="005F66D9">
      <w:pPr>
        <w:pStyle w:val="Heading2"/>
        <w:numPr>
          <w:ilvl w:val="0"/>
          <w:numId w:val="83"/>
        </w:numPr>
        <w:spacing w:before="360"/>
      </w:pPr>
      <w:bookmarkStart w:id="54" w:name="_Toc3983572"/>
      <w:bookmarkStart w:id="55" w:name="_Toc158361601"/>
      <w:r w:rsidRPr="00F83B8D">
        <w:t>DEVELOPING TOBACCO-USE</w:t>
      </w:r>
      <w:r w:rsidR="00E539FD" w:rsidRPr="00F83B8D">
        <w:t xml:space="preserve"> EDUCATION CENTER PROGRAM</w:t>
      </w:r>
      <w:bookmarkEnd w:id="54"/>
      <w:bookmarkEnd w:id="55"/>
    </w:p>
    <w:p w14:paraId="75630371" w14:textId="39E6EA7E" w:rsidR="005912CD" w:rsidRPr="00F83B8D" w:rsidRDefault="005912CD" w:rsidP="00AC478E">
      <w:pPr>
        <w:tabs>
          <w:tab w:val="left" w:pos="5040"/>
        </w:tabs>
        <w:spacing w:before="240" w:after="240"/>
        <w:ind w:left="720" w:right="-187"/>
        <w:rPr>
          <w:bCs w:val="0"/>
          <w:szCs w:val="24"/>
          <w:lang w:val="en"/>
        </w:rPr>
      </w:pPr>
      <w:r w:rsidRPr="00F83B8D">
        <w:t xml:space="preserve">To promote the most effective use of limited resources and to fund effective comprehensive </w:t>
      </w:r>
      <w:r w:rsidRPr="00F83B8D">
        <w:rPr>
          <w:bCs w:val="0"/>
          <w:szCs w:val="24"/>
        </w:rPr>
        <w:t>programs that demonstrate progress toward preventing and/or reducing the use of tobacco, the CDE supports the Principles of Effectiveness</w:t>
      </w:r>
      <w:r w:rsidR="0083310F" w:rsidRPr="00F83B8D">
        <w:rPr>
          <w:bCs w:val="0"/>
          <w:szCs w:val="24"/>
        </w:rPr>
        <w:t xml:space="preserve"> (defined below) which can be found on the</w:t>
      </w:r>
      <w:r w:rsidR="00D818BD" w:rsidRPr="00F83B8D">
        <w:rPr>
          <w:bCs w:val="0"/>
          <w:szCs w:val="24"/>
        </w:rPr>
        <w:t xml:space="preserve"> CDE</w:t>
      </w:r>
      <w:r w:rsidR="0083310F" w:rsidRPr="00F83B8D">
        <w:rPr>
          <w:bCs w:val="0"/>
          <w:szCs w:val="24"/>
        </w:rPr>
        <w:t xml:space="preserve"> Tobacco-Use Prevention Education Program Overview web page at </w:t>
      </w:r>
      <w:hyperlink r:id="rId18" w:tooltip="Tobacco-Use Prevention Education Program Overview web page" w:history="1">
        <w:r w:rsidR="0083310F" w:rsidRPr="00F83B8D">
          <w:rPr>
            <w:rStyle w:val="Hyperlink"/>
          </w:rPr>
          <w:t>https://www.cde.ca.gov/ls/he/at/tupeoverview.asp</w:t>
        </w:r>
      </w:hyperlink>
      <w:r w:rsidRPr="00F83B8D">
        <w:rPr>
          <w:bCs w:val="0"/>
          <w:szCs w:val="24"/>
        </w:rPr>
        <w:t xml:space="preserve">. </w:t>
      </w:r>
      <w:r w:rsidRPr="00F83B8D">
        <w:rPr>
          <w:bCs w:val="0"/>
          <w:szCs w:val="24"/>
          <w:lang w:val="en"/>
        </w:rPr>
        <w:t xml:space="preserve">Having tobacco-free programs is one of our nation's highest priorities. Recipients of AIEC–TUPE Program funds must use those funds in ways that are most likely to reduce tobacco use among </w:t>
      </w:r>
      <w:r w:rsidRPr="00F83B8D">
        <w:rPr>
          <w:bCs w:val="0"/>
          <w:szCs w:val="24"/>
          <w:lang w:val="en"/>
        </w:rPr>
        <w:lastRenderedPageBreak/>
        <w:t>youth. Recipients shall coordinate their AIEC–TUPE Program-funded programs with other available prevention efforts to maximize the impact of all the tobacco prevention programs and resources available, and shall:</w:t>
      </w:r>
    </w:p>
    <w:p w14:paraId="7287F205" w14:textId="77777777" w:rsidR="0083310F" w:rsidRPr="00F83B8D" w:rsidRDefault="0083310F" w:rsidP="00AC478E">
      <w:pPr>
        <w:tabs>
          <w:tab w:val="left" w:pos="5040"/>
        </w:tabs>
        <w:spacing w:before="240" w:after="240"/>
        <w:ind w:left="720" w:right="-187"/>
        <w:rPr>
          <w:bCs w:val="0"/>
          <w:szCs w:val="24"/>
          <w:lang w:val="en"/>
        </w:rPr>
      </w:pPr>
      <w:r w:rsidRPr="00F83B8D">
        <w:rPr>
          <w:bCs w:val="0"/>
          <w:szCs w:val="24"/>
          <w:lang w:val="en"/>
        </w:rPr>
        <w:t>Principles of Effectiveness</w:t>
      </w:r>
    </w:p>
    <w:p w14:paraId="645CA047" w14:textId="77777777" w:rsidR="005912CD" w:rsidRPr="00F83B8D" w:rsidRDefault="005912CD" w:rsidP="00AC478E">
      <w:pPr>
        <w:numPr>
          <w:ilvl w:val="0"/>
          <w:numId w:val="58"/>
        </w:numPr>
        <w:tabs>
          <w:tab w:val="left" w:pos="5040"/>
        </w:tabs>
        <w:spacing w:before="240" w:after="240"/>
        <w:rPr>
          <w:bCs w:val="0"/>
          <w:szCs w:val="24"/>
          <w:lang w:val="en"/>
        </w:rPr>
      </w:pPr>
      <w:r w:rsidRPr="00F83B8D">
        <w:rPr>
          <w:bCs w:val="0"/>
          <w:szCs w:val="24"/>
          <w:lang w:val="en"/>
        </w:rPr>
        <w:t>In General</w:t>
      </w:r>
    </w:p>
    <w:p w14:paraId="507DA460" w14:textId="77777777" w:rsidR="005912CD" w:rsidRPr="00F83B8D" w:rsidRDefault="005912CD" w:rsidP="00AC478E">
      <w:pPr>
        <w:numPr>
          <w:ilvl w:val="1"/>
          <w:numId w:val="56"/>
        </w:numPr>
        <w:spacing w:before="240" w:after="240"/>
        <w:ind w:left="2070"/>
        <w:rPr>
          <w:bCs w:val="0"/>
          <w:szCs w:val="24"/>
          <w:lang w:val="en"/>
        </w:rPr>
      </w:pPr>
      <w:r w:rsidRPr="00F83B8D">
        <w:rPr>
          <w:bCs w:val="0"/>
          <w:szCs w:val="24"/>
          <w:lang w:val="en"/>
        </w:rPr>
        <w:t>Be based on an assessment of objective data regarding the incidence of tobacco use in the AIECs and communities to be served, including an objective analysis of the current conditions and consequences regarding tobacco use that is based on ongoing local assessment or evaluation activities.</w:t>
      </w:r>
    </w:p>
    <w:p w14:paraId="7F17D5E1" w14:textId="77777777" w:rsidR="005912CD" w:rsidRPr="00F83B8D" w:rsidRDefault="005912CD" w:rsidP="00AC478E">
      <w:pPr>
        <w:numPr>
          <w:ilvl w:val="1"/>
          <w:numId w:val="56"/>
        </w:numPr>
        <w:spacing w:before="240" w:after="240"/>
        <w:ind w:left="2070"/>
        <w:rPr>
          <w:bCs w:val="0"/>
          <w:szCs w:val="24"/>
          <w:lang w:val="en"/>
        </w:rPr>
      </w:pPr>
      <w:r w:rsidRPr="00F83B8D">
        <w:rPr>
          <w:bCs w:val="0"/>
          <w:szCs w:val="24"/>
          <w:lang w:val="en"/>
        </w:rPr>
        <w:t>Be based on an established set of performance measures aimed at ensuring that the AIECs and communities to be served by the program have tobacco-free learning environment.</w:t>
      </w:r>
    </w:p>
    <w:p w14:paraId="5075253A" w14:textId="15374657" w:rsidR="005912CD" w:rsidRPr="00F83B8D" w:rsidRDefault="005912CD" w:rsidP="00AC478E">
      <w:pPr>
        <w:numPr>
          <w:ilvl w:val="1"/>
          <w:numId w:val="56"/>
        </w:numPr>
        <w:spacing w:before="240" w:after="240"/>
        <w:ind w:left="2070"/>
        <w:rPr>
          <w:bCs w:val="0"/>
          <w:szCs w:val="24"/>
          <w:lang w:val="en"/>
        </w:rPr>
      </w:pPr>
      <w:r w:rsidRPr="00F83B8D">
        <w:rPr>
          <w:bCs w:val="0"/>
          <w:szCs w:val="24"/>
          <w:lang w:val="en"/>
        </w:rPr>
        <w:t xml:space="preserve">Be based on </w:t>
      </w:r>
      <w:r w:rsidR="00F722CF" w:rsidRPr="00F83B8D">
        <w:rPr>
          <w:bCs w:val="0"/>
          <w:szCs w:val="24"/>
          <w:lang w:val="en"/>
        </w:rPr>
        <w:t>scientifically based</w:t>
      </w:r>
      <w:r w:rsidRPr="00F83B8D">
        <w:rPr>
          <w:bCs w:val="0"/>
          <w:szCs w:val="24"/>
          <w:lang w:val="en"/>
        </w:rPr>
        <w:t xml:space="preserve"> research that provides evidence that the program to be used will reduce tobacco use.</w:t>
      </w:r>
    </w:p>
    <w:p w14:paraId="39221217" w14:textId="77777777" w:rsidR="005912CD" w:rsidRPr="00F83B8D" w:rsidRDefault="005912CD" w:rsidP="00AC478E">
      <w:pPr>
        <w:numPr>
          <w:ilvl w:val="1"/>
          <w:numId w:val="56"/>
        </w:numPr>
        <w:spacing w:before="240" w:after="240"/>
        <w:ind w:left="2070"/>
        <w:rPr>
          <w:bCs w:val="0"/>
          <w:szCs w:val="24"/>
          <w:lang w:val="en"/>
        </w:rPr>
      </w:pPr>
      <w:r w:rsidRPr="00F83B8D">
        <w:rPr>
          <w:bCs w:val="0"/>
          <w:szCs w:val="24"/>
          <w:lang w:val="en"/>
        </w:rPr>
        <w:t>Include meaningful and ongoing consultation with and input from parents in the development of the application and administration of the program or activity.</w:t>
      </w:r>
    </w:p>
    <w:p w14:paraId="6B1CC509" w14:textId="77777777" w:rsidR="005912CD" w:rsidRPr="00F83B8D" w:rsidRDefault="005912CD" w:rsidP="00AC478E">
      <w:pPr>
        <w:numPr>
          <w:ilvl w:val="0"/>
          <w:numId w:val="56"/>
        </w:numPr>
        <w:spacing w:before="240" w:after="240"/>
        <w:ind w:left="1440"/>
        <w:rPr>
          <w:bCs w:val="0"/>
          <w:szCs w:val="24"/>
          <w:lang w:val="en"/>
        </w:rPr>
      </w:pPr>
      <w:r w:rsidRPr="00F83B8D">
        <w:rPr>
          <w:bCs w:val="0"/>
          <w:szCs w:val="24"/>
          <w:lang w:val="en"/>
        </w:rPr>
        <w:t>Periodic Evaluation</w:t>
      </w:r>
    </w:p>
    <w:p w14:paraId="49BFCB74" w14:textId="77777777" w:rsidR="005912CD" w:rsidRPr="00F83B8D" w:rsidRDefault="005912CD" w:rsidP="00AC478E">
      <w:pPr>
        <w:numPr>
          <w:ilvl w:val="0"/>
          <w:numId w:val="57"/>
        </w:numPr>
        <w:spacing w:before="240" w:after="240"/>
        <w:ind w:left="2070"/>
        <w:rPr>
          <w:bCs w:val="0"/>
          <w:szCs w:val="24"/>
          <w:lang w:val="en"/>
        </w:rPr>
      </w:pPr>
      <w:r w:rsidRPr="00F83B8D">
        <w:rPr>
          <w:b/>
          <w:bCs w:val="0"/>
          <w:szCs w:val="24"/>
          <w:lang w:val="en"/>
        </w:rPr>
        <w:t>R</w:t>
      </w:r>
      <w:r w:rsidR="00B02D59" w:rsidRPr="00F83B8D">
        <w:rPr>
          <w:b/>
          <w:bCs w:val="0"/>
          <w:szCs w:val="24"/>
          <w:lang w:val="en"/>
        </w:rPr>
        <w:t>equirement</w:t>
      </w:r>
      <w:r w:rsidRPr="00F83B8D">
        <w:rPr>
          <w:bCs w:val="0"/>
          <w:szCs w:val="24"/>
          <w:lang w:val="en"/>
        </w:rPr>
        <w:t>—The program or activity shall undergo a periodic evaluation to assess its progress toward reducing tobacco use in the AIEC based on performance measures described above.</w:t>
      </w:r>
    </w:p>
    <w:p w14:paraId="5DECEB3E" w14:textId="77777777" w:rsidR="005912CD" w:rsidRPr="00F83B8D" w:rsidRDefault="005912CD" w:rsidP="00AC478E">
      <w:pPr>
        <w:numPr>
          <w:ilvl w:val="0"/>
          <w:numId w:val="57"/>
        </w:numPr>
        <w:spacing w:before="240" w:after="240"/>
        <w:ind w:left="2070"/>
        <w:rPr>
          <w:bCs w:val="0"/>
          <w:szCs w:val="24"/>
          <w:lang w:val="en"/>
        </w:rPr>
      </w:pPr>
      <w:r w:rsidRPr="00F83B8D">
        <w:rPr>
          <w:b/>
          <w:bCs w:val="0"/>
          <w:szCs w:val="24"/>
          <w:lang w:val="en"/>
        </w:rPr>
        <w:t>U</w:t>
      </w:r>
      <w:r w:rsidR="00B02D59" w:rsidRPr="00F83B8D">
        <w:rPr>
          <w:b/>
          <w:bCs w:val="0"/>
          <w:szCs w:val="24"/>
          <w:lang w:val="en"/>
        </w:rPr>
        <w:t>se of Results</w:t>
      </w:r>
      <w:r w:rsidRPr="00F83B8D">
        <w:rPr>
          <w:bCs w:val="0"/>
          <w:szCs w:val="24"/>
          <w:lang w:val="en"/>
        </w:rPr>
        <w:t>—The results shall be used to refine, improve, and strengthen the program, refine the performance measures, and shall also be made available to the public upon request, with public notice of such availability provided.</w:t>
      </w:r>
    </w:p>
    <w:p w14:paraId="65099C03" w14:textId="77777777" w:rsidR="005912CD" w:rsidRPr="00F83B8D" w:rsidRDefault="005912CD" w:rsidP="00AC478E">
      <w:pPr>
        <w:spacing w:before="240" w:after="240"/>
        <w:ind w:left="720"/>
      </w:pPr>
      <w:r w:rsidRPr="00F83B8D">
        <w:rPr>
          <w:bCs w:val="0"/>
          <w:szCs w:val="24"/>
        </w:rPr>
        <w:t>Applicants must address the components explained in each section that follows. Unless otherwise noted, all applicants must provide responses to each component.</w:t>
      </w:r>
    </w:p>
    <w:p w14:paraId="3CB30DE9" w14:textId="77777777" w:rsidR="00E539FD" w:rsidRPr="00F83B8D" w:rsidRDefault="005912CD" w:rsidP="00203B86">
      <w:pPr>
        <w:pStyle w:val="Heading3"/>
        <w:numPr>
          <w:ilvl w:val="0"/>
          <w:numId w:val="31"/>
        </w:numPr>
        <w:tabs>
          <w:tab w:val="clear" w:pos="960"/>
          <w:tab w:val="clear" w:pos="1440"/>
          <w:tab w:val="clear" w:pos="1800"/>
          <w:tab w:val="clear" w:pos="2160"/>
        </w:tabs>
        <w:spacing w:before="360" w:after="240"/>
      </w:pPr>
      <w:bookmarkStart w:id="56" w:name="_Toc3983573"/>
      <w:bookmarkStart w:id="57" w:name="_Toc158361602"/>
      <w:r w:rsidRPr="00F83B8D">
        <w:t>Overall Program Summary</w:t>
      </w:r>
      <w:bookmarkEnd w:id="56"/>
      <w:bookmarkEnd w:id="57"/>
    </w:p>
    <w:p w14:paraId="3C296FEC" w14:textId="77777777" w:rsidR="00E539FD" w:rsidRPr="00F83B8D" w:rsidRDefault="005912CD" w:rsidP="00AC478E">
      <w:pPr>
        <w:spacing w:before="240" w:after="240"/>
        <w:ind w:left="720"/>
        <w:rPr>
          <w:bCs w:val="0"/>
          <w:szCs w:val="24"/>
        </w:rPr>
      </w:pPr>
      <w:r w:rsidRPr="00F83B8D">
        <w:t>Describe the proposed program, including how it will be administered. This summary should address all component areas. Please include pertinent information about previously funded competitive TUPE programs.</w:t>
      </w:r>
    </w:p>
    <w:p w14:paraId="1CB78721" w14:textId="77777777" w:rsidR="00E539FD" w:rsidRPr="00F83B8D" w:rsidRDefault="00E539FD" w:rsidP="00203B86">
      <w:pPr>
        <w:pStyle w:val="Heading3"/>
        <w:numPr>
          <w:ilvl w:val="0"/>
          <w:numId w:val="31"/>
        </w:numPr>
        <w:tabs>
          <w:tab w:val="clear" w:pos="960"/>
          <w:tab w:val="clear" w:pos="1440"/>
          <w:tab w:val="clear" w:pos="1800"/>
          <w:tab w:val="clear" w:pos="2160"/>
        </w:tabs>
        <w:spacing w:before="360" w:after="240"/>
      </w:pPr>
      <w:bookmarkStart w:id="58" w:name="_Toc3983574"/>
      <w:bookmarkStart w:id="59" w:name="_Toc158361603"/>
      <w:r w:rsidRPr="00F83B8D">
        <w:lastRenderedPageBreak/>
        <w:t>Comprehensive Needs A</w:t>
      </w:r>
      <w:r w:rsidR="00F6005B" w:rsidRPr="00F83B8D">
        <w:t>ssessment</w:t>
      </w:r>
      <w:bookmarkEnd w:id="58"/>
      <w:bookmarkEnd w:id="59"/>
    </w:p>
    <w:p w14:paraId="47C7C106" w14:textId="77777777" w:rsidR="00F6005B" w:rsidRPr="00F83B8D" w:rsidRDefault="00F6005B" w:rsidP="00AC478E">
      <w:pPr>
        <w:keepNext/>
        <w:keepLines/>
        <w:spacing w:before="240" w:after="240"/>
        <w:ind w:left="720"/>
      </w:pPr>
      <w:r w:rsidRPr="00F83B8D">
        <w:t>Conducting a Comprehensive Needs Assessment</w:t>
      </w:r>
    </w:p>
    <w:p w14:paraId="5544DA52" w14:textId="77777777" w:rsidR="00F6005B" w:rsidRPr="00F83B8D" w:rsidRDefault="00F6005B" w:rsidP="00AC478E">
      <w:pPr>
        <w:pStyle w:val="ListParagraph"/>
        <w:numPr>
          <w:ilvl w:val="0"/>
          <w:numId w:val="60"/>
        </w:numPr>
        <w:tabs>
          <w:tab w:val="left" w:pos="5040"/>
        </w:tabs>
        <w:spacing w:before="240" w:after="240"/>
        <w:rPr>
          <w:bCs w:val="0"/>
          <w:szCs w:val="24"/>
        </w:rPr>
      </w:pPr>
      <w:r w:rsidRPr="00F83B8D">
        <w:t xml:space="preserve">A grant recipient shall base its comprehensive program on a thorough assessment </w:t>
      </w:r>
      <w:r w:rsidRPr="00F83B8D">
        <w:rPr>
          <w:bCs w:val="0"/>
          <w:szCs w:val="24"/>
        </w:rPr>
        <w:t>objective data regarding the incidence of tobacco use in the American Indian communities to be served, including an objective analysis of current data for and consequences of tobacco use. This information should help establish high-priority targets for the program and will be based on ongoing local assessment or evaluation activities.</w:t>
      </w:r>
    </w:p>
    <w:p w14:paraId="4D785F25" w14:textId="4CA7056F" w:rsidR="00F6005B" w:rsidRPr="00F83B8D" w:rsidRDefault="00F6005B" w:rsidP="00AC478E">
      <w:pPr>
        <w:numPr>
          <w:ilvl w:val="0"/>
          <w:numId w:val="59"/>
        </w:numPr>
        <w:tabs>
          <w:tab w:val="clear" w:pos="1440"/>
        </w:tabs>
        <w:spacing w:before="240" w:after="240"/>
        <w:rPr>
          <w:bCs w:val="0"/>
          <w:szCs w:val="24"/>
        </w:rPr>
      </w:pPr>
      <w:r w:rsidRPr="00F83B8D">
        <w:rPr>
          <w:bCs w:val="0"/>
          <w:szCs w:val="24"/>
        </w:rPr>
        <w:t xml:space="preserve">Information about needs and strengths may be found in current local assessments, such as the CHKS </w:t>
      </w:r>
      <w:r w:rsidR="00413372" w:rsidRPr="00F83B8D">
        <w:rPr>
          <w:bCs w:val="0"/>
          <w:szCs w:val="24"/>
        </w:rPr>
        <w:t xml:space="preserve">located </w:t>
      </w:r>
      <w:r w:rsidRPr="00F83B8D">
        <w:rPr>
          <w:bCs w:val="0"/>
          <w:szCs w:val="24"/>
        </w:rPr>
        <w:t xml:space="preserve">at </w:t>
      </w:r>
      <w:hyperlink r:id="rId19" w:tooltip="California Healthy Kids Survey" w:history="1">
        <w:r w:rsidR="00DE4D94">
          <w:rPr>
            <w:rStyle w:val="Hyperlink"/>
          </w:rPr>
          <w:t>https://www.cde.ca.gov/ls/he/at/chks.asp</w:t>
        </w:r>
      </w:hyperlink>
      <w:r w:rsidRPr="00F83B8D">
        <w:rPr>
          <w:bCs w:val="0"/>
          <w:szCs w:val="24"/>
        </w:rPr>
        <w:t>.</w:t>
      </w:r>
    </w:p>
    <w:p w14:paraId="1DE6E2BD" w14:textId="77777777" w:rsidR="00F6005B" w:rsidRPr="00F83B8D" w:rsidRDefault="00F6005B" w:rsidP="00AC478E">
      <w:pPr>
        <w:numPr>
          <w:ilvl w:val="0"/>
          <w:numId w:val="59"/>
        </w:numPr>
        <w:tabs>
          <w:tab w:val="clear" w:pos="1440"/>
        </w:tabs>
        <w:spacing w:before="240" w:after="240"/>
        <w:rPr>
          <w:bCs w:val="0"/>
          <w:szCs w:val="24"/>
        </w:rPr>
      </w:pPr>
      <w:r w:rsidRPr="00F83B8D">
        <w:rPr>
          <w:bCs w:val="0"/>
          <w:szCs w:val="24"/>
        </w:rPr>
        <w:t>Existing efforts and activities in the community should also be included in the assessment. Comprehensive programs should be coordinated with community antismoking efforts, including those of local chapters of volunteer organizations, such as the California Rural Indian Health Board—To</w:t>
      </w:r>
      <w:r w:rsidR="00184869" w:rsidRPr="00F83B8D">
        <w:rPr>
          <w:bCs w:val="0"/>
          <w:szCs w:val="24"/>
        </w:rPr>
        <w:t>bacco Programs, other AIEC–TUPE-</w:t>
      </w:r>
      <w:r w:rsidRPr="00F83B8D">
        <w:rPr>
          <w:bCs w:val="0"/>
          <w:szCs w:val="24"/>
        </w:rPr>
        <w:t>funded programs, the American Cancer Society, the American Lung Association, the American Heart Association, and Americans for Nonsmokers’ Rights. There should also be coordination with local programs funded by health departments and lead agencies and the Department of Health Services (DHS), Tobacco Control Section.</w:t>
      </w:r>
    </w:p>
    <w:p w14:paraId="3D952D66" w14:textId="77777777" w:rsidR="00F6005B" w:rsidRPr="00F83B8D" w:rsidRDefault="00F6005B" w:rsidP="00AC478E">
      <w:pPr>
        <w:tabs>
          <w:tab w:val="left" w:pos="5040"/>
        </w:tabs>
        <w:spacing w:before="240" w:after="240"/>
        <w:ind w:left="720"/>
        <w:rPr>
          <w:bCs w:val="0"/>
          <w:szCs w:val="24"/>
        </w:rPr>
      </w:pPr>
      <w:r w:rsidRPr="00F83B8D">
        <w:rPr>
          <w:bCs w:val="0"/>
          <w:szCs w:val="24"/>
        </w:rPr>
        <w:t>Describe the process and data used that established a need for the proposed program. The program must be based on objective data. Describe the data sources used and summarize the findings. Address the nature and extent of the problems and existing interventions and prevention efforts. Data should be composed of national (e.g., National American Indian prevalence data), regional (i.e., district Healthy Kids survey results), and local (i.e., AIEC survey measuring need and tobacco use prevalence). Describe the student population to be served by the proposed program.</w:t>
      </w:r>
    </w:p>
    <w:p w14:paraId="1EFB7980" w14:textId="77777777" w:rsidR="0023583B" w:rsidRPr="00F83B8D" w:rsidRDefault="00F6005B" w:rsidP="00203B86">
      <w:pPr>
        <w:pStyle w:val="Heading3"/>
        <w:numPr>
          <w:ilvl w:val="0"/>
          <w:numId w:val="31"/>
        </w:numPr>
        <w:tabs>
          <w:tab w:val="clear" w:pos="960"/>
          <w:tab w:val="clear" w:pos="1440"/>
          <w:tab w:val="clear" w:pos="1800"/>
          <w:tab w:val="clear" w:pos="2160"/>
        </w:tabs>
        <w:spacing w:before="360" w:after="240"/>
      </w:pPr>
      <w:bookmarkStart w:id="60" w:name="_Toc3983575"/>
      <w:bookmarkStart w:id="61" w:name="_Toc158361604"/>
      <w:r w:rsidRPr="00F83B8D">
        <w:t>Parent, School, and Community Involvement</w:t>
      </w:r>
      <w:bookmarkEnd w:id="60"/>
      <w:bookmarkEnd w:id="61"/>
    </w:p>
    <w:p w14:paraId="3070D601" w14:textId="73BD981A" w:rsidR="00F6005B" w:rsidRPr="00F83B8D" w:rsidRDefault="00F6005B" w:rsidP="00AC478E">
      <w:pPr>
        <w:pStyle w:val="NoSpacing0"/>
        <w:spacing w:before="240" w:after="240"/>
        <w:ind w:left="720"/>
      </w:pPr>
      <w:r w:rsidRPr="00F83B8D">
        <w:t xml:space="preserve">Parent, </w:t>
      </w:r>
      <w:r w:rsidR="00413372" w:rsidRPr="00F83B8D">
        <w:t>school,</w:t>
      </w:r>
      <w:r w:rsidRPr="00F83B8D">
        <w:t xml:space="preserve"> and community involvement </w:t>
      </w:r>
      <w:r w:rsidR="00DB7291" w:rsidRPr="00F83B8D">
        <w:t>are</w:t>
      </w:r>
      <w:r w:rsidRPr="00F83B8D">
        <w:t xml:space="preserve"> an essential part of any successful program. </w:t>
      </w:r>
      <w:r w:rsidR="0023583B" w:rsidRPr="00F83B8D">
        <w:t xml:space="preserve">The </w:t>
      </w:r>
      <w:r w:rsidRPr="00F83B8D">
        <w:t>proposed program should describe collaboration with community-based organizations, including the California Rural Indian Health Board, county health departments, and the DHS, Tobacco Control Section grant recipients. Successful programs should attach Memorandums of Understanding (MOUs) with collaborating agencies in an appendix.</w:t>
      </w:r>
    </w:p>
    <w:p w14:paraId="73CEA82C" w14:textId="50766718" w:rsidR="00F6005B" w:rsidRPr="00F83B8D" w:rsidRDefault="00F6005B" w:rsidP="00AC478E">
      <w:pPr>
        <w:pStyle w:val="NoSpacing0"/>
        <w:spacing w:before="240" w:after="240"/>
        <w:ind w:left="720"/>
      </w:pPr>
      <w:r w:rsidRPr="00F83B8D">
        <w:t>The Narrative should describe:</w:t>
      </w:r>
    </w:p>
    <w:p w14:paraId="5A168895" w14:textId="77777777" w:rsidR="00F6005B" w:rsidRPr="00F83B8D" w:rsidRDefault="00F6005B" w:rsidP="00AC478E">
      <w:pPr>
        <w:numPr>
          <w:ilvl w:val="0"/>
          <w:numId w:val="61"/>
        </w:numPr>
        <w:tabs>
          <w:tab w:val="left" w:pos="5040"/>
        </w:tabs>
        <w:spacing w:before="240" w:after="240"/>
        <w:rPr>
          <w:bCs w:val="0"/>
          <w:szCs w:val="24"/>
        </w:rPr>
      </w:pPr>
      <w:r w:rsidRPr="00F83B8D">
        <w:rPr>
          <w:bCs w:val="0"/>
          <w:szCs w:val="24"/>
        </w:rPr>
        <w:lastRenderedPageBreak/>
        <w:t>How students, parents, and elders will be involved in the program development and implementation.</w:t>
      </w:r>
    </w:p>
    <w:p w14:paraId="2D82ABD9" w14:textId="77777777" w:rsidR="00F6005B" w:rsidRPr="00F83B8D" w:rsidRDefault="00F6005B" w:rsidP="00AC478E">
      <w:pPr>
        <w:numPr>
          <w:ilvl w:val="0"/>
          <w:numId w:val="61"/>
        </w:numPr>
        <w:tabs>
          <w:tab w:val="left" w:pos="5040"/>
        </w:tabs>
        <w:spacing w:before="240" w:after="240"/>
        <w:rPr>
          <w:bCs w:val="0"/>
          <w:szCs w:val="24"/>
        </w:rPr>
      </w:pPr>
      <w:r w:rsidRPr="00F83B8D">
        <w:rPr>
          <w:bCs w:val="0"/>
          <w:szCs w:val="24"/>
        </w:rPr>
        <w:t>What mechanism there will be for ongoing input and feedback from center staff, other program staff, students, parents, elders, and other community members.</w:t>
      </w:r>
    </w:p>
    <w:p w14:paraId="09077702" w14:textId="77777777" w:rsidR="003519A9" w:rsidRPr="00F83B8D" w:rsidRDefault="00F6005B" w:rsidP="00203B86">
      <w:pPr>
        <w:pStyle w:val="Heading3"/>
        <w:numPr>
          <w:ilvl w:val="0"/>
          <w:numId w:val="31"/>
        </w:numPr>
        <w:tabs>
          <w:tab w:val="clear" w:pos="960"/>
          <w:tab w:val="clear" w:pos="1440"/>
          <w:tab w:val="clear" w:pos="1800"/>
          <w:tab w:val="clear" w:pos="2160"/>
        </w:tabs>
        <w:spacing w:before="360" w:after="240"/>
        <w:rPr>
          <w:lang w:val="en"/>
        </w:rPr>
      </w:pPr>
      <w:bookmarkStart w:id="62" w:name="_Toc158361605"/>
      <w:r w:rsidRPr="00F83B8D">
        <w:rPr>
          <w:lang w:val="en"/>
        </w:rPr>
        <w:t>Overall Program Goals and Measurable Objectives</w:t>
      </w:r>
      <w:bookmarkEnd w:id="62"/>
    </w:p>
    <w:p w14:paraId="7E6D2CAA" w14:textId="77777777" w:rsidR="00F6005B" w:rsidRPr="00F83B8D" w:rsidRDefault="00F6005B" w:rsidP="00AC478E">
      <w:pPr>
        <w:spacing w:before="240" w:after="240"/>
        <w:ind w:left="720"/>
        <w:rPr>
          <w:lang w:val="en"/>
        </w:rPr>
      </w:pPr>
      <w:r w:rsidRPr="00F83B8D">
        <w:rPr>
          <w:lang w:val="en"/>
        </w:rPr>
        <w:t>Setting Performance Measures</w:t>
      </w:r>
    </w:p>
    <w:p w14:paraId="3D5764A7" w14:textId="77777777" w:rsidR="00F6005B" w:rsidRPr="00F83B8D" w:rsidRDefault="00F6005B" w:rsidP="00AC478E">
      <w:pPr>
        <w:numPr>
          <w:ilvl w:val="0"/>
          <w:numId w:val="62"/>
        </w:numPr>
        <w:spacing w:before="240" w:after="240"/>
        <w:ind w:left="1440"/>
        <w:rPr>
          <w:bCs w:val="0"/>
          <w:szCs w:val="24"/>
        </w:rPr>
      </w:pPr>
      <w:r w:rsidRPr="00F83B8D">
        <w:rPr>
          <w:lang w:val="en"/>
        </w:rPr>
        <w:t xml:space="preserve">A grant recipient, with the assistance of a local advisory council composed of parents and </w:t>
      </w:r>
      <w:r w:rsidRPr="00F83B8D">
        <w:rPr>
          <w:bCs w:val="0"/>
          <w:szCs w:val="24"/>
        </w:rPr>
        <w:t>community representatives, shall establish a set of performance measures, based on the needs assessment data and design activities, to meet those goals and objectives aimed at ensuring a commercial-free tobacco environment.</w:t>
      </w:r>
    </w:p>
    <w:p w14:paraId="5CBD2DE9" w14:textId="77777777" w:rsidR="00F6005B" w:rsidRPr="00F83B8D" w:rsidRDefault="00F6005B" w:rsidP="00AC478E">
      <w:pPr>
        <w:tabs>
          <w:tab w:val="left" w:pos="5040"/>
        </w:tabs>
        <w:spacing w:before="240" w:after="240"/>
        <w:ind w:left="720"/>
        <w:rPr>
          <w:bCs w:val="0"/>
          <w:szCs w:val="24"/>
        </w:rPr>
      </w:pPr>
      <w:r w:rsidRPr="00F83B8D">
        <w:rPr>
          <w:bCs w:val="0"/>
          <w:szCs w:val="24"/>
        </w:rPr>
        <w:t>The decision-making process should include these elements:</w:t>
      </w:r>
    </w:p>
    <w:p w14:paraId="60973C47" w14:textId="77777777" w:rsidR="00F6005B" w:rsidRPr="00F83B8D" w:rsidRDefault="00F6005B" w:rsidP="00AC478E">
      <w:pPr>
        <w:numPr>
          <w:ilvl w:val="0"/>
          <w:numId w:val="62"/>
        </w:numPr>
        <w:spacing w:before="240" w:after="240"/>
        <w:ind w:left="1440"/>
        <w:rPr>
          <w:bCs w:val="0"/>
          <w:szCs w:val="24"/>
        </w:rPr>
      </w:pPr>
      <w:r w:rsidRPr="00F83B8D">
        <w:rPr>
          <w:bCs w:val="0"/>
          <w:szCs w:val="24"/>
        </w:rPr>
        <w:t>Baseline information regarding present behaviors and attitudes of students.</w:t>
      </w:r>
    </w:p>
    <w:p w14:paraId="24F05A91" w14:textId="77777777" w:rsidR="00F6005B" w:rsidRPr="00F83B8D" w:rsidRDefault="00F6005B" w:rsidP="00AC478E">
      <w:pPr>
        <w:numPr>
          <w:ilvl w:val="0"/>
          <w:numId w:val="62"/>
        </w:numPr>
        <w:spacing w:before="240" w:after="240"/>
        <w:ind w:left="1440"/>
        <w:rPr>
          <w:bCs w:val="0"/>
          <w:szCs w:val="24"/>
        </w:rPr>
      </w:pPr>
      <w:r w:rsidRPr="00F83B8D">
        <w:rPr>
          <w:bCs w:val="0"/>
          <w:szCs w:val="24"/>
        </w:rPr>
        <w:t>Priority needs and strengths based on behaviors and attitudes identified in the assessment.</w:t>
      </w:r>
    </w:p>
    <w:p w14:paraId="33CF404C" w14:textId="77777777" w:rsidR="00F6005B" w:rsidRPr="00F83B8D" w:rsidRDefault="00F6005B" w:rsidP="00AC478E">
      <w:pPr>
        <w:numPr>
          <w:ilvl w:val="0"/>
          <w:numId w:val="62"/>
        </w:numPr>
        <w:spacing w:before="240" w:after="240"/>
        <w:ind w:left="1080" w:firstLine="0"/>
        <w:rPr>
          <w:bCs w:val="0"/>
          <w:szCs w:val="24"/>
        </w:rPr>
      </w:pPr>
      <w:r w:rsidRPr="00F83B8D">
        <w:rPr>
          <w:bCs w:val="0"/>
          <w:szCs w:val="24"/>
        </w:rPr>
        <w:t>Desired measurable changes in behaviors and attitudes.</w:t>
      </w:r>
    </w:p>
    <w:p w14:paraId="30E2725C" w14:textId="77777777" w:rsidR="00F6005B" w:rsidRPr="00F83B8D" w:rsidRDefault="00F6005B" w:rsidP="00AC478E">
      <w:pPr>
        <w:numPr>
          <w:ilvl w:val="0"/>
          <w:numId w:val="62"/>
        </w:numPr>
        <w:spacing w:before="240" w:after="240"/>
        <w:ind w:left="1080" w:firstLine="0"/>
        <w:rPr>
          <w:bCs w:val="0"/>
          <w:szCs w:val="24"/>
        </w:rPr>
      </w:pPr>
      <w:r w:rsidRPr="00F83B8D">
        <w:rPr>
          <w:bCs w:val="0"/>
          <w:szCs w:val="24"/>
        </w:rPr>
        <w:t>Amount of time to be allowed for the desired changes.</w:t>
      </w:r>
    </w:p>
    <w:p w14:paraId="7A4A0996" w14:textId="30337F78" w:rsidR="00F6005B" w:rsidRPr="00F83B8D" w:rsidRDefault="00F6005B" w:rsidP="00AC478E">
      <w:pPr>
        <w:tabs>
          <w:tab w:val="left" w:pos="90"/>
          <w:tab w:val="left" w:pos="5040"/>
        </w:tabs>
        <w:spacing w:before="240" w:after="240"/>
        <w:ind w:left="720"/>
        <w:rPr>
          <w:bCs w:val="0"/>
          <w:szCs w:val="24"/>
        </w:rPr>
      </w:pPr>
      <w:r w:rsidRPr="00F83B8D">
        <w:rPr>
          <w:bCs w:val="0"/>
          <w:szCs w:val="24"/>
        </w:rPr>
        <w:t>Goals are defined as a general statement of a long-range target or purpose and should directly address the needs identified through the needs assessment process. The goals statement must be outcome or results (not process) oriented.</w:t>
      </w:r>
      <w:r w:rsidR="0083310F" w:rsidRPr="00F83B8D">
        <w:rPr>
          <w:bCs w:val="0"/>
          <w:szCs w:val="24"/>
        </w:rPr>
        <w:t xml:space="preserve"> Please list one goal </w:t>
      </w:r>
      <w:r w:rsidR="00413372" w:rsidRPr="00F83B8D">
        <w:rPr>
          <w:bCs w:val="0"/>
          <w:szCs w:val="24"/>
        </w:rPr>
        <w:t>for</w:t>
      </w:r>
      <w:r w:rsidR="0083310F" w:rsidRPr="00F83B8D">
        <w:rPr>
          <w:bCs w:val="0"/>
          <w:szCs w:val="24"/>
        </w:rPr>
        <w:t xml:space="preserve"> each of the three target groups</w:t>
      </w:r>
      <w:r w:rsidR="00671A43" w:rsidRPr="00F83B8D">
        <w:rPr>
          <w:bCs w:val="0"/>
          <w:szCs w:val="24"/>
        </w:rPr>
        <w:t>: (1) General Population; (2) Most At Risk; and (3) Current Users.</w:t>
      </w:r>
    </w:p>
    <w:p w14:paraId="055EBB5A" w14:textId="77777777" w:rsidR="00F6005B" w:rsidRPr="00F83B8D" w:rsidRDefault="00F6005B" w:rsidP="00AC478E">
      <w:pPr>
        <w:tabs>
          <w:tab w:val="left" w:pos="5040"/>
        </w:tabs>
        <w:spacing w:before="240" w:after="240"/>
        <w:ind w:left="360"/>
        <w:rPr>
          <w:b/>
          <w:bCs w:val="0"/>
          <w:szCs w:val="24"/>
        </w:rPr>
      </w:pPr>
      <w:r w:rsidRPr="00F83B8D">
        <w:rPr>
          <w:b/>
          <w:bCs w:val="0"/>
          <w:szCs w:val="24"/>
        </w:rPr>
        <w:t>Example:</w:t>
      </w:r>
      <w:r w:rsidRPr="00F83B8D">
        <w:rPr>
          <w:b/>
          <w:bCs w:val="0"/>
          <w:szCs w:val="24"/>
        </w:rPr>
        <w:tab/>
      </w:r>
    </w:p>
    <w:p w14:paraId="1E4628EA" w14:textId="77777777" w:rsidR="00F6005B" w:rsidRPr="00F83B8D" w:rsidRDefault="009B4B63" w:rsidP="00AC478E">
      <w:pPr>
        <w:tabs>
          <w:tab w:val="left" w:pos="5040"/>
        </w:tabs>
        <w:spacing w:before="240" w:after="240"/>
        <w:ind w:left="720"/>
        <w:rPr>
          <w:bCs w:val="0"/>
          <w:szCs w:val="24"/>
        </w:rPr>
      </w:pPr>
      <w:r w:rsidRPr="00F83B8D">
        <w:rPr>
          <w:b/>
          <w:bCs w:val="0"/>
          <w:szCs w:val="24"/>
        </w:rPr>
        <w:t>Goal</w:t>
      </w:r>
      <w:r w:rsidR="00F6005B" w:rsidRPr="00F83B8D">
        <w:rPr>
          <w:b/>
          <w:bCs w:val="0"/>
          <w:szCs w:val="24"/>
        </w:rPr>
        <w:t>:</w:t>
      </w:r>
      <w:r w:rsidR="00F6005B" w:rsidRPr="00F83B8D">
        <w:rPr>
          <w:bCs w:val="0"/>
          <w:szCs w:val="24"/>
        </w:rPr>
        <w:t xml:space="preserve"> To support the tobacco-free status of non-using American Indian students and reinforce knowledge through instructional lessons to prevent and decrease the tobacco use of American Indian students.</w:t>
      </w:r>
    </w:p>
    <w:p w14:paraId="049C5BD9" w14:textId="77777777" w:rsidR="00F6005B" w:rsidRPr="00F83B8D" w:rsidRDefault="00F6005B" w:rsidP="00AC478E">
      <w:pPr>
        <w:tabs>
          <w:tab w:val="left" w:pos="5040"/>
        </w:tabs>
        <w:spacing w:before="240" w:after="240"/>
        <w:ind w:left="720"/>
        <w:rPr>
          <w:bCs w:val="0"/>
          <w:szCs w:val="24"/>
        </w:rPr>
      </w:pPr>
      <w:r w:rsidRPr="00F83B8D">
        <w:rPr>
          <w:bCs w:val="0"/>
          <w:szCs w:val="24"/>
        </w:rPr>
        <w:t>Objectives should be stated positively and, when accomplished, should lead to the goal. SMART objectives should be used:</w:t>
      </w:r>
    </w:p>
    <w:p w14:paraId="7D7C4834" w14:textId="77777777" w:rsidR="00F6005B" w:rsidRPr="00F83B8D" w:rsidRDefault="00F6005B" w:rsidP="00AC478E">
      <w:pPr>
        <w:numPr>
          <w:ilvl w:val="0"/>
          <w:numId w:val="63"/>
        </w:numPr>
        <w:spacing w:before="240" w:after="240"/>
        <w:rPr>
          <w:bCs w:val="0"/>
          <w:szCs w:val="24"/>
          <w:lang w:val="en"/>
        </w:rPr>
      </w:pPr>
      <w:r w:rsidRPr="00F83B8D">
        <w:rPr>
          <w:b/>
          <w:szCs w:val="24"/>
          <w:lang w:val="en"/>
        </w:rPr>
        <w:t>Specific</w:t>
      </w:r>
      <w:r w:rsidRPr="00F83B8D">
        <w:rPr>
          <w:bCs w:val="0"/>
          <w:szCs w:val="24"/>
          <w:lang w:val="en"/>
        </w:rPr>
        <w:t>—Be precise about what you are going to achieve.</w:t>
      </w:r>
    </w:p>
    <w:p w14:paraId="23EAF1D2" w14:textId="77777777" w:rsidR="00F6005B" w:rsidRPr="00F83B8D" w:rsidRDefault="00F6005B" w:rsidP="00AC478E">
      <w:pPr>
        <w:numPr>
          <w:ilvl w:val="0"/>
          <w:numId w:val="63"/>
        </w:numPr>
        <w:tabs>
          <w:tab w:val="num" w:pos="720"/>
        </w:tabs>
        <w:spacing w:before="240" w:after="240"/>
        <w:rPr>
          <w:bCs w:val="0"/>
          <w:szCs w:val="24"/>
          <w:lang w:val="en"/>
        </w:rPr>
      </w:pPr>
      <w:r w:rsidRPr="00F83B8D">
        <w:rPr>
          <w:b/>
          <w:szCs w:val="24"/>
          <w:lang w:val="en"/>
        </w:rPr>
        <w:t>Measurable</w:t>
      </w:r>
      <w:r w:rsidRPr="00F83B8D">
        <w:rPr>
          <w:bCs w:val="0"/>
          <w:szCs w:val="24"/>
          <w:lang w:val="en"/>
        </w:rPr>
        <w:t>—Quantify your objectives.</w:t>
      </w:r>
    </w:p>
    <w:p w14:paraId="074BD3BE" w14:textId="77777777" w:rsidR="00F6005B" w:rsidRPr="00F83B8D" w:rsidRDefault="00F6005B" w:rsidP="00AC478E">
      <w:pPr>
        <w:numPr>
          <w:ilvl w:val="0"/>
          <w:numId w:val="63"/>
        </w:numPr>
        <w:tabs>
          <w:tab w:val="num" w:pos="720"/>
        </w:tabs>
        <w:spacing w:before="240" w:after="240"/>
        <w:rPr>
          <w:bCs w:val="0"/>
          <w:szCs w:val="24"/>
          <w:lang w:val="en"/>
        </w:rPr>
      </w:pPr>
      <w:r w:rsidRPr="00F83B8D">
        <w:rPr>
          <w:b/>
          <w:szCs w:val="24"/>
          <w:lang w:val="en"/>
        </w:rPr>
        <w:lastRenderedPageBreak/>
        <w:t>Achievable</w:t>
      </w:r>
      <w:r w:rsidRPr="00F83B8D">
        <w:rPr>
          <w:bCs w:val="0"/>
          <w:szCs w:val="24"/>
          <w:lang w:val="en"/>
        </w:rPr>
        <w:t>—Are you attempting too much?</w:t>
      </w:r>
    </w:p>
    <w:p w14:paraId="0306DA52" w14:textId="77777777" w:rsidR="00F6005B" w:rsidRPr="00F83B8D" w:rsidRDefault="00F6005B" w:rsidP="00AC478E">
      <w:pPr>
        <w:numPr>
          <w:ilvl w:val="0"/>
          <w:numId w:val="63"/>
        </w:numPr>
        <w:tabs>
          <w:tab w:val="num" w:pos="720"/>
        </w:tabs>
        <w:spacing w:before="240" w:after="240"/>
        <w:rPr>
          <w:bCs w:val="0"/>
          <w:szCs w:val="24"/>
          <w:lang w:val="en"/>
        </w:rPr>
      </w:pPr>
      <w:r w:rsidRPr="00F83B8D">
        <w:rPr>
          <w:b/>
          <w:szCs w:val="24"/>
          <w:lang w:val="en"/>
        </w:rPr>
        <w:t>Realistic</w:t>
      </w:r>
      <w:r w:rsidRPr="00F83B8D">
        <w:rPr>
          <w:bCs w:val="0"/>
          <w:szCs w:val="24"/>
          <w:lang w:val="en"/>
        </w:rPr>
        <w:t xml:space="preserve">—Do you have the resources to make the objective happen? </w:t>
      </w:r>
    </w:p>
    <w:p w14:paraId="38F23B67" w14:textId="77777777" w:rsidR="00F6005B" w:rsidRPr="00F83B8D" w:rsidRDefault="00F6005B" w:rsidP="00AC478E">
      <w:pPr>
        <w:numPr>
          <w:ilvl w:val="0"/>
          <w:numId w:val="63"/>
        </w:numPr>
        <w:tabs>
          <w:tab w:val="num" w:pos="720"/>
        </w:tabs>
        <w:spacing w:before="240" w:after="240"/>
        <w:rPr>
          <w:bCs w:val="0"/>
          <w:szCs w:val="24"/>
          <w:lang w:val="en"/>
        </w:rPr>
      </w:pPr>
      <w:r w:rsidRPr="00F83B8D">
        <w:rPr>
          <w:b/>
          <w:szCs w:val="24"/>
          <w:lang w:val="en"/>
        </w:rPr>
        <w:t>Timed</w:t>
      </w:r>
      <w:r w:rsidRPr="00F83B8D">
        <w:rPr>
          <w:bCs w:val="0"/>
          <w:szCs w:val="24"/>
          <w:lang w:val="en"/>
        </w:rPr>
        <w:t>—State when you will achieve the objective.</w:t>
      </w:r>
    </w:p>
    <w:p w14:paraId="3FDDC06D" w14:textId="77777777" w:rsidR="00F6005B" w:rsidRPr="00F83B8D" w:rsidRDefault="00F6005B" w:rsidP="00AC478E">
      <w:pPr>
        <w:tabs>
          <w:tab w:val="left" w:pos="5040"/>
        </w:tabs>
        <w:spacing w:before="240" w:after="240"/>
        <w:ind w:left="720"/>
        <w:rPr>
          <w:bCs w:val="0"/>
          <w:szCs w:val="24"/>
        </w:rPr>
      </w:pPr>
      <w:r w:rsidRPr="00F83B8D">
        <w:rPr>
          <w:bCs w:val="0"/>
          <w:szCs w:val="24"/>
        </w:rPr>
        <w:t>The desired results should address the unique needs of students that stakeholders have prioritized through the use of relevant strategies and indicators to prevent and/or reduce tobacco use. Program objectives should also be logically connected to support overall program goals.</w:t>
      </w:r>
    </w:p>
    <w:p w14:paraId="392BF68E" w14:textId="77777777" w:rsidR="00F6005B" w:rsidRPr="00F83B8D" w:rsidRDefault="00F6005B" w:rsidP="00AC478E">
      <w:pPr>
        <w:tabs>
          <w:tab w:val="left" w:pos="810"/>
          <w:tab w:val="left" w:pos="5040"/>
        </w:tabs>
        <w:spacing w:before="240" w:after="240"/>
        <w:ind w:left="360"/>
        <w:rPr>
          <w:bCs w:val="0"/>
          <w:szCs w:val="24"/>
        </w:rPr>
      </w:pPr>
      <w:r w:rsidRPr="00F83B8D">
        <w:rPr>
          <w:b/>
          <w:bCs w:val="0"/>
          <w:szCs w:val="24"/>
        </w:rPr>
        <w:t>Example:</w:t>
      </w:r>
    </w:p>
    <w:p w14:paraId="669E8112" w14:textId="76C7A054" w:rsidR="00F6005B" w:rsidRPr="00F83B8D" w:rsidRDefault="00F6005B" w:rsidP="00AC478E">
      <w:pPr>
        <w:tabs>
          <w:tab w:val="left" w:pos="5040"/>
        </w:tabs>
        <w:spacing w:before="240" w:after="240"/>
        <w:ind w:left="720"/>
        <w:rPr>
          <w:b/>
          <w:bCs w:val="0"/>
          <w:szCs w:val="24"/>
        </w:rPr>
      </w:pPr>
      <w:r w:rsidRPr="00F83B8D">
        <w:rPr>
          <w:b/>
          <w:bCs w:val="0"/>
          <w:szCs w:val="24"/>
        </w:rPr>
        <w:t xml:space="preserve">Student Outcome Objective: </w:t>
      </w:r>
      <w:r w:rsidRPr="00F83B8D">
        <w:rPr>
          <w:bCs w:val="0"/>
          <w:szCs w:val="24"/>
        </w:rPr>
        <w:t>By September 20</w:t>
      </w:r>
      <w:r w:rsidR="00BF562D" w:rsidRPr="00F83B8D">
        <w:rPr>
          <w:bCs w:val="0"/>
          <w:szCs w:val="24"/>
        </w:rPr>
        <w:t>25</w:t>
      </w:r>
      <w:r w:rsidRPr="00F83B8D">
        <w:rPr>
          <w:bCs w:val="0"/>
          <w:szCs w:val="24"/>
        </w:rPr>
        <w:t>, 80 percent of the participants of the TUPE Program who attended 10 workshop sessions and who reported tobacco use in the pre-survey will decrease by 60 percent as measured by a post survey.</w:t>
      </w:r>
    </w:p>
    <w:p w14:paraId="69CA876C" w14:textId="77777777" w:rsidR="00F6005B" w:rsidRPr="00F83B8D" w:rsidRDefault="00F6005B" w:rsidP="00AC478E">
      <w:pPr>
        <w:tabs>
          <w:tab w:val="left" w:pos="5040"/>
        </w:tabs>
        <w:spacing w:before="240" w:after="240"/>
        <w:ind w:left="720"/>
        <w:rPr>
          <w:bCs w:val="0"/>
          <w:szCs w:val="24"/>
        </w:rPr>
      </w:pPr>
      <w:r w:rsidRPr="00F83B8D">
        <w:rPr>
          <w:bCs w:val="0"/>
          <w:szCs w:val="24"/>
        </w:rPr>
        <w:t>Objectives should be stated in terms of a time frame; provide milestones for accomplishment; cover a single outcome or event; be written in quantifiable terms; be realistic and attainable, given available (or attainable) resources; and indicate a baseline. The applicant is required to establish measurable student outcome objectives based on performance indicators.</w:t>
      </w:r>
    </w:p>
    <w:p w14:paraId="19BA2C0E" w14:textId="77777777" w:rsidR="003519A9" w:rsidRPr="00F83B8D" w:rsidRDefault="00F6005B" w:rsidP="00AC478E">
      <w:pPr>
        <w:tabs>
          <w:tab w:val="left" w:pos="5040"/>
        </w:tabs>
        <w:spacing w:before="240" w:after="240"/>
        <w:ind w:left="720"/>
        <w:rPr>
          <w:bCs w:val="0"/>
          <w:szCs w:val="24"/>
        </w:rPr>
      </w:pPr>
      <w:r w:rsidRPr="00F83B8D">
        <w:rPr>
          <w:bCs w:val="0"/>
          <w:szCs w:val="24"/>
        </w:rPr>
        <w:t>Please list at least one measurable objective and include both program implementation (e.g., number of hours of instruction and number of stu</w:t>
      </w:r>
      <w:r w:rsidR="009B4B63" w:rsidRPr="00F83B8D">
        <w:rPr>
          <w:bCs w:val="0"/>
          <w:szCs w:val="24"/>
        </w:rPr>
        <w:t xml:space="preserve">dents receiving instruction) </w:t>
      </w:r>
      <w:r w:rsidR="009B4B63" w:rsidRPr="00F83B8D">
        <w:rPr>
          <w:b/>
          <w:bCs w:val="0"/>
          <w:szCs w:val="24"/>
        </w:rPr>
        <w:t>and</w:t>
      </w:r>
      <w:r w:rsidRPr="00F83B8D">
        <w:rPr>
          <w:b/>
          <w:bCs w:val="0"/>
          <w:szCs w:val="24"/>
        </w:rPr>
        <w:t xml:space="preserve"> </w:t>
      </w:r>
      <w:r w:rsidRPr="00F83B8D">
        <w:rPr>
          <w:bCs w:val="0"/>
          <w:szCs w:val="24"/>
        </w:rPr>
        <w:t>student outcome in the objectives (e.g., percentage decrease in number of students who smoke) for each of the three target groups: (1) General Population; (2) Most At Risk; and (3) Current Users.</w:t>
      </w:r>
    </w:p>
    <w:p w14:paraId="1638C531" w14:textId="77777777" w:rsidR="00CD1134" w:rsidRPr="00F83B8D" w:rsidRDefault="00CD1134" w:rsidP="00203B86">
      <w:pPr>
        <w:pStyle w:val="Heading3"/>
        <w:numPr>
          <w:ilvl w:val="0"/>
          <w:numId w:val="31"/>
        </w:numPr>
        <w:spacing w:before="360" w:after="240"/>
      </w:pPr>
      <w:bookmarkStart w:id="63" w:name="_Toc158361606"/>
      <w:r w:rsidRPr="00F83B8D">
        <w:t>Program Description, Including Strategies and Rationale</w:t>
      </w:r>
      <w:bookmarkEnd w:id="63"/>
    </w:p>
    <w:p w14:paraId="1AF1B3CE" w14:textId="77777777" w:rsidR="00CD1134" w:rsidRPr="00F83B8D" w:rsidRDefault="00CD1134" w:rsidP="00AC478E">
      <w:pPr>
        <w:pStyle w:val="ListParagraph"/>
        <w:autoSpaceDE w:val="0"/>
        <w:autoSpaceDN w:val="0"/>
        <w:adjustRightInd w:val="0"/>
        <w:spacing w:before="240" w:after="240"/>
        <w:rPr>
          <w:bCs w:val="0"/>
          <w:szCs w:val="24"/>
        </w:rPr>
      </w:pPr>
      <w:r w:rsidRPr="00F83B8D">
        <w:rPr>
          <w:bCs w:val="0"/>
          <w:szCs w:val="24"/>
        </w:rPr>
        <w:t>Employing Effective Research-Based Programs</w:t>
      </w:r>
    </w:p>
    <w:p w14:paraId="458BB8DB" w14:textId="77777777" w:rsidR="00CD1134" w:rsidRPr="00F83B8D" w:rsidRDefault="00CD1134" w:rsidP="00AC478E">
      <w:pPr>
        <w:pStyle w:val="ListParagraph"/>
        <w:numPr>
          <w:ilvl w:val="0"/>
          <w:numId w:val="68"/>
        </w:numPr>
        <w:tabs>
          <w:tab w:val="left" w:pos="5040"/>
        </w:tabs>
        <w:spacing w:before="240" w:after="240"/>
        <w:rPr>
          <w:bCs w:val="0"/>
          <w:szCs w:val="24"/>
        </w:rPr>
      </w:pPr>
      <w:r w:rsidRPr="00F83B8D">
        <w:rPr>
          <w:bCs w:val="0"/>
          <w:szCs w:val="24"/>
        </w:rPr>
        <w:t>All applicants shall design and implement TUPE competitive grants based on effective research studies published in scholarly journals. Funded grants must implement a science-based program with fidelity. Research-based supplementary activities and innovative supplementary programs may also be included. The published research or research reviewed by a duly appointed agency identified in the plan must provide evidence that the programs or strategies are effective in preventing or reducing tobacco use. Parent, school, and community involvement is an essential part of any successful comprehensive program.</w:t>
      </w:r>
    </w:p>
    <w:p w14:paraId="1C3F8D4A" w14:textId="77777777" w:rsidR="00CD1134" w:rsidRPr="00F83B8D" w:rsidRDefault="00CD1134" w:rsidP="00AC478E">
      <w:pPr>
        <w:numPr>
          <w:ilvl w:val="0"/>
          <w:numId w:val="65"/>
        </w:numPr>
        <w:spacing w:before="240" w:after="240"/>
        <w:rPr>
          <w:bCs w:val="0"/>
          <w:szCs w:val="24"/>
        </w:rPr>
      </w:pPr>
      <w:r w:rsidRPr="00F83B8D">
        <w:rPr>
          <w:bCs w:val="0"/>
          <w:szCs w:val="24"/>
        </w:rPr>
        <w:t xml:space="preserve">Science-based programs (also called research-validated programs) have demonstrated a positive impact on students’ health-related behaviors as </w:t>
      </w:r>
      <w:r w:rsidRPr="00F83B8D">
        <w:rPr>
          <w:bCs w:val="0"/>
          <w:szCs w:val="24"/>
        </w:rPr>
        <w:lastRenderedPageBreak/>
        <w:t>verified by empirical methods and rigorous data analyses that have been published in scholarly, peer-reviewed journals (or reviewed by a duly constituted panel).</w:t>
      </w:r>
    </w:p>
    <w:p w14:paraId="4D1C20A8" w14:textId="77777777" w:rsidR="00CD1134" w:rsidRPr="00F83B8D" w:rsidRDefault="00CD1134" w:rsidP="00991C5B">
      <w:pPr>
        <w:numPr>
          <w:ilvl w:val="0"/>
          <w:numId w:val="65"/>
        </w:numPr>
        <w:spacing w:after="240"/>
        <w:rPr>
          <w:bCs w:val="0"/>
          <w:szCs w:val="24"/>
        </w:rPr>
      </w:pPr>
      <w:r w:rsidRPr="00F83B8D">
        <w:rPr>
          <w:bCs w:val="0"/>
          <w:szCs w:val="24"/>
        </w:rPr>
        <w:t>Research-based supplementary activities are designed to augment science-based programs as a part of a comprehensive prevention program. Supplementary activities are based on strategies that have shown a positive impact on students’ health-related behaviors as verified in published research studies. Those activities can be used to enhance science-based programs and/or provide additional learning activities and services to selected student populations.</w:t>
      </w:r>
    </w:p>
    <w:p w14:paraId="4B1D9F87" w14:textId="77777777" w:rsidR="00CD1134" w:rsidRPr="00F83B8D" w:rsidRDefault="00CD1134" w:rsidP="00991C5B">
      <w:pPr>
        <w:numPr>
          <w:ilvl w:val="0"/>
          <w:numId w:val="65"/>
        </w:numPr>
        <w:spacing w:after="240"/>
        <w:rPr>
          <w:bCs w:val="0"/>
          <w:szCs w:val="24"/>
        </w:rPr>
      </w:pPr>
      <w:r w:rsidRPr="00F83B8D">
        <w:rPr>
          <w:bCs w:val="0"/>
          <w:szCs w:val="24"/>
        </w:rPr>
        <w:t>Innovative supplementary programs were developed through competitive grants from the CDE and selected for dissemination on the basis of strong evaluations of program’s effectiveness and availability of materials to support a program’s replication. Those programs may be used to enhance science-based programs and/or provide additional learning activities and services to selected student populations.</w:t>
      </w:r>
    </w:p>
    <w:p w14:paraId="4A7DD75B" w14:textId="77777777" w:rsidR="00CD1134" w:rsidRPr="00F83B8D" w:rsidRDefault="00CD1134" w:rsidP="00CD1134">
      <w:pPr>
        <w:tabs>
          <w:tab w:val="left" w:pos="5040"/>
        </w:tabs>
        <w:spacing w:after="240"/>
        <w:ind w:left="720"/>
        <w:rPr>
          <w:bCs w:val="0"/>
          <w:szCs w:val="24"/>
        </w:rPr>
      </w:pPr>
      <w:r w:rsidRPr="00F83B8D">
        <w:rPr>
          <w:bCs w:val="0"/>
          <w:szCs w:val="24"/>
        </w:rPr>
        <w:t>Resources for reviewing research on effective programs and instructional materials:</w:t>
      </w:r>
    </w:p>
    <w:p w14:paraId="0B7AD199" w14:textId="602568A6" w:rsidR="00CD1134" w:rsidRPr="00F83B8D" w:rsidRDefault="00B832C1" w:rsidP="00592F78">
      <w:pPr>
        <w:tabs>
          <w:tab w:val="left" w:pos="5040"/>
        </w:tabs>
        <w:ind w:left="720"/>
        <w:rPr>
          <w:bCs w:val="0"/>
          <w:szCs w:val="24"/>
        </w:rPr>
      </w:pPr>
      <w:r w:rsidRPr="00F83B8D">
        <w:rPr>
          <w:color w:val="000000"/>
          <w:shd w:val="clear" w:color="auto" w:fill="FFFFFF"/>
        </w:rPr>
        <w:t>The</w:t>
      </w:r>
      <w:r w:rsidR="00F261C8" w:rsidRPr="00F83B8D">
        <w:rPr>
          <w:color w:val="000000"/>
          <w:shd w:val="clear" w:color="auto" w:fill="FFFFFF"/>
        </w:rPr>
        <w:t xml:space="preserve"> California Healthy Kids Resource Center (CHKRC) located at</w:t>
      </w:r>
      <w:r w:rsidRPr="00F83B8D">
        <w:rPr>
          <w:color w:val="000000"/>
          <w:shd w:val="clear" w:color="auto" w:fill="FFFFFF"/>
        </w:rPr>
        <w:t> </w:t>
      </w:r>
      <w:hyperlink r:id="rId20" w:tooltip="California Healthy Kids Resource Center " w:history="1">
        <w:r w:rsidR="00F261C8" w:rsidRPr="00F83B8D">
          <w:rPr>
            <w:rStyle w:val="Hyperlink"/>
          </w:rPr>
          <w:t>https://www.californiahealthykids.net/home</w:t>
        </w:r>
      </w:hyperlink>
      <w:r w:rsidR="00F261C8" w:rsidRPr="00F83B8D">
        <w:t xml:space="preserve"> </w:t>
      </w:r>
      <w:r w:rsidRPr="00F83B8D">
        <w:rPr>
          <w:color w:val="000000"/>
          <w:shd w:val="clear" w:color="auto" w:fill="FFFFFF"/>
        </w:rPr>
        <w:t xml:space="preserve">provides assistance to school districts and county offices of education as a source of comprehensive information about health-related research and instructional materials to support effective programs for students. Materials from the center can be borrowed at no cost. The CHKRC identifies programs for dissemination and adoption by </w:t>
      </w:r>
      <w:r w:rsidR="00203B86" w:rsidRPr="00F83B8D">
        <w:rPr>
          <w:color w:val="000000"/>
          <w:shd w:val="clear" w:color="auto" w:fill="FFFFFF"/>
        </w:rPr>
        <w:t>LEA</w:t>
      </w:r>
      <w:r w:rsidR="005A7C48" w:rsidRPr="00F83B8D">
        <w:rPr>
          <w:color w:val="000000"/>
          <w:shd w:val="clear" w:color="auto" w:fill="FFFFFF"/>
        </w:rPr>
        <w:t>s</w:t>
      </w:r>
      <w:r w:rsidR="00203B86" w:rsidRPr="00F83B8D">
        <w:rPr>
          <w:color w:val="000000"/>
          <w:shd w:val="clear" w:color="auto" w:fill="FFFFFF"/>
        </w:rPr>
        <w:t xml:space="preserve"> </w:t>
      </w:r>
      <w:r w:rsidRPr="00F83B8D">
        <w:rPr>
          <w:color w:val="000000"/>
          <w:shd w:val="clear" w:color="auto" w:fill="FFFFFF"/>
        </w:rPr>
        <w:t>and maintains a database on programs available in California.</w:t>
      </w:r>
      <w:r w:rsidR="00592F78" w:rsidRPr="00F83B8D">
        <w:rPr>
          <w:color w:val="000000"/>
          <w:shd w:val="clear" w:color="auto" w:fill="FFFFFF"/>
        </w:rPr>
        <w:t xml:space="preserve"> </w:t>
      </w:r>
      <w:r w:rsidR="00CD1134" w:rsidRPr="00F83B8D">
        <w:rPr>
          <w:bCs w:val="0"/>
          <w:szCs w:val="24"/>
        </w:rPr>
        <w:t xml:space="preserve">Discuss the program strategies for each target group: (1) General Population; (2) Most </w:t>
      </w:r>
      <w:r w:rsidR="00413372" w:rsidRPr="00F83B8D">
        <w:rPr>
          <w:bCs w:val="0"/>
          <w:szCs w:val="24"/>
        </w:rPr>
        <w:t xml:space="preserve">At </w:t>
      </w:r>
      <w:r w:rsidR="00CD1134" w:rsidRPr="00F83B8D">
        <w:rPr>
          <w:bCs w:val="0"/>
          <w:szCs w:val="24"/>
        </w:rPr>
        <w:t>Risk; and (3) Current Users. Please include a description of:</w:t>
      </w:r>
    </w:p>
    <w:p w14:paraId="01C798A0" w14:textId="77777777" w:rsidR="00CD1134" w:rsidRPr="00F83B8D" w:rsidRDefault="00CD1134" w:rsidP="00203B86">
      <w:pPr>
        <w:numPr>
          <w:ilvl w:val="0"/>
          <w:numId w:val="69"/>
        </w:numPr>
        <w:tabs>
          <w:tab w:val="left" w:pos="5040"/>
        </w:tabs>
        <w:spacing w:before="240" w:after="240"/>
        <w:rPr>
          <w:bCs w:val="0"/>
          <w:szCs w:val="24"/>
        </w:rPr>
      </w:pPr>
      <w:r w:rsidRPr="00F83B8D">
        <w:rPr>
          <w:bCs w:val="0"/>
          <w:szCs w:val="24"/>
        </w:rPr>
        <w:t>Selected curriculum</w:t>
      </w:r>
    </w:p>
    <w:p w14:paraId="6136F4E2" w14:textId="77777777" w:rsidR="00CD1134" w:rsidRPr="00F83B8D" w:rsidRDefault="00CD1134" w:rsidP="00203B86">
      <w:pPr>
        <w:numPr>
          <w:ilvl w:val="1"/>
          <w:numId w:val="69"/>
        </w:numPr>
        <w:tabs>
          <w:tab w:val="left" w:pos="5040"/>
        </w:tabs>
        <w:spacing w:before="240" w:after="240"/>
        <w:rPr>
          <w:bCs w:val="0"/>
          <w:szCs w:val="24"/>
        </w:rPr>
      </w:pPr>
      <w:r w:rsidRPr="00F83B8D">
        <w:rPr>
          <w:bCs w:val="0"/>
          <w:szCs w:val="24"/>
        </w:rPr>
        <w:t>The title, year of publication, and publisher of the program or materials to be used.</w:t>
      </w:r>
    </w:p>
    <w:p w14:paraId="145D7C3D" w14:textId="77777777" w:rsidR="00CD1134" w:rsidRPr="00F83B8D" w:rsidRDefault="00CD1134" w:rsidP="00203B86">
      <w:pPr>
        <w:numPr>
          <w:ilvl w:val="0"/>
          <w:numId w:val="67"/>
        </w:numPr>
        <w:spacing w:before="240" w:after="240"/>
        <w:ind w:left="2160"/>
        <w:rPr>
          <w:bCs w:val="0"/>
          <w:szCs w:val="24"/>
        </w:rPr>
      </w:pPr>
      <w:r w:rsidRPr="00F83B8D">
        <w:rPr>
          <w:bCs w:val="0"/>
          <w:szCs w:val="24"/>
        </w:rPr>
        <w:t>How the proposed curriculum meets the identified need of the student population to be served.</w:t>
      </w:r>
    </w:p>
    <w:p w14:paraId="6173FD7C" w14:textId="77777777" w:rsidR="00CD1134" w:rsidRPr="00F83B8D" w:rsidRDefault="00CD1134" w:rsidP="00203B86">
      <w:pPr>
        <w:numPr>
          <w:ilvl w:val="0"/>
          <w:numId w:val="66"/>
        </w:numPr>
        <w:spacing w:before="240" w:after="240"/>
        <w:ind w:left="1080" w:firstLine="0"/>
        <w:rPr>
          <w:bCs w:val="0"/>
          <w:szCs w:val="24"/>
        </w:rPr>
      </w:pPr>
      <w:r w:rsidRPr="00F83B8D">
        <w:rPr>
          <w:bCs w:val="0"/>
          <w:szCs w:val="24"/>
        </w:rPr>
        <w:t>Delivery methods.</w:t>
      </w:r>
    </w:p>
    <w:p w14:paraId="39D06945" w14:textId="77777777" w:rsidR="00CD1134" w:rsidRPr="00F83B8D" w:rsidRDefault="00CD1134" w:rsidP="00203B86">
      <w:pPr>
        <w:numPr>
          <w:ilvl w:val="0"/>
          <w:numId w:val="66"/>
        </w:numPr>
        <w:spacing w:before="240" w:after="240"/>
        <w:ind w:left="1080" w:firstLine="0"/>
        <w:rPr>
          <w:bCs w:val="0"/>
          <w:szCs w:val="24"/>
        </w:rPr>
      </w:pPr>
      <w:r w:rsidRPr="00F83B8D">
        <w:rPr>
          <w:bCs w:val="0"/>
          <w:szCs w:val="24"/>
        </w:rPr>
        <w:t>Means of identifying students to be served.</w:t>
      </w:r>
    </w:p>
    <w:p w14:paraId="0B635323" w14:textId="77777777" w:rsidR="00CD1134" w:rsidRPr="00F83B8D" w:rsidRDefault="00CD1134" w:rsidP="00203B86">
      <w:pPr>
        <w:numPr>
          <w:ilvl w:val="0"/>
          <w:numId w:val="66"/>
        </w:numPr>
        <w:spacing w:before="240" w:after="240"/>
        <w:ind w:left="1080" w:firstLine="0"/>
        <w:rPr>
          <w:bCs w:val="0"/>
          <w:szCs w:val="24"/>
        </w:rPr>
      </w:pPr>
      <w:r w:rsidRPr="00F83B8D">
        <w:rPr>
          <w:bCs w:val="0"/>
          <w:szCs w:val="24"/>
        </w:rPr>
        <w:t>Number of students to be served.</w:t>
      </w:r>
    </w:p>
    <w:p w14:paraId="7C791BBC" w14:textId="77777777" w:rsidR="00CD1134" w:rsidRPr="00F83B8D" w:rsidRDefault="00CD1134" w:rsidP="00203B86">
      <w:pPr>
        <w:pStyle w:val="Heading3"/>
        <w:numPr>
          <w:ilvl w:val="0"/>
          <w:numId w:val="31"/>
        </w:numPr>
        <w:spacing w:before="360" w:after="240"/>
      </w:pPr>
      <w:bookmarkStart w:id="64" w:name="_Toc158361607"/>
      <w:r w:rsidRPr="00F83B8D">
        <w:lastRenderedPageBreak/>
        <w:t>Projected Key Activities and Timelines</w:t>
      </w:r>
      <w:bookmarkEnd w:id="64"/>
    </w:p>
    <w:p w14:paraId="4D29FA13" w14:textId="77777777" w:rsidR="00CD1134" w:rsidRPr="00F83B8D" w:rsidRDefault="00CD1134" w:rsidP="00203B86">
      <w:pPr>
        <w:pStyle w:val="ListParagraph"/>
        <w:autoSpaceDE w:val="0"/>
        <w:autoSpaceDN w:val="0"/>
        <w:adjustRightInd w:val="0"/>
        <w:spacing w:before="240" w:after="240"/>
        <w:rPr>
          <w:bCs w:val="0"/>
          <w:szCs w:val="24"/>
        </w:rPr>
      </w:pPr>
      <w:r w:rsidRPr="00F83B8D">
        <w:rPr>
          <w:bCs w:val="0"/>
          <w:szCs w:val="24"/>
        </w:rPr>
        <w:t>Provide the projected key activities and timelines for the entire grant period to include each target group: (1) General Population; (2) Most At Risk: and (3) Current Users.</w:t>
      </w:r>
    </w:p>
    <w:p w14:paraId="5E6B91A1" w14:textId="77777777" w:rsidR="00CD1134" w:rsidRPr="00F83B8D" w:rsidRDefault="00304BBD" w:rsidP="00203B86">
      <w:pPr>
        <w:pStyle w:val="Heading3"/>
        <w:numPr>
          <w:ilvl w:val="0"/>
          <w:numId w:val="81"/>
        </w:numPr>
        <w:spacing w:before="360" w:after="240"/>
      </w:pPr>
      <w:bookmarkStart w:id="65" w:name="_Toc158361608"/>
      <w:r w:rsidRPr="00F83B8D">
        <w:t>Personnel</w:t>
      </w:r>
      <w:bookmarkEnd w:id="65"/>
    </w:p>
    <w:p w14:paraId="5FBEA873" w14:textId="77777777" w:rsidR="00304BBD" w:rsidRPr="00F83B8D" w:rsidRDefault="00304BBD" w:rsidP="00203B86">
      <w:pPr>
        <w:tabs>
          <w:tab w:val="left" w:pos="5040"/>
        </w:tabs>
        <w:spacing w:before="240" w:after="240"/>
        <w:ind w:left="720"/>
        <w:rPr>
          <w:bCs w:val="0"/>
          <w:szCs w:val="24"/>
        </w:rPr>
      </w:pPr>
      <w:r w:rsidRPr="00F83B8D">
        <w:rPr>
          <w:bCs w:val="0"/>
          <w:szCs w:val="24"/>
        </w:rPr>
        <w:t>Provide the names of all key staff personnel involved in implementing the program and specific program responsibilities.</w:t>
      </w:r>
    </w:p>
    <w:p w14:paraId="30513140" w14:textId="77777777" w:rsidR="00304BBD" w:rsidRPr="00F83B8D" w:rsidRDefault="00304BBD" w:rsidP="00991C5B">
      <w:pPr>
        <w:pStyle w:val="ListParagraph"/>
        <w:numPr>
          <w:ilvl w:val="0"/>
          <w:numId w:val="70"/>
        </w:numPr>
        <w:tabs>
          <w:tab w:val="left" w:pos="5040"/>
        </w:tabs>
        <w:spacing w:after="240"/>
        <w:rPr>
          <w:iCs/>
          <w:szCs w:val="24"/>
        </w:rPr>
      </w:pPr>
      <w:r w:rsidRPr="00F83B8D">
        <w:rPr>
          <w:bCs w:val="0"/>
          <w:szCs w:val="24"/>
        </w:rPr>
        <w:t>Identify key personnel involved in implementing the program.</w:t>
      </w:r>
    </w:p>
    <w:p w14:paraId="35DB2630" w14:textId="77777777" w:rsidR="00304BBD" w:rsidRPr="00F83B8D" w:rsidRDefault="00304BBD" w:rsidP="00991C5B">
      <w:pPr>
        <w:pStyle w:val="ListParagraph"/>
        <w:numPr>
          <w:ilvl w:val="0"/>
          <w:numId w:val="70"/>
        </w:numPr>
        <w:tabs>
          <w:tab w:val="left" w:pos="5040"/>
        </w:tabs>
        <w:spacing w:after="240"/>
        <w:rPr>
          <w:iCs/>
          <w:szCs w:val="24"/>
        </w:rPr>
      </w:pPr>
      <w:r w:rsidRPr="00F83B8D">
        <w:rPr>
          <w:iCs/>
          <w:szCs w:val="24"/>
        </w:rPr>
        <w:t>Include the job description and resume for each position.</w:t>
      </w:r>
    </w:p>
    <w:p w14:paraId="3354D349" w14:textId="77777777" w:rsidR="00304BBD" w:rsidRPr="00F83B8D" w:rsidRDefault="00304BBD" w:rsidP="00991C5B">
      <w:pPr>
        <w:pStyle w:val="ListParagraph"/>
        <w:numPr>
          <w:ilvl w:val="0"/>
          <w:numId w:val="70"/>
        </w:numPr>
        <w:tabs>
          <w:tab w:val="left" w:pos="5040"/>
        </w:tabs>
        <w:spacing w:after="240"/>
        <w:rPr>
          <w:bCs w:val="0"/>
          <w:szCs w:val="24"/>
        </w:rPr>
      </w:pPr>
      <w:r w:rsidRPr="00F83B8D">
        <w:rPr>
          <w:bCs w:val="0"/>
          <w:szCs w:val="24"/>
        </w:rPr>
        <w:t>Describe program responsibilities for key personnel.</w:t>
      </w:r>
    </w:p>
    <w:p w14:paraId="583A54CF" w14:textId="77777777" w:rsidR="00304BBD" w:rsidRPr="00F83B8D" w:rsidRDefault="00304BBD" w:rsidP="00203B86">
      <w:pPr>
        <w:pStyle w:val="ListParagraph"/>
        <w:numPr>
          <w:ilvl w:val="0"/>
          <w:numId w:val="70"/>
        </w:numPr>
        <w:tabs>
          <w:tab w:val="left" w:pos="5040"/>
        </w:tabs>
        <w:spacing w:after="240"/>
        <w:rPr>
          <w:bCs w:val="0"/>
          <w:szCs w:val="24"/>
        </w:rPr>
      </w:pPr>
      <w:r w:rsidRPr="00F83B8D">
        <w:rPr>
          <w:bCs w:val="0"/>
          <w:szCs w:val="24"/>
        </w:rPr>
        <w:t>Indicate the amount of time each key staff person will spend implementing the program in full-time equivalent (FTE) or number of hours to be worked.</w:t>
      </w:r>
    </w:p>
    <w:p w14:paraId="50D4795E" w14:textId="77777777" w:rsidR="003519A9" w:rsidRPr="00F83B8D" w:rsidRDefault="003519A9" w:rsidP="00203B86">
      <w:pPr>
        <w:pStyle w:val="Heading3"/>
        <w:numPr>
          <w:ilvl w:val="0"/>
          <w:numId w:val="81"/>
        </w:numPr>
        <w:tabs>
          <w:tab w:val="clear" w:pos="960"/>
          <w:tab w:val="clear" w:pos="1440"/>
          <w:tab w:val="clear" w:pos="1800"/>
          <w:tab w:val="clear" w:pos="2160"/>
        </w:tabs>
        <w:spacing w:before="360" w:after="240"/>
      </w:pPr>
      <w:bookmarkStart w:id="66" w:name="_Toc3983577"/>
      <w:bookmarkStart w:id="67" w:name="_Toc158361609"/>
      <w:r w:rsidRPr="00F83B8D">
        <w:t>Budget</w:t>
      </w:r>
      <w:r w:rsidR="000A7BBA" w:rsidRPr="00F83B8D">
        <w:t xml:space="preserve"> Pages</w:t>
      </w:r>
      <w:bookmarkEnd w:id="66"/>
      <w:bookmarkEnd w:id="67"/>
    </w:p>
    <w:p w14:paraId="0240E1C5" w14:textId="782C7841" w:rsidR="003519A9" w:rsidRPr="00F83B8D" w:rsidRDefault="003519A9" w:rsidP="003519A9">
      <w:pPr>
        <w:spacing w:after="240"/>
        <w:ind w:left="720"/>
        <w:rPr>
          <w:b/>
        </w:rPr>
      </w:pPr>
      <w:r w:rsidRPr="00F83B8D">
        <w:rPr>
          <w:b/>
        </w:rPr>
        <w:t>American Indian Education Center</w:t>
      </w:r>
      <w:r w:rsidR="00304BBD" w:rsidRPr="00F83B8D">
        <w:rPr>
          <w:b/>
        </w:rPr>
        <w:t xml:space="preserve">: Tobacco-Use Prevention Education </w:t>
      </w:r>
      <w:r w:rsidRPr="00F83B8D">
        <w:rPr>
          <w:b/>
        </w:rPr>
        <w:t>Program Cost Allocation</w:t>
      </w:r>
    </w:p>
    <w:p w14:paraId="0E21F525" w14:textId="2AB428D3" w:rsidR="00DC5077" w:rsidRPr="00F83B8D" w:rsidRDefault="003519A9" w:rsidP="00D550A2">
      <w:pPr>
        <w:spacing w:after="240"/>
        <w:ind w:left="720"/>
        <w:rPr>
          <w:rFonts w:eastAsia="Calibri"/>
          <w:bCs w:val="0"/>
          <w:szCs w:val="24"/>
        </w:rPr>
      </w:pPr>
      <w:r w:rsidRPr="00F83B8D">
        <w:t>All AIEC</w:t>
      </w:r>
      <w:r w:rsidR="00304BBD" w:rsidRPr="00F83B8D">
        <w:t>–TUPE</w:t>
      </w:r>
      <w:r w:rsidRPr="00F83B8D">
        <w:t xml:space="preserve"> </w:t>
      </w:r>
      <w:r w:rsidR="00DC5077" w:rsidRPr="00F83B8D">
        <w:t xml:space="preserve">Program </w:t>
      </w:r>
      <w:r w:rsidRPr="00F83B8D">
        <w:t xml:space="preserve">costs </w:t>
      </w:r>
      <w:r w:rsidRPr="00F83B8D">
        <w:rPr>
          <w:rFonts w:eastAsia="Calibri"/>
          <w:bCs w:val="0"/>
          <w:szCs w:val="24"/>
        </w:rPr>
        <w:t>must be directly correlated with the educationally relate</w:t>
      </w:r>
      <w:r w:rsidR="00B92109" w:rsidRPr="00F83B8D">
        <w:rPr>
          <w:rFonts w:eastAsia="Calibri"/>
          <w:bCs w:val="0"/>
          <w:szCs w:val="24"/>
        </w:rPr>
        <w:t xml:space="preserve">d activities provided to </w:t>
      </w:r>
      <w:r w:rsidRPr="00F83B8D">
        <w:rPr>
          <w:rFonts w:eastAsia="Calibri"/>
          <w:bCs w:val="0"/>
          <w:szCs w:val="24"/>
        </w:rPr>
        <w:t xml:space="preserve">American </w:t>
      </w:r>
      <w:r w:rsidR="00B92109" w:rsidRPr="00F83B8D">
        <w:rPr>
          <w:rFonts w:eastAsia="Calibri"/>
          <w:bCs w:val="0"/>
          <w:szCs w:val="24"/>
        </w:rPr>
        <w:t xml:space="preserve">Indian </w:t>
      </w:r>
      <w:r w:rsidRPr="00F83B8D">
        <w:rPr>
          <w:rFonts w:eastAsia="Calibri"/>
          <w:bCs w:val="0"/>
          <w:szCs w:val="24"/>
        </w:rPr>
        <w:t>students. The AIEC</w:t>
      </w:r>
      <w:r w:rsidR="00304BBD" w:rsidRPr="00F83B8D">
        <w:rPr>
          <w:rFonts w:eastAsia="Calibri"/>
          <w:bCs w:val="0"/>
          <w:szCs w:val="24"/>
        </w:rPr>
        <w:t>–TUPE Program</w:t>
      </w:r>
      <w:r w:rsidRPr="00F83B8D">
        <w:rPr>
          <w:rFonts w:eastAsia="Calibri"/>
          <w:bCs w:val="0"/>
          <w:szCs w:val="24"/>
        </w:rPr>
        <w:t xml:space="preserve"> shall ensure that each approved activity and budget item exists for the educat</w:t>
      </w:r>
      <w:r w:rsidR="00B92109" w:rsidRPr="00F83B8D">
        <w:rPr>
          <w:rFonts w:eastAsia="Calibri"/>
          <w:bCs w:val="0"/>
          <w:szCs w:val="24"/>
        </w:rPr>
        <w:t xml:space="preserve">ional benefit of eligible American Indian </w:t>
      </w:r>
      <w:r w:rsidRPr="00F83B8D">
        <w:rPr>
          <w:rFonts w:eastAsia="Calibri"/>
          <w:bCs w:val="0"/>
          <w:szCs w:val="24"/>
        </w:rPr>
        <w:t xml:space="preserve">students based on identified needs. </w:t>
      </w:r>
      <w:r w:rsidRPr="00F83B8D">
        <w:rPr>
          <w:rFonts w:eastAsia="Calibri"/>
          <w:bCs w:val="0"/>
          <w:i/>
          <w:iCs/>
          <w:szCs w:val="24"/>
        </w:rPr>
        <w:t xml:space="preserve">EC </w:t>
      </w:r>
      <w:r w:rsidRPr="00F83B8D">
        <w:rPr>
          <w:rFonts w:eastAsia="Calibri"/>
          <w:bCs w:val="0"/>
          <w:szCs w:val="24"/>
        </w:rPr>
        <w:t>Section 63001 requires public educational agencies to spend no less than 85</w:t>
      </w:r>
      <w:r w:rsidR="002D678A" w:rsidRPr="00F83B8D">
        <w:rPr>
          <w:rFonts w:eastAsia="Calibri"/>
          <w:bCs w:val="0"/>
          <w:szCs w:val="24"/>
        </w:rPr>
        <w:t xml:space="preserve"> percent of funds received for D</w:t>
      </w:r>
      <w:r w:rsidRPr="00F83B8D">
        <w:rPr>
          <w:rFonts w:eastAsia="Calibri"/>
          <w:bCs w:val="0"/>
          <w:szCs w:val="24"/>
        </w:rPr>
        <w:t xml:space="preserve">irect </w:t>
      </w:r>
      <w:r w:rsidR="002D678A" w:rsidRPr="00F83B8D">
        <w:rPr>
          <w:rFonts w:eastAsia="Calibri"/>
          <w:bCs w:val="0"/>
          <w:szCs w:val="24"/>
        </w:rPr>
        <w:t>S</w:t>
      </w:r>
      <w:r w:rsidRPr="00F83B8D">
        <w:rPr>
          <w:rFonts w:eastAsia="Calibri"/>
          <w:bCs w:val="0"/>
          <w:szCs w:val="24"/>
        </w:rPr>
        <w:t>ervices to stude</w:t>
      </w:r>
      <w:r w:rsidR="002D678A" w:rsidRPr="00F83B8D">
        <w:rPr>
          <w:rFonts w:eastAsia="Calibri"/>
          <w:bCs w:val="0"/>
          <w:szCs w:val="24"/>
        </w:rPr>
        <w:t>nts. The maximu</w:t>
      </w:r>
      <w:r w:rsidR="00172010" w:rsidRPr="00F83B8D">
        <w:rPr>
          <w:rFonts w:eastAsia="Calibri"/>
          <w:bCs w:val="0"/>
          <w:szCs w:val="24"/>
        </w:rPr>
        <w:t xml:space="preserve">m allowable for </w:t>
      </w:r>
      <w:r w:rsidR="00F722CF" w:rsidRPr="00F83B8D">
        <w:rPr>
          <w:rFonts w:eastAsia="Calibri"/>
          <w:bCs w:val="0"/>
          <w:szCs w:val="24"/>
        </w:rPr>
        <w:t>administrative</w:t>
      </w:r>
      <w:r w:rsidR="00172010" w:rsidRPr="00F83B8D">
        <w:rPr>
          <w:rFonts w:eastAsia="Calibri"/>
          <w:bCs w:val="0"/>
          <w:szCs w:val="24"/>
        </w:rPr>
        <w:t xml:space="preserve"> costs, including I</w:t>
      </w:r>
      <w:r w:rsidRPr="00F83B8D">
        <w:rPr>
          <w:rFonts w:eastAsia="Calibri"/>
          <w:bCs w:val="0"/>
          <w:szCs w:val="24"/>
        </w:rPr>
        <w:t>ndirect c</w:t>
      </w:r>
      <w:r w:rsidR="00DC5077" w:rsidRPr="00F83B8D">
        <w:rPr>
          <w:rFonts w:eastAsia="Calibri"/>
          <w:bCs w:val="0"/>
          <w:szCs w:val="24"/>
        </w:rPr>
        <w:t xml:space="preserve">osts, is 15 percent. It is </w:t>
      </w:r>
      <w:r w:rsidR="005A7C48" w:rsidRPr="00F83B8D">
        <w:rPr>
          <w:rFonts w:eastAsia="Calibri"/>
          <w:bCs w:val="0"/>
          <w:szCs w:val="24"/>
        </w:rPr>
        <w:t xml:space="preserve">the </w:t>
      </w:r>
      <w:r w:rsidR="00DC5077" w:rsidRPr="00F83B8D">
        <w:rPr>
          <w:rFonts w:eastAsia="Calibri"/>
          <w:bCs w:val="0"/>
          <w:szCs w:val="24"/>
        </w:rPr>
        <w:t>CDE</w:t>
      </w:r>
      <w:r w:rsidR="00172010" w:rsidRPr="00F83B8D">
        <w:rPr>
          <w:rFonts w:eastAsia="Calibri"/>
          <w:bCs w:val="0"/>
          <w:szCs w:val="24"/>
        </w:rPr>
        <w:t xml:space="preserve"> policy that the AIEC</w:t>
      </w:r>
      <w:r w:rsidR="00304BBD" w:rsidRPr="00F83B8D">
        <w:rPr>
          <w:rFonts w:eastAsia="Calibri"/>
          <w:bCs w:val="0"/>
          <w:szCs w:val="24"/>
        </w:rPr>
        <w:t>s</w:t>
      </w:r>
      <w:r w:rsidRPr="00F83B8D">
        <w:rPr>
          <w:rFonts w:eastAsia="Calibri"/>
          <w:bCs w:val="0"/>
          <w:szCs w:val="24"/>
        </w:rPr>
        <w:t xml:space="preserve"> will approximate this goal and thereby direct the </w:t>
      </w:r>
      <w:r w:rsidR="002D678A" w:rsidRPr="00F83B8D">
        <w:rPr>
          <w:rFonts w:eastAsia="Calibri"/>
          <w:bCs w:val="0"/>
          <w:szCs w:val="24"/>
        </w:rPr>
        <w:t>preponderance of funds towards Direct S</w:t>
      </w:r>
      <w:r w:rsidRPr="00F83B8D">
        <w:rPr>
          <w:rFonts w:eastAsia="Calibri"/>
          <w:bCs w:val="0"/>
          <w:szCs w:val="24"/>
        </w:rPr>
        <w:t xml:space="preserve">ervices to pupils. </w:t>
      </w:r>
    </w:p>
    <w:p w14:paraId="47C65739" w14:textId="6E404319" w:rsidR="003519A9" w:rsidRPr="00F83B8D" w:rsidRDefault="003519A9" w:rsidP="00D550A2">
      <w:pPr>
        <w:spacing w:after="240"/>
        <w:ind w:left="720"/>
        <w:rPr>
          <w:rFonts w:eastAsia="Calibri"/>
          <w:bCs w:val="0"/>
          <w:szCs w:val="24"/>
        </w:rPr>
      </w:pPr>
      <w:r w:rsidRPr="00F83B8D">
        <w:rPr>
          <w:rFonts w:eastAsia="Calibri"/>
          <w:bCs w:val="0"/>
          <w:szCs w:val="24"/>
        </w:rPr>
        <w:t>The AIEC</w:t>
      </w:r>
      <w:r w:rsidR="00304BBD" w:rsidRPr="00F83B8D">
        <w:rPr>
          <w:rFonts w:eastAsia="Calibri"/>
          <w:bCs w:val="0"/>
          <w:szCs w:val="24"/>
        </w:rPr>
        <w:t>–TUPE</w:t>
      </w:r>
      <w:r w:rsidRPr="00F83B8D">
        <w:rPr>
          <w:rFonts w:eastAsia="Calibri"/>
          <w:bCs w:val="0"/>
          <w:szCs w:val="24"/>
        </w:rPr>
        <w:t xml:space="preserve"> Pr</w:t>
      </w:r>
      <w:r w:rsidR="00304BBD" w:rsidRPr="00F83B8D">
        <w:rPr>
          <w:rFonts w:eastAsia="Calibri"/>
          <w:bCs w:val="0"/>
          <w:szCs w:val="24"/>
        </w:rPr>
        <w:t>ogram will allow a maximum of 25</w:t>
      </w:r>
      <w:r w:rsidRPr="00F83B8D">
        <w:rPr>
          <w:rFonts w:eastAsia="Calibri"/>
          <w:bCs w:val="0"/>
          <w:szCs w:val="24"/>
        </w:rPr>
        <w:t xml:space="preserve"> percent of </w:t>
      </w:r>
      <w:r w:rsidR="002D678A" w:rsidRPr="00F83B8D">
        <w:rPr>
          <w:rFonts w:eastAsia="Calibri"/>
          <w:bCs w:val="0"/>
          <w:szCs w:val="24"/>
        </w:rPr>
        <w:t>AIEC</w:t>
      </w:r>
      <w:r w:rsidR="00304BBD" w:rsidRPr="00F83B8D">
        <w:rPr>
          <w:rFonts w:eastAsia="Calibri"/>
          <w:bCs w:val="0"/>
          <w:szCs w:val="24"/>
        </w:rPr>
        <w:t xml:space="preserve">–TUPE </w:t>
      </w:r>
      <w:r w:rsidR="00DC5077" w:rsidRPr="00F83B8D">
        <w:rPr>
          <w:rFonts w:eastAsia="Calibri"/>
          <w:bCs w:val="0"/>
          <w:szCs w:val="24"/>
        </w:rPr>
        <w:t>Program</w:t>
      </w:r>
      <w:r w:rsidR="002D678A" w:rsidRPr="00F83B8D">
        <w:rPr>
          <w:rFonts w:eastAsia="Calibri"/>
          <w:bCs w:val="0"/>
          <w:szCs w:val="24"/>
        </w:rPr>
        <w:t xml:space="preserve"> funds to be allocated for </w:t>
      </w:r>
      <w:r w:rsidR="00F722CF" w:rsidRPr="00F83B8D">
        <w:rPr>
          <w:rFonts w:eastAsia="Calibri"/>
          <w:bCs w:val="0"/>
          <w:szCs w:val="24"/>
        </w:rPr>
        <w:t>administrative</w:t>
      </w:r>
      <w:r w:rsidRPr="00F83B8D">
        <w:rPr>
          <w:rFonts w:eastAsia="Calibri"/>
          <w:bCs w:val="0"/>
          <w:szCs w:val="24"/>
        </w:rPr>
        <w:t xml:space="preserve"> </w:t>
      </w:r>
      <w:r w:rsidR="00172010" w:rsidRPr="00F83B8D">
        <w:rPr>
          <w:rFonts w:eastAsia="Calibri"/>
          <w:bCs w:val="0"/>
          <w:szCs w:val="24"/>
        </w:rPr>
        <w:t>c</w:t>
      </w:r>
      <w:r w:rsidR="00DC5077" w:rsidRPr="00F83B8D">
        <w:rPr>
          <w:rFonts w:eastAsia="Calibri"/>
          <w:bCs w:val="0"/>
          <w:szCs w:val="24"/>
        </w:rPr>
        <w:t>osts (</w:t>
      </w:r>
      <w:r w:rsidRPr="00F83B8D">
        <w:rPr>
          <w:rFonts w:eastAsia="Calibri"/>
          <w:bCs w:val="0"/>
          <w:szCs w:val="24"/>
        </w:rPr>
        <w:t xml:space="preserve">including </w:t>
      </w:r>
      <w:r w:rsidR="00DC5077" w:rsidRPr="00F83B8D">
        <w:rPr>
          <w:rFonts w:eastAsia="Calibri"/>
          <w:bCs w:val="0"/>
          <w:szCs w:val="24"/>
        </w:rPr>
        <w:t>the I</w:t>
      </w:r>
      <w:r w:rsidRPr="00F83B8D">
        <w:rPr>
          <w:rFonts w:eastAsia="Calibri"/>
          <w:bCs w:val="0"/>
          <w:szCs w:val="24"/>
        </w:rPr>
        <w:t xml:space="preserve">ndirect </w:t>
      </w:r>
      <w:r w:rsidR="00DC5077" w:rsidRPr="00F83B8D">
        <w:rPr>
          <w:rFonts w:eastAsia="Calibri"/>
          <w:bCs w:val="0"/>
          <w:szCs w:val="24"/>
        </w:rPr>
        <w:t>cost</w:t>
      </w:r>
      <w:r w:rsidR="003F7E0E" w:rsidRPr="00F83B8D">
        <w:rPr>
          <w:rFonts w:eastAsia="Calibri"/>
          <w:bCs w:val="0"/>
          <w:szCs w:val="24"/>
        </w:rPr>
        <w:t>s</w:t>
      </w:r>
      <w:r w:rsidR="00DC5077" w:rsidRPr="00F83B8D">
        <w:rPr>
          <w:rFonts w:eastAsia="Calibri"/>
          <w:bCs w:val="0"/>
          <w:szCs w:val="24"/>
        </w:rPr>
        <w:t xml:space="preserve"> of 7 percent), </w:t>
      </w:r>
      <w:r w:rsidR="00304BBD" w:rsidRPr="00F83B8D">
        <w:rPr>
          <w:rFonts w:eastAsia="Calibri"/>
          <w:bCs w:val="0"/>
          <w:szCs w:val="24"/>
        </w:rPr>
        <w:t>and 75</w:t>
      </w:r>
      <w:r w:rsidRPr="00F83B8D">
        <w:rPr>
          <w:rFonts w:eastAsia="Calibri"/>
          <w:bCs w:val="0"/>
          <w:szCs w:val="24"/>
        </w:rPr>
        <w:t xml:space="preserve"> percent of AIEC</w:t>
      </w:r>
      <w:r w:rsidR="00304BBD" w:rsidRPr="00F83B8D">
        <w:rPr>
          <w:rFonts w:eastAsia="Calibri"/>
          <w:bCs w:val="0"/>
          <w:szCs w:val="24"/>
        </w:rPr>
        <w:t>–TUPE</w:t>
      </w:r>
      <w:r w:rsidRPr="00F83B8D">
        <w:rPr>
          <w:rFonts w:eastAsia="Calibri"/>
          <w:bCs w:val="0"/>
          <w:szCs w:val="24"/>
        </w:rPr>
        <w:t xml:space="preserve"> </w:t>
      </w:r>
      <w:r w:rsidR="00DC5077" w:rsidRPr="00F83B8D">
        <w:rPr>
          <w:rFonts w:eastAsia="Calibri"/>
          <w:bCs w:val="0"/>
          <w:szCs w:val="24"/>
        </w:rPr>
        <w:t xml:space="preserve">Program </w:t>
      </w:r>
      <w:r w:rsidRPr="00F83B8D">
        <w:rPr>
          <w:rFonts w:eastAsia="Calibri"/>
          <w:bCs w:val="0"/>
          <w:szCs w:val="24"/>
        </w:rPr>
        <w:t>funds to be allocated to Direct Services.</w:t>
      </w:r>
    </w:p>
    <w:p w14:paraId="1F0CFAD4" w14:textId="77777777" w:rsidR="003519A9" w:rsidRPr="00F83B8D" w:rsidRDefault="003519A9" w:rsidP="00203B86">
      <w:pPr>
        <w:spacing w:before="360" w:after="240"/>
        <w:ind w:left="720"/>
        <w:rPr>
          <w:b/>
        </w:rPr>
      </w:pPr>
      <w:r w:rsidRPr="00F83B8D">
        <w:rPr>
          <w:b/>
        </w:rPr>
        <w:t>Direct Costs</w:t>
      </w:r>
    </w:p>
    <w:p w14:paraId="4FFF57AE" w14:textId="77777777" w:rsidR="003519A9" w:rsidRPr="00F83B8D" w:rsidRDefault="003519A9" w:rsidP="00D550A2">
      <w:pPr>
        <w:spacing w:after="240"/>
        <w:ind w:left="720"/>
      </w:pPr>
      <w:r w:rsidRPr="00F83B8D">
        <w:t>Direct costs can be identified with a particular instructional program or support service necessary to maintain the program.</w:t>
      </w:r>
    </w:p>
    <w:p w14:paraId="11D37EB0" w14:textId="77777777" w:rsidR="003519A9" w:rsidRPr="00F83B8D" w:rsidRDefault="003519A9" w:rsidP="00D550A2">
      <w:pPr>
        <w:spacing w:after="240"/>
        <w:ind w:left="720"/>
      </w:pPr>
      <w:r w:rsidRPr="00F83B8D">
        <w:lastRenderedPageBreak/>
        <w:t>Direct costs provide measurable, direct benefits to particular programs, including costs for instructional programs, and support costs that relate to the peripheral services necessary to maintain the instr</w:t>
      </w:r>
      <w:r w:rsidR="00DC5077" w:rsidRPr="00F83B8D">
        <w:t>uctional programs. Examples of D</w:t>
      </w:r>
      <w:r w:rsidRPr="00F83B8D">
        <w:t>irect costs include salaries and benefits of instructi</w:t>
      </w:r>
      <w:r w:rsidR="00DC5077" w:rsidRPr="00F83B8D">
        <w:t>onal aides (to be considered a D</w:t>
      </w:r>
      <w:r w:rsidRPr="00F83B8D">
        <w:t>irect cost</w:t>
      </w:r>
      <w:r w:rsidR="00DC5077" w:rsidRPr="00F83B8D">
        <w:t>,</w:t>
      </w:r>
      <w:r w:rsidRPr="00F83B8D">
        <w:t xml:space="preserve"> instructional staff must be scheduled to work when students are present. A prep time of one hour per day will be allowed), payments for textbooks, instructional supply purchases, and pupil service costs (e.g., counseling, health services, and pupil transportation).</w:t>
      </w:r>
    </w:p>
    <w:p w14:paraId="79AFDC8F" w14:textId="77777777" w:rsidR="003519A9" w:rsidRPr="00F83B8D" w:rsidRDefault="003519A9" w:rsidP="00203B86">
      <w:pPr>
        <w:spacing w:before="360" w:after="240"/>
        <w:ind w:left="720"/>
        <w:rPr>
          <w:b/>
        </w:rPr>
      </w:pPr>
      <w:r w:rsidRPr="00F83B8D">
        <w:rPr>
          <w:b/>
        </w:rPr>
        <w:t>Indirect Cost</w:t>
      </w:r>
    </w:p>
    <w:p w14:paraId="6AAD43BF" w14:textId="725489BB" w:rsidR="003519A9" w:rsidRPr="00F83B8D" w:rsidRDefault="003519A9" w:rsidP="00DA7912">
      <w:pPr>
        <w:spacing w:after="240"/>
        <w:ind w:left="720"/>
      </w:pPr>
      <w:r w:rsidRPr="00F83B8D">
        <w:t>Indirect costs are those costs of general management that are agency wide. General management costs consist of expenditures for administrative activities necessary for the general operation of the AIEC</w:t>
      </w:r>
      <w:r w:rsidR="00304BBD" w:rsidRPr="00F83B8D">
        <w:t>–TUPE</w:t>
      </w:r>
      <w:r w:rsidR="003F7E0E" w:rsidRPr="00F83B8D">
        <w:t xml:space="preserve"> Program</w:t>
      </w:r>
      <w:r w:rsidRPr="00F83B8D">
        <w:t xml:space="preserve"> (e.g., accounting, budgeting, payroll preparation, personnel management, purchasing, </w:t>
      </w:r>
      <w:r w:rsidR="00361B06" w:rsidRPr="00F83B8D">
        <w:t xml:space="preserve">and </w:t>
      </w:r>
      <w:r w:rsidRPr="00F83B8D">
        <w:t xml:space="preserve">centralized data processing). </w:t>
      </w:r>
      <w:r w:rsidR="00F722CF" w:rsidRPr="00F83B8D">
        <w:t>Agency-wide</w:t>
      </w:r>
      <w:r w:rsidRPr="00F83B8D">
        <w:t xml:space="preserve"> general management costs </w:t>
      </w:r>
      <w:r w:rsidR="00F722CF" w:rsidRPr="00F83B8D">
        <w:t>are not</w:t>
      </w:r>
      <w:r w:rsidRPr="00F83B8D">
        <w:t xml:space="preserve"> readily identifiable with a p</w:t>
      </w:r>
      <w:r w:rsidR="00361B06" w:rsidRPr="00F83B8D">
        <w:t>articular program. The maximum I</w:t>
      </w:r>
      <w:r w:rsidRPr="00F83B8D">
        <w:t>ndirect cost for the AIEC</w:t>
      </w:r>
      <w:r w:rsidR="00304BBD" w:rsidRPr="00F83B8D">
        <w:t>–TUPE</w:t>
      </w:r>
      <w:r w:rsidRPr="00F83B8D">
        <w:t xml:space="preserve"> Program is 7 percent.</w:t>
      </w:r>
      <w:r w:rsidR="00820807" w:rsidRPr="00F83B8D">
        <w:rPr>
          <w:rFonts w:eastAsia="Calibri"/>
          <w:bCs w:val="0"/>
          <w:szCs w:val="24"/>
        </w:rPr>
        <w:t xml:space="preserve"> Indirect costs should be based on Direct Costs then added to </w:t>
      </w:r>
      <w:r w:rsidR="00F722CF" w:rsidRPr="00F83B8D">
        <w:rPr>
          <w:rFonts w:eastAsia="Calibri"/>
          <w:bCs w:val="0"/>
          <w:szCs w:val="24"/>
        </w:rPr>
        <w:t>administrative</w:t>
      </w:r>
      <w:r w:rsidR="00820807" w:rsidRPr="00F83B8D">
        <w:rPr>
          <w:rFonts w:eastAsia="Calibri"/>
          <w:bCs w:val="0"/>
          <w:szCs w:val="24"/>
        </w:rPr>
        <w:t xml:space="preserve"> costs.</w:t>
      </w:r>
    </w:p>
    <w:p w14:paraId="140CE283" w14:textId="77777777" w:rsidR="003519A9" w:rsidRPr="00F83B8D" w:rsidRDefault="003519A9" w:rsidP="00203B86">
      <w:pPr>
        <w:spacing w:before="360" w:after="240"/>
        <w:ind w:left="720"/>
        <w:rPr>
          <w:b/>
        </w:rPr>
      </w:pPr>
      <w:r w:rsidRPr="00F83B8D">
        <w:rPr>
          <w:b/>
        </w:rPr>
        <w:t>Administrative Costs</w:t>
      </w:r>
    </w:p>
    <w:p w14:paraId="4D5A7330" w14:textId="057F7973" w:rsidR="003519A9" w:rsidRPr="00F83B8D" w:rsidRDefault="003519A9" w:rsidP="00203B86">
      <w:pPr>
        <w:spacing w:before="240" w:after="240"/>
        <w:ind w:left="720"/>
      </w:pPr>
      <w:r w:rsidRPr="00F83B8D">
        <w:t>Administrative costs for the AIEC</w:t>
      </w:r>
      <w:r w:rsidR="00361B06" w:rsidRPr="00F83B8D">
        <w:t>–TUPE</w:t>
      </w:r>
      <w:r w:rsidRPr="00F83B8D">
        <w:t xml:space="preserve"> Program will be in </w:t>
      </w:r>
      <w:r w:rsidR="002D678A" w:rsidRPr="00F83B8D">
        <w:t xml:space="preserve">alignment </w:t>
      </w:r>
      <w:r w:rsidR="00F722CF" w:rsidRPr="00F83B8D">
        <w:t>with</w:t>
      </w:r>
      <w:r w:rsidR="002D678A" w:rsidRPr="00F83B8D">
        <w:t xml:space="preserve"> the definition of A</w:t>
      </w:r>
      <w:r w:rsidRPr="00F83B8D">
        <w:t>dministrative costs in Procedure 915 of the California State Accounting Manual. Administrative costs will include:</w:t>
      </w:r>
    </w:p>
    <w:p w14:paraId="2201C9BD" w14:textId="77777777" w:rsidR="003519A9" w:rsidRPr="00F83B8D" w:rsidRDefault="003F7E0E" w:rsidP="00203B86">
      <w:pPr>
        <w:numPr>
          <w:ilvl w:val="0"/>
          <w:numId w:val="34"/>
        </w:numPr>
        <w:spacing w:before="240" w:after="240"/>
      </w:pPr>
      <w:r w:rsidRPr="00F83B8D">
        <w:t>Any costs that are A</w:t>
      </w:r>
      <w:r w:rsidR="003519A9" w:rsidRPr="00F83B8D">
        <w:t>dministrative in nature and support the management of the program.</w:t>
      </w:r>
    </w:p>
    <w:p w14:paraId="39A50E35" w14:textId="602C8476" w:rsidR="003519A9" w:rsidRPr="00F83B8D" w:rsidRDefault="003519A9" w:rsidP="00203B86">
      <w:pPr>
        <w:numPr>
          <w:ilvl w:val="0"/>
          <w:numId w:val="33"/>
        </w:numPr>
        <w:spacing w:before="240" w:after="240"/>
        <w:ind w:left="1440"/>
      </w:pPr>
      <w:r w:rsidRPr="00F83B8D">
        <w:t>The salaries and be</w:t>
      </w:r>
      <w:r w:rsidR="003F7E0E" w:rsidRPr="00F83B8D">
        <w:t>nefits of personnel engaged in A</w:t>
      </w:r>
      <w:r w:rsidRPr="00F83B8D">
        <w:t>dministrative or planning acti</w:t>
      </w:r>
      <w:r w:rsidR="003F7E0E" w:rsidRPr="00F83B8D">
        <w:t xml:space="preserve">vities will be included in the </w:t>
      </w:r>
      <w:r w:rsidR="00F722CF" w:rsidRPr="00F83B8D">
        <w:t>administrative</w:t>
      </w:r>
      <w:r w:rsidRPr="00F83B8D">
        <w:t xml:space="preserve"> costs. In the event that an employee’s duti</w:t>
      </w:r>
      <w:r w:rsidR="003F7E0E" w:rsidRPr="00F83B8D">
        <w:t>es include various functions, (A</w:t>
      </w:r>
      <w:r w:rsidRPr="00F83B8D">
        <w:t>dministrative, i</w:t>
      </w:r>
      <w:r w:rsidR="003F7E0E" w:rsidRPr="00F83B8D">
        <w:t>dentification and recruitment, D</w:t>
      </w:r>
      <w:r w:rsidRPr="00F83B8D">
        <w:t xml:space="preserve">irect </w:t>
      </w:r>
      <w:r w:rsidR="003F7E0E" w:rsidRPr="00F83B8D">
        <w:t>S</w:t>
      </w:r>
      <w:r w:rsidRPr="00F83B8D">
        <w:t>ervice, etc.) the agency will account for these activities in the appropriate component of the funding application. The p</w:t>
      </w:r>
      <w:r w:rsidR="002D678A" w:rsidRPr="00F83B8D">
        <w:t>roportion of time dedicated to D</w:t>
      </w:r>
      <w:r w:rsidRPr="00F83B8D">
        <w:t xml:space="preserve">irect </w:t>
      </w:r>
      <w:r w:rsidR="002D678A" w:rsidRPr="00F83B8D">
        <w:t>S</w:t>
      </w:r>
      <w:r w:rsidRPr="00F83B8D">
        <w:t xml:space="preserve">ervice </w:t>
      </w:r>
      <w:r w:rsidR="003F7E0E" w:rsidRPr="00F83B8D">
        <w:t xml:space="preserve">and Administrative/Indirect Service </w:t>
      </w:r>
      <w:r w:rsidRPr="00F83B8D">
        <w:t>activity will need to be specified in the job description and supported with employee service logs. This will include:</w:t>
      </w:r>
    </w:p>
    <w:p w14:paraId="0C1EEA16" w14:textId="77777777" w:rsidR="003519A9" w:rsidRPr="00F83B8D" w:rsidRDefault="003519A9" w:rsidP="00203B86">
      <w:pPr>
        <w:numPr>
          <w:ilvl w:val="0"/>
          <w:numId w:val="33"/>
        </w:numPr>
        <w:spacing w:before="240" w:after="240"/>
      </w:pPr>
      <w:r w:rsidRPr="00F83B8D">
        <w:t>AIEC</w:t>
      </w:r>
      <w:r w:rsidR="00361B06" w:rsidRPr="00F83B8D">
        <w:t>–TUPE</w:t>
      </w:r>
      <w:r w:rsidRPr="00F83B8D">
        <w:t xml:space="preserve"> </w:t>
      </w:r>
      <w:r w:rsidR="00361B06" w:rsidRPr="00F83B8D">
        <w:t>Coordinator</w:t>
      </w:r>
      <w:r w:rsidRPr="00F83B8D">
        <w:t xml:space="preserve"> salarie</w:t>
      </w:r>
      <w:r w:rsidR="003F7E0E" w:rsidRPr="00F83B8D">
        <w:t>s shall be considered strictly A</w:t>
      </w:r>
      <w:r w:rsidRPr="00F83B8D">
        <w:t>dministrative and may</w:t>
      </w:r>
      <w:r w:rsidR="003F7E0E" w:rsidRPr="00F83B8D">
        <w:t xml:space="preserve"> not be charged/budgeted under d</w:t>
      </w:r>
      <w:r w:rsidRPr="00F83B8D">
        <w:t xml:space="preserve">irect instruction/services to pupils unless the approved job </w:t>
      </w:r>
      <w:r w:rsidR="003F7E0E" w:rsidRPr="00F83B8D">
        <w:t>description specifically lists Direct S</w:t>
      </w:r>
      <w:r w:rsidRPr="00F83B8D">
        <w:t>ervices provided to students.</w:t>
      </w:r>
    </w:p>
    <w:p w14:paraId="190717E0" w14:textId="77777777" w:rsidR="003519A9" w:rsidRPr="00F83B8D" w:rsidRDefault="003F7E0E" w:rsidP="00203B86">
      <w:pPr>
        <w:numPr>
          <w:ilvl w:val="1"/>
          <w:numId w:val="33"/>
        </w:numPr>
        <w:spacing w:before="240" w:after="240"/>
      </w:pPr>
      <w:r w:rsidRPr="00F83B8D">
        <w:t>To be charged as Direct S</w:t>
      </w:r>
      <w:r w:rsidR="003519A9" w:rsidRPr="00F83B8D">
        <w:t>ervice the AIEC</w:t>
      </w:r>
      <w:r w:rsidR="00361B06" w:rsidRPr="00F83B8D">
        <w:t>–TUPE Coordinator</w:t>
      </w:r>
      <w:r w:rsidR="003519A9" w:rsidRPr="00F83B8D">
        <w:t xml:space="preserve">’s time must be supported by an employee </w:t>
      </w:r>
      <w:r w:rsidR="003519A9" w:rsidRPr="00F83B8D">
        <w:lastRenderedPageBreak/>
        <w:t xml:space="preserve">service log that indicates the date, </w:t>
      </w:r>
      <w:r w:rsidRPr="00F83B8D">
        <w:t>time, and a description of the D</w:t>
      </w:r>
      <w:r w:rsidR="003519A9" w:rsidRPr="00F83B8D">
        <w:t xml:space="preserve">irect </w:t>
      </w:r>
      <w:r w:rsidRPr="00F83B8D">
        <w:t>S</w:t>
      </w:r>
      <w:r w:rsidR="003519A9" w:rsidRPr="00F83B8D">
        <w:t>ervice. This log must be kept with the director’s timesheet.</w:t>
      </w:r>
    </w:p>
    <w:p w14:paraId="402BA399" w14:textId="77777777" w:rsidR="003519A9" w:rsidRPr="00F83B8D" w:rsidRDefault="003519A9" w:rsidP="00203B86">
      <w:pPr>
        <w:numPr>
          <w:ilvl w:val="0"/>
          <w:numId w:val="33"/>
        </w:numPr>
        <w:spacing w:before="240" w:after="240"/>
      </w:pPr>
      <w:r w:rsidRPr="00F83B8D">
        <w:t xml:space="preserve">AIEC </w:t>
      </w:r>
      <w:r w:rsidR="00361B06" w:rsidRPr="00F83B8D">
        <w:t xml:space="preserve">TUPE </w:t>
      </w:r>
      <w:r w:rsidR="007232DB" w:rsidRPr="00F83B8D">
        <w:t xml:space="preserve">Program </w:t>
      </w:r>
      <w:r w:rsidRPr="00F83B8D">
        <w:t>Administrative</w:t>
      </w:r>
      <w:r w:rsidR="003F7E0E" w:rsidRPr="00F83B8D">
        <w:t xml:space="preserve"> personnel shall be considered A</w:t>
      </w:r>
      <w:r w:rsidRPr="00F83B8D">
        <w:t>dministrative unless the approved job description specifically identifies a percentage of time that will be specifically directed to direct instruction/services to pupils.</w:t>
      </w:r>
    </w:p>
    <w:p w14:paraId="652FF966" w14:textId="5B32CDC7" w:rsidR="003519A9" w:rsidRPr="00F83B8D" w:rsidRDefault="003519A9" w:rsidP="00203B86">
      <w:pPr>
        <w:numPr>
          <w:ilvl w:val="0"/>
          <w:numId w:val="35"/>
        </w:numPr>
        <w:spacing w:before="240" w:after="240"/>
      </w:pPr>
      <w:r w:rsidRPr="00F83B8D">
        <w:t xml:space="preserve">To be charged as </w:t>
      </w:r>
      <w:r w:rsidR="00361B06" w:rsidRPr="00F83B8D">
        <w:t>D</w:t>
      </w:r>
      <w:r w:rsidRPr="00F83B8D">
        <w:t xml:space="preserve">irect </w:t>
      </w:r>
      <w:r w:rsidR="00361B06" w:rsidRPr="00F83B8D">
        <w:t>S</w:t>
      </w:r>
      <w:r w:rsidRPr="00F83B8D">
        <w:t>ervice the AIEC</w:t>
      </w:r>
      <w:r w:rsidR="00361B06" w:rsidRPr="00F83B8D">
        <w:t xml:space="preserve">–TUPE </w:t>
      </w:r>
      <w:r w:rsidR="003F7E0E" w:rsidRPr="00F83B8D">
        <w:t>Program A</w:t>
      </w:r>
      <w:r w:rsidRPr="00F83B8D">
        <w:t xml:space="preserve">dministrative personnel’s time must be supported by an employee service log that indicates the date, </w:t>
      </w:r>
      <w:r w:rsidR="003F7E0E" w:rsidRPr="00F83B8D">
        <w:t>time, and a description of the Direct S</w:t>
      </w:r>
      <w:r w:rsidRPr="00F83B8D">
        <w:t xml:space="preserve">ervice. This log must be kept with the </w:t>
      </w:r>
      <w:r w:rsidR="00F722CF" w:rsidRPr="00F83B8D">
        <w:t>employees’</w:t>
      </w:r>
      <w:r w:rsidRPr="00F83B8D">
        <w:t xml:space="preserve"> timesheet.</w:t>
      </w:r>
    </w:p>
    <w:p w14:paraId="7C7FAF91" w14:textId="77777777" w:rsidR="003519A9" w:rsidRPr="00F83B8D" w:rsidRDefault="003519A9" w:rsidP="00203B86">
      <w:pPr>
        <w:numPr>
          <w:ilvl w:val="0"/>
          <w:numId w:val="36"/>
        </w:numPr>
        <w:spacing w:before="240" w:after="240"/>
      </w:pPr>
      <w:r w:rsidRPr="00F83B8D">
        <w:t>Custodians/janitors are considered classified support. Custodians/janitors are part of the overall general operations of a program and not a provider of direct instruction to pupils.</w:t>
      </w:r>
    </w:p>
    <w:p w14:paraId="497F54FF" w14:textId="77777777" w:rsidR="00124958" w:rsidRPr="00F83B8D" w:rsidRDefault="00124958" w:rsidP="00203B86">
      <w:pPr>
        <w:spacing w:before="360" w:after="240"/>
        <w:ind w:left="720"/>
        <w:rPr>
          <w:b/>
        </w:rPr>
      </w:pPr>
      <w:r w:rsidRPr="00F83B8D">
        <w:rPr>
          <w:b/>
        </w:rPr>
        <w:t>Direct Services to Students</w:t>
      </w:r>
    </w:p>
    <w:p w14:paraId="34EC9646" w14:textId="77777777" w:rsidR="00124958" w:rsidRPr="00F83B8D" w:rsidRDefault="00124958" w:rsidP="00203B86">
      <w:pPr>
        <w:spacing w:before="240" w:after="240"/>
        <w:ind w:left="720"/>
      </w:pPr>
      <w:r w:rsidRPr="00F83B8D">
        <w:t xml:space="preserve">Direct Services to students are those supplementary services that </w:t>
      </w:r>
      <w:r w:rsidR="003F7E0E" w:rsidRPr="00F83B8D">
        <w:t>are delivered at the AIEC</w:t>
      </w:r>
      <w:r w:rsidR="00361B06" w:rsidRPr="00F83B8D">
        <w:t>–TUPE center and</w:t>
      </w:r>
      <w:r w:rsidRPr="00F83B8D">
        <w:t xml:space="preserve"> where the student is the direct recipient or beneficiary of the services. Expenditures for personnel and services are </w:t>
      </w:r>
      <w:r w:rsidR="003F7E0E" w:rsidRPr="00F83B8D">
        <w:t>justified as D</w:t>
      </w:r>
      <w:r w:rsidRPr="00F83B8D">
        <w:t xml:space="preserve">irect </w:t>
      </w:r>
      <w:r w:rsidR="003F7E0E" w:rsidRPr="00F83B8D">
        <w:t>S</w:t>
      </w:r>
      <w:r w:rsidRPr="00F83B8D">
        <w:t>ervice if:</w:t>
      </w:r>
    </w:p>
    <w:p w14:paraId="734DDAE3" w14:textId="40E8FEF3" w:rsidR="00124958" w:rsidRPr="00F83B8D" w:rsidRDefault="00124958" w:rsidP="00203B86">
      <w:pPr>
        <w:numPr>
          <w:ilvl w:val="1"/>
          <w:numId w:val="33"/>
        </w:numPr>
        <w:spacing w:before="240" w:after="240"/>
        <w:ind w:left="1440" w:hanging="270"/>
        <w:rPr>
          <w:lang w:val="en"/>
        </w:rPr>
      </w:pPr>
      <w:r w:rsidRPr="00F83B8D">
        <w:rPr>
          <w:lang w:val="en"/>
        </w:rPr>
        <w:t xml:space="preserve">The staff </w:t>
      </w:r>
      <w:r w:rsidR="00F722CF" w:rsidRPr="00F83B8D">
        <w:rPr>
          <w:lang w:val="en"/>
        </w:rPr>
        <w:t>provide</w:t>
      </w:r>
      <w:r w:rsidRPr="00F83B8D">
        <w:rPr>
          <w:lang w:val="en"/>
        </w:rPr>
        <w:t xml:space="preserve"> </w:t>
      </w:r>
      <w:r w:rsidR="007228C1" w:rsidRPr="00F83B8D">
        <w:rPr>
          <w:lang w:val="en"/>
        </w:rPr>
        <w:t>d</w:t>
      </w:r>
      <w:r w:rsidRPr="00F83B8D">
        <w:rPr>
          <w:lang w:val="en"/>
        </w:rPr>
        <w:t>irect, hands-on services to stud</w:t>
      </w:r>
      <w:r w:rsidR="003F7E0E" w:rsidRPr="00F83B8D">
        <w:rPr>
          <w:lang w:val="en"/>
        </w:rPr>
        <w:t>ents. Staff who are considered D</w:t>
      </w:r>
      <w:r w:rsidRPr="00F83B8D">
        <w:rPr>
          <w:lang w:val="en"/>
        </w:rPr>
        <w:t xml:space="preserve">irect </w:t>
      </w:r>
      <w:r w:rsidR="003F7E0E" w:rsidRPr="00F83B8D">
        <w:rPr>
          <w:lang w:val="en"/>
        </w:rPr>
        <w:t>S</w:t>
      </w:r>
      <w:r w:rsidRPr="00F83B8D">
        <w:rPr>
          <w:lang w:val="en"/>
        </w:rPr>
        <w:t>ervice providers must have a work schedule that has 85 percent of the time pro</w:t>
      </w:r>
      <w:r w:rsidR="003F7E0E" w:rsidRPr="00F83B8D">
        <w:rPr>
          <w:lang w:val="en"/>
        </w:rPr>
        <w:t>viding services to participants;</w:t>
      </w:r>
      <w:r w:rsidRPr="00F83B8D">
        <w:rPr>
          <w:lang w:val="en"/>
        </w:rPr>
        <w:t xml:space="preserve"> 15 percent of the time may be used for planning and </w:t>
      </w:r>
      <w:r w:rsidR="00F722CF" w:rsidRPr="00F83B8D">
        <w:rPr>
          <w:lang w:val="en"/>
        </w:rPr>
        <w:t>a</w:t>
      </w:r>
      <w:r w:rsidR="003F7E0E" w:rsidRPr="00F83B8D">
        <w:rPr>
          <w:lang w:val="en"/>
        </w:rPr>
        <w:t>dministrative duties</w:t>
      </w:r>
      <w:r w:rsidRPr="00F83B8D">
        <w:rPr>
          <w:lang w:val="en"/>
        </w:rPr>
        <w:t>.</w:t>
      </w:r>
    </w:p>
    <w:p w14:paraId="0CD3200B" w14:textId="77777777" w:rsidR="00124958" w:rsidRPr="00F83B8D" w:rsidRDefault="00124958" w:rsidP="00203B86">
      <w:pPr>
        <w:numPr>
          <w:ilvl w:val="0"/>
          <w:numId w:val="33"/>
        </w:numPr>
        <w:spacing w:before="240" w:after="240"/>
        <w:rPr>
          <w:lang w:val="en"/>
        </w:rPr>
      </w:pPr>
      <w:r w:rsidRPr="00F83B8D">
        <w:rPr>
          <w:lang w:val="en"/>
        </w:rPr>
        <w:t>Staff time for drop-</w:t>
      </w:r>
      <w:r w:rsidR="003F7E0E" w:rsidRPr="00F83B8D">
        <w:rPr>
          <w:lang w:val="en"/>
        </w:rPr>
        <w:t>in tutoring will be considered A</w:t>
      </w:r>
      <w:r w:rsidRPr="00F83B8D">
        <w:rPr>
          <w:lang w:val="en"/>
        </w:rPr>
        <w:t>dministrative unless the AIEC</w:t>
      </w:r>
      <w:r w:rsidR="00361B06" w:rsidRPr="00F83B8D">
        <w:rPr>
          <w:lang w:val="en"/>
        </w:rPr>
        <w:t>–TUPE Program</w:t>
      </w:r>
      <w:r w:rsidRPr="00F83B8D">
        <w:rPr>
          <w:lang w:val="en"/>
        </w:rPr>
        <w:t xml:space="preserve"> can justify, by previous year sign in sheets, that the drop-in hours are consistently (greater than 90 percent) being used. For a new AIEC</w:t>
      </w:r>
      <w:r w:rsidR="00361B06" w:rsidRPr="00F83B8D">
        <w:rPr>
          <w:lang w:val="en"/>
        </w:rPr>
        <w:t>–TUPE</w:t>
      </w:r>
      <w:r w:rsidR="00584D4B" w:rsidRPr="00F83B8D">
        <w:rPr>
          <w:lang w:val="en"/>
        </w:rPr>
        <w:t xml:space="preserve"> Program</w:t>
      </w:r>
      <w:r w:rsidRPr="00F83B8D">
        <w:rPr>
          <w:lang w:val="en"/>
        </w:rPr>
        <w:t>, drop-in hours will be monitored for three months to ensure that the greater than 90 percent rate of participation is satisfied.</w:t>
      </w:r>
    </w:p>
    <w:p w14:paraId="1A80F6ED" w14:textId="77777777" w:rsidR="00124958" w:rsidRPr="00F83B8D" w:rsidRDefault="00124958" w:rsidP="00203B86">
      <w:pPr>
        <w:numPr>
          <w:ilvl w:val="0"/>
          <w:numId w:val="33"/>
        </w:numPr>
        <w:spacing w:before="240" w:after="240"/>
        <w:ind w:left="1440" w:hanging="270"/>
        <w:rPr>
          <w:lang w:val="en"/>
        </w:rPr>
      </w:pPr>
      <w:r w:rsidRPr="00F83B8D">
        <w:rPr>
          <w:lang w:val="en"/>
        </w:rPr>
        <w:t>The services being provided are so integral to the program that absence of the services would affect the quality of the program itself and the success of students. Examples of these types of services that are critical to the quality of the programs for students include: professional development for program staff, parent education and involvement activities, and staff development.</w:t>
      </w:r>
    </w:p>
    <w:p w14:paraId="608DAD06" w14:textId="77777777" w:rsidR="00124958" w:rsidRPr="00F83B8D" w:rsidRDefault="00124958" w:rsidP="00203B86">
      <w:pPr>
        <w:numPr>
          <w:ilvl w:val="0"/>
          <w:numId w:val="33"/>
        </w:numPr>
        <w:spacing w:before="240" w:after="240"/>
        <w:ind w:left="1440" w:hanging="270"/>
        <w:rPr>
          <w:lang w:val="en"/>
        </w:rPr>
      </w:pPr>
      <w:r w:rsidRPr="00F83B8D">
        <w:rPr>
          <w:lang w:val="en"/>
        </w:rPr>
        <w:lastRenderedPageBreak/>
        <w:t>The funds are used to purchase materials and equipment to be used by eligible students.</w:t>
      </w:r>
    </w:p>
    <w:p w14:paraId="3633B199" w14:textId="77777777" w:rsidR="00124958" w:rsidRPr="00F83B8D" w:rsidRDefault="00124958" w:rsidP="00203B86">
      <w:pPr>
        <w:numPr>
          <w:ilvl w:val="0"/>
          <w:numId w:val="33"/>
        </w:numPr>
        <w:spacing w:before="240" w:after="240"/>
        <w:ind w:left="1440" w:hanging="270"/>
        <w:rPr>
          <w:lang w:val="en"/>
        </w:rPr>
      </w:pPr>
      <w:r w:rsidRPr="00F83B8D">
        <w:rPr>
          <w:lang w:val="en"/>
        </w:rPr>
        <w:t>The funds support the analysis and use of student performance data that is then used to inform services for eligible students.</w:t>
      </w:r>
    </w:p>
    <w:p w14:paraId="7830FC11" w14:textId="77777777" w:rsidR="00124958" w:rsidRPr="00F83B8D" w:rsidRDefault="00124958" w:rsidP="00203B86">
      <w:pPr>
        <w:numPr>
          <w:ilvl w:val="0"/>
          <w:numId w:val="37"/>
        </w:numPr>
        <w:spacing w:before="240" w:after="240"/>
      </w:pPr>
      <w:r w:rsidRPr="00F83B8D">
        <w:t>The funds are being used to rent space where direct student services are taking place. The AIEC</w:t>
      </w:r>
      <w:r w:rsidR="00361B06" w:rsidRPr="00F83B8D">
        <w:t>–TUPE</w:t>
      </w:r>
      <w:r w:rsidRPr="00F83B8D">
        <w:t xml:space="preserve"> </w:t>
      </w:r>
      <w:r w:rsidR="00584D4B" w:rsidRPr="00F83B8D">
        <w:t xml:space="preserve">Program </w:t>
      </w:r>
      <w:r w:rsidRPr="00F83B8D">
        <w:t>will need to find the ration of space used for student use and for administrative use.</w:t>
      </w:r>
    </w:p>
    <w:p w14:paraId="0A430EF1" w14:textId="77777777" w:rsidR="00124958" w:rsidRPr="00F83B8D" w:rsidRDefault="00124958" w:rsidP="00203B86">
      <w:pPr>
        <w:numPr>
          <w:ilvl w:val="1"/>
          <w:numId w:val="37"/>
        </w:numPr>
        <w:spacing w:before="240" w:after="240"/>
        <w:ind w:left="2246"/>
      </w:pPr>
      <w:r w:rsidRPr="00F83B8D">
        <w:t>For example: Total building space</w:t>
      </w:r>
      <w:r w:rsidR="00B91F89" w:rsidRPr="00F83B8D">
        <w:tab/>
      </w:r>
      <w:r w:rsidRPr="00F83B8D">
        <w:t>1500 sq. ft</w:t>
      </w:r>
    </w:p>
    <w:p w14:paraId="49A0E348" w14:textId="162C9D0C" w:rsidR="00124958" w:rsidRPr="00F83B8D" w:rsidRDefault="00124958" w:rsidP="00203B86">
      <w:pPr>
        <w:tabs>
          <w:tab w:val="left" w:pos="6480"/>
        </w:tabs>
        <w:spacing w:before="240" w:after="240"/>
        <w:ind w:left="2246"/>
      </w:pPr>
      <w:r w:rsidRPr="00F83B8D">
        <w:t>Staff offices (admin cost)</w:t>
      </w:r>
      <w:r w:rsidR="00B91F89" w:rsidRPr="00F83B8D">
        <w:tab/>
        <w:t>4</w:t>
      </w:r>
      <w:r w:rsidRPr="00F83B8D">
        <w:t>00 sq.</w:t>
      </w:r>
      <w:r w:rsidR="006D5C69" w:rsidRPr="00F83B8D">
        <w:t xml:space="preserve"> </w:t>
      </w:r>
      <w:r w:rsidRPr="00F83B8D">
        <w:t>ft</w:t>
      </w:r>
      <w:r w:rsidR="00B91F89" w:rsidRPr="00F83B8D">
        <w:t>.</w:t>
      </w:r>
      <w:r w:rsidR="00A5431D" w:rsidRPr="00F83B8D">
        <w:t xml:space="preserve"> 27</w:t>
      </w:r>
      <w:r w:rsidRPr="00F83B8D">
        <w:t xml:space="preserve"> </w:t>
      </w:r>
      <w:r w:rsidR="005D79AC" w:rsidRPr="00F83B8D">
        <w:t>%</w:t>
      </w:r>
    </w:p>
    <w:p w14:paraId="3C3C0FAF" w14:textId="489188AF" w:rsidR="00124958" w:rsidRPr="00F83B8D" w:rsidRDefault="00124958" w:rsidP="00124958">
      <w:pPr>
        <w:ind w:left="2246"/>
      </w:pPr>
      <w:r w:rsidRPr="00F83B8D">
        <w:t>Program space (direct service cost)</w:t>
      </w:r>
      <w:r w:rsidRPr="00F83B8D">
        <w:tab/>
        <w:t>1100 sq.</w:t>
      </w:r>
      <w:r w:rsidR="006D5C69" w:rsidRPr="00F83B8D">
        <w:t xml:space="preserve"> </w:t>
      </w:r>
      <w:r w:rsidRPr="00F83B8D">
        <w:t>ft</w:t>
      </w:r>
      <w:r w:rsidR="00B91F89" w:rsidRPr="00F83B8D">
        <w:t>.</w:t>
      </w:r>
      <w:r w:rsidR="00A5431D" w:rsidRPr="00F83B8D">
        <w:t xml:space="preserve"> 73</w:t>
      </w:r>
      <w:r w:rsidRPr="00F83B8D">
        <w:t xml:space="preserve"> </w:t>
      </w:r>
      <w:r w:rsidR="005D79AC" w:rsidRPr="00F83B8D">
        <w:t>%</w:t>
      </w:r>
    </w:p>
    <w:p w14:paraId="67326DD6" w14:textId="77777777" w:rsidR="00124958" w:rsidRPr="00F83B8D" w:rsidRDefault="00124958" w:rsidP="00124958">
      <w:pPr>
        <w:ind w:left="2246"/>
      </w:pPr>
      <w:r w:rsidRPr="00F83B8D">
        <w:t>Rent = $1,800/mo.</w:t>
      </w:r>
    </w:p>
    <w:p w14:paraId="14AC8C9A" w14:textId="77777777" w:rsidR="00124958" w:rsidRPr="00F83B8D" w:rsidRDefault="00A5431D" w:rsidP="00124958">
      <w:pPr>
        <w:ind w:left="2246"/>
      </w:pPr>
      <w:r w:rsidRPr="00F83B8D">
        <w:t>Admin cost = $1,800 x 27% = $486</w:t>
      </w:r>
    </w:p>
    <w:p w14:paraId="3A9AABF7" w14:textId="77777777" w:rsidR="00124958" w:rsidRPr="00F83B8D" w:rsidRDefault="00A5431D" w:rsidP="00124958">
      <w:pPr>
        <w:spacing w:after="240"/>
        <w:ind w:left="2246"/>
      </w:pPr>
      <w:r w:rsidRPr="00F83B8D">
        <w:t>Direct cost = $1,800 x 73% = $1,314</w:t>
      </w:r>
    </w:p>
    <w:p w14:paraId="5AC3E929" w14:textId="77777777" w:rsidR="00124958" w:rsidRPr="00F83B8D" w:rsidRDefault="00124958" w:rsidP="00203B86">
      <w:pPr>
        <w:numPr>
          <w:ilvl w:val="0"/>
          <w:numId w:val="37"/>
        </w:numPr>
        <w:spacing w:before="240" w:after="240"/>
      </w:pPr>
      <w:r w:rsidRPr="00F83B8D">
        <w:t>The funds are being used for utilities where direct student services are taking place. This ration will follow the ratio that is used for allocating the rental space.</w:t>
      </w:r>
    </w:p>
    <w:p w14:paraId="28D4C035" w14:textId="77777777" w:rsidR="00124958" w:rsidRPr="00F83B8D" w:rsidRDefault="00124958" w:rsidP="00203B86">
      <w:pPr>
        <w:numPr>
          <w:ilvl w:val="1"/>
          <w:numId w:val="37"/>
        </w:numPr>
        <w:spacing w:before="240" w:after="240"/>
      </w:pPr>
      <w:r w:rsidRPr="00F83B8D">
        <w:t>For example: Utilities = $200/mo.</w:t>
      </w:r>
    </w:p>
    <w:p w14:paraId="04DE83D4" w14:textId="77777777" w:rsidR="00124958" w:rsidRPr="00F83B8D" w:rsidRDefault="00A5431D" w:rsidP="00203B86">
      <w:pPr>
        <w:spacing w:before="240" w:after="240"/>
        <w:ind w:left="2250" w:firstLine="1440"/>
      </w:pPr>
      <w:r w:rsidRPr="00F83B8D">
        <w:t>Admin cost = $200 x 27% = $54</w:t>
      </w:r>
    </w:p>
    <w:p w14:paraId="677415EF" w14:textId="77777777" w:rsidR="00124958" w:rsidRPr="00F83B8D" w:rsidRDefault="00A5431D" w:rsidP="00203B86">
      <w:pPr>
        <w:spacing w:before="240" w:after="240"/>
        <w:ind w:left="2246" w:firstLine="1440"/>
      </w:pPr>
      <w:r w:rsidRPr="00F83B8D">
        <w:t>Direct cost = $200 x 73</w:t>
      </w:r>
      <w:r w:rsidR="00124958" w:rsidRPr="00F83B8D">
        <w:t>% = $</w:t>
      </w:r>
      <w:r w:rsidRPr="00F83B8D">
        <w:t>146</w:t>
      </w:r>
    </w:p>
    <w:p w14:paraId="6B7A5B52" w14:textId="77777777" w:rsidR="00124958" w:rsidRPr="00F83B8D" w:rsidRDefault="00124958" w:rsidP="00203B86">
      <w:pPr>
        <w:spacing w:before="360" w:after="240"/>
        <w:ind w:left="720"/>
        <w:rPr>
          <w:b/>
        </w:rPr>
      </w:pPr>
      <w:r w:rsidRPr="00F83B8D">
        <w:rPr>
          <w:b/>
        </w:rPr>
        <w:t>Budget Forms</w:t>
      </w:r>
    </w:p>
    <w:p w14:paraId="500E4F66" w14:textId="0569A194" w:rsidR="005F2B42" w:rsidRPr="00F83B8D" w:rsidRDefault="00124958" w:rsidP="00203B86">
      <w:pPr>
        <w:spacing w:before="240" w:after="240"/>
        <w:ind w:left="720"/>
      </w:pPr>
      <w:r w:rsidRPr="00F83B8D">
        <w:t xml:space="preserve">The Program Budget must </w:t>
      </w:r>
      <w:r w:rsidR="005F2B42" w:rsidRPr="00F83B8D">
        <w:t xml:space="preserve">be clearly tied to program activities. Expenditure line items and Object Codes used in the budget proposal and subsequent expenditure reports should be consistent with the Standardized Account Code Structure. </w:t>
      </w:r>
    </w:p>
    <w:p w14:paraId="7BFE9172" w14:textId="3DF6DF8A" w:rsidR="00FA002D" w:rsidRPr="00F83B8D" w:rsidRDefault="00DE19FE" w:rsidP="00203B86">
      <w:pPr>
        <w:numPr>
          <w:ilvl w:val="0"/>
          <w:numId w:val="71"/>
        </w:numPr>
        <w:spacing w:before="240" w:after="240"/>
      </w:pPr>
      <w:r w:rsidRPr="00F83B8D">
        <w:t xml:space="preserve">Budget </w:t>
      </w:r>
      <w:r w:rsidR="00207427" w:rsidRPr="00F83B8D">
        <w:t xml:space="preserve">Request </w:t>
      </w:r>
      <w:r w:rsidR="005F2B42" w:rsidRPr="00F83B8D">
        <w:t>(Attachment</w:t>
      </w:r>
      <w:r w:rsidR="00361B06" w:rsidRPr="00F83B8D">
        <w:t xml:space="preserve"> 4</w:t>
      </w:r>
      <w:r w:rsidR="005F2B42" w:rsidRPr="00F83B8D">
        <w:t>)</w:t>
      </w:r>
    </w:p>
    <w:p w14:paraId="093D8460" w14:textId="4471112D" w:rsidR="005F2B42" w:rsidRPr="00F83B8D" w:rsidRDefault="005F2B42" w:rsidP="00203B86">
      <w:pPr>
        <w:spacing w:before="240" w:after="240"/>
        <w:ind w:left="720"/>
      </w:pPr>
      <w:r w:rsidRPr="00F83B8D">
        <w:t xml:space="preserve">The </w:t>
      </w:r>
      <w:r w:rsidR="00D27D12" w:rsidRPr="00F83B8D">
        <w:t xml:space="preserve">Budget </w:t>
      </w:r>
      <w:r w:rsidR="00207427" w:rsidRPr="00F83B8D">
        <w:t xml:space="preserve">Request </w:t>
      </w:r>
      <w:r w:rsidR="00D27D12" w:rsidRPr="00F83B8D">
        <w:t>(Attachment 4</w:t>
      </w:r>
      <w:r w:rsidR="00F722CF" w:rsidRPr="00F83B8D">
        <w:t>) must</w:t>
      </w:r>
      <w:r w:rsidRPr="00F83B8D">
        <w:t xml:space="preserve"> provide sufficient information to support the proposed goals, program, and activities. The Budget </w:t>
      </w:r>
      <w:r w:rsidR="000B26AA" w:rsidRPr="00F83B8D">
        <w:t>Request</w:t>
      </w:r>
      <w:r w:rsidRPr="00F83B8D">
        <w:t xml:space="preserve"> must provide a description of the costs for each line item of expenditure for which grant funding will be allocated. </w:t>
      </w:r>
      <w:r w:rsidRPr="00F83B8D">
        <w:rPr>
          <w:iCs/>
        </w:rPr>
        <w:t>For all personnel</w:t>
      </w:r>
      <w:r w:rsidR="00810C04" w:rsidRPr="00F83B8D">
        <w:rPr>
          <w:iCs/>
        </w:rPr>
        <w:t xml:space="preserve">, include </w:t>
      </w:r>
      <w:r w:rsidRPr="00F83B8D">
        <w:rPr>
          <w:iCs/>
        </w:rPr>
        <w:t>FTE value, number of days or percentage of time, and duties/services to be performed.</w:t>
      </w:r>
      <w:r w:rsidRPr="00F83B8D">
        <w:t xml:space="preserve"> For partial salary expenses, indicate the percentage of salary costs charged to the AIEC</w:t>
      </w:r>
      <w:r w:rsidR="00361B06" w:rsidRPr="00F83B8D">
        <w:t>–TUPE</w:t>
      </w:r>
      <w:r w:rsidRPr="00F83B8D">
        <w:rPr>
          <w:i/>
          <w:iCs/>
        </w:rPr>
        <w:t xml:space="preserve"> </w:t>
      </w:r>
      <w:r w:rsidRPr="00F83B8D">
        <w:t>Program. For multi-funded positions, justify the percentage charged to the</w:t>
      </w:r>
      <w:r w:rsidR="00D27D12" w:rsidRPr="00F83B8D">
        <w:t xml:space="preserve"> </w:t>
      </w:r>
      <w:r w:rsidRPr="00F83B8D">
        <w:t>AIEC</w:t>
      </w:r>
      <w:r w:rsidR="00810C04" w:rsidRPr="00F83B8D">
        <w:t>–TUPE</w:t>
      </w:r>
      <w:r w:rsidRPr="00F83B8D">
        <w:t xml:space="preserve"> Program. No position may be funded 100 percent by AIEC</w:t>
      </w:r>
      <w:r w:rsidR="00810C04" w:rsidRPr="00F83B8D">
        <w:t xml:space="preserve">–TUPE </w:t>
      </w:r>
      <w:r w:rsidR="007228C1" w:rsidRPr="00F83B8D">
        <w:t>Program</w:t>
      </w:r>
      <w:r w:rsidRPr="00F83B8D">
        <w:t xml:space="preserve"> funding unless the staff member in that position works solely on the </w:t>
      </w:r>
      <w:r w:rsidRPr="00F83B8D">
        <w:lastRenderedPageBreak/>
        <w:t>AIEC</w:t>
      </w:r>
      <w:r w:rsidR="00584D4B" w:rsidRPr="00F83B8D">
        <w:t>–TUPE</w:t>
      </w:r>
      <w:r w:rsidRPr="00F83B8D">
        <w:t xml:space="preserve"> Program. If a position is part-time, please justify that position’s t</w:t>
      </w:r>
      <w:r w:rsidR="00D550A2" w:rsidRPr="00F83B8D">
        <w:t>ime charged to the AIEC</w:t>
      </w:r>
      <w:r w:rsidR="00810C04" w:rsidRPr="00F83B8D">
        <w:t>–TUPE</w:t>
      </w:r>
      <w:r w:rsidR="00D550A2" w:rsidRPr="00F83B8D">
        <w:t xml:space="preserve"> </w:t>
      </w:r>
      <w:r w:rsidR="007228C1" w:rsidRPr="00F83B8D">
        <w:t xml:space="preserve">Program </w:t>
      </w:r>
      <w:r w:rsidR="00D550A2" w:rsidRPr="00F83B8D">
        <w:t>grant.</w:t>
      </w:r>
    </w:p>
    <w:p w14:paraId="180C1465" w14:textId="40ACBDB2" w:rsidR="005F2B42" w:rsidRPr="00F83B8D" w:rsidRDefault="005F2B42" w:rsidP="005F2B42">
      <w:pPr>
        <w:spacing w:after="240"/>
        <w:ind w:left="720"/>
      </w:pPr>
      <w:r w:rsidRPr="00F83B8D">
        <w:t xml:space="preserve">The </w:t>
      </w:r>
      <w:r w:rsidR="00B427DE" w:rsidRPr="00F83B8D">
        <w:t xml:space="preserve">Budget </w:t>
      </w:r>
      <w:r w:rsidR="00207427" w:rsidRPr="00F83B8D">
        <w:t xml:space="preserve">Request </w:t>
      </w:r>
      <w:r w:rsidRPr="00F83B8D">
        <w:t xml:space="preserve">(Attachment </w:t>
      </w:r>
      <w:r w:rsidR="00B427DE" w:rsidRPr="00F83B8D">
        <w:t>4</w:t>
      </w:r>
      <w:r w:rsidRPr="00F83B8D">
        <w:t>) must provide a breakdown of the expenses for each line item</w:t>
      </w:r>
      <w:r w:rsidR="003F7E0E" w:rsidRPr="00F83B8D">
        <w:t xml:space="preserve"> (as shown in the table below)</w:t>
      </w:r>
      <w:r w:rsidRPr="00F83B8D">
        <w:t>, as follows:</w:t>
      </w:r>
    </w:p>
    <w:p w14:paraId="22771F0A" w14:textId="77777777" w:rsidR="005F2B42" w:rsidRPr="00F83B8D" w:rsidRDefault="005F2B42" w:rsidP="00203B86">
      <w:pPr>
        <w:numPr>
          <w:ilvl w:val="0"/>
          <w:numId w:val="37"/>
        </w:numPr>
        <w:spacing w:before="240" w:after="240"/>
      </w:pPr>
      <w:r w:rsidRPr="00F83B8D">
        <w:t xml:space="preserve">Name; position; labor cost detail, including percentage for </w:t>
      </w:r>
      <w:r w:rsidR="002D678A" w:rsidRPr="00F83B8D">
        <w:t>Direct S</w:t>
      </w:r>
      <w:r w:rsidRPr="00F83B8D">
        <w:t xml:space="preserve">ervice and </w:t>
      </w:r>
      <w:r w:rsidR="002D678A" w:rsidRPr="00F83B8D">
        <w:t>A</w:t>
      </w:r>
      <w:r w:rsidRPr="00F83B8D">
        <w:t>dministrative</w:t>
      </w:r>
      <w:r w:rsidR="007232DB" w:rsidRPr="00F83B8D">
        <w:t>/Indirect</w:t>
      </w:r>
      <w:r w:rsidRPr="00F83B8D">
        <w:t xml:space="preserve"> </w:t>
      </w:r>
      <w:r w:rsidR="002D678A" w:rsidRPr="00F83B8D">
        <w:t>S</w:t>
      </w:r>
      <w:r w:rsidRPr="00F83B8D">
        <w:t>ervice, hourly or billing rates for all personnel; and the total number of hours projected for the project.</w:t>
      </w:r>
    </w:p>
    <w:p w14:paraId="4EEE8CE3" w14:textId="77777777" w:rsidR="005F2B42" w:rsidRPr="00F83B8D" w:rsidRDefault="002D678A" w:rsidP="00203B86">
      <w:pPr>
        <w:numPr>
          <w:ilvl w:val="1"/>
          <w:numId w:val="37"/>
        </w:numPr>
        <w:spacing w:before="240" w:after="240"/>
      </w:pPr>
      <w:r w:rsidRPr="00F83B8D">
        <w:t>To be charged as Direct S</w:t>
      </w:r>
      <w:r w:rsidR="005F2B42" w:rsidRPr="00F83B8D">
        <w:t xml:space="preserve">ervice, the staff time must be supported by an employee service log that indicates the date, time, and a description of the </w:t>
      </w:r>
      <w:r w:rsidR="007232DB" w:rsidRPr="00F83B8D">
        <w:t>Direct S</w:t>
      </w:r>
      <w:r w:rsidR="005F2B42" w:rsidRPr="00F83B8D">
        <w:t>ervice. This log must be kept with the timesheets.</w:t>
      </w:r>
    </w:p>
    <w:p w14:paraId="55A6A77D" w14:textId="3658074D" w:rsidR="00204A1D" w:rsidRPr="00F83B8D" w:rsidRDefault="005F2B42" w:rsidP="00203B86">
      <w:pPr>
        <w:numPr>
          <w:ilvl w:val="0"/>
          <w:numId w:val="38"/>
        </w:numPr>
        <w:spacing w:before="240" w:after="240"/>
        <w:ind w:left="1526"/>
        <w:rPr>
          <w:b/>
        </w:rPr>
      </w:pPr>
      <w:r w:rsidRPr="00F83B8D">
        <w:t>Vacation hours cannot be accrued from year to year and must be used within the grant year in which it was accumulated.</w:t>
      </w:r>
    </w:p>
    <w:p w14:paraId="32E1CDBB" w14:textId="77777777" w:rsidR="00A14F69" w:rsidRPr="00F83B8D" w:rsidRDefault="004A1DDE" w:rsidP="00203B86">
      <w:pPr>
        <w:pStyle w:val="ListParagraph"/>
        <w:numPr>
          <w:ilvl w:val="0"/>
          <w:numId w:val="41"/>
        </w:numPr>
        <w:spacing w:before="240" w:after="240" w:line="259" w:lineRule="auto"/>
      </w:pPr>
      <w:r w:rsidRPr="00F83B8D">
        <w:rPr>
          <w:rFonts w:eastAsia="Calibri"/>
          <w:bCs w:val="0"/>
          <w:szCs w:val="24"/>
        </w:rPr>
        <w:t xml:space="preserve">Grantees and sub-grantees </w:t>
      </w:r>
      <w:r w:rsidRPr="00F83B8D">
        <w:t>shall be reimbursed for travel and per diem expenses at rates not exceeding those amounts paid to the CDE’s non-represented employees. Grantees with collective bargaining agreements allowing higher rates of reimbursement shall not pay the difference out of the AIEC</w:t>
      </w:r>
      <w:r w:rsidR="00810C04" w:rsidRPr="00F83B8D">
        <w:t>–TUPE</w:t>
      </w:r>
      <w:r w:rsidRPr="00F83B8D">
        <w:t xml:space="preserve"> </w:t>
      </w:r>
      <w:r w:rsidR="007232DB" w:rsidRPr="00F83B8D">
        <w:t xml:space="preserve">Program </w:t>
      </w:r>
      <w:r w:rsidRPr="00F83B8D">
        <w:t>grant funds. The CDE shall notify the grantee of a change in expense rates within 30 calendar days after the CDE has received notification of a change in rates from the State Department of Personnel Administration.</w:t>
      </w:r>
    </w:p>
    <w:p w14:paraId="1B9E563A" w14:textId="120DFBEB" w:rsidR="004A1DDE" w:rsidRPr="00F83B8D" w:rsidRDefault="004A1DDE" w:rsidP="00203B86">
      <w:pPr>
        <w:pStyle w:val="NoSpacing0"/>
        <w:numPr>
          <w:ilvl w:val="0"/>
          <w:numId w:val="41"/>
        </w:numPr>
        <w:spacing w:before="240" w:after="240"/>
        <w:rPr>
          <w:rFonts w:eastAsia="Calibri"/>
        </w:rPr>
      </w:pPr>
      <w:r w:rsidRPr="00F83B8D">
        <w:rPr>
          <w:rFonts w:eastAsia="Calibri"/>
        </w:rPr>
        <w:t xml:space="preserve">Lodging, </w:t>
      </w:r>
      <w:r w:rsidR="0081659D" w:rsidRPr="00F83B8D">
        <w:rPr>
          <w:rFonts w:eastAsia="Calibri"/>
        </w:rPr>
        <w:t>meals</w:t>
      </w:r>
      <w:r w:rsidRPr="00F83B8D">
        <w:rPr>
          <w:rFonts w:eastAsia="Calibri"/>
        </w:rPr>
        <w:t>, and incidental expenses are allowed while traveling on official state business only when the employee is traveling farther than 50 miles from their home or headquarters, whichever is closer</w:t>
      </w:r>
      <w:r w:rsidR="0081659D" w:rsidRPr="00F83B8D">
        <w:rPr>
          <w:rFonts w:eastAsia="Calibri"/>
        </w:rPr>
        <w:t xml:space="preserve"> </w:t>
      </w:r>
      <w:r w:rsidRPr="00F83B8D">
        <w:rPr>
          <w:rFonts w:eastAsia="Calibri"/>
        </w:rPr>
        <w:t>to the temporary work site.</w:t>
      </w:r>
    </w:p>
    <w:p w14:paraId="245EBA00" w14:textId="77777777" w:rsidR="004A1DDE" w:rsidRPr="00F83B8D" w:rsidRDefault="004A1DDE" w:rsidP="00B36AD4">
      <w:pPr>
        <w:pStyle w:val="NoSpacing0"/>
        <w:numPr>
          <w:ilvl w:val="0"/>
          <w:numId w:val="93"/>
        </w:numPr>
        <w:spacing w:before="240" w:after="240"/>
        <w:ind w:left="2520"/>
        <w:rPr>
          <w:rFonts w:eastAsia="Calibri"/>
        </w:rPr>
      </w:pPr>
      <w:r w:rsidRPr="00F83B8D">
        <w:rPr>
          <w:rFonts w:eastAsia="Calibri"/>
        </w:rPr>
        <w:t>Per diem</w:t>
      </w:r>
    </w:p>
    <w:p w14:paraId="61125E0D" w14:textId="1C6A11CD" w:rsidR="004A1DDE" w:rsidRPr="00F83B8D" w:rsidRDefault="00A5431D" w:rsidP="00B36AD4">
      <w:pPr>
        <w:pStyle w:val="NoSpacing0"/>
        <w:numPr>
          <w:ilvl w:val="0"/>
          <w:numId w:val="93"/>
        </w:numPr>
        <w:spacing w:before="240" w:after="240"/>
        <w:ind w:left="2520"/>
        <w:rPr>
          <w:rFonts w:eastAsia="Calibri"/>
        </w:rPr>
      </w:pPr>
      <w:r w:rsidRPr="00F83B8D">
        <w:rPr>
          <w:rFonts w:eastAsia="Calibri"/>
        </w:rPr>
        <w:t>Breakfast $</w:t>
      </w:r>
      <w:r w:rsidR="003A0038" w:rsidRPr="00F83B8D">
        <w:rPr>
          <w:rFonts w:eastAsia="Calibri"/>
        </w:rPr>
        <w:t>13</w:t>
      </w:r>
    </w:p>
    <w:p w14:paraId="18AF0093" w14:textId="3D75FCDB" w:rsidR="004A1DDE" w:rsidRPr="00F83B8D" w:rsidRDefault="00A5431D" w:rsidP="00B36AD4">
      <w:pPr>
        <w:pStyle w:val="NoSpacing0"/>
        <w:numPr>
          <w:ilvl w:val="0"/>
          <w:numId w:val="93"/>
        </w:numPr>
        <w:spacing w:before="240" w:after="240"/>
        <w:ind w:left="2520"/>
        <w:rPr>
          <w:rFonts w:eastAsia="Calibri"/>
        </w:rPr>
      </w:pPr>
      <w:r w:rsidRPr="00F83B8D">
        <w:rPr>
          <w:rFonts w:eastAsia="Calibri"/>
        </w:rPr>
        <w:t>Lunch $1</w:t>
      </w:r>
      <w:r w:rsidR="003A0038" w:rsidRPr="00F83B8D">
        <w:rPr>
          <w:rFonts w:eastAsia="Calibri"/>
        </w:rPr>
        <w:t>5</w:t>
      </w:r>
    </w:p>
    <w:p w14:paraId="0CB5D7CE" w14:textId="241186BA" w:rsidR="004A1DDE" w:rsidRPr="00F83B8D" w:rsidRDefault="00A5431D" w:rsidP="00B36AD4">
      <w:pPr>
        <w:pStyle w:val="NoSpacing0"/>
        <w:numPr>
          <w:ilvl w:val="0"/>
          <w:numId w:val="93"/>
        </w:numPr>
        <w:spacing w:before="240" w:after="240"/>
        <w:ind w:left="2520"/>
        <w:rPr>
          <w:rFonts w:eastAsia="Calibri"/>
        </w:rPr>
      </w:pPr>
      <w:r w:rsidRPr="00F83B8D">
        <w:rPr>
          <w:rFonts w:eastAsia="Calibri"/>
        </w:rPr>
        <w:t>Dinner $2</w:t>
      </w:r>
      <w:r w:rsidR="003A0038" w:rsidRPr="00F83B8D">
        <w:rPr>
          <w:rFonts w:eastAsia="Calibri"/>
        </w:rPr>
        <w:t>6</w:t>
      </w:r>
    </w:p>
    <w:p w14:paraId="3724A97E" w14:textId="77777777" w:rsidR="004A1DDE" w:rsidRPr="00F83B8D" w:rsidRDefault="00A5431D" w:rsidP="00B36AD4">
      <w:pPr>
        <w:pStyle w:val="NoSpacing0"/>
        <w:numPr>
          <w:ilvl w:val="0"/>
          <w:numId w:val="93"/>
        </w:numPr>
        <w:spacing w:before="240" w:after="240"/>
        <w:ind w:left="2520"/>
        <w:rPr>
          <w:rFonts w:eastAsia="Calibri"/>
        </w:rPr>
      </w:pPr>
      <w:r w:rsidRPr="00F83B8D">
        <w:rPr>
          <w:rFonts w:eastAsia="Calibri"/>
        </w:rPr>
        <w:t>Incidentals $5</w:t>
      </w:r>
      <w:r w:rsidR="004A1DDE" w:rsidRPr="00F83B8D">
        <w:rPr>
          <w:rFonts w:eastAsia="Calibri"/>
        </w:rPr>
        <w:t xml:space="preserve"> (can be claimed only after a 24-hour travel period)</w:t>
      </w:r>
    </w:p>
    <w:p w14:paraId="14870E55" w14:textId="77777777" w:rsidR="004A1DDE" w:rsidRPr="00F83B8D" w:rsidRDefault="004A1DDE" w:rsidP="00B36AD4">
      <w:pPr>
        <w:spacing w:before="240" w:after="240" w:line="259" w:lineRule="auto"/>
        <w:ind w:left="2520"/>
        <w:rPr>
          <w:rFonts w:eastAsia="Calibri"/>
          <w:bCs w:val="0"/>
          <w:szCs w:val="24"/>
        </w:rPr>
      </w:pPr>
      <w:r w:rsidRPr="00F83B8D">
        <w:rPr>
          <w:rFonts w:eastAsia="Calibri"/>
          <w:bCs w:val="0"/>
          <w:szCs w:val="24"/>
        </w:rPr>
        <w:t>May not claim meals when meals are included in the hotel expenses or conference fees.</w:t>
      </w:r>
    </w:p>
    <w:p w14:paraId="1C3D9844" w14:textId="77777777" w:rsidR="004A1DDE" w:rsidRPr="00F83B8D" w:rsidRDefault="004A1DDE" w:rsidP="00203B86">
      <w:pPr>
        <w:pStyle w:val="ListParagraph"/>
        <w:numPr>
          <w:ilvl w:val="0"/>
          <w:numId w:val="94"/>
        </w:numPr>
        <w:spacing w:before="240" w:after="240" w:line="259" w:lineRule="auto"/>
        <w:rPr>
          <w:rFonts w:eastAsia="Calibri"/>
          <w:bCs w:val="0"/>
          <w:szCs w:val="24"/>
        </w:rPr>
      </w:pPr>
      <w:r w:rsidRPr="00F83B8D">
        <w:rPr>
          <w:rFonts w:eastAsia="Calibri"/>
          <w:bCs w:val="0"/>
          <w:szCs w:val="24"/>
        </w:rPr>
        <w:lastRenderedPageBreak/>
        <w:t>Incidentals may not be reimbursed to students.</w:t>
      </w:r>
    </w:p>
    <w:p w14:paraId="4A9D398A" w14:textId="77777777" w:rsidR="003A0038" w:rsidRPr="00F83B8D" w:rsidRDefault="003A0038" w:rsidP="00B36AD4">
      <w:pPr>
        <w:pStyle w:val="ListParagraph"/>
        <w:numPr>
          <w:ilvl w:val="0"/>
          <w:numId w:val="94"/>
        </w:numPr>
        <w:spacing w:before="240" w:after="240"/>
        <w:outlineLvl w:val="5"/>
        <w:rPr>
          <w:b/>
          <w:color w:val="000000"/>
          <w:szCs w:val="24"/>
        </w:rPr>
      </w:pPr>
      <w:r w:rsidRPr="00F83B8D">
        <w:rPr>
          <w:b/>
          <w:color w:val="000000"/>
          <w:szCs w:val="24"/>
        </w:rPr>
        <w:t>Partial Days (Less than 24 Hours)</w:t>
      </w:r>
    </w:p>
    <w:tbl>
      <w:tblPr>
        <w:tblW w:w="4330" w:type="pct"/>
        <w:tblCellSpacing w:w="15" w:type="dxa"/>
        <w:tblInd w:w="12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Reimbursement rate table for actual expenses when traveling less than 24 hours. "/>
      </w:tblPr>
      <w:tblGrid>
        <w:gridCol w:w="1923"/>
        <w:gridCol w:w="1905"/>
        <w:gridCol w:w="4264"/>
      </w:tblGrid>
      <w:tr w:rsidR="003A0038" w:rsidRPr="00F83B8D" w14:paraId="70CA18FA" w14:textId="77777777" w:rsidTr="00933858">
        <w:trPr>
          <w:cantSplit/>
          <w:tblHeader/>
          <w:tblCellSpacing w:w="15" w:type="dxa"/>
        </w:trPr>
        <w:tc>
          <w:tcPr>
            <w:tcW w:w="1160"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0CB55062" w14:textId="77777777" w:rsidR="003A0038" w:rsidRPr="00F83B8D" w:rsidRDefault="003A0038" w:rsidP="00B34DED">
            <w:pPr>
              <w:spacing w:before="100" w:beforeAutospacing="1" w:after="100" w:afterAutospacing="1"/>
              <w:jc w:val="center"/>
              <w:rPr>
                <w:b/>
                <w:color w:val="FFFFFF"/>
                <w:szCs w:val="24"/>
              </w:rPr>
            </w:pPr>
            <w:r w:rsidRPr="00F83B8D">
              <w:rPr>
                <w:b/>
                <w:color w:val="FFFFFF"/>
                <w:szCs w:val="24"/>
              </w:rPr>
              <w:t>Begins At</w:t>
            </w:r>
            <w:r w:rsidRPr="00F83B8D">
              <w:rPr>
                <w:b/>
                <w:color w:val="FFFFFF"/>
                <w:szCs w:val="24"/>
              </w:rPr>
              <w:br/>
              <w:t>or Before</w:t>
            </w:r>
          </w:p>
        </w:tc>
        <w:tc>
          <w:tcPr>
            <w:tcW w:w="1159"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22D96CA3" w14:textId="77777777" w:rsidR="003A0038" w:rsidRPr="00F83B8D" w:rsidRDefault="003A0038" w:rsidP="00B34DED">
            <w:pPr>
              <w:spacing w:before="100" w:beforeAutospacing="1" w:after="100" w:afterAutospacing="1"/>
              <w:jc w:val="center"/>
              <w:rPr>
                <w:b/>
                <w:color w:val="FFFFFF"/>
                <w:szCs w:val="24"/>
              </w:rPr>
            </w:pPr>
            <w:r w:rsidRPr="00F83B8D">
              <w:rPr>
                <w:b/>
                <w:color w:val="FFFFFF"/>
                <w:szCs w:val="24"/>
              </w:rPr>
              <w:t>Ends At</w:t>
            </w:r>
            <w:r w:rsidRPr="00F83B8D">
              <w:rPr>
                <w:b/>
                <w:color w:val="FFFFFF"/>
                <w:szCs w:val="24"/>
              </w:rPr>
              <w:br/>
              <w:t>or After</w:t>
            </w:r>
          </w:p>
        </w:tc>
        <w:tc>
          <w:tcPr>
            <w:tcW w:w="2607"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0A296310" w14:textId="77777777" w:rsidR="003A0038" w:rsidRPr="00F83B8D" w:rsidRDefault="003A0038" w:rsidP="00B34DED">
            <w:pPr>
              <w:jc w:val="center"/>
              <w:rPr>
                <w:b/>
                <w:color w:val="FFFFFF"/>
                <w:szCs w:val="24"/>
              </w:rPr>
            </w:pPr>
            <w:r w:rsidRPr="00F83B8D">
              <w:rPr>
                <w:b/>
                <w:color w:val="FFFFFF"/>
                <w:szCs w:val="24"/>
              </w:rPr>
              <w:t>Effective January 1, 2024: Reimbursement Rate for Actual Expense</w:t>
            </w:r>
          </w:p>
        </w:tc>
      </w:tr>
      <w:tr w:rsidR="003A0038" w:rsidRPr="00F83B8D" w14:paraId="7D87CBB1" w14:textId="77777777" w:rsidTr="0093385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D298E" w14:textId="77777777" w:rsidR="003A0038" w:rsidRPr="00F83B8D" w:rsidRDefault="003A0038" w:rsidP="00B34DED">
            <w:pPr>
              <w:spacing w:before="100" w:beforeAutospacing="1" w:after="100" w:afterAutospacing="1"/>
              <w:jc w:val="center"/>
              <w:rPr>
                <w:bCs w:val="0"/>
                <w:szCs w:val="24"/>
              </w:rPr>
            </w:pPr>
            <w:r w:rsidRPr="00F83B8D">
              <w:rPr>
                <w:bCs w:val="0"/>
                <w:szCs w:val="24"/>
              </w:rPr>
              <w:t>6:00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FF472" w14:textId="77777777" w:rsidR="003A0038" w:rsidRPr="00F83B8D" w:rsidRDefault="003A0038" w:rsidP="00B34DED">
            <w:pPr>
              <w:spacing w:before="100" w:beforeAutospacing="1" w:after="100" w:afterAutospacing="1"/>
              <w:jc w:val="center"/>
              <w:rPr>
                <w:bCs w:val="0"/>
                <w:szCs w:val="24"/>
              </w:rPr>
            </w:pPr>
            <w:r w:rsidRPr="00F83B8D">
              <w:rPr>
                <w:bCs w:val="0"/>
                <w:szCs w:val="24"/>
              </w:rPr>
              <w:t>9:00 a.m.</w:t>
            </w:r>
          </w:p>
        </w:tc>
        <w:tc>
          <w:tcPr>
            <w:tcW w:w="2607" w:type="pct"/>
            <w:tcBorders>
              <w:top w:val="outset" w:sz="6" w:space="0" w:color="auto"/>
              <w:left w:val="outset" w:sz="6" w:space="0" w:color="auto"/>
              <w:bottom w:val="outset" w:sz="6" w:space="0" w:color="auto"/>
              <w:right w:val="outset" w:sz="6" w:space="0" w:color="auto"/>
            </w:tcBorders>
            <w:noWrap/>
            <w:vAlign w:val="center"/>
            <w:hideMark/>
          </w:tcPr>
          <w:p w14:paraId="4A71744F" w14:textId="77777777" w:rsidR="003A0038" w:rsidRPr="00F83B8D" w:rsidRDefault="003A0038" w:rsidP="00B34DED">
            <w:pPr>
              <w:jc w:val="center"/>
              <w:rPr>
                <w:bCs w:val="0"/>
                <w:szCs w:val="24"/>
              </w:rPr>
            </w:pPr>
            <w:r w:rsidRPr="00F83B8D">
              <w:rPr>
                <w:bCs w:val="0"/>
                <w:szCs w:val="24"/>
              </w:rPr>
              <w:t>Breakfast $13.00</w:t>
            </w:r>
          </w:p>
        </w:tc>
      </w:tr>
      <w:tr w:rsidR="003A0038" w:rsidRPr="00F83B8D" w14:paraId="7AD913D1" w14:textId="77777777" w:rsidTr="0093385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E5310" w14:textId="77777777" w:rsidR="003A0038" w:rsidRPr="00F83B8D" w:rsidRDefault="003A0038" w:rsidP="00B34DED">
            <w:pPr>
              <w:spacing w:before="100" w:beforeAutospacing="1" w:after="100" w:afterAutospacing="1"/>
              <w:jc w:val="center"/>
              <w:rPr>
                <w:bCs w:val="0"/>
                <w:szCs w:val="24"/>
              </w:rPr>
            </w:pPr>
            <w:r w:rsidRPr="00F83B8D">
              <w:rPr>
                <w:bCs w:val="0"/>
                <w:szCs w:val="24"/>
              </w:rPr>
              <w:t>4:00 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58021" w14:textId="77777777" w:rsidR="003A0038" w:rsidRPr="00F83B8D" w:rsidRDefault="003A0038" w:rsidP="00B34DED">
            <w:pPr>
              <w:spacing w:before="100" w:beforeAutospacing="1" w:after="100" w:afterAutospacing="1"/>
              <w:jc w:val="center"/>
              <w:rPr>
                <w:bCs w:val="0"/>
                <w:szCs w:val="24"/>
              </w:rPr>
            </w:pPr>
            <w:r w:rsidRPr="00F83B8D">
              <w:rPr>
                <w:bCs w:val="0"/>
                <w:szCs w:val="24"/>
              </w:rPr>
              <w:t>7:00 p.m.</w:t>
            </w:r>
          </w:p>
        </w:tc>
        <w:tc>
          <w:tcPr>
            <w:tcW w:w="2607" w:type="pct"/>
            <w:tcBorders>
              <w:top w:val="outset" w:sz="6" w:space="0" w:color="auto"/>
              <w:left w:val="outset" w:sz="6" w:space="0" w:color="auto"/>
              <w:bottom w:val="outset" w:sz="6" w:space="0" w:color="auto"/>
              <w:right w:val="outset" w:sz="6" w:space="0" w:color="auto"/>
            </w:tcBorders>
            <w:noWrap/>
            <w:vAlign w:val="center"/>
            <w:hideMark/>
          </w:tcPr>
          <w:p w14:paraId="08713A5F" w14:textId="77777777" w:rsidR="003A0038" w:rsidRPr="00F83B8D" w:rsidRDefault="003A0038" w:rsidP="00B34DED">
            <w:pPr>
              <w:jc w:val="center"/>
              <w:rPr>
                <w:bCs w:val="0"/>
                <w:szCs w:val="24"/>
              </w:rPr>
            </w:pPr>
            <w:r w:rsidRPr="00F83B8D">
              <w:rPr>
                <w:bCs w:val="0"/>
                <w:szCs w:val="24"/>
              </w:rPr>
              <w:t>Dinner $26.00</w:t>
            </w:r>
          </w:p>
        </w:tc>
      </w:tr>
    </w:tbl>
    <w:p w14:paraId="74DA39CD" w14:textId="77777777" w:rsidR="003A0038" w:rsidRPr="00F83B8D" w:rsidRDefault="003A0038" w:rsidP="00B36AD4">
      <w:pPr>
        <w:pStyle w:val="ListParagraph"/>
        <w:numPr>
          <w:ilvl w:val="0"/>
          <w:numId w:val="95"/>
        </w:numPr>
        <w:spacing w:before="240" w:after="240"/>
        <w:outlineLvl w:val="5"/>
        <w:rPr>
          <w:b/>
          <w:color w:val="000000"/>
          <w:szCs w:val="24"/>
        </w:rPr>
      </w:pPr>
      <w:r w:rsidRPr="00F83B8D">
        <w:rPr>
          <w:b/>
          <w:color w:val="000000"/>
          <w:szCs w:val="24"/>
        </w:rPr>
        <w:t>Full Days (More than 24 Hours)</w:t>
      </w:r>
    </w:p>
    <w:tbl>
      <w:tblPr>
        <w:tblW w:w="4357" w:type="pct"/>
        <w:tblCellSpacing w:w="15" w:type="dxa"/>
        <w:tblInd w:w="12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Reimbursement rate table for actual expenses when traveling more than 24 hours."/>
      </w:tblPr>
      <w:tblGrid>
        <w:gridCol w:w="2042"/>
        <w:gridCol w:w="1917"/>
        <w:gridCol w:w="4183"/>
      </w:tblGrid>
      <w:tr w:rsidR="003A0038" w:rsidRPr="00F83B8D" w14:paraId="4A0A15B9" w14:textId="77777777" w:rsidTr="006A0416">
        <w:trPr>
          <w:cantSplit/>
          <w:tblHeader/>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72E8577E" w14:textId="77777777" w:rsidR="003A0038" w:rsidRPr="00F83B8D" w:rsidRDefault="003A0038" w:rsidP="00B34DED">
            <w:pPr>
              <w:spacing w:before="100" w:beforeAutospacing="1" w:after="100" w:afterAutospacing="1"/>
              <w:jc w:val="center"/>
              <w:rPr>
                <w:b/>
                <w:color w:val="FFFFFF"/>
                <w:szCs w:val="24"/>
              </w:rPr>
            </w:pPr>
            <w:r w:rsidRPr="00F83B8D">
              <w:rPr>
                <w:b/>
                <w:color w:val="FFFFFF"/>
                <w:szCs w:val="24"/>
              </w:rPr>
              <w:t>Begins At</w:t>
            </w:r>
            <w:r w:rsidRPr="00F83B8D">
              <w:rPr>
                <w:b/>
                <w:color w:val="FFFFFF"/>
                <w:szCs w:val="24"/>
              </w:rPr>
              <w:br/>
              <w:t>or Before</w:t>
            </w:r>
          </w:p>
        </w:tc>
        <w:tc>
          <w:tcPr>
            <w:tcW w:w="1159"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56717DE0" w14:textId="77777777" w:rsidR="003A0038" w:rsidRPr="00F83B8D" w:rsidRDefault="003A0038" w:rsidP="00B34DED">
            <w:pPr>
              <w:spacing w:before="100" w:beforeAutospacing="1" w:after="100" w:afterAutospacing="1"/>
              <w:jc w:val="center"/>
              <w:rPr>
                <w:b/>
                <w:color w:val="FFFFFF"/>
                <w:szCs w:val="24"/>
              </w:rPr>
            </w:pPr>
            <w:r w:rsidRPr="00F83B8D">
              <w:rPr>
                <w:b/>
                <w:color w:val="FFFFFF"/>
                <w:szCs w:val="24"/>
              </w:rPr>
              <w:t>Ends At</w:t>
            </w:r>
            <w:r w:rsidRPr="00F83B8D">
              <w:rPr>
                <w:b/>
                <w:color w:val="FFFFFF"/>
                <w:szCs w:val="24"/>
              </w:rPr>
              <w:br/>
              <w:t>or After</w:t>
            </w:r>
          </w:p>
        </w:tc>
        <w:tc>
          <w:tcPr>
            <w:tcW w:w="2541"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5AF6D304" w14:textId="77777777" w:rsidR="003A0038" w:rsidRPr="00F83B8D" w:rsidRDefault="003A0038" w:rsidP="00B34DED">
            <w:pPr>
              <w:jc w:val="center"/>
              <w:rPr>
                <w:b/>
                <w:color w:val="FFFFFF"/>
                <w:szCs w:val="24"/>
              </w:rPr>
            </w:pPr>
            <w:r w:rsidRPr="00F83B8D">
              <w:rPr>
                <w:b/>
                <w:color w:val="FFFFFF"/>
                <w:szCs w:val="24"/>
              </w:rPr>
              <w:t>Effective January 1, 2024: Reimbursement Rate for Actual Expense</w:t>
            </w:r>
          </w:p>
        </w:tc>
      </w:tr>
      <w:tr w:rsidR="003A0038" w:rsidRPr="00F83B8D" w14:paraId="05B4A16C" w14:textId="77777777" w:rsidTr="006A0416">
        <w:trPr>
          <w:cantSplit/>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7FF028CE" w14:textId="77777777" w:rsidR="003A0038" w:rsidRPr="00F83B8D" w:rsidRDefault="003A0038" w:rsidP="00B34DED">
            <w:pPr>
              <w:spacing w:before="100" w:beforeAutospacing="1" w:after="100" w:afterAutospacing="1"/>
              <w:jc w:val="center"/>
              <w:rPr>
                <w:bCs w:val="0"/>
                <w:szCs w:val="24"/>
              </w:rPr>
            </w:pPr>
            <w:r w:rsidRPr="00F83B8D">
              <w:rPr>
                <w:bCs w:val="0"/>
                <w:szCs w:val="24"/>
              </w:rPr>
              <w:t>6:00 a.m.</w:t>
            </w:r>
          </w:p>
        </w:tc>
        <w:tc>
          <w:tcPr>
            <w:tcW w:w="1159" w:type="pct"/>
            <w:tcBorders>
              <w:top w:val="outset" w:sz="6" w:space="0" w:color="auto"/>
              <w:left w:val="outset" w:sz="6" w:space="0" w:color="auto"/>
              <w:bottom w:val="outset" w:sz="6" w:space="0" w:color="auto"/>
              <w:right w:val="outset" w:sz="6" w:space="0" w:color="auto"/>
            </w:tcBorders>
            <w:vAlign w:val="center"/>
            <w:hideMark/>
          </w:tcPr>
          <w:p w14:paraId="3B5A556E" w14:textId="77777777" w:rsidR="003A0038" w:rsidRPr="00F83B8D" w:rsidRDefault="003A0038" w:rsidP="00B34DED">
            <w:pPr>
              <w:spacing w:before="100" w:beforeAutospacing="1" w:after="100" w:afterAutospacing="1"/>
              <w:jc w:val="center"/>
              <w:rPr>
                <w:bCs w:val="0"/>
                <w:szCs w:val="24"/>
              </w:rPr>
            </w:pPr>
            <w:r w:rsidRPr="00F83B8D">
              <w:rPr>
                <w:bCs w:val="0"/>
                <w:szCs w:val="24"/>
              </w:rPr>
              <w:t>8:00 a.m.</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38C3AB3" w14:textId="77777777" w:rsidR="003A0038" w:rsidRPr="00F83B8D" w:rsidRDefault="003A0038" w:rsidP="00B34DED">
            <w:pPr>
              <w:jc w:val="center"/>
              <w:rPr>
                <w:bCs w:val="0"/>
                <w:szCs w:val="24"/>
              </w:rPr>
            </w:pPr>
            <w:r w:rsidRPr="00F83B8D">
              <w:rPr>
                <w:bCs w:val="0"/>
                <w:szCs w:val="24"/>
              </w:rPr>
              <w:t>Breakfast $13.00</w:t>
            </w:r>
          </w:p>
        </w:tc>
      </w:tr>
      <w:tr w:rsidR="003A0038" w:rsidRPr="00F83B8D" w14:paraId="6F84D3EC" w14:textId="77777777" w:rsidTr="006A0416">
        <w:trPr>
          <w:cantSplit/>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7DA16F24" w14:textId="77777777" w:rsidR="003A0038" w:rsidRPr="00F83B8D" w:rsidRDefault="003A0038" w:rsidP="00B34DED">
            <w:pPr>
              <w:spacing w:before="100" w:beforeAutospacing="1" w:after="100" w:afterAutospacing="1"/>
              <w:jc w:val="center"/>
              <w:rPr>
                <w:bCs w:val="0"/>
                <w:szCs w:val="24"/>
              </w:rPr>
            </w:pPr>
            <w:r w:rsidRPr="00F83B8D">
              <w:rPr>
                <w:bCs w:val="0"/>
                <w:szCs w:val="24"/>
              </w:rPr>
              <w:t>11:00 a.m.</w:t>
            </w:r>
          </w:p>
        </w:tc>
        <w:tc>
          <w:tcPr>
            <w:tcW w:w="1159" w:type="pct"/>
            <w:tcBorders>
              <w:top w:val="outset" w:sz="6" w:space="0" w:color="auto"/>
              <w:left w:val="outset" w:sz="6" w:space="0" w:color="auto"/>
              <w:bottom w:val="outset" w:sz="6" w:space="0" w:color="auto"/>
              <w:right w:val="outset" w:sz="6" w:space="0" w:color="auto"/>
            </w:tcBorders>
            <w:vAlign w:val="center"/>
            <w:hideMark/>
          </w:tcPr>
          <w:p w14:paraId="3531C026" w14:textId="77777777" w:rsidR="003A0038" w:rsidRPr="00F83B8D" w:rsidRDefault="003A0038" w:rsidP="00B34DED">
            <w:pPr>
              <w:spacing w:before="100" w:beforeAutospacing="1" w:after="100" w:afterAutospacing="1"/>
              <w:jc w:val="center"/>
              <w:rPr>
                <w:bCs w:val="0"/>
                <w:szCs w:val="24"/>
              </w:rPr>
            </w:pPr>
            <w:r w:rsidRPr="00F83B8D">
              <w:rPr>
                <w:bCs w:val="0"/>
                <w:szCs w:val="24"/>
              </w:rPr>
              <w:t>2:00 p.m.</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0A54640" w14:textId="77777777" w:rsidR="003A0038" w:rsidRPr="00F83B8D" w:rsidRDefault="003A0038" w:rsidP="00B34DED">
            <w:pPr>
              <w:jc w:val="center"/>
              <w:rPr>
                <w:bCs w:val="0"/>
                <w:szCs w:val="24"/>
              </w:rPr>
            </w:pPr>
            <w:r w:rsidRPr="00F83B8D">
              <w:rPr>
                <w:bCs w:val="0"/>
                <w:szCs w:val="24"/>
              </w:rPr>
              <w:t>Lunch $15.00</w:t>
            </w:r>
          </w:p>
        </w:tc>
      </w:tr>
      <w:tr w:rsidR="003A0038" w:rsidRPr="00F83B8D" w14:paraId="4A99C163" w14:textId="77777777" w:rsidTr="006A0416">
        <w:trPr>
          <w:cantSplit/>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55C2FA4C" w14:textId="77777777" w:rsidR="003A0038" w:rsidRPr="00F83B8D" w:rsidRDefault="003A0038" w:rsidP="00B34DED">
            <w:pPr>
              <w:spacing w:before="100" w:beforeAutospacing="1" w:after="100" w:afterAutospacing="1"/>
              <w:jc w:val="center"/>
              <w:rPr>
                <w:bCs w:val="0"/>
                <w:szCs w:val="24"/>
              </w:rPr>
            </w:pPr>
            <w:r w:rsidRPr="00F83B8D">
              <w:rPr>
                <w:bCs w:val="0"/>
                <w:szCs w:val="24"/>
              </w:rPr>
              <w:t>5:00 p.m.</w:t>
            </w:r>
          </w:p>
        </w:tc>
        <w:tc>
          <w:tcPr>
            <w:tcW w:w="1159" w:type="pct"/>
            <w:tcBorders>
              <w:top w:val="outset" w:sz="6" w:space="0" w:color="auto"/>
              <w:left w:val="outset" w:sz="6" w:space="0" w:color="auto"/>
              <w:bottom w:val="outset" w:sz="6" w:space="0" w:color="auto"/>
              <w:right w:val="outset" w:sz="6" w:space="0" w:color="auto"/>
            </w:tcBorders>
            <w:vAlign w:val="center"/>
            <w:hideMark/>
          </w:tcPr>
          <w:p w14:paraId="34090F4D" w14:textId="77777777" w:rsidR="003A0038" w:rsidRPr="00F83B8D" w:rsidRDefault="003A0038" w:rsidP="00B34DED">
            <w:pPr>
              <w:spacing w:before="100" w:beforeAutospacing="1" w:after="100" w:afterAutospacing="1"/>
              <w:jc w:val="center"/>
              <w:rPr>
                <w:bCs w:val="0"/>
                <w:szCs w:val="24"/>
              </w:rPr>
            </w:pPr>
            <w:r w:rsidRPr="00F83B8D">
              <w:rPr>
                <w:bCs w:val="0"/>
                <w:szCs w:val="24"/>
              </w:rPr>
              <w:t>7:00 p.m.</w:t>
            </w:r>
          </w:p>
        </w:tc>
        <w:tc>
          <w:tcPr>
            <w:tcW w:w="2541" w:type="pct"/>
            <w:tcBorders>
              <w:top w:val="outset" w:sz="6" w:space="0" w:color="auto"/>
              <w:left w:val="outset" w:sz="6" w:space="0" w:color="auto"/>
              <w:bottom w:val="outset" w:sz="6" w:space="0" w:color="auto"/>
              <w:right w:val="outset" w:sz="6" w:space="0" w:color="auto"/>
            </w:tcBorders>
            <w:noWrap/>
            <w:vAlign w:val="center"/>
            <w:hideMark/>
          </w:tcPr>
          <w:p w14:paraId="5A9CC0B5" w14:textId="77777777" w:rsidR="003A0038" w:rsidRPr="00F83B8D" w:rsidRDefault="003A0038" w:rsidP="00B34DED">
            <w:pPr>
              <w:jc w:val="center"/>
              <w:rPr>
                <w:bCs w:val="0"/>
                <w:szCs w:val="24"/>
              </w:rPr>
            </w:pPr>
            <w:r w:rsidRPr="00F83B8D">
              <w:rPr>
                <w:bCs w:val="0"/>
                <w:szCs w:val="24"/>
              </w:rPr>
              <w:t>Dinner $26.00</w:t>
            </w:r>
          </w:p>
        </w:tc>
      </w:tr>
      <w:tr w:rsidR="003A0038" w:rsidRPr="00F83B8D" w14:paraId="51D87A2B" w14:textId="77777777" w:rsidTr="006A0416">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CC072" w14:textId="77777777" w:rsidR="003A0038" w:rsidRPr="00F83B8D" w:rsidRDefault="003A0038" w:rsidP="00B36AD4">
            <w:pPr>
              <w:jc w:val="center"/>
              <w:rPr>
                <w:bCs w:val="0"/>
                <w:szCs w:val="24"/>
              </w:rPr>
            </w:pPr>
            <w:r w:rsidRPr="00F83B8D">
              <w:rPr>
                <w:bCs w:val="0"/>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F81D9" w14:textId="77777777" w:rsidR="003A0038" w:rsidRPr="00F83B8D" w:rsidRDefault="003A0038" w:rsidP="00B34DED">
            <w:pPr>
              <w:jc w:val="center"/>
              <w:rPr>
                <w:bCs w:val="0"/>
                <w:szCs w:val="24"/>
              </w:rPr>
            </w:pPr>
            <w:r w:rsidRPr="00F83B8D">
              <w:rPr>
                <w:bCs w:val="0"/>
                <w:szCs w:val="24"/>
              </w:rPr>
              <w:t>After the first 24 hours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37530A8" w14:textId="77777777" w:rsidR="003A0038" w:rsidRPr="00F83B8D" w:rsidRDefault="003A0038" w:rsidP="00B34DED">
            <w:pPr>
              <w:jc w:val="center"/>
              <w:rPr>
                <w:bCs w:val="0"/>
                <w:szCs w:val="24"/>
              </w:rPr>
            </w:pPr>
            <w:r w:rsidRPr="00F83B8D">
              <w:rPr>
                <w:bCs w:val="0"/>
                <w:szCs w:val="24"/>
              </w:rPr>
              <w:t>Incidentals $5.00</w:t>
            </w:r>
          </w:p>
        </w:tc>
      </w:tr>
    </w:tbl>
    <w:p w14:paraId="1F25C39E" w14:textId="77777777" w:rsidR="00D550A2" w:rsidRPr="00F83B8D" w:rsidRDefault="004A1DDE" w:rsidP="00B36AD4">
      <w:pPr>
        <w:pStyle w:val="ListParagraph"/>
        <w:numPr>
          <w:ilvl w:val="0"/>
          <w:numId w:val="95"/>
        </w:numPr>
        <w:spacing w:before="360" w:after="240" w:line="259" w:lineRule="auto"/>
        <w:rPr>
          <w:rFonts w:eastAsia="Calibri"/>
          <w:bCs w:val="0"/>
          <w:szCs w:val="24"/>
        </w:rPr>
      </w:pPr>
      <w:r w:rsidRPr="00F83B8D">
        <w:rPr>
          <w:rFonts w:eastAsia="Calibri"/>
          <w:bCs w:val="0"/>
          <w:szCs w:val="24"/>
        </w:rPr>
        <w:t>When traveling fewer than 24 hou</w:t>
      </w:r>
      <w:r w:rsidR="00D550A2" w:rsidRPr="00F83B8D">
        <w:rPr>
          <w:rFonts w:eastAsia="Calibri"/>
          <w:bCs w:val="0"/>
          <w:szCs w:val="24"/>
        </w:rPr>
        <w:t>rs, lunch can never be claimed.</w:t>
      </w:r>
    </w:p>
    <w:p w14:paraId="7B287E7C" w14:textId="4842E352" w:rsidR="004A1DDE" w:rsidRPr="00F83B8D" w:rsidRDefault="006F64B9" w:rsidP="00203B86">
      <w:pPr>
        <w:pStyle w:val="ListParagraph"/>
        <w:numPr>
          <w:ilvl w:val="0"/>
          <w:numId w:val="13"/>
        </w:numPr>
        <w:spacing w:before="240" w:after="240" w:line="259" w:lineRule="auto"/>
        <w:rPr>
          <w:rFonts w:eastAsia="Calibri"/>
          <w:bCs w:val="0"/>
          <w:szCs w:val="24"/>
        </w:rPr>
      </w:pPr>
      <w:r w:rsidRPr="00F83B8D">
        <w:rPr>
          <w:rFonts w:eastAsia="Calibri"/>
          <w:bCs w:val="0"/>
          <w:szCs w:val="24"/>
        </w:rPr>
        <w:t>Personal Vehicle Mileage $0.</w:t>
      </w:r>
      <w:r w:rsidR="00374BFC" w:rsidRPr="00F83B8D">
        <w:rPr>
          <w:rFonts w:eastAsia="Calibri"/>
          <w:bCs w:val="0"/>
          <w:szCs w:val="24"/>
        </w:rPr>
        <w:t>67</w:t>
      </w:r>
      <w:r w:rsidR="004A1DDE" w:rsidRPr="00F83B8D">
        <w:rPr>
          <w:rFonts w:eastAsia="Calibri"/>
          <w:bCs w:val="0"/>
          <w:szCs w:val="24"/>
        </w:rPr>
        <w:t>/mile</w:t>
      </w:r>
    </w:p>
    <w:p w14:paraId="5B89551B" w14:textId="77777777" w:rsidR="004A1DDE" w:rsidRPr="00F83B8D" w:rsidRDefault="004A1DDE" w:rsidP="00203B86">
      <w:pPr>
        <w:pStyle w:val="ListParagraph"/>
        <w:numPr>
          <w:ilvl w:val="0"/>
          <w:numId w:val="45"/>
        </w:numPr>
        <w:spacing w:before="240" w:after="240" w:line="259" w:lineRule="auto"/>
        <w:ind w:left="2520"/>
        <w:rPr>
          <w:rFonts w:eastAsia="Calibri"/>
          <w:bCs w:val="0"/>
          <w:szCs w:val="24"/>
        </w:rPr>
      </w:pPr>
      <w:r w:rsidRPr="00F83B8D">
        <w:rPr>
          <w:rFonts w:eastAsia="Calibri"/>
          <w:bCs w:val="0"/>
          <w:szCs w:val="24"/>
        </w:rPr>
        <w:t>Verification of mileage must be kept with the reimbursement.</w:t>
      </w:r>
    </w:p>
    <w:p w14:paraId="3E92C29A" w14:textId="77777777" w:rsidR="00A14F69" w:rsidRPr="00F83B8D" w:rsidRDefault="004A1DDE" w:rsidP="00203B86">
      <w:pPr>
        <w:pStyle w:val="ListParagraph"/>
        <w:numPr>
          <w:ilvl w:val="0"/>
          <w:numId w:val="45"/>
        </w:numPr>
        <w:spacing w:before="240" w:after="240" w:line="259" w:lineRule="auto"/>
        <w:ind w:left="2520"/>
        <w:rPr>
          <w:rFonts w:eastAsia="Calibri"/>
          <w:bCs w:val="0"/>
          <w:szCs w:val="24"/>
        </w:rPr>
      </w:pPr>
      <w:r w:rsidRPr="00F83B8D">
        <w:rPr>
          <w:rFonts w:eastAsia="Calibri"/>
          <w:bCs w:val="0"/>
          <w:szCs w:val="24"/>
        </w:rPr>
        <w:t>Mileage reimbursement documents must include a flyer/purpose and sign-in sheets.</w:t>
      </w:r>
    </w:p>
    <w:p w14:paraId="07813AD1" w14:textId="54BC57EB" w:rsidR="00374BFC" w:rsidRPr="00F83B8D" w:rsidRDefault="00A14F69" w:rsidP="00E11687">
      <w:pPr>
        <w:pStyle w:val="ListParagraph"/>
        <w:numPr>
          <w:ilvl w:val="0"/>
          <w:numId w:val="44"/>
        </w:numPr>
        <w:spacing w:before="240" w:after="240" w:line="259" w:lineRule="auto"/>
        <w:ind w:left="1710" w:right="-187" w:hanging="274"/>
        <w:rPr>
          <w:bCs w:val="0"/>
          <w:szCs w:val="24"/>
        </w:rPr>
      </w:pPr>
      <w:r w:rsidRPr="00F83B8D">
        <w:rPr>
          <w:rFonts w:eastAsia="Calibri"/>
          <w:bCs w:val="0"/>
          <w:szCs w:val="24"/>
        </w:rPr>
        <w:t>Lodging reimbursement (</w:t>
      </w:r>
      <w:r w:rsidRPr="00F83B8D">
        <w:rPr>
          <w:rFonts w:eastAsia="Calibri"/>
          <w:b/>
          <w:bCs w:val="0"/>
          <w:szCs w:val="24"/>
        </w:rPr>
        <w:t>original receipt required</w:t>
      </w:r>
      <w:r w:rsidR="00503460" w:rsidRPr="00F83B8D">
        <w:rPr>
          <w:rFonts w:eastAsia="Calibri"/>
          <w:bCs w:val="0"/>
          <w:szCs w:val="24"/>
        </w:rPr>
        <w:t>)</w:t>
      </w:r>
      <w:r w:rsidR="00374BFC" w:rsidRPr="00F83B8D">
        <w:rPr>
          <w:rFonts w:eastAsia="Calibri"/>
          <w:bCs w:val="0"/>
          <w:szCs w:val="24"/>
        </w:rPr>
        <w:t>.</w:t>
      </w:r>
    </w:p>
    <w:tbl>
      <w:tblPr>
        <w:tblW w:w="4501" w:type="dxa"/>
        <w:tblCellSpacing w:w="15" w:type="dxa"/>
        <w:tblInd w:w="295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Lodging reimbursement rate table by county."/>
      </w:tblPr>
      <w:tblGrid>
        <w:gridCol w:w="2492"/>
        <w:gridCol w:w="2009"/>
      </w:tblGrid>
      <w:tr w:rsidR="00374BFC" w:rsidRPr="00F83B8D" w14:paraId="2F802CB0" w14:textId="77777777" w:rsidTr="00196094">
        <w:trPr>
          <w:cantSplit/>
          <w:tblHeader/>
          <w:tblCellSpacing w:w="15" w:type="dxa"/>
        </w:trPr>
        <w:tc>
          <w:tcPr>
            <w:tcW w:w="2447" w:type="dxa"/>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03BA1ED3" w14:textId="77777777" w:rsidR="00374BFC" w:rsidRPr="00F83B8D" w:rsidRDefault="00374BFC" w:rsidP="00374BFC">
            <w:pPr>
              <w:spacing w:before="100" w:beforeAutospacing="1" w:after="100" w:afterAutospacing="1"/>
              <w:jc w:val="center"/>
              <w:rPr>
                <w:b/>
                <w:color w:val="FFFFFF"/>
                <w:szCs w:val="24"/>
              </w:rPr>
            </w:pPr>
            <w:r w:rsidRPr="00F83B8D">
              <w:rPr>
                <w:b/>
                <w:color w:val="FFFFFF"/>
                <w:szCs w:val="24"/>
              </w:rPr>
              <w:t>County</w:t>
            </w:r>
          </w:p>
        </w:tc>
        <w:tc>
          <w:tcPr>
            <w:tcW w:w="1964" w:type="dxa"/>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444BEAEC" w14:textId="77777777" w:rsidR="00374BFC" w:rsidRPr="00F83B8D" w:rsidRDefault="00374BFC" w:rsidP="00374BFC">
            <w:pPr>
              <w:jc w:val="center"/>
              <w:rPr>
                <w:b/>
                <w:color w:val="FFFFFF"/>
                <w:szCs w:val="24"/>
              </w:rPr>
            </w:pPr>
            <w:r w:rsidRPr="00F83B8D">
              <w:rPr>
                <w:b/>
                <w:color w:val="FFFFFF"/>
                <w:szCs w:val="24"/>
              </w:rPr>
              <w:t>Effective January 1, 2024: Maximum Lodging Reimbursement Rate</w:t>
            </w:r>
          </w:p>
        </w:tc>
      </w:tr>
      <w:tr w:rsidR="00374BFC" w:rsidRPr="00F83B8D" w14:paraId="4EFCC13E"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F2451" w14:textId="77777777" w:rsidR="00374BFC" w:rsidRPr="00F83B8D" w:rsidRDefault="00374BFC" w:rsidP="00374BFC">
            <w:pPr>
              <w:spacing w:before="100" w:beforeAutospacing="1" w:after="100" w:afterAutospacing="1"/>
              <w:rPr>
                <w:bCs w:val="0"/>
                <w:color w:val="000000"/>
                <w:szCs w:val="24"/>
              </w:rPr>
            </w:pPr>
            <w:r w:rsidRPr="00F83B8D">
              <w:rPr>
                <w:bCs w:val="0"/>
                <w:color w:val="000000"/>
                <w:szCs w:val="24"/>
              </w:rPr>
              <w:t>All California counties except the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C5099" w14:textId="77777777" w:rsidR="00374BFC" w:rsidRPr="00F83B8D" w:rsidRDefault="00374BFC" w:rsidP="00374BFC">
            <w:pPr>
              <w:jc w:val="center"/>
              <w:rPr>
                <w:bCs w:val="0"/>
                <w:color w:val="000000"/>
                <w:szCs w:val="24"/>
              </w:rPr>
            </w:pPr>
            <w:r w:rsidRPr="00F83B8D">
              <w:rPr>
                <w:bCs w:val="0"/>
                <w:color w:val="000000"/>
                <w:szCs w:val="24"/>
              </w:rPr>
              <w:t>$107</w:t>
            </w:r>
          </w:p>
        </w:tc>
      </w:tr>
      <w:tr w:rsidR="00374BFC" w:rsidRPr="00F83B8D" w14:paraId="70F39CA5"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E4230" w14:textId="77777777" w:rsidR="00374BFC" w:rsidRPr="00F83B8D" w:rsidRDefault="00374BFC" w:rsidP="00374BFC">
            <w:pPr>
              <w:rPr>
                <w:bCs w:val="0"/>
                <w:color w:val="000000"/>
                <w:szCs w:val="24"/>
              </w:rPr>
            </w:pPr>
            <w:r w:rsidRPr="00F83B8D">
              <w:rPr>
                <w:bCs w:val="0"/>
                <w:color w:val="000000"/>
                <w:szCs w:val="24"/>
              </w:rPr>
              <w:lastRenderedPageBreak/>
              <w:t>Alameda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114B1" w14:textId="77777777" w:rsidR="00374BFC" w:rsidRPr="00F83B8D" w:rsidRDefault="00374BFC" w:rsidP="00374BFC">
            <w:pPr>
              <w:jc w:val="center"/>
              <w:rPr>
                <w:bCs w:val="0"/>
                <w:color w:val="000000"/>
                <w:szCs w:val="24"/>
              </w:rPr>
            </w:pPr>
            <w:r w:rsidRPr="00F83B8D">
              <w:rPr>
                <w:bCs w:val="0"/>
                <w:color w:val="000000"/>
                <w:szCs w:val="24"/>
              </w:rPr>
              <w:t>$189</w:t>
            </w:r>
          </w:p>
        </w:tc>
      </w:tr>
      <w:tr w:rsidR="00374BFC" w:rsidRPr="00F83B8D" w14:paraId="1A807F1F"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D57AF" w14:textId="77777777" w:rsidR="00374BFC" w:rsidRPr="00F83B8D" w:rsidRDefault="00374BFC" w:rsidP="00374BFC">
            <w:pPr>
              <w:spacing w:before="100" w:beforeAutospacing="1" w:after="100" w:afterAutospacing="1"/>
              <w:rPr>
                <w:bCs w:val="0"/>
                <w:color w:val="000000"/>
                <w:szCs w:val="24"/>
              </w:rPr>
            </w:pPr>
            <w:r w:rsidRPr="00F83B8D">
              <w:rPr>
                <w:bCs w:val="0"/>
                <w:color w:val="000000"/>
                <w:szCs w:val="24"/>
              </w:rPr>
              <w:t>City of Santa Monica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DFBC5" w14:textId="77777777" w:rsidR="00374BFC" w:rsidRPr="00F83B8D" w:rsidRDefault="00374BFC" w:rsidP="00374BFC">
            <w:pPr>
              <w:jc w:val="center"/>
              <w:rPr>
                <w:bCs w:val="0"/>
                <w:color w:val="000000"/>
                <w:szCs w:val="24"/>
              </w:rPr>
            </w:pPr>
            <w:r w:rsidRPr="00F83B8D">
              <w:rPr>
                <w:bCs w:val="0"/>
                <w:color w:val="000000"/>
                <w:szCs w:val="24"/>
              </w:rPr>
              <w:t>$270</w:t>
            </w:r>
          </w:p>
        </w:tc>
      </w:tr>
      <w:tr w:rsidR="00374BFC" w:rsidRPr="00F83B8D" w14:paraId="7568CA53"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997D6" w14:textId="77777777" w:rsidR="00374BFC" w:rsidRPr="00F83B8D" w:rsidRDefault="00374BFC" w:rsidP="00374BFC">
            <w:pPr>
              <w:rPr>
                <w:bCs w:val="0"/>
                <w:color w:val="000000"/>
                <w:szCs w:val="24"/>
              </w:rPr>
            </w:pPr>
            <w:r w:rsidRPr="00F83B8D">
              <w:rPr>
                <w:bCs w:val="0"/>
                <w:color w:val="000000"/>
                <w:szCs w:val="24"/>
              </w:rPr>
              <w:t>Los Angeles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95A44" w14:textId="77777777" w:rsidR="00374BFC" w:rsidRPr="00F83B8D" w:rsidRDefault="00374BFC" w:rsidP="00374BFC">
            <w:pPr>
              <w:jc w:val="center"/>
              <w:rPr>
                <w:bCs w:val="0"/>
                <w:color w:val="000000"/>
                <w:szCs w:val="24"/>
              </w:rPr>
            </w:pPr>
            <w:r w:rsidRPr="00F83B8D">
              <w:rPr>
                <w:bCs w:val="0"/>
                <w:color w:val="000000"/>
                <w:szCs w:val="24"/>
              </w:rPr>
              <w:t>$169</w:t>
            </w:r>
          </w:p>
        </w:tc>
      </w:tr>
      <w:tr w:rsidR="00374BFC" w:rsidRPr="00F83B8D" w14:paraId="1DB9C902"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6DA5F" w14:textId="77777777" w:rsidR="00374BFC" w:rsidRPr="00F83B8D" w:rsidRDefault="00374BFC" w:rsidP="00374BFC">
            <w:pPr>
              <w:rPr>
                <w:bCs w:val="0"/>
                <w:color w:val="000000"/>
                <w:szCs w:val="24"/>
              </w:rPr>
            </w:pPr>
            <w:r w:rsidRPr="00F83B8D">
              <w:rPr>
                <w:bCs w:val="0"/>
                <w:color w:val="000000"/>
                <w:szCs w:val="24"/>
              </w:rPr>
              <w:t>Marin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5E75E" w14:textId="77777777" w:rsidR="00374BFC" w:rsidRPr="00F83B8D" w:rsidRDefault="00374BFC" w:rsidP="00374BFC">
            <w:pPr>
              <w:jc w:val="center"/>
              <w:rPr>
                <w:bCs w:val="0"/>
                <w:color w:val="000000"/>
                <w:szCs w:val="24"/>
              </w:rPr>
            </w:pPr>
            <w:r w:rsidRPr="00F83B8D">
              <w:rPr>
                <w:bCs w:val="0"/>
                <w:color w:val="000000"/>
                <w:szCs w:val="24"/>
              </w:rPr>
              <w:t>$166</w:t>
            </w:r>
          </w:p>
        </w:tc>
      </w:tr>
      <w:tr w:rsidR="00374BFC" w:rsidRPr="00F83B8D" w14:paraId="0B84D990"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10C9E" w14:textId="77777777" w:rsidR="00374BFC" w:rsidRPr="00F83B8D" w:rsidRDefault="00374BFC" w:rsidP="00374BFC">
            <w:pPr>
              <w:rPr>
                <w:bCs w:val="0"/>
                <w:color w:val="000000"/>
                <w:szCs w:val="24"/>
              </w:rPr>
            </w:pPr>
            <w:r w:rsidRPr="00F83B8D">
              <w:rPr>
                <w:bCs w:val="0"/>
                <w:color w:val="000000"/>
                <w:szCs w:val="24"/>
              </w:rPr>
              <w:t>Monterey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FF9F3" w14:textId="77777777" w:rsidR="00374BFC" w:rsidRPr="00F83B8D" w:rsidRDefault="00374BFC" w:rsidP="00374BFC">
            <w:pPr>
              <w:jc w:val="center"/>
              <w:rPr>
                <w:bCs w:val="0"/>
                <w:color w:val="000000"/>
                <w:szCs w:val="24"/>
              </w:rPr>
            </w:pPr>
            <w:r w:rsidRPr="00F83B8D">
              <w:rPr>
                <w:bCs w:val="0"/>
                <w:color w:val="000000"/>
                <w:szCs w:val="24"/>
              </w:rPr>
              <w:t>$184</w:t>
            </w:r>
          </w:p>
        </w:tc>
      </w:tr>
      <w:tr w:rsidR="00374BFC" w:rsidRPr="00F83B8D" w14:paraId="26F6DFF8"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B2D94" w14:textId="77777777" w:rsidR="00374BFC" w:rsidRPr="00F83B8D" w:rsidRDefault="00374BFC" w:rsidP="00374BFC">
            <w:pPr>
              <w:rPr>
                <w:bCs w:val="0"/>
                <w:color w:val="000000"/>
                <w:szCs w:val="24"/>
              </w:rPr>
            </w:pPr>
            <w:r w:rsidRPr="00F83B8D">
              <w:rPr>
                <w:bCs w:val="0"/>
                <w:color w:val="000000"/>
                <w:szCs w:val="24"/>
              </w:rPr>
              <w:t>Napa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1F0FC" w14:textId="77777777" w:rsidR="00374BFC" w:rsidRPr="00F83B8D" w:rsidRDefault="00374BFC" w:rsidP="00374BFC">
            <w:pPr>
              <w:jc w:val="center"/>
              <w:rPr>
                <w:bCs w:val="0"/>
                <w:color w:val="000000"/>
                <w:szCs w:val="24"/>
              </w:rPr>
            </w:pPr>
            <w:r w:rsidRPr="00F83B8D">
              <w:rPr>
                <w:bCs w:val="0"/>
                <w:color w:val="000000"/>
                <w:szCs w:val="24"/>
              </w:rPr>
              <w:t>$195</w:t>
            </w:r>
          </w:p>
        </w:tc>
      </w:tr>
      <w:tr w:rsidR="00374BFC" w:rsidRPr="00F83B8D" w14:paraId="4E257508"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B0090" w14:textId="77777777" w:rsidR="00374BFC" w:rsidRPr="00F83B8D" w:rsidRDefault="00374BFC" w:rsidP="00374BFC">
            <w:pPr>
              <w:rPr>
                <w:bCs w:val="0"/>
                <w:color w:val="000000"/>
                <w:szCs w:val="24"/>
              </w:rPr>
            </w:pPr>
            <w:r w:rsidRPr="00F83B8D">
              <w:rPr>
                <w:bCs w:val="0"/>
                <w:color w:val="000000"/>
                <w:szCs w:val="24"/>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B48D3" w14:textId="77777777" w:rsidR="00374BFC" w:rsidRPr="00F83B8D" w:rsidRDefault="00374BFC" w:rsidP="00374BFC">
            <w:pPr>
              <w:jc w:val="center"/>
              <w:rPr>
                <w:bCs w:val="0"/>
                <w:color w:val="000000"/>
                <w:szCs w:val="24"/>
              </w:rPr>
            </w:pPr>
            <w:r w:rsidRPr="00F83B8D">
              <w:rPr>
                <w:bCs w:val="0"/>
                <w:color w:val="000000"/>
                <w:szCs w:val="24"/>
              </w:rPr>
              <w:t>$169</w:t>
            </w:r>
          </w:p>
        </w:tc>
      </w:tr>
      <w:tr w:rsidR="00374BFC" w:rsidRPr="00F83B8D" w14:paraId="2AF7158D"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79E75" w14:textId="77777777" w:rsidR="00374BFC" w:rsidRPr="00F83B8D" w:rsidRDefault="00374BFC" w:rsidP="00374BFC">
            <w:pPr>
              <w:rPr>
                <w:bCs w:val="0"/>
                <w:color w:val="000000"/>
                <w:szCs w:val="24"/>
              </w:rPr>
            </w:pPr>
            <w:r w:rsidRPr="00F83B8D">
              <w:rPr>
                <w:bCs w:val="0"/>
                <w:color w:val="000000"/>
                <w:szCs w:val="24"/>
              </w:rPr>
              <w:t>Riverside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01874" w14:textId="77777777" w:rsidR="00374BFC" w:rsidRPr="00F83B8D" w:rsidRDefault="00374BFC" w:rsidP="00374BFC">
            <w:pPr>
              <w:jc w:val="center"/>
              <w:rPr>
                <w:bCs w:val="0"/>
                <w:color w:val="000000"/>
                <w:szCs w:val="24"/>
              </w:rPr>
            </w:pPr>
            <w:r w:rsidRPr="00F83B8D">
              <w:rPr>
                <w:bCs w:val="0"/>
                <w:color w:val="000000"/>
                <w:szCs w:val="24"/>
              </w:rPr>
              <w:t>$142</w:t>
            </w:r>
          </w:p>
        </w:tc>
      </w:tr>
      <w:tr w:rsidR="00374BFC" w:rsidRPr="00F83B8D" w14:paraId="31C0B121"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27BFE" w14:textId="77777777" w:rsidR="00374BFC" w:rsidRPr="00F83B8D" w:rsidRDefault="00374BFC" w:rsidP="00374BFC">
            <w:pPr>
              <w:rPr>
                <w:bCs w:val="0"/>
                <w:color w:val="000000"/>
                <w:szCs w:val="24"/>
              </w:rPr>
            </w:pPr>
            <w:r w:rsidRPr="00F83B8D">
              <w:rPr>
                <w:bCs w:val="0"/>
                <w:color w:val="000000"/>
                <w:szCs w:val="24"/>
              </w:rPr>
              <w:t>Sacramento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FDC3C" w14:textId="77777777" w:rsidR="00374BFC" w:rsidRPr="00F83B8D" w:rsidRDefault="00374BFC" w:rsidP="00374BFC">
            <w:pPr>
              <w:jc w:val="center"/>
              <w:rPr>
                <w:bCs w:val="0"/>
                <w:color w:val="000000"/>
                <w:szCs w:val="24"/>
              </w:rPr>
            </w:pPr>
            <w:r w:rsidRPr="00F83B8D">
              <w:rPr>
                <w:bCs w:val="0"/>
                <w:color w:val="000000"/>
                <w:szCs w:val="24"/>
              </w:rPr>
              <w:t>$145</w:t>
            </w:r>
          </w:p>
        </w:tc>
      </w:tr>
      <w:tr w:rsidR="00374BFC" w:rsidRPr="00F83B8D" w14:paraId="761ACFB4"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815D4" w14:textId="77777777" w:rsidR="00374BFC" w:rsidRPr="00F83B8D" w:rsidRDefault="00374BFC" w:rsidP="00374BFC">
            <w:pPr>
              <w:spacing w:before="100" w:beforeAutospacing="1" w:after="100" w:afterAutospacing="1"/>
              <w:rPr>
                <w:bCs w:val="0"/>
                <w:color w:val="000000"/>
                <w:szCs w:val="24"/>
              </w:rPr>
            </w:pPr>
            <w:r w:rsidRPr="00F83B8D">
              <w:rPr>
                <w:bCs w:val="0"/>
                <w:color w:val="000000"/>
                <w:szCs w:val="24"/>
              </w:rPr>
              <w:t>San Diego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003B4" w14:textId="77777777" w:rsidR="00374BFC" w:rsidRPr="00F83B8D" w:rsidRDefault="00374BFC" w:rsidP="00374BFC">
            <w:pPr>
              <w:jc w:val="center"/>
              <w:rPr>
                <w:bCs w:val="0"/>
                <w:color w:val="000000"/>
                <w:szCs w:val="24"/>
              </w:rPr>
            </w:pPr>
            <w:r w:rsidRPr="00F83B8D">
              <w:rPr>
                <w:bCs w:val="0"/>
                <w:color w:val="000000"/>
                <w:szCs w:val="24"/>
              </w:rPr>
              <w:t>$194</w:t>
            </w:r>
          </w:p>
        </w:tc>
      </w:tr>
      <w:tr w:rsidR="00374BFC" w:rsidRPr="00F83B8D" w14:paraId="2304551D"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F18E2" w14:textId="77777777" w:rsidR="00374BFC" w:rsidRPr="00F83B8D" w:rsidRDefault="00374BFC" w:rsidP="00374BFC">
            <w:pPr>
              <w:rPr>
                <w:bCs w:val="0"/>
                <w:color w:val="000000"/>
                <w:szCs w:val="24"/>
              </w:rPr>
            </w:pPr>
            <w:r w:rsidRPr="00F83B8D">
              <w:rPr>
                <w:bCs w:val="0"/>
                <w:color w:val="000000"/>
                <w:szCs w:val="24"/>
              </w:rPr>
              <w:t>San Francisco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BFF0C" w14:textId="77777777" w:rsidR="00374BFC" w:rsidRPr="00F83B8D" w:rsidRDefault="00374BFC" w:rsidP="00374BFC">
            <w:pPr>
              <w:jc w:val="center"/>
              <w:rPr>
                <w:bCs w:val="0"/>
                <w:color w:val="000000"/>
                <w:szCs w:val="24"/>
              </w:rPr>
            </w:pPr>
            <w:r w:rsidRPr="00F83B8D">
              <w:rPr>
                <w:bCs w:val="0"/>
                <w:color w:val="000000"/>
                <w:szCs w:val="24"/>
              </w:rPr>
              <w:t>$270</w:t>
            </w:r>
          </w:p>
        </w:tc>
      </w:tr>
      <w:tr w:rsidR="00374BFC" w:rsidRPr="00F83B8D" w14:paraId="1CABBA27"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206C8" w14:textId="77777777" w:rsidR="00374BFC" w:rsidRPr="00F83B8D" w:rsidRDefault="00374BFC" w:rsidP="00374BFC">
            <w:pPr>
              <w:rPr>
                <w:bCs w:val="0"/>
                <w:color w:val="000000"/>
                <w:szCs w:val="24"/>
              </w:rPr>
            </w:pPr>
            <w:r w:rsidRPr="00F83B8D">
              <w:rPr>
                <w:bCs w:val="0"/>
                <w:color w:val="000000"/>
                <w:szCs w:val="24"/>
              </w:rPr>
              <w:t>San Mateo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E25C5" w14:textId="77777777" w:rsidR="00374BFC" w:rsidRPr="00F83B8D" w:rsidRDefault="00374BFC" w:rsidP="00374BFC">
            <w:pPr>
              <w:jc w:val="center"/>
              <w:rPr>
                <w:bCs w:val="0"/>
                <w:color w:val="000000"/>
                <w:szCs w:val="24"/>
              </w:rPr>
            </w:pPr>
            <w:r w:rsidRPr="00F83B8D">
              <w:rPr>
                <w:bCs w:val="0"/>
                <w:color w:val="000000"/>
                <w:szCs w:val="24"/>
              </w:rPr>
              <w:t>$222</w:t>
            </w:r>
          </w:p>
        </w:tc>
      </w:tr>
      <w:tr w:rsidR="00374BFC" w:rsidRPr="00F83B8D" w14:paraId="19120433"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13DDE" w14:textId="77777777" w:rsidR="00374BFC" w:rsidRPr="00F83B8D" w:rsidRDefault="00374BFC" w:rsidP="00374BFC">
            <w:pPr>
              <w:spacing w:before="100" w:beforeAutospacing="1" w:after="100" w:afterAutospacing="1"/>
              <w:rPr>
                <w:bCs w:val="0"/>
                <w:color w:val="000000"/>
                <w:szCs w:val="24"/>
              </w:rPr>
            </w:pPr>
            <w:r w:rsidRPr="00F83B8D">
              <w:rPr>
                <w:bCs w:val="0"/>
                <w:color w:val="000000"/>
                <w:szCs w:val="24"/>
              </w:rPr>
              <w:t>Santa Clara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1BD8F" w14:textId="77777777" w:rsidR="00374BFC" w:rsidRPr="00F83B8D" w:rsidRDefault="00374BFC" w:rsidP="00374BFC">
            <w:pPr>
              <w:jc w:val="center"/>
              <w:rPr>
                <w:bCs w:val="0"/>
                <w:color w:val="000000"/>
                <w:szCs w:val="24"/>
              </w:rPr>
            </w:pPr>
            <w:r w:rsidRPr="00F83B8D">
              <w:rPr>
                <w:bCs w:val="0"/>
                <w:color w:val="000000"/>
                <w:szCs w:val="24"/>
              </w:rPr>
              <w:t>$245</w:t>
            </w:r>
          </w:p>
        </w:tc>
      </w:tr>
      <w:tr w:rsidR="00374BFC" w:rsidRPr="00F83B8D" w14:paraId="796DAEA9" w14:textId="77777777" w:rsidTr="00154298">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7C5B5" w14:textId="77777777" w:rsidR="00374BFC" w:rsidRPr="00F83B8D" w:rsidRDefault="00374BFC" w:rsidP="00374BFC">
            <w:pPr>
              <w:spacing w:before="100" w:beforeAutospacing="1" w:after="100" w:afterAutospacing="1"/>
              <w:rPr>
                <w:bCs w:val="0"/>
                <w:color w:val="000000"/>
                <w:szCs w:val="24"/>
              </w:rPr>
            </w:pPr>
            <w:r w:rsidRPr="00F83B8D">
              <w:rPr>
                <w:bCs w:val="0"/>
                <w:color w:val="000000"/>
                <w:szCs w:val="24"/>
              </w:rPr>
              <w:t>Ventura &amp; Edwards AFB, excluding the city of Santa Monica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4B7D7" w14:textId="77777777" w:rsidR="00374BFC" w:rsidRPr="00F83B8D" w:rsidRDefault="00374BFC" w:rsidP="00374BFC">
            <w:pPr>
              <w:jc w:val="center"/>
              <w:rPr>
                <w:bCs w:val="0"/>
                <w:color w:val="000000"/>
                <w:szCs w:val="24"/>
              </w:rPr>
            </w:pPr>
            <w:r w:rsidRPr="00F83B8D">
              <w:rPr>
                <w:bCs w:val="0"/>
                <w:color w:val="000000"/>
                <w:szCs w:val="24"/>
              </w:rPr>
              <w:t>$169</w:t>
            </w:r>
          </w:p>
        </w:tc>
      </w:tr>
    </w:tbl>
    <w:p w14:paraId="0AF5E1E6" w14:textId="337F8CB7" w:rsidR="00A14F69" w:rsidRPr="00F83B8D" w:rsidRDefault="00A14F69" w:rsidP="00B36AD4">
      <w:pPr>
        <w:pStyle w:val="ListParagraph"/>
        <w:numPr>
          <w:ilvl w:val="0"/>
          <w:numId w:val="44"/>
        </w:numPr>
        <w:spacing w:before="360" w:after="240" w:line="259" w:lineRule="auto"/>
        <w:ind w:left="1800" w:hanging="274"/>
        <w:rPr>
          <w:rFonts w:eastAsia="Calibri"/>
          <w:bCs w:val="0"/>
          <w:szCs w:val="24"/>
        </w:rPr>
      </w:pPr>
      <w:r w:rsidRPr="00F83B8D">
        <w:rPr>
          <w:rFonts w:eastAsia="Calibri"/>
          <w:bCs w:val="0"/>
          <w:szCs w:val="24"/>
        </w:rPr>
        <w:t>Services to be performed by outside consultants require a contract</w:t>
      </w:r>
      <w:r w:rsidR="0066457D" w:rsidRPr="00F83B8D">
        <w:rPr>
          <w:rFonts w:eastAsia="Calibri"/>
          <w:bCs w:val="0"/>
          <w:szCs w:val="24"/>
        </w:rPr>
        <w:t>. All contracts must be approved by the CDE prior to implementation</w:t>
      </w:r>
      <w:r w:rsidRPr="00F83B8D">
        <w:rPr>
          <w:rFonts w:eastAsia="Calibri"/>
          <w:bCs w:val="0"/>
          <w:szCs w:val="24"/>
        </w:rPr>
        <w:t xml:space="preserve"> and should be listed in the budget as follows:</w:t>
      </w:r>
    </w:p>
    <w:p w14:paraId="15E7D84C" w14:textId="4A3CF394" w:rsidR="009C0BF8" w:rsidRPr="00F83B8D" w:rsidRDefault="00A14F69" w:rsidP="005F4803">
      <w:pPr>
        <w:pStyle w:val="ListParagraph"/>
        <w:numPr>
          <w:ilvl w:val="1"/>
          <w:numId w:val="44"/>
        </w:numPr>
        <w:spacing w:before="240" w:after="240" w:line="259" w:lineRule="auto"/>
        <w:rPr>
          <w:rFonts w:eastAsia="Calibri"/>
          <w:bCs w:val="0"/>
          <w:szCs w:val="24"/>
        </w:rPr>
      </w:pPr>
      <w:r w:rsidRPr="00F83B8D">
        <w:rPr>
          <w:rFonts w:eastAsia="Calibri"/>
          <w:bCs w:val="0"/>
          <w:szCs w:val="24"/>
        </w:rPr>
        <w:t xml:space="preserve">Contractor name, services to be provided, and cost of service. Invoices are required to be submitted to </w:t>
      </w:r>
      <w:r w:rsidR="00D27D12" w:rsidRPr="00F83B8D">
        <w:rPr>
          <w:rFonts w:eastAsia="Calibri"/>
          <w:bCs w:val="0"/>
          <w:szCs w:val="24"/>
        </w:rPr>
        <w:t>the agency</w:t>
      </w:r>
      <w:r w:rsidRPr="00F83B8D">
        <w:rPr>
          <w:rFonts w:eastAsia="Calibri"/>
          <w:bCs w:val="0"/>
          <w:szCs w:val="24"/>
        </w:rPr>
        <w:t xml:space="preserve"> once the service is successfully completed. Agencies must have </w:t>
      </w:r>
      <w:r w:rsidR="00D27D12" w:rsidRPr="00F83B8D">
        <w:rPr>
          <w:rFonts w:eastAsia="Calibri"/>
          <w:bCs w:val="0"/>
          <w:szCs w:val="24"/>
        </w:rPr>
        <w:t>an invoice</w:t>
      </w:r>
      <w:r w:rsidRPr="00F83B8D">
        <w:rPr>
          <w:rFonts w:eastAsia="Calibri"/>
          <w:bCs w:val="0"/>
          <w:szCs w:val="24"/>
        </w:rPr>
        <w:t xml:space="preserve"> before payment can be made.</w:t>
      </w:r>
    </w:p>
    <w:p w14:paraId="54766DB5" w14:textId="77777777" w:rsidR="00D43EE8" w:rsidRPr="00F83B8D" w:rsidRDefault="00D43EE8" w:rsidP="00B36AD4">
      <w:pPr>
        <w:pStyle w:val="Heading3"/>
        <w:numPr>
          <w:ilvl w:val="0"/>
          <w:numId w:val="81"/>
        </w:numPr>
        <w:tabs>
          <w:tab w:val="clear" w:pos="960"/>
          <w:tab w:val="clear" w:pos="1440"/>
          <w:tab w:val="clear" w:pos="1800"/>
          <w:tab w:val="clear" w:pos="2160"/>
        </w:tabs>
        <w:spacing w:before="360" w:after="240"/>
        <w:rPr>
          <w:rFonts w:eastAsia="Calibri"/>
        </w:rPr>
      </w:pPr>
      <w:bookmarkStart w:id="68" w:name="_Toc158361610"/>
      <w:bookmarkStart w:id="69" w:name="_Toc3983578"/>
      <w:r w:rsidRPr="00F83B8D">
        <w:rPr>
          <w:rFonts w:eastAsia="Calibri"/>
        </w:rPr>
        <w:t>Process Evaluation</w:t>
      </w:r>
      <w:bookmarkEnd w:id="68"/>
    </w:p>
    <w:p w14:paraId="5E5B8F72" w14:textId="77777777" w:rsidR="00D43EE8" w:rsidRPr="00F83B8D" w:rsidRDefault="00D43EE8" w:rsidP="00D43EE8">
      <w:pPr>
        <w:tabs>
          <w:tab w:val="left" w:pos="5040"/>
        </w:tabs>
        <w:spacing w:after="240"/>
        <w:ind w:left="720"/>
        <w:rPr>
          <w:bCs w:val="0"/>
          <w:szCs w:val="24"/>
        </w:rPr>
      </w:pPr>
      <w:r w:rsidRPr="00F83B8D">
        <w:rPr>
          <w:rFonts w:eastAsia="Calibri"/>
        </w:rPr>
        <w:t xml:space="preserve">All successful applicants shall evaluate their TUPE Programs periodically to assess the progress toward achieving their goals </w:t>
      </w:r>
      <w:r w:rsidRPr="00F83B8D">
        <w:rPr>
          <w:bCs w:val="0"/>
          <w:szCs w:val="24"/>
        </w:rPr>
        <w:t>and objectives. Evaluation data should be used to refine, improve, and strengthen the comprehensive program and to refine the goals and objectives as appropriate.</w:t>
      </w:r>
    </w:p>
    <w:p w14:paraId="799AE852" w14:textId="77777777" w:rsidR="00D43EE8" w:rsidRPr="00F83B8D" w:rsidRDefault="00D43EE8" w:rsidP="00D43EE8">
      <w:pPr>
        <w:tabs>
          <w:tab w:val="left" w:pos="5040"/>
        </w:tabs>
        <w:spacing w:after="240"/>
        <w:ind w:left="720"/>
        <w:rPr>
          <w:bCs w:val="0"/>
          <w:szCs w:val="24"/>
        </w:rPr>
      </w:pPr>
      <w:r w:rsidRPr="00F83B8D">
        <w:rPr>
          <w:bCs w:val="0"/>
          <w:szCs w:val="24"/>
        </w:rPr>
        <w:lastRenderedPageBreak/>
        <w:t>The analysis of the program will be based on current data that reflect the prevalence of risk factors, including high or increasing rates of tobacco use; protective factors, buffers, and assets; or other variables in schools and communities identified through scientifically based research. Other types of data analysis may include information from student focus groups or observations and interviews.</w:t>
      </w:r>
    </w:p>
    <w:p w14:paraId="46CF7ECF" w14:textId="77777777" w:rsidR="00D43EE8" w:rsidRPr="00F83B8D" w:rsidRDefault="00D43EE8" w:rsidP="00D43EE8">
      <w:pPr>
        <w:tabs>
          <w:tab w:val="left" w:pos="5040"/>
        </w:tabs>
        <w:spacing w:after="240"/>
        <w:ind w:left="720"/>
        <w:rPr>
          <w:bCs w:val="0"/>
          <w:szCs w:val="24"/>
        </w:rPr>
      </w:pPr>
      <w:r w:rsidRPr="00F83B8D">
        <w:rPr>
          <w:bCs w:val="0"/>
          <w:szCs w:val="24"/>
        </w:rPr>
        <w:t>A process evaluation is a key component of this program. Describe your process evaluation plan. List a minimum of six questions that the evaluation will answer. These questions should be directly linked with the objectives of the program.</w:t>
      </w:r>
    </w:p>
    <w:p w14:paraId="2140B021" w14:textId="77777777" w:rsidR="00D43EE8" w:rsidRPr="00F83B8D" w:rsidRDefault="00D43EE8" w:rsidP="00D43EE8">
      <w:pPr>
        <w:tabs>
          <w:tab w:val="left" w:pos="5040"/>
        </w:tabs>
        <w:spacing w:after="240"/>
        <w:ind w:left="720"/>
        <w:rPr>
          <w:bCs w:val="0"/>
          <w:szCs w:val="24"/>
        </w:rPr>
      </w:pPr>
      <w:r w:rsidRPr="00F83B8D">
        <w:rPr>
          <w:bCs w:val="0"/>
          <w:szCs w:val="24"/>
        </w:rPr>
        <w:t>In order to ensure that evaluation will be an ongoing key component of the proposed program, additional evidence of evaluation activities must be included in the following areas:</w:t>
      </w:r>
    </w:p>
    <w:p w14:paraId="49B1AF2A" w14:textId="77777777" w:rsidR="00D43EE8" w:rsidRPr="00F83B8D" w:rsidRDefault="00D43EE8" w:rsidP="00991C5B">
      <w:pPr>
        <w:numPr>
          <w:ilvl w:val="0"/>
          <w:numId w:val="72"/>
        </w:numPr>
        <w:tabs>
          <w:tab w:val="left" w:pos="5040"/>
        </w:tabs>
        <w:rPr>
          <w:bCs w:val="0"/>
          <w:szCs w:val="24"/>
        </w:rPr>
      </w:pPr>
      <w:r w:rsidRPr="00F83B8D">
        <w:rPr>
          <w:bCs w:val="0"/>
          <w:szCs w:val="24"/>
        </w:rPr>
        <w:t>The timeline</w:t>
      </w:r>
    </w:p>
    <w:p w14:paraId="4099BB8B" w14:textId="77777777" w:rsidR="00D43EE8" w:rsidRPr="00F83B8D" w:rsidRDefault="00D43EE8" w:rsidP="00991C5B">
      <w:pPr>
        <w:numPr>
          <w:ilvl w:val="0"/>
          <w:numId w:val="72"/>
        </w:numPr>
        <w:tabs>
          <w:tab w:val="left" w:pos="5040"/>
        </w:tabs>
        <w:rPr>
          <w:bCs w:val="0"/>
          <w:szCs w:val="24"/>
        </w:rPr>
      </w:pPr>
      <w:r w:rsidRPr="00F83B8D">
        <w:rPr>
          <w:bCs w:val="0"/>
          <w:szCs w:val="24"/>
        </w:rPr>
        <w:t>The staffing configuration</w:t>
      </w:r>
    </w:p>
    <w:p w14:paraId="64BCA2CE" w14:textId="77777777" w:rsidR="00D43EE8" w:rsidRPr="00F83B8D" w:rsidRDefault="00D43EE8" w:rsidP="00991C5B">
      <w:pPr>
        <w:numPr>
          <w:ilvl w:val="0"/>
          <w:numId w:val="72"/>
        </w:numPr>
        <w:tabs>
          <w:tab w:val="left" w:pos="5040"/>
        </w:tabs>
        <w:spacing w:after="240"/>
        <w:rPr>
          <w:bCs w:val="0"/>
          <w:szCs w:val="24"/>
        </w:rPr>
      </w:pPr>
      <w:r w:rsidRPr="00F83B8D">
        <w:rPr>
          <w:bCs w:val="0"/>
          <w:szCs w:val="24"/>
        </w:rPr>
        <w:t>The budget</w:t>
      </w:r>
    </w:p>
    <w:p w14:paraId="33BE9479" w14:textId="77777777" w:rsidR="00D43EE8" w:rsidRPr="00F83B8D" w:rsidRDefault="00D43EE8" w:rsidP="00D43EE8">
      <w:pPr>
        <w:tabs>
          <w:tab w:val="left" w:pos="5040"/>
        </w:tabs>
        <w:spacing w:after="240"/>
        <w:ind w:left="720"/>
        <w:rPr>
          <w:bCs w:val="0"/>
          <w:szCs w:val="24"/>
        </w:rPr>
      </w:pPr>
      <w:r w:rsidRPr="00F83B8D">
        <w:rPr>
          <w:bCs w:val="0"/>
          <w:szCs w:val="24"/>
        </w:rPr>
        <w:t>Programs may use up to 10 percent of grant funds for the evaluation.</w:t>
      </w:r>
    </w:p>
    <w:p w14:paraId="3152C56B" w14:textId="77777777" w:rsidR="00D43EE8" w:rsidRPr="00F83B8D" w:rsidRDefault="00D43EE8" w:rsidP="00D43EE8">
      <w:pPr>
        <w:tabs>
          <w:tab w:val="left" w:pos="5040"/>
        </w:tabs>
        <w:spacing w:after="240"/>
        <w:ind w:left="720"/>
        <w:rPr>
          <w:bCs w:val="0"/>
          <w:szCs w:val="24"/>
        </w:rPr>
      </w:pPr>
      <w:r w:rsidRPr="00F83B8D">
        <w:rPr>
          <w:bCs w:val="0"/>
          <w:szCs w:val="24"/>
        </w:rPr>
        <w:t>The plan for monitoring and evaluation shall provide ongoing feedback on program implementation and effectiveness.</w:t>
      </w:r>
    </w:p>
    <w:p w14:paraId="4F6C5D15" w14:textId="77777777" w:rsidR="00D43EE8" w:rsidRPr="00F83B8D" w:rsidRDefault="00D43EE8" w:rsidP="00D43EE8">
      <w:pPr>
        <w:tabs>
          <w:tab w:val="left" w:pos="5040"/>
        </w:tabs>
        <w:spacing w:after="240"/>
        <w:ind w:left="720"/>
        <w:rPr>
          <w:bCs w:val="0"/>
          <w:szCs w:val="24"/>
        </w:rPr>
      </w:pPr>
      <w:r w:rsidRPr="00F83B8D">
        <w:rPr>
          <w:bCs w:val="0"/>
          <w:szCs w:val="24"/>
        </w:rPr>
        <w:t>Grantees are required to send the following documents to the CDE within 45 days of the end of the project period:</w:t>
      </w:r>
    </w:p>
    <w:p w14:paraId="0B3BC5D9" w14:textId="77777777" w:rsidR="00D43EE8" w:rsidRPr="00F83B8D" w:rsidRDefault="00D43EE8" w:rsidP="00991C5B">
      <w:pPr>
        <w:numPr>
          <w:ilvl w:val="0"/>
          <w:numId w:val="73"/>
        </w:numPr>
        <w:tabs>
          <w:tab w:val="left" w:pos="5040"/>
        </w:tabs>
        <w:spacing w:after="240"/>
        <w:rPr>
          <w:bCs w:val="0"/>
          <w:szCs w:val="24"/>
        </w:rPr>
      </w:pPr>
      <w:r w:rsidRPr="00F83B8D">
        <w:rPr>
          <w:bCs w:val="0"/>
          <w:szCs w:val="24"/>
        </w:rPr>
        <w:t>A Final Evaluation Report, which lists the goals and objectives for the program, how those objectives were measured, and what results were achieved.</w:t>
      </w:r>
    </w:p>
    <w:p w14:paraId="0F21D9CC" w14:textId="77777777" w:rsidR="00D43EE8" w:rsidRPr="00F83B8D" w:rsidRDefault="00D43EE8" w:rsidP="00991C5B">
      <w:pPr>
        <w:numPr>
          <w:ilvl w:val="0"/>
          <w:numId w:val="73"/>
        </w:numPr>
        <w:tabs>
          <w:tab w:val="left" w:pos="5040"/>
        </w:tabs>
        <w:spacing w:after="240"/>
        <w:rPr>
          <w:bCs w:val="0"/>
          <w:szCs w:val="24"/>
        </w:rPr>
      </w:pPr>
      <w:r w:rsidRPr="00F83B8D">
        <w:rPr>
          <w:bCs w:val="0"/>
          <w:szCs w:val="24"/>
        </w:rPr>
        <w:t>A Final Narrative Report (which is separate from the evaluation report), which describes how the proposed objectives and timelines were met.</w:t>
      </w:r>
    </w:p>
    <w:p w14:paraId="20AD10EC" w14:textId="77777777" w:rsidR="00D43EE8" w:rsidRPr="00F83B8D" w:rsidRDefault="00D43EE8" w:rsidP="00B36AD4">
      <w:pPr>
        <w:numPr>
          <w:ilvl w:val="0"/>
          <w:numId w:val="73"/>
        </w:numPr>
        <w:tabs>
          <w:tab w:val="left" w:pos="5040"/>
        </w:tabs>
        <w:spacing w:after="240"/>
        <w:rPr>
          <w:bCs w:val="0"/>
          <w:szCs w:val="24"/>
        </w:rPr>
      </w:pPr>
      <w:r w:rsidRPr="00F83B8D">
        <w:rPr>
          <w:bCs w:val="0"/>
          <w:szCs w:val="24"/>
        </w:rPr>
        <w:t>The Final Expenditure Report.</w:t>
      </w:r>
    </w:p>
    <w:p w14:paraId="2A6EEED9" w14:textId="77777777" w:rsidR="00D43EE8" w:rsidRPr="00F83B8D" w:rsidRDefault="00D43EE8" w:rsidP="00B36AD4">
      <w:pPr>
        <w:pStyle w:val="Heading3"/>
        <w:numPr>
          <w:ilvl w:val="0"/>
          <w:numId w:val="81"/>
        </w:numPr>
        <w:spacing w:before="240" w:after="240"/>
        <w:rPr>
          <w:rFonts w:eastAsia="Calibri"/>
        </w:rPr>
      </w:pPr>
      <w:bookmarkStart w:id="70" w:name="_Toc158361611"/>
      <w:r w:rsidRPr="00F83B8D">
        <w:rPr>
          <w:rFonts w:eastAsia="Calibri"/>
        </w:rPr>
        <w:t>Overall Coherence and Merit of Application</w:t>
      </w:r>
      <w:bookmarkEnd w:id="70"/>
    </w:p>
    <w:p w14:paraId="7CCDCEC0" w14:textId="77777777" w:rsidR="00D43EE8" w:rsidRPr="00F83B8D" w:rsidRDefault="00D43EE8" w:rsidP="00E11687">
      <w:pPr>
        <w:tabs>
          <w:tab w:val="left" w:pos="5040"/>
        </w:tabs>
        <w:spacing w:before="240" w:after="240"/>
        <w:ind w:left="720"/>
        <w:rPr>
          <w:bCs w:val="0"/>
          <w:szCs w:val="24"/>
        </w:rPr>
      </w:pPr>
      <w:r w:rsidRPr="00F83B8D">
        <w:rPr>
          <w:rFonts w:eastAsia="Calibri"/>
        </w:rPr>
        <w:t xml:space="preserve">Up to 10 additional points will be awarded to applications that incorporate the Principles of Effectiveness and are comprehensive and cohesive. </w:t>
      </w:r>
      <w:r w:rsidRPr="00F83B8D">
        <w:rPr>
          <w:bCs w:val="0"/>
          <w:szCs w:val="24"/>
        </w:rPr>
        <w:t>There should be evidence of how each part of the program is related to and supportive of the other parts of the program with a specific focus of achieving the proposed goals and measurable objectives. There should also be evidence of commitment and capacity to implement the activities described in the application.</w:t>
      </w:r>
    </w:p>
    <w:p w14:paraId="7E81865F" w14:textId="77777777" w:rsidR="00D43EE8" w:rsidRPr="00F83B8D" w:rsidRDefault="00D43EE8" w:rsidP="00E11687">
      <w:pPr>
        <w:tabs>
          <w:tab w:val="left" w:pos="5040"/>
        </w:tabs>
        <w:spacing w:before="240" w:after="240"/>
        <w:ind w:left="720"/>
        <w:rPr>
          <w:bCs w:val="0"/>
          <w:szCs w:val="24"/>
        </w:rPr>
      </w:pPr>
      <w:r w:rsidRPr="00F83B8D">
        <w:rPr>
          <w:bCs w:val="0"/>
          <w:szCs w:val="24"/>
        </w:rPr>
        <w:t>Principles of Effectiveness</w:t>
      </w:r>
    </w:p>
    <w:p w14:paraId="4A0CD6A2" w14:textId="77777777" w:rsidR="00D43EE8" w:rsidRPr="00F83B8D" w:rsidRDefault="00D43EE8" w:rsidP="00D43EE8">
      <w:pPr>
        <w:shd w:val="clear" w:color="auto" w:fill="FFFFFF"/>
        <w:spacing w:after="240"/>
        <w:ind w:left="720"/>
        <w:rPr>
          <w:bCs w:val="0"/>
          <w:color w:val="000000"/>
          <w:szCs w:val="24"/>
          <w:lang w:val="en"/>
        </w:rPr>
      </w:pPr>
      <w:r w:rsidRPr="00F83B8D">
        <w:rPr>
          <w:bCs w:val="0"/>
          <w:color w:val="000000"/>
          <w:szCs w:val="24"/>
          <w:lang w:val="en"/>
        </w:rPr>
        <w:lastRenderedPageBreak/>
        <w:t>Having commercial tobacco-free schools/education centers is one of our nation's highest priorities. Recipients of AIEC–TUPE Program funds must use those funds in ways that are most likely to reduce tobacco use among youth. Recipients shall coordinate their AIEC–TUPE-funded programs with other available prevention efforts to maximize the impact of all the tobacco prevention programs and resources available, and shall:</w:t>
      </w:r>
    </w:p>
    <w:p w14:paraId="6992E2E2" w14:textId="77777777" w:rsidR="00D43EE8" w:rsidRPr="00F83B8D" w:rsidRDefault="00D43EE8" w:rsidP="00E11687">
      <w:pPr>
        <w:numPr>
          <w:ilvl w:val="0"/>
          <w:numId w:val="75"/>
        </w:numPr>
        <w:shd w:val="clear" w:color="auto" w:fill="FFFFFF"/>
        <w:spacing w:before="240" w:after="240"/>
        <w:rPr>
          <w:bCs w:val="0"/>
          <w:color w:val="000000"/>
          <w:szCs w:val="24"/>
          <w:lang w:val="en"/>
        </w:rPr>
      </w:pPr>
      <w:r w:rsidRPr="00F83B8D">
        <w:rPr>
          <w:bCs w:val="0"/>
          <w:color w:val="000000"/>
          <w:szCs w:val="24"/>
          <w:lang w:val="en"/>
        </w:rPr>
        <w:t xml:space="preserve">In General </w:t>
      </w:r>
    </w:p>
    <w:p w14:paraId="4316F6BB" w14:textId="77777777" w:rsidR="00D43EE8" w:rsidRPr="00F83B8D" w:rsidRDefault="00D43EE8" w:rsidP="00E11687">
      <w:pPr>
        <w:numPr>
          <w:ilvl w:val="1"/>
          <w:numId w:val="75"/>
        </w:numPr>
        <w:shd w:val="clear" w:color="auto" w:fill="FFFFFF"/>
        <w:spacing w:before="240" w:after="120"/>
        <w:rPr>
          <w:bCs w:val="0"/>
          <w:color w:val="000000"/>
          <w:szCs w:val="24"/>
          <w:lang w:val="en"/>
        </w:rPr>
      </w:pPr>
      <w:r w:rsidRPr="00F83B8D">
        <w:rPr>
          <w:bCs w:val="0"/>
          <w:color w:val="000000"/>
          <w:szCs w:val="24"/>
          <w:lang w:val="en"/>
        </w:rPr>
        <w:t>Be based on an assessment of objective data regarding the incidence of tobacco use in the public elementary schools and secondary schools and communities to be served, including an objective analysis of the current conditions and consequences regarding tobacco use that is based on ongoing local assessment or evaluation activities.</w:t>
      </w:r>
    </w:p>
    <w:p w14:paraId="63043CB9" w14:textId="77777777" w:rsidR="00D43EE8" w:rsidRPr="00F83B8D" w:rsidRDefault="00D43EE8" w:rsidP="00E11687">
      <w:pPr>
        <w:numPr>
          <w:ilvl w:val="1"/>
          <w:numId w:val="74"/>
        </w:numPr>
        <w:shd w:val="clear" w:color="auto" w:fill="FFFFFF"/>
        <w:tabs>
          <w:tab w:val="clear" w:pos="2620"/>
        </w:tabs>
        <w:spacing w:before="240" w:after="120"/>
        <w:ind w:left="2160"/>
        <w:rPr>
          <w:bCs w:val="0"/>
          <w:color w:val="000000"/>
          <w:szCs w:val="24"/>
          <w:lang w:val="en"/>
        </w:rPr>
      </w:pPr>
      <w:r w:rsidRPr="00F83B8D">
        <w:rPr>
          <w:bCs w:val="0"/>
          <w:color w:val="000000"/>
          <w:szCs w:val="24"/>
          <w:lang w:val="en"/>
        </w:rPr>
        <w:t>Be based on an established set of performance measures aimed at ensuring that the elementary schools and secondary schools and communities to be served by the program have tobacco-free learning environment.</w:t>
      </w:r>
    </w:p>
    <w:p w14:paraId="349A686A" w14:textId="77777777" w:rsidR="00D43EE8" w:rsidRPr="00F83B8D" w:rsidRDefault="00D43EE8" w:rsidP="00E11687">
      <w:pPr>
        <w:numPr>
          <w:ilvl w:val="1"/>
          <w:numId w:val="74"/>
        </w:numPr>
        <w:shd w:val="clear" w:color="auto" w:fill="FFFFFF"/>
        <w:tabs>
          <w:tab w:val="clear" w:pos="2620"/>
          <w:tab w:val="num" w:pos="2160"/>
        </w:tabs>
        <w:spacing w:before="240" w:after="120"/>
        <w:ind w:left="2160"/>
        <w:rPr>
          <w:bCs w:val="0"/>
          <w:color w:val="000000"/>
          <w:szCs w:val="24"/>
          <w:lang w:val="en"/>
        </w:rPr>
      </w:pPr>
      <w:r w:rsidRPr="00F83B8D">
        <w:rPr>
          <w:bCs w:val="0"/>
          <w:color w:val="000000"/>
          <w:szCs w:val="24"/>
          <w:lang w:val="en"/>
        </w:rPr>
        <w:t>Be based on scientifically based research that provides evidence that the program to be used will reduce tobacco use.</w:t>
      </w:r>
    </w:p>
    <w:p w14:paraId="22A470DE" w14:textId="77777777" w:rsidR="00D43EE8" w:rsidRPr="00F83B8D" w:rsidRDefault="00D43EE8" w:rsidP="00E11687">
      <w:pPr>
        <w:numPr>
          <w:ilvl w:val="1"/>
          <w:numId w:val="74"/>
        </w:numPr>
        <w:shd w:val="clear" w:color="auto" w:fill="FFFFFF"/>
        <w:tabs>
          <w:tab w:val="clear" w:pos="2620"/>
        </w:tabs>
        <w:spacing w:before="240" w:after="120"/>
        <w:ind w:left="2160"/>
        <w:rPr>
          <w:bCs w:val="0"/>
          <w:color w:val="000000"/>
          <w:szCs w:val="24"/>
          <w:lang w:val="en"/>
        </w:rPr>
      </w:pPr>
      <w:r w:rsidRPr="00F83B8D">
        <w:rPr>
          <w:bCs w:val="0"/>
          <w:color w:val="000000"/>
          <w:szCs w:val="24"/>
          <w:lang w:val="en"/>
        </w:rPr>
        <w:t>Include meaningful and ongoing consultation with and input from parents in the development of the application and administration of the program or activity.</w:t>
      </w:r>
    </w:p>
    <w:p w14:paraId="198ABDA2" w14:textId="77777777" w:rsidR="00D43EE8" w:rsidRPr="00F83B8D" w:rsidRDefault="00D43EE8" w:rsidP="00E11687">
      <w:pPr>
        <w:numPr>
          <w:ilvl w:val="0"/>
          <w:numId w:val="74"/>
        </w:numPr>
        <w:shd w:val="clear" w:color="auto" w:fill="FFFFFF"/>
        <w:tabs>
          <w:tab w:val="clear" w:pos="1900"/>
          <w:tab w:val="num" w:pos="1440"/>
        </w:tabs>
        <w:spacing w:before="240" w:after="120"/>
        <w:ind w:hanging="820"/>
        <w:rPr>
          <w:bCs w:val="0"/>
          <w:color w:val="000000"/>
          <w:szCs w:val="24"/>
          <w:lang w:val="en"/>
        </w:rPr>
      </w:pPr>
      <w:r w:rsidRPr="00F83B8D">
        <w:rPr>
          <w:bCs w:val="0"/>
          <w:color w:val="000000"/>
          <w:szCs w:val="24"/>
          <w:lang w:val="en"/>
        </w:rPr>
        <w:t>Periodic Evaluation</w:t>
      </w:r>
    </w:p>
    <w:p w14:paraId="7A99A02D" w14:textId="77777777" w:rsidR="00D43EE8" w:rsidRPr="00F83B8D" w:rsidRDefault="00B97DAF" w:rsidP="00E11687">
      <w:pPr>
        <w:numPr>
          <w:ilvl w:val="1"/>
          <w:numId w:val="76"/>
        </w:numPr>
        <w:shd w:val="clear" w:color="auto" w:fill="FFFFFF"/>
        <w:tabs>
          <w:tab w:val="clear" w:pos="2620"/>
          <w:tab w:val="num" w:pos="2160"/>
        </w:tabs>
        <w:spacing w:before="240" w:after="120"/>
        <w:ind w:left="2160"/>
        <w:rPr>
          <w:bCs w:val="0"/>
          <w:color w:val="000000"/>
          <w:szCs w:val="24"/>
          <w:lang w:val="en"/>
        </w:rPr>
      </w:pPr>
      <w:r w:rsidRPr="00F83B8D">
        <w:rPr>
          <w:color w:val="000000"/>
          <w:szCs w:val="24"/>
          <w:lang w:val="en"/>
        </w:rPr>
        <w:t>R</w:t>
      </w:r>
      <w:r w:rsidR="009B4B63" w:rsidRPr="00F83B8D">
        <w:rPr>
          <w:color w:val="000000"/>
          <w:szCs w:val="24"/>
          <w:lang w:val="en"/>
        </w:rPr>
        <w:t>equirement</w:t>
      </w:r>
      <w:r w:rsidRPr="00F83B8D">
        <w:rPr>
          <w:color w:val="000000"/>
          <w:szCs w:val="24"/>
          <w:lang w:val="en"/>
        </w:rPr>
        <w:t>—</w:t>
      </w:r>
      <w:r w:rsidR="00D43EE8" w:rsidRPr="00F83B8D">
        <w:rPr>
          <w:bCs w:val="0"/>
          <w:color w:val="000000"/>
          <w:szCs w:val="24"/>
          <w:lang w:val="en"/>
        </w:rPr>
        <w:t>The program or activity shall undergo a periodic evaluation to assess its progress toward reducing tobacco use in schools to be served based on performance measures described above.</w:t>
      </w:r>
    </w:p>
    <w:p w14:paraId="72A2E49E" w14:textId="77777777" w:rsidR="00D43EE8" w:rsidRPr="00F83B8D" w:rsidRDefault="00B97DAF" w:rsidP="00E11687">
      <w:pPr>
        <w:numPr>
          <w:ilvl w:val="1"/>
          <w:numId w:val="76"/>
        </w:numPr>
        <w:shd w:val="clear" w:color="auto" w:fill="FFFFFF"/>
        <w:tabs>
          <w:tab w:val="clear" w:pos="2620"/>
          <w:tab w:val="num" w:pos="2160"/>
        </w:tabs>
        <w:spacing w:before="240" w:after="120"/>
        <w:ind w:left="2160"/>
        <w:rPr>
          <w:bCs w:val="0"/>
          <w:color w:val="000000"/>
          <w:szCs w:val="24"/>
          <w:lang w:val="en"/>
        </w:rPr>
      </w:pPr>
      <w:r w:rsidRPr="00F83B8D">
        <w:rPr>
          <w:color w:val="000000"/>
          <w:szCs w:val="24"/>
          <w:lang w:val="en"/>
        </w:rPr>
        <w:t>U</w:t>
      </w:r>
      <w:r w:rsidR="009B4B63" w:rsidRPr="00F83B8D">
        <w:rPr>
          <w:color w:val="000000"/>
          <w:szCs w:val="24"/>
          <w:lang w:val="en"/>
        </w:rPr>
        <w:t>se of Results</w:t>
      </w:r>
      <w:r w:rsidRPr="00F83B8D">
        <w:rPr>
          <w:bCs w:val="0"/>
          <w:color w:val="000000"/>
          <w:szCs w:val="24"/>
          <w:lang w:val="en"/>
        </w:rPr>
        <w:t>—</w:t>
      </w:r>
      <w:r w:rsidR="00D43EE8" w:rsidRPr="00F83B8D">
        <w:rPr>
          <w:bCs w:val="0"/>
          <w:color w:val="000000"/>
          <w:szCs w:val="24"/>
          <w:lang w:val="en"/>
        </w:rPr>
        <w:t>The results shall be used to refine, improve, and strengthen the program, and to refine the performance measures, and shall also be made available to the public upon request, with public notice of such availability provided.</w:t>
      </w:r>
    </w:p>
    <w:p w14:paraId="6E296E6B" w14:textId="77777777" w:rsidR="00D54BE6" w:rsidRPr="00F83B8D" w:rsidRDefault="00D54BE6" w:rsidP="00E11687">
      <w:pPr>
        <w:pStyle w:val="Heading3"/>
        <w:numPr>
          <w:ilvl w:val="0"/>
          <w:numId w:val="82"/>
        </w:numPr>
        <w:tabs>
          <w:tab w:val="clear" w:pos="960"/>
          <w:tab w:val="clear" w:pos="1080"/>
          <w:tab w:val="clear" w:pos="1440"/>
          <w:tab w:val="clear" w:pos="1800"/>
          <w:tab w:val="clear" w:pos="2160"/>
        </w:tabs>
        <w:spacing w:before="360" w:after="240"/>
        <w:ind w:left="720"/>
        <w:rPr>
          <w:lang w:val="en"/>
        </w:rPr>
      </w:pPr>
      <w:bookmarkStart w:id="71" w:name="_Toc158361612"/>
      <w:r w:rsidRPr="00F83B8D">
        <w:rPr>
          <w:lang w:val="en"/>
        </w:rPr>
        <w:t>Program Descriptio</w:t>
      </w:r>
      <w:r w:rsidR="00671A43" w:rsidRPr="00F83B8D">
        <w:rPr>
          <w:lang w:val="en"/>
        </w:rPr>
        <w:t>n</w:t>
      </w:r>
      <w:bookmarkEnd w:id="71"/>
    </w:p>
    <w:p w14:paraId="467DE3CD" w14:textId="77777777" w:rsidR="00D54BE6" w:rsidRPr="00F83B8D" w:rsidRDefault="00D54BE6" w:rsidP="00E11687">
      <w:pPr>
        <w:pStyle w:val="ListParagraph"/>
        <w:shd w:val="clear" w:color="auto" w:fill="FFFFFF"/>
        <w:spacing w:before="240" w:after="120"/>
        <w:rPr>
          <w:bCs w:val="0"/>
          <w:color w:val="000000"/>
          <w:szCs w:val="24"/>
          <w:lang w:val="en"/>
        </w:rPr>
      </w:pPr>
      <w:r w:rsidRPr="00F83B8D">
        <w:rPr>
          <w:bCs w:val="0"/>
          <w:color w:val="000000"/>
          <w:szCs w:val="24"/>
          <w:lang w:val="en"/>
        </w:rPr>
        <w:t>Provide a one-page description of the proposed program. This description should include a summary of the key aspects of the proposed program.</w:t>
      </w:r>
    </w:p>
    <w:p w14:paraId="6698FCB9" w14:textId="77777777" w:rsidR="00D54BE6" w:rsidRPr="00F83B8D" w:rsidRDefault="00D54BE6" w:rsidP="00E11687">
      <w:pPr>
        <w:pStyle w:val="ListParagraph"/>
        <w:shd w:val="clear" w:color="auto" w:fill="FFFFFF"/>
        <w:spacing w:before="240" w:after="360"/>
        <w:rPr>
          <w:bCs w:val="0"/>
          <w:color w:val="000000"/>
          <w:szCs w:val="24"/>
          <w:lang w:val="en"/>
        </w:rPr>
      </w:pPr>
      <w:r w:rsidRPr="00F83B8D">
        <w:rPr>
          <w:bCs w:val="0"/>
          <w:color w:val="000000"/>
          <w:szCs w:val="24"/>
          <w:lang w:val="en"/>
        </w:rPr>
        <w:t>Note: This description may be removed from the application by the CDE to be published elsewhere, or it may be disseminated to ot</w:t>
      </w:r>
      <w:r w:rsidR="004A3F32" w:rsidRPr="00F83B8D">
        <w:rPr>
          <w:bCs w:val="0"/>
          <w:color w:val="000000"/>
          <w:szCs w:val="24"/>
          <w:lang w:val="en"/>
        </w:rPr>
        <w:t>her agencies upon requ</w:t>
      </w:r>
      <w:r w:rsidRPr="00F83B8D">
        <w:rPr>
          <w:bCs w:val="0"/>
          <w:color w:val="000000"/>
          <w:szCs w:val="24"/>
          <w:lang w:val="en"/>
        </w:rPr>
        <w:t>est.</w:t>
      </w:r>
    </w:p>
    <w:p w14:paraId="04576F0F" w14:textId="64ACDCBF" w:rsidR="00D54BE6" w:rsidRPr="00F83B8D" w:rsidRDefault="005F66D9" w:rsidP="005F66D9">
      <w:pPr>
        <w:pStyle w:val="Header2"/>
        <w:numPr>
          <w:ilvl w:val="0"/>
          <w:numId w:val="83"/>
        </w:numPr>
        <w:spacing w:before="360" w:after="240"/>
        <w:ind w:left="0" w:firstLine="0"/>
        <w:jc w:val="center"/>
        <w:rPr>
          <w:sz w:val="28"/>
          <w:szCs w:val="28"/>
        </w:rPr>
      </w:pPr>
      <w:bookmarkStart w:id="72" w:name="_Toc158361613"/>
      <w:r>
        <w:rPr>
          <w:sz w:val="28"/>
          <w:szCs w:val="28"/>
        </w:rPr>
        <w:lastRenderedPageBreak/>
        <w:t xml:space="preserve"> </w:t>
      </w:r>
      <w:r w:rsidR="00D54BE6" w:rsidRPr="00F83B8D">
        <w:rPr>
          <w:sz w:val="28"/>
          <w:szCs w:val="28"/>
        </w:rPr>
        <w:t>BUDGET REVISIONS, FISCAL, AND PROGRAMMATIC REPORTING</w:t>
      </w:r>
      <w:bookmarkStart w:id="73" w:name="_Toc3998173"/>
      <w:bookmarkStart w:id="74" w:name="_Toc158361614"/>
      <w:bookmarkEnd w:id="72"/>
      <w:r w:rsidR="003612D0" w:rsidRPr="00F83B8D">
        <w:rPr>
          <w:sz w:val="28"/>
          <w:szCs w:val="28"/>
        </w:rPr>
        <w:t xml:space="preserve"> </w:t>
      </w:r>
      <w:r w:rsidR="00D54BE6" w:rsidRPr="00F83B8D">
        <w:rPr>
          <w:sz w:val="28"/>
          <w:szCs w:val="28"/>
        </w:rPr>
        <w:t>REQUIREMENTS</w:t>
      </w:r>
      <w:bookmarkEnd w:id="73"/>
      <w:bookmarkEnd w:id="74"/>
    </w:p>
    <w:p w14:paraId="294C4819" w14:textId="77777777" w:rsidR="00D54BE6" w:rsidRPr="00F83B8D" w:rsidRDefault="00D54BE6" w:rsidP="00E11687">
      <w:pPr>
        <w:pStyle w:val="Heading3"/>
        <w:numPr>
          <w:ilvl w:val="0"/>
          <w:numId w:val="77"/>
        </w:numPr>
        <w:spacing w:before="360" w:after="240"/>
        <w:rPr>
          <w:lang w:val="en"/>
        </w:rPr>
      </w:pPr>
      <w:bookmarkStart w:id="75" w:name="_Toc158361615"/>
      <w:r w:rsidRPr="00F83B8D">
        <w:rPr>
          <w:lang w:val="en"/>
        </w:rPr>
        <w:t>Fiscal Accountability Requirements</w:t>
      </w:r>
      <w:bookmarkEnd w:id="75"/>
    </w:p>
    <w:p w14:paraId="6E76C304" w14:textId="77777777" w:rsidR="004A3F32" w:rsidRPr="00F83B8D" w:rsidRDefault="004A3F32" w:rsidP="00C44F12">
      <w:pPr>
        <w:spacing w:after="480"/>
        <w:ind w:left="720"/>
        <w:rPr>
          <w:color w:val="000000"/>
        </w:rPr>
      </w:pPr>
      <w:r w:rsidRPr="00F83B8D">
        <w:rPr>
          <w:lang w:val="en"/>
        </w:rPr>
        <w:t>The CDE receives annual appropriations from the State of California to be used for granting</w:t>
      </w:r>
      <w:r w:rsidR="00C44F12" w:rsidRPr="00F83B8D">
        <w:rPr>
          <w:lang w:val="en"/>
        </w:rPr>
        <w:t xml:space="preserve"> </w:t>
      </w:r>
      <w:r w:rsidR="00C44F12" w:rsidRPr="00F83B8D">
        <w:rPr>
          <w:color w:val="000000"/>
        </w:rPr>
        <w:t>financial assistance to the AIEC–TUPE Program. The CDE is, therefore, charged with a fiduciary responsibility to see that the taxpayers' money is used appropriately and to require proper accountability from the recipients of its awards. Acceptance of a grant from the CDE 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fiscal standards in the areas of financial management, internal control, audit, and reporting to the CDE.</w:t>
      </w:r>
    </w:p>
    <w:p w14:paraId="5D246BC9" w14:textId="77777777" w:rsidR="00C44F12" w:rsidRPr="00F83B8D" w:rsidRDefault="00C44F12" w:rsidP="00E11687">
      <w:pPr>
        <w:pStyle w:val="Heading3"/>
        <w:numPr>
          <w:ilvl w:val="0"/>
          <w:numId w:val="77"/>
        </w:numPr>
        <w:spacing w:before="360" w:after="240"/>
        <w:rPr>
          <w:lang w:val="en"/>
        </w:rPr>
      </w:pPr>
      <w:bookmarkStart w:id="76" w:name="_Toc158361616"/>
      <w:r w:rsidRPr="00F83B8D">
        <w:rPr>
          <w:lang w:val="en"/>
        </w:rPr>
        <w:t>Financial Management Standards</w:t>
      </w:r>
      <w:bookmarkEnd w:id="76"/>
    </w:p>
    <w:p w14:paraId="5947D742" w14:textId="66679C37" w:rsidR="00C44F12" w:rsidRPr="00F83B8D" w:rsidRDefault="00C44F12" w:rsidP="00C44F12">
      <w:pPr>
        <w:autoSpaceDE w:val="0"/>
        <w:autoSpaceDN w:val="0"/>
        <w:adjustRightInd w:val="0"/>
        <w:spacing w:after="240"/>
        <w:ind w:left="720"/>
        <w:rPr>
          <w:bCs w:val="0"/>
          <w:color w:val="000000"/>
          <w:szCs w:val="24"/>
        </w:rPr>
      </w:pPr>
      <w:r w:rsidRPr="00F83B8D">
        <w:rPr>
          <w:lang w:val="en"/>
        </w:rPr>
        <w:t xml:space="preserve">Grantees shall adhere to the accounting and fiscal management requirements set forth </w:t>
      </w:r>
      <w:r w:rsidRPr="00F83B8D">
        <w:rPr>
          <w:bCs w:val="0"/>
          <w:color w:val="000000"/>
          <w:szCs w:val="24"/>
        </w:rPr>
        <w:t>in</w:t>
      </w:r>
      <w:r w:rsidR="00323D72" w:rsidRPr="00F83B8D">
        <w:rPr>
          <w:bCs w:val="0"/>
          <w:color w:val="000000"/>
          <w:szCs w:val="24"/>
        </w:rPr>
        <w:t xml:space="preserve"> </w:t>
      </w:r>
      <w:r w:rsidRPr="00F83B8D">
        <w:rPr>
          <w:bCs w:val="0"/>
          <w:szCs w:val="24"/>
        </w:rPr>
        <w:t xml:space="preserve">5 </w:t>
      </w:r>
      <w:r w:rsidRPr="00F83B8D">
        <w:rPr>
          <w:bCs w:val="0"/>
          <w:i/>
          <w:szCs w:val="24"/>
        </w:rPr>
        <w:t>CCR</w:t>
      </w:r>
      <w:r w:rsidRPr="00F83B8D">
        <w:rPr>
          <w:bCs w:val="0"/>
          <w:szCs w:val="24"/>
        </w:rPr>
        <w:t xml:space="preserve"> sections 11996.7 and 11996.8. In order to adhere to these obligations, grantees at a minimum must conform their accounting and fiscal management practices to include the following:</w:t>
      </w:r>
    </w:p>
    <w:p w14:paraId="3419E5A1" w14:textId="77777777" w:rsidR="00C44F12" w:rsidRPr="00F83B8D" w:rsidRDefault="00C44F12" w:rsidP="00991C5B">
      <w:pPr>
        <w:numPr>
          <w:ilvl w:val="0"/>
          <w:numId w:val="15"/>
        </w:numPr>
        <w:autoSpaceDE w:val="0"/>
        <w:autoSpaceDN w:val="0"/>
        <w:adjustRightInd w:val="0"/>
        <w:spacing w:after="240"/>
        <w:rPr>
          <w:bCs w:val="0"/>
          <w:color w:val="000000"/>
          <w:szCs w:val="24"/>
        </w:rPr>
      </w:pPr>
      <w:r w:rsidRPr="00F83B8D">
        <w:rPr>
          <w:bCs w:val="0"/>
          <w:color w:val="000000"/>
          <w:szCs w:val="24"/>
        </w:rPr>
        <w:t>Recipients must have accounting structures that provide accurate and complete information about all financial transactions related to the project.</w:t>
      </w:r>
    </w:p>
    <w:p w14:paraId="608B257B" w14:textId="33D90AD1" w:rsidR="00C44F12" w:rsidRPr="00F83B8D" w:rsidRDefault="00C44F12" w:rsidP="00991C5B">
      <w:pPr>
        <w:numPr>
          <w:ilvl w:val="0"/>
          <w:numId w:val="15"/>
        </w:numPr>
        <w:autoSpaceDE w:val="0"/>
        <w:autoSpaceDN w:val="0"/>
        <w:adjustRightInd w:val="0"/>
        <w:spacing w:after="240"/>
        <w:rPr>
          <w:bCs w:val="0"/>
          <w:color w:val="000000"/>
          <w:szCs w:val="24"/>
        </w:rPr>
      </w:pPr>
      <w:r w:rsidRPr="00F83B8D">
        <w:rPr>
          <w:bCs w:val="0"/>
          <w:color w:val="000000"/>
          <w:szCs w:val="24"/>
        </w:rPr>
        <w:t xml:space="preserve">Quarterly fiscal expenditure reports must be at least as detailed as the cost categories indicated in the approved budget (including indirect costs that are charged to the project). Actual </w:t>
      </w:r>
      <w:r w:rsidR="00C95B87" w:rsidRPr="00F83B8D">
        <w:rPr>
          <w:bCs w:val="0"/>
          <w:color w:val="000000"/>
          <w:szCs w:val="24"/>
        </w:rPr>
        <w:t>expenditure</w:t>
      </w:r>
      <w:r w:rsidRPr="00F83B8D">
        <w:rPr>
          <w:bCs w:val="0"/>
          <w:color w:val="000000"/>
          <w:szCs w:val="24"/>
        </w:rPr>
        <w:t xml:space="preserve"> must be consistent with budgeted amounts.</w:t>
      </w:r>
    </w:p>
    <w:p w14:paraId="5529D146" w14:textId="77777777" w:rsidR="00C44F12" w:rsidRPr="00F83B8D" w:rsidRDefault="00C44F12" w:rsidP="00991C5B">
      <w:pPr>
        <w:numPr>
          <w:ilvl w:val="0"/>
          <w:numId w:val="15"/>
        </w:numPr>
        <w:autoSpaceDE w:val="0"/>
        <w:autoSpaceDN w:val="0"/>
        <w:adjustRightInd w:val="0"/>
        <w:spacing w:after="240"/>
        <w:rPr>
          <w:bCs w:val="0"/>
          <w:color w:val="000000"/>
          <w:szCs w:val="24"/>
        </w:rPr>
      </w:pPr>
      <w:r w:rsidRPr="00F83B8D">
        <w:rPr>
          <w:bCs w:val="0"/>
          <w:color w:val="000000"/>
          <w:szCs w:val="24"/>
        </w:rPr>
        <w:t>Accounting records are to be maintained on a current basis and balanced monthly.</w:t>
      </w:r>
    </w:p>
    <w:p w14:paraId="404E525B" w14:textId="77777777" w:rsidR="00C44F12" w:rsidRPr="00F83B8D" w:rsidRDefault="00C44F12" w:rsidP="00991C5B">
      <w:pPr>
        <w:numPr>
          <w:ilvl w:val="0"/>
          <w:numId w:val="15"/>
        </w:numPr>
        <w:autoSpaceDE w:val="0"/>
        <w:autoSpaceDN w:val="0"/>
        <w:adjustRightInd w:val="0"/>
        <w:spacing w:after="240"/>
        <w:rPr>
          <w:bCs w:val="0"/>
          <w:color w:val="000000"/>
          <w:szCs w:val="24"/>
        </w:rPr>
      </w:pPr>
      <w:r w:rsidRPr="00F83B8D">
        <w:rPr>
          <w:bCs w:val="0"/>
          <w:color w:val="000000"/>
          <w:szCs w:val="24"/>
        </w:rPr>
        <w:t>Quarterly fiscal expenditure reports must reflect actual expenditures incurred during the quarter in which the report pertains. Costs may be incurred only during the grant period.</w:t>
      </w:r>
    </w:p>
    <w:p w14:paraId="17BA446E" w14:textId="77777777" w:rsidR="00C44F12" w:rsidRPr="00F83B8D" w:rsidRDefault="00C44F12" w:rsidP="00991C5B">
      <w:pPr>
        <w:numPr>
          <w:ilvl w:val="0"/>
          <w:numId w:val="15"/>
        </w:numPr>
        <w:autoSpaceDE w:val="0"/>
        <w:autoSpaceDN w:val="0"/>
        <w:adjustRightInd w:val="0"/>
        <w:spacing w:after="240"/>
        <w:rPr>
          <w:bCs w:val="0"/>
          <w:color w:val="000000"/>
          <w:szCs w:val="24"/>
        </w:rPr>
      </w:pPr>
      <w:r w:rsidRPr="00F83B8D">
        <w:rPr>
          <w:bCs w:val="0"/>
          <w:color w:val="000000"/>
          <w:szCs w:val="24"/>
        </w:rPr>
        <w:t>The quarterly fiscal expenditure reports must be supported by source documentation such as cancelled checks, invoices, contracts, travel reports, donor letters, in-kind contribution reports, and personnel activity reports.</w:t>
      </w:r>
    </w:p>
    <w:p w14:paraId="5FDFDB7E" w14:textId="77777777" w:rsidR="00C44F12" w:rsidRPr="00F83B8D" w:rsidRDefault="00C44F12" w:rsidP="005F4803">
      <w:pPr>
        <w:numPr>
          <w:ilvl w:val="0"/>
          <w:numId w:val="15"/>
        </w:numPr>
        <w:autoSpaceDE w:val="0"/>
        <w:autoSpaceDN w:val="0"/>
        <w:adjustRightInd w:val="0"/>
        <w:spacing w:before="240" w:after="240"/>
        <w:rPr>
          <w:bCs w:val="0"/>
          <w:color w:val="000000"/>
          <w:szCs w:val="24"/>
        </w:rPr>
      </w:pPr>
      <w:r w:rsidRPr="00F83B8D">
        <w:rPr>
          <w:bCs w:val="0"/>
          <w:color w:val="000000"/>
          <w:szCs w:val="24"/>
        </w:rPr>
        <w:t>The same specific costs cannot be claimed and reported on more than one grant and in more than one quarterly report.</w:t>
      </w:r>
    </w:p>
    <w:p w14:paraId="29F45F12" w14:textId="4D357754" w:rsidR="00C44F12" w:rsidRPr="00F83B8D" w:rsidRDefault="00C44F12" w:rsidP="005F4803">
      <w:pPr>
        <w:numPr>
          <w:ilvl w:val="0"/>
          <w:numId w:val="15"/>
        </w:numPr>
        <w:autoSpaceDE w:val="0"/>
        <w:autoSpaceDN w:val="0"/>
        <w:adjustRightInd w:val="0"/>
        <w:spacing w:before="240" w:after="240"/>
        <w:rPr>
          <w:bCs w:val="0"/>
          <w:color w:val="000000"/>
          <w:szCs w:val="24"/>
        </w:rPr>
      </w:pPr>
      <w:r w:rsidRPr="00F83B8D">
        <w:rPr>
          <w:bCs w:val="0"/>
          <w:color w:val="000000"/>
          <w:szCs w:val="24"/>
        </w:rPr>
        <w:lastRenderedPageBreak/>
        <w:t xml:space="preserve">Every employee whose salary is charged, in whole or in part, </w:t>
      </w:r>
      <w:r w:rsidR="00C95B87" w:rsidRPr="00F83B8D">
        <w:rPr>
          <w:bCs w:val="0"/>
          <w:color w:val="000000"/>
          <w:szCs w:val="24"/>
        </w:rPr>
        <w:t>for</w:t>
      </w:r>
      <w:r w:rsidRPr="00F83B8D">
        <w:rPr>
          <w:bCs w:val="0"/>
          <w:color w:val="000000"/>
          <w:szCs w:val="24"/>
        </w:rPr>
        <w:t xml:space="preserve"> a grant must use personnel activity reports to account for all compensated time, including time spent on other activities.</w:t>
      </w:r>
    </w:p>
    <w:p w14:paraId="1EEFF767" w14:textId="77777777" w:rsidR="00C44F12" w:rsidRPr="00F83B8D" w:rsidRDefault="00C44F12" w:rsidP="005F4803">
      <w:pPr>
        <w:numPr>
          <w:ilvl w:val="1"/>
          <w:numId w:val="15"/>
        </w:numPr>
        <w:autoSpaceDE w:val="0"/>
        <w:autoSpaceDN w:val="0"/>
        <w:adjustRightInd w:val="0"/>
        <w:spacing w:before="240" w:after="240"/>
        <w:rPr>
          <w:bCs w:val="0"/>
          <w:color w:val="000000"/>
          <w:szCs w:val="24"/>
        </w:rPr>
      </w:pPr>
      <w:r w:rsidRPr="00F83B8D">
        <w:rPr>
          <w:bCs w:val="0"/>
          <w:color w:val="000000"/>
          <w:szCs w:val="24"/>
        </w:rPr>
        <w:t>If the grantee has more than one program, then the method used to allocate administrative costs must be documented.</w:t>
      </w:r>
    </w:p>
    <w:p w14:paraId="76F2F74B" w14:textId="77777777" w:rsidR="00C44F12" w:rsidRPr="00F83B8D" w:rsidRDefault="00C44F12" w:rsidP="005F4803">
      <w:pPr>
        <w:numPr>
          <w:ilvl w:val="1"/>
          <w:numId w:val="15"/>
        </w:numPr>
        <w:autoSpaceDE w:val="0"/>
        <w:autoSpaceDN w:val="0"/>
        <w:adjustRightInd w:val="0"/>
        <w:spacing w:before="240" w:after="240"/>
        <w:rPr>
          <w:bCs w:val="0"/>
          <w:color w:val="000000"/>
          <w:szCs w:val="24"/>
        </w:rPr>
      </w:pPr>
      <w:r w:rsidRPr="00F83B8D">
        <w:rPr>
          <w:bCs w:val="0"/>
          <w:color w:val="000000"/>
          <w:szCs w:val="24"/>
        </w:rPr>
        <w:t>If an employee is multi-funded on a time accounting basis, then the employee’s timesheet must indicate the actual amount of time spent in each program per day.</w:t>
      </w:r>
    </w:p>
    <w:p w14:paraId="6205E005" w14:textId="77777777" w:rsidR="00C44F12" w:rsidRPr="00F83B8D" w:rsidRDefault="00C44F12" w:rsidP="005F4803">
      <w:pPr>
        <w:numPr>
          <w:ilvl w:val="1"/>
          <w:numId w:val="15"/>
        </w:numPr>
        <w:spacing w:before="240" w:after="240"/>
        <w:rPr>
          <w:bCs w:val="0"/>
          <w:szCs w:val="24"/>
        </w:rPr>
      </w:pPr>
      <w:r w:rsidRPr="00F83B8D">
        <w:rPr>
          <w:bCs w:val="0"/>
          <w:szCs w:val="24"/>
        </w:rPr>
        <w:t>Vacation hours cannot be accrued from year to year and must be used within the grant year in which it was accumulated.</w:t>
      </w:r>
    </w:p>
    <w:p w14:paraId="16700FB0" w14:textId="77777777" w:rsidR="00C44F12" w:rsidRPr="00F83B8D" w:rsidRDefault="00C44F12" w:rsidP="005F4803">
      <w:pPr>
        <w:numPr>
          <w:ilvl w:val="0"/>
          <w:numId w:val="15"/>
        </w:numPr>
        <w:autoSpaceDE w:val="0"/>
        <w:autoSpaceDN w:val="0"/>
        <w:adjustRightInd w:val="0"/>
        <w:spacing w:before="240" w:after="240"/>
        <w:rPr>
          <w:bCs w:val="0"/>
          <w:color w:val="000000"/>
          <w:szCs w:val="24"/>
        </w:rPr>
      </w:pPr>
      <w:r w:rsidRPr="00F83B8D">
        <w:rPr>
          <w:bCs w:val="0"/>
          <w:color w:val="000000"/>
          <w:szCs w:val="24"/>
        </w:rPr>
        <w:t>Records must be preserved for five years following submission of the final financial status report. However, if records of receipts are being reviewed or audited, records of receipts must be kept until review/audit is completed. The CDE employees or representatives shall be allowed access to all program related or fiscal records during normal work hours.</w:t>
      </w:r>
    </w:p>
    <w:p w14:paraId="64168DAE" w14:textId="77777777" w:rsidR="00C44F12" w:rsidRPr="00F83B8D" w:rsidRDefault="00C44F12" w:rsidP="005F4803">
      <w:pPr>
        <w:numPr>
          <w:ilvl w:val="0"/>
          <w:numId w:val="15"/>
        </w:numPr>
        <w:autoSpaceDE w:val="0"/>
        <w:autoSpaceDN w:val="0"/>
        <w:adjustRightInd w:val="0"/>
        <w:spacing w:before="240" w:after="240"/>
        <w:rPr>
          <w:bCs w:val="0"/>
          <w:color w:val="000000"/>
          <w:szCs w:val="24"/>
        </w:rPr>
      </w:pPr>
      <w:r w:rsidRPr="00F83B8D">
        <w:rPr>
          <w:bCs w:val="0"/>
          <w:color w:val="000000"/>
          <w:szCs w:val="24"/>
        </w:rPr>
        <w:t>The applicable Office of Management and Budget (OMB) cost principles and the terms and conditions of the grant award shall be followed in determining whether costs are reasonable, allowable, and allocable.</w:t>
      </w:r>
    </w:p>
    <w:p w14:paraId="504635A2" w14:textId="22CDD8FA" w:rsidR="00C44F12" w:rsidRPr="00F83B8D" w:rsidRDefault="00C44F12" w:rsidP="00E11687">
      <w:pPr>
        <w:autoSpaceDE w:val="0"/>
        <w:autoSpaceDN w:val="0"/>
        <w:adjustRightInd w:val="0"/>
        <w:spacing w:before="240" w:after="240"/>
        <w:ind w:left="720"/>
        <w:rPr>
          <w:bCs w:val="0"/>
          <w:color w:val="000000"/>
          <w:szCs w:val="24"/>
        </w:rPr>
      </w:pPr>
      <w:r w:rsidRPr="00F83B8D">
        <w:rPr>
          <w:bCs w:val="0"/>
          <w:color w:val="000000"/>
          <w:szCs w:val="24"/>
        </w:rPr>
        <w:t xml:space="preserve">If the grantee organization is unable to meet the standards that are covered here, CDE funding may be </w:t>
      </w:r>
      <w:r w:rsidR="00C95B87" w:rsidRPr="00F83B8D">
        <w:rPr>
          <w:bCs w:val="0"/>
          <w:color w:val="000000"/>
          <w:szCs w:val="24"/>
        </w:rPr>
        <w:t>terminated,</w:t>
      </w:r>
      <w:r w:rsidRPr="00F83B8D">
        <w:rPr>
          <w:bCs w:val="0"/>
          <w:color w:val="000000"/>
          <w:szCs w:val="24"/>
        </w:rPr>
        <w:t xml:space="preserve"> and the organization may be deemed ineligible to receive subsequent financial assistance or may be placed on an alternative method of funding.</w:t>
      </w:r>
    </w:p>
    <w:p w14:paraId="3084777F" w14:textId="77777777" w:rsidR="00C44F12" w:rsidRPr="00F83B8D" w:rsidRDefault="00C44F12" w:rsidP="00E11687">
      <w:pPr>
        <w:autoSpaceDE w:val="0"/>
        <w:autoSpaceDN w:val="0"/>
        <w:adjustRightInd w:val="0"/>
        <w:spacing w:before="240" w:after="240"/>
        <w:ind w:left="720"/>
        <w:rPr>
          <w:bCs w:val="0"/>
          <w:color w:val="000000"/>
          <w:szCs w:val="24"/>
        </w:rPr>
      </w:pPr>
      <w:r w:rsidRPr="00F83B8D">
        <w:rPr>
          <w:bCs w:val="0"/>
          <w:color w:val="000000"/>
          <w:szCs w:val="24"/>
        </w:rPr>
        <w:t>A grantee is not eligible for additional funds if the grantee has received final notification that its grant has been terminated. A grantee is not eligible for additional funds if the grantee has demonstrated fiscal and/or programmatic noncompliance and has received final notification that it will not be offered continued funding.</w:t>
      </w:r>
    </w:p>
    <w:p w14:paraId="64E90F56" w14:textId="77777777" w:rsidR="00C44F12" w:rsidRPr="00F83B8D" w:rsidRDefault="00C44F12" w:rsidP="00E11687">
      <w:pPr>
        <w:autoSpaceDE w:val="0"/>
        <w:autoSpaceDN w:val="0"/>
        <w:adjustRightInd w:val="0"/>
        <w:spacing w:before="240" w:after="240"/>
        <w:ind w:left="720"/>
        <w:rPr>
          <w:bCs w:val="0"/>
          <w:color w:val="000000"/>
          <w:szCs w:val="24"/>
        </w:rPr>
      </w:pPr>
      <w:r w:rsidRPr="00F83B8D">
        <w:rPr>
          <w:bCs w:val="0"/>
          <w:color w:val="000000"/>
          <w:szCs w:val="24"/>
        </w:rPr>
        <w:t>Grantees have no vested right to a subsequent grant. Grantees that have evidenced fiscal or programmatic noncompliance with the provisions of this grant, laws, or regulations shall receive an administrative review to determine whether they will receive an offer for continued funding.</w:t>
      </w:r>
    </w:p>
    <w:p w14:paraId="5BFE4C07" w14:textId="77777777" w:rsidR="00C44F12" w:rsidRPr="00F83B8D" w:rsidRDefault="00C44F12" w:rsidP="00E11687">
      <w:pPr>
        <w:autoSpaceDE w:val="0"/>
        <w:autoSpaceDN w:val="0"/>
        <w:adjustRightInd w:val="0"/>
        <w:spacing w:before="240" w:after="240"/>
        <w:ind w:left="720"/>
        <w:rPr>
          <w:bCs w:val="0"/>
          <w:color w:val="000000"/>
          <w:szCs w:val="24"/>
        </w:rPr>
      </w:pPr>
      <w:r w:rsidRPr="00F83B8D">
        <w:rPr>
          <w:bCs w:val="0"/>
          <w:color w:val="000000"/>
          <w:szCs w:val="24"/>
        </w:rPr>
        <w:t>Grantees that intend to accept the offer to continue services in the subsequent grant period shall respond to a continued funding application request from the CDE in accordance with the instructions and timelines specified in the request. Failure to respond within the timelines specified in the continued funding application request shall constitute notification to the CDE of the grantee’s intent to discontinue services at the end of the current grant period unless the contractor has received a written extension of the original timeline from the CDE.</w:t>
      </w:r>
    </w:p>
    <w:p w14:paraId="45B79710" w14:textId="77777777" w:rsidR="00C44F12" w:rsidRPr="00F83B8D" w:rsidRDefault="00C44F12" w:rsidP="005F4803">
      <w:pPr>
        <w:pStyle w:val="Heading3"/>
        <w:numPr>
          <w:ilvl w:val="0"/>
          <w:numId w:val="84"/>
        </w:numPr>
        <w:spacing w:before="360" w:after="240"/>
        <w:ind w:left="720"/>
      </w:pPr>
      <w:bookmarkStart w:id="77" w:name="_Toc158361617"/>
      <w:r w:rsidRPr="00F83B8D">
        <w:lastRenderedPageBreak/>
        <w:t>Internal Control Standards</w:t>
      </w:r>
      <w:bookmarkEnd w:id="77"/>
    </w:p>
    <w:p w14:paraId="2F2B1795" w14:textId="77777777" w:rsidR="008E11C4" w:rsidRPr="00F83B8D" w:rsidRDefault="00C44F12" w:rsidP="005F4803">
      <w:pPr>
        <w:autoSpaceDE w:val="0"/>
        <w:autoSpaceDN w:val="0"/>
        <w:adjustRightInd w:val="0"/>
        <w:spacing w:before="240" w:after="240"/>
        <w:ind w:left="720"/>
        <w:rPr>
          <w:bCs w:val="0"/>
          <w:color w:val="000000"/>
          <w:szCs w:val="24"/>
        </w:rPr>
      </w:pPr>
      <w:r w:rsidRPr="00F83B8D">
        <w:t xml:space="preserve">Organizations must provide safeguards for all grant property, whether cash or other assets, and assure that it is used solely for authorized purposes. </w:t>
      </w:r>
      <w:r w:rsidR="008E11C4" w:rsidRPr="00F83B8D">
        <w:rPr>
          <w:bCs w:val="0"/>
          <w:color w:val="000000"/>
          <w:szCs w:val="24"/>
        </w:rPr>
        <w:t>Control will be enhanced if the duties of the members of the organization are divided so that no one person handles all aspects of a transaction from beginning to end. Although a complete separation of functions may not be feasible for a small organization, some measure of effective control may be obtained by planning the assignment of duties carefully. Many of the most effective techniques for providing internal control are very simple. Some examples are:</w:t>
      </w:r>
    </w:p>
    <w:p w14:paraId="23346FA5" w14:textId="77777777" w:rsidR="008E11C4" w:rsidRPr="00F83B8D" w:rsidRDefault="008E11C4" w:rsidP="005F4803">
      <w:pPr>
        <w:numPr>
          <w:ilvl w:val="0"/>
          <w:numId w:val="16"/>
        </w:numPr>
        <w:autoSpaceDE w:val="0"/>
        <w:autoSpaceDN w:val="0"/>
        <w:adjustRightInd w:val="0"/>
        <w:spacing w:before="240" w:after="240"/>
        <w:rPr>
          <w:bCs w:val="0"/>
          <w:color w:val="000000"/>
          <w:szCs w:val="24"/>
        </w:rPr>
      </w:pPr>
      <w:r w:rsidRPr="00F83B8D">
        <w:rPr>
          <w:bCs w:val="0"/>
          <w:color w:val="000000"/>
          <w:szCs w:val="24"/>
        </w:rPr>
        <w:t>Cash receipts should be recorded immediately and deposited daily.</w:t>
      </w:r>
    </w:p>
    <w:p w14:paraId="2DABCF7B" w14:textId="77777777" w:rsidR="008E11C4" w:rsidRPr="00F83B8D" w:rsidRDefault="008E11C4" w:rsidP="005F4803">
      <w:pPr>
        <w:numPr>
          <w:ilvl w:val="0"/>
          <w:numId w:val="16"/>
        </w:numPr>
        <w:autoSpaceDE w:val="0"/>
        <w:autoSpaceDN w:val="0"/>
        <w:adjustRightInd w:val="0"/>
        <w:spacing w:before="240" w:after="240"/>
        <w:rPr>
          <w:bCs w:val="0"/>
          <w:color w:val="000000"/>
          <w:szCs w:val="24"/>
        </w:rPr>
      </w:pPr>
      <w:r w:rsidRPr="00F83B8D">
        <w:rPr>
          <w:bCs w:val="0"/>
          <w:color w:val="000000"/>
          <w:szCs w:val="24"/>
        </w:rPr>
        <w:t>Bank accounts should be reconciled monthly by someone other than the person who signs the checks.</w:t>
      </w:r>
    </w:p>
    <w:p w14:paraId="3343608D" w14:textId="77777777" w:rsidR="008E11C4" w:rsidRPr="00F83B8D" w:rsidRDefault="008E11C4" w:rsidP="005F4803">
      <w:pPr>
        <w:numPr>
          <w:ilvl w:val="0"/>
          <w:numId w:val="16"/>
        </w:numPr>
        <w:autoSpaceDE w:val="0"/>
        <w:autoSpaceDN w:val="0"/>
        <w:adjustRightInd w:val="0"/>
        <w:spacing w:before="240" w:after="240"/>
        <w:rPr>
          <w:bCs w:val="0"/>
          <w:color w:val="000000"/>
          <w:szCs w:val="24"/>
        </w:rPr>
      </w:pPr>
      <w:r w:rsidRPr="00F83B8D">
        <w:rPr>
          <w:bCs w:val="0"/>
          <w:color w:val="000000"/>
          <w:szCs w:val="24"/>
        </w:rPr>
        <w:t>If petty cash is used it should be entrusted to a single custodian and used for all payments other than those made by check. Petty cash must be reconciled monthly.</w:t>
      </w:r>
    </w:p>
    <w:p w14:paraId="3ADBC3E9" w14:textId="77777777" w:rsidR="008E11C4" w:rsidRPr="00F83B8D" w:rsidRDefault="008E11C4" w:rsidP="005F4803">
      <w:pPr>
        <w:numPr>
          <w:ilvl w:val="0"/>
          <w:numId w:val="16"/>
        </w:numPr>
        <w:autoSpaceDE w:val="0"/>
        <w:autoSpaceDN w:val="0"/>
        <w:adjustRightInd w:val="0"/>
        <w:spacing w:before="240" w:after="240"/>
        <w:rPr>
          <w:bCs w:val="0"/>
          <w:color w:val="000000"/>
          <w:szCs w:val="24"/>
        </w:rPr>
      </w:pPr>
      <w:r w:rsidRPr="00F83B8D">
        <w:rPr>
          <w:bCs w:val="0"/>
          <w:color w:val="000000"/>
          <w:szCs w:val="24"/>
        </w:rPr>
        <w:t>Checks to vendors should be issued only in payment of approved invoices and the supporting documents for those approved invoices.</w:t>
      </w:r>
    </w:p>
    <w:p w14:paraId="1BF78E73" w14:textId="64E0158B" w:rsidR="008E11C4" w:rsidRPr="00F83B8D" w:rsidRDefault="008E11C4" w:rsidP="005F4803">
      <w:pPr>
        <w:numPr>
          <w:ilvl w:val="0"/>
          <w:numId w:val="16"/>
        </w:numPr>
        <w:autoSpaceDE w:val="0"/>
        <w:autoSpaceDN w:val="0"/>
        <w:adjustRightInd w:val="0"/>
        <w:spacing w:before="240" w:after="240"/>
        <w:rPr>
          <w:bCs w:val="0"/>
          <w:color w:val="000000"/>
          <w:szCs w:val="24"/>
        </w:rPr>
      </w:pPr>
      <w:r w:rsidRPr="00F83B8D">
        <w:rPr>
          <w:bCs w:val="0"/>
          <w:color w:val="000000"/>
          <w:szCs w:val="24"/>
        </w:rPr>
        <w:t xml:space="preserve">The person who is responsible for the physical custody of an asset should </w:t>
      </w:r>
      <w:r w:rsidR="00C95B87" w:rsidRPr="00F83B8D">
        <w:rPr>
          <w:bCs w:val="0"/>
          <w:color w:val="000000"/>
          <w:szCs w:val="24"/>
        </w:rPr>
        <w:t>also not</w:t>
      </w:r>
      <w:r w:rsidRPr="00F83B8D">
        <w:rPr>
          <w:bCs w:val="0"/>
          <w:color w:val="000000"/>
          <w:szCs w:val="24"/>
        </w:rPr>
        <w:t xml:space="preserve"> have responsibility for keeping the records related to that asset.</w:t>
      </w:r>
    </w:p>
    <w:p w14:paraId="03208C3A" w14:textId="77777777" w:rsidR="008E11C4" w:rsidRPr="00F83B8D" w:rsidRDefault="008E11C4" w:rsidP="005F4803">
      <w:pPr>
        <w:numPr>
          <w:ilvl w:val="0"/>
          <w:numId w:val="16"/>
        </w:numPr>
        <w:autoSpaceDE w:val="0"/>
        <w:autoSpaceDN w:val="0"/>
        <w:adjustRightInd w:val="0"/>
        <w:spacing w:before="240" w:after="240"/>
        <w:ind w:right="-187"/>
        <w:rPr>
          <w:bCs w:val="0"/>
          <w:color w:val="000000"/>
          <w:szCs w:val="24"/>
        </w:rPr>
      </w:pPr>
      <w:r w:rsidRPr="00F83B8D">
        <w:rPr>
          <w:bCs w:val="0"/>
          <w:color w:val="000000"/>
          <w:szCs w:val="24"/>
        </w:rPr>
        <w:t>The person who has authority for placing employees on the payroll and establishing wage rates should not be the same person who signs the checks.</w:t>
      </w:r>
    </w:p>
    <w:p w14:paraId="12B03443" w14:textId="77777777" w:rsidR="008E11C4" w:rsidRPr="00F83B8D" w:rsidRDefault="008E11C4" w:rsidP="005F4803">
      <w:pPr>
        <w:autoSpaceDE w:val="0"/>
        <w:autoSpaceDN w:val="0"/>
        <w:adjustRightInd w:val="0"/>
        <w:spacing w:before="240" w:after="240"/>
        <w:ind w:left="720" w:right="-187"/>
        <w:rPr>
          <w:bCs w:val="0"/>
          <w:color w:val="000000"/>
          <w:szCs w:val="24"/>
        </w:rPr>
      </w:pPr>
      <w:r w:rsidRPr="00F83B8D">
        <w:rPr>
          <w:bCs w:val="0"/>
          <w:color w:val="000000"/>
          <w:szCs w:val="24"/>
        </w:rPr>
        <w:t>Except for external payroll services, grantees shall not use any pre-signed, pre-authorized, or pre-stamped checks without the prior written approval of the CDE.</w:t>
      </w:r>
    </w:p>
    <w:p w14:paraId="0CD1A1BF" w14:textId="77777777" w:rsidR="008E11C4" w:rsidRPr="00F83B8D" w:rsidRDefault="008E11C4" w:rsidP="005F4803">
      <w:pPr>
        <w:autoSpaceDE w:val="0"/>
        <w:autoSpaceDN w:val="0"/>
        <w:adjustRightInd w:val="0"/>
        <w:spacing w:before="240" w:after="240"/>
        <w:ind w:left="720" w:right="-187"/>
        <w:rPr>
          <w:bCs w:val="0"/>
          <w:color w:val="000000"/>
          <w:szCs w:val="24"/>
        </w:rPr>
      </w:pPr>
      <w:r w:rsidRPr="00F83B8D">
        <w:rPr>
          <w:bCs w:val="0"/>
          <w:color w:val="000000"/>
          <w:szCs w:val="24"/>
        </w:rPr>
        <w:t>Grantees shall require two authorized signatures on all checks unless:</w:t>
      </w:r>
    </w:p>
    <w:p w14:paraId="6136D7BA" w14:textId="77777777" w:rsidR="008E11C4" w:rsidRPr="00F83B8D" w:rsidRDefault="008E11C4" w:rsidP="005F4803">
      <w:pPr>
        <w:numPr>
          <w:ilvl w:val="0"/>
          <w:numId w:val="17"/>
        </w:numPr>
        <w:autoSpaceDE w:val="0"/>
        <w:autoSpaceDN w:val="0"/>
        <w:adjustRightInd w:val="0"/>
        <w:spacing w:before="240" w:after="240"/>
        <w:ind w:right="-187"/>
        <w:rPr>
          <w:bCs w:val="0"/>
          <w:color w:val="000000"/>
          <w:szCs w:val="24"/>
        </w:rPr>
      </w:pPr>
      <w:r w:rsidRPr="00F83B8D">
        <w:rPr>
          <w:bCs w:val="0"/>
          <w:color w:val="000000"/>
          <w:szCs w:val="24"/>
        </w:rPr>
        <w:t>The grantee has a policy approved by its governing board requiring dual signatures only on checks above a specified dollar amount.</w:t>
      </w:r>
    </w:p>
    <w:p w14:paraId="0FFEF562" w14:textId="77777777" w:rsidR="008E11C4" w:rsidRPr="00F83B8D" w:rsidRDefault="008E11C4" w:rsidP="005F4803">
      <w:pPr>
        <w:numPr>
          <w:ilvl w:val="0"/>
          <w:numId w:val="17"/>
        </w:numPr>
        <w:autoSpaceDE w:val="0"/>
        <w:autoSpaceDN w:val="0"/>
        <w:adjustRightInd w:val="0"/>
        <w:spacing w:before="240" w:after="240"/>
        <w:ind w:right="-187"/>
        <w:rPr>
          <w:bCs w:val="0"/>
          <w:color w:val="000000"/>
          <w:szCs w:val="24"/>
        </w:rPr>
      </w:pPr>
      <w:r w:rsidRPr="00F83B8D">
        <w:rPr>
          <w:bCs w:val="0"/>
          <w:color w:val="000000"/>
          <w:szCs w:val="24"/>
        </w:rPr>
        <w:t>The annual audit verifies that appropriate internal controls are maintained.</w:t>
      </w:r>
    </w:p>
    <w:p w14:paraId="431858EA" w14:textId="788CA062" w:rsidR="008E11C4" w:rsidRPr="00F83B8D" w:rsidRDefault="008E11C4" w:rsidP="005F4803">
      <w:pPr>
        <w:autoSpaceDE w:val="0"/>
        <w:autoSpaceDN w:val="0"/>
        <w:adjustRightInd w:val="0"/>
        <w:spacing w:before="240" w:after="240"/>
        <w:ind w:left="720" w:right="-187"/>
        <w:rPr>
          <w:bCs w:val="0"/>
          <w:color w:val="000000"/>
          <w:szCs w:val="24"/>
        </w:rPr>
      </w:pPr>
      <w:r w:rsidRPr="00F83B8D">
        <w:rPr>
          <w:bCs w:val="0"/>
          <w:color w:val="000000"/>
          <w:szCs w:val="24"/>
        </w:rPr>
        <w:t xml:space="preserve">Grantees shall not loan funds to individuals, corporations, organizations, public agencies, or private agencies. Grantees shall not advance unearned salary to employees. </w:t>
      </w:r>
      <w:r w:rsidR="00C95B87" w:rsidRPr="00F83B8D">
        <w:rPr>
          <w:bCs w:val="0"/>
          <w:color w:val="000000"/>
          <w:szCs w:val="24"/>
        </w:rPr>
        <w:t>The grantee</w:t>
      </w:r>
      <w:r w:rsidRPr="00F83B8D">
        <w:rPr>
          <w:bCs w:val="0"/>
          <w:color w:val="000000"/>
          <w:szCs w:val="24"/>
        </w:rPr>
        <w:t xml:space="preserve"> shall not make advance payments to subcontractors and shall compensate subcontractors after services are rendered or goods are </w:t>
      </w:r>
      <w:r w:rsidR="00F722CF" w:rsidRPr="00F83B8D">
        <w:rPr>
          <w:bCs w:val="0"/>
          <w:color w:val="000000"/>
          <w:szCs w:val="24"/>
        </w:rPr>
        <w:t>received,</w:t>
      </w:r>
      <w:r w:rsidRPr="00F83B8D">
        <w:rPr>
          <w:bCs w:val="0"/>
          <w:color w:val="000000"/>
          <w:szCs w:val="24"/>
        </w:rPr>
        <w:t xml:space="preserve"> and an invoice has been submitted.</w:t>
      </w:r>
    </w:p>
    <w:p w14:paraId="1817D836" w14:textId="77777777" w:rsidR="008E11C4" w:rsidRPr="00F83B8D" w:rsidRDefault="008E11C4" w:rsidP="005F4803">
      <w:pPr>
        <w:autoSpaceDE w:val="0"/>
        <w:autoSpaceDN w:val="0"/>
        <w:adjustRightInd w:val="0"/>
        <w:spacing w:before="240" w:after="240"/>
        <w:ind w:left="720" w:right="-187"/>
        <w:rPr>
          <w:bCs w:val="0"/>
          <w:color w:val="000000"/>
          <w:szCs w:val="24"/>
        </w:rPr>
      </w:pPr>
      <w:r w:rsidRPr="00F83B8D">
        <w:rPr>
          <w:bCs w:val="0"/>
          <w:color w:val="000000"/>
          <w:szCs w:val="24"/>
        </w:rPr>
        <w:lastRenderedPageBreak/>
        <w:t>Inventory records must be maintained that include a description of the equipment, serial number or other identification number, the source of the equipment, the acquisition date, the cost of the equipment, the location, use and condition of the equipment, and any ultimate disposition date, including date of disposal and sale price if applicable. A physical inventory of equipment must be taken every year. A control system must be developed to ensure adequate safeguards to prevent loss, damage, or theft (any loss, damage, or theft must be investigated); and adequate maintenance procedures must be developed to keep the equipment in good condition.</w:t>
      </w:r>
    </w:p>
    <w:p w14:paraId="65CE42DE" w14:textId="77777777" w:rsidR="008E11C4" w:rsidRPr="00F83B8D" w:rsidRDefault="008E11C4" w:rsidP="005F4803">
      <w:pPr>
        <w:autoSpaceDE w:val="0"/>
        <w:autoSpaceDN w:val="0"/>
        <w:adjustRightInd w:val="0"/>
        <w:spacing w:before="240" w:after="240"/>
        <w:ind w:left="720" w:right="-187"/>
        <w:rPr>
          <w:bCs w:val="0"/>
          <w:color w:val="000000"/>
          <w:szCs w:val="24"/>
        </w:rPr>
      </w:pPr>
      <w:r w:rsidRPr="00F83B8D">
        <w:rPr>
          <w:bCs w:val="0"/>
          <w:color w:val="000000"/>
          <w:szCs w:val="24"/>
        </w:rPr>
        <w:t>Depreciation is a cost in the current fiscal year based on acquisition costs, less any estimated residual value, computed on a straight-line method from the original date of acquisition (based on the normal, estimated useful life expectancy of the asset). When depreciation is applied to assets acquired in prior years, the annual charges shall not exceed the amounts that would have resulted had depreciation been claimed from the date of acquisition?</w:t>
      </w:r>
    </w:p>
    <w:p w14:paraId="34E821C8" w14:textId="2D3F007B" w:rsidR="008E11C4" w:rsidRPr="00F83B8D" w:rsidRDefault="008E11C4" w:rsidP="005F4803">
      <w:pPr>
        <w:autoSpaceDE w:val="0"/>
        <w:autoSpaceDN w:val="0"/>
        <w:adjustRightInd w:val="0"/>
        <w:spacing w:before="240" w:after="240"/>
        <w:ind w:left="720" w:right="-187"/>
        <w:rPr>
          <w:bCs w:val="0"/>
          <w:color w:val="000000"/>
          <w:szCs w:val="24"/>
        </w:rPr>
      </w:pPr>
      <w:r w:rsidRPr="00F83B8D">
        <w:rPr>
          <w:bCs w:val="0"/>
          <w:color w:val="000000"/>
          <w:szCs w:val="24"/>
        </w:rPr>
        <w:t xml:space="preserve">When equipment is purchased with state funds, the equipment shall vest with the grantee only for such period of time as the grantee has a grant with the CDE. The CDE may provide written authorization for the grantee to retain the equipment for the grantee’s own use if </w:t>
      </w:r>
      <w:r w:rsidR="00C95B87" w:rsidRPr="00F83B8D">
        <w:rPr>
          <w:bCs w:val="0"/>
          <w:color w:val="000000"/>
          <w:szCs w:val="24"/>
        </w:rPr>
        <w:t>fair</w:t>
      </w:r>
      <w:r w:rsidRPr="00F83B8D">
        <w:rPr>
          <w:bCs w:val="0"/>
          <w:color w:val="000000"/>
          <w:szCs w:val="24"/>
        </w:rPr>
        <w:t xml:space="preserve">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p>
    <w:p w14:paraId="4864B50C" w14:textId="77777777" w:rsidR="008E11C4" w:rsidRPr="00F83B8D" w:rsidRDefault="008E11C4" w:rsidP="00E11687">
      <w:pPr>
        <w:autoSpaceDE w:val="0"/>
        <w:autoSpaceDN w:val="0"/>
        <w:adjustRightInd w:val="0"/>
        <w:spacing w:before="240" w:after="240"/>
        <w:ind w:left="720" w:right="-187"/>
        <w:rPr>
          <w:bCs w:val="0"/>
          <w:color w:val="000000"/>
          <w:szCs w:val="24"/>
        </w:rPr>
      </w:pPr>
      <w:r w:rsidRPr="00F83B8D">
        <w:rPr>
          <w:bCs w:val="0"/>
          <w:color w:val="000000"/>
          <w:szCs w:val="24"/>
        </w:rPr>
        <w:t>When equipment is purchased in whole or in part with state funds, the grantee shall use the equipment exclusively in the program(s) from which funds were used to purchase the equipment. If the grantee wishes to share the use of the equipment between/among two or more programs, the cost of such equipment shall be prorated between/among the programs.</w:t>
      </w:r>
    </w:p>
    <w:p w14:paraId="5A825A76" w14:textId="77777777" w:rsidR="008E11C4" w:rsidRPr="00F83B8D" w:rsidRDefault="008E11C4" w:rsidP="00E11687">
      <w:pPr>
        <w:autoSpaceDE w:val="0"/>
        <w:autoSpaceDN w:val="0"/>
        <w:adjustRightInd w:val="0"/>
        <w:spacing w:after="240"/>
        <w:ind w:left="720" w:right="-187"/>
        <w:rPr>
          <w:bCs w:val="0"/>
          <w:color w:val="000000"/>
          <w:szCs w:val="24"/>
        </w:rPr>
      </w:pPr>
      <w:r w:rsidRPr="00F83B8D">
        <w:rPr>
          <w:bCs w:val="0"/>
          <w:color w:val="000000"/>
          <w:szCs w:val="24"/>
        </w:rPr>
        <w:t>The grantee may dispose of obsolete equipment and remove the asset at its recorded value. If the sale of equipment originally purchased with state funds occurs, the proceeds from the sale of the equipment must be returned to the program. If the grantee no longer has a grant with the CDE, the grantee shall dispose of the equipment in accordance with written directions from the CDE.</w:t>
      </w:r>
    </w:p>
    <w:p w14:paraId="55D5372F" w14:textId="77777777" w:rsidR="008E11C4" w:rsidRPr="00F83B8D" w:rsidRDefault="008E11C4" w:rsidP="00E11687">
      <w:pPr>
        <w:pStyle w:val="Heading3"/>
        <w:numPr>
          <w:ilvl w:val="0"/>
          <w:numId w:val="85"/>
        </w:numPr>
        <w:spacing w:before="360" w:after="240"/>
      </w:pPr>
      <w:bookmarkStart w:id="78" w:name="_Toc158361618"/>
      <w:r w:rsidRPr="00F83B8D">
        <w:t>Audit Standards</w:t>
      </w:r>
      <w:bookmarkEnd w:id="78"/>
    </w:p>
    <w:p w14:paraId="6FB2E980" w14:textId="78DAE18A" w:rsidR="008E11C4" w:rsidRPr="00F83B8D" w:rsidRDefault="008E11C4" w:rsidP="008E11C4">
      <w:pPr>
        <w:autoSpaceDE w:val="0"/>
        <w:autoSpaceDN w:val="0"/>
        <w:adjustRightInd w:val="0"/>
        <w:spacing w:after="240"/>
        <w:ind w:left="720" w:right="-187"/>
        <w:rPr>
          <w:b/>
          <w:color w:val="000000"/>
          <w:szCs w:val="24"/>
        </w:rPr>
      </w:pPr>
      <w:r w:rsidRPr="00F83B8D">
        <w:t xml:space="preserve">Grantees are expected to maintain a state of audit readiness. This means that records pertinent to the financial </w:t>
      </w:r>
      <w:r w:rsidRPr="00F83B8D">
        <w:rPr>
          <w:bCs w:val="0"/>
          <w:color w:val="000000"/>
          <w:szCs w:val="24"/>
        </w:rPr>
        <w:t xml:space="preserve">and programmatic aspects of their grants must be readily accessible for audit or program and fiscal review by CDE staff. Failure to provide the auditor or CDE staff with reliable documentation could lead to questioned costs and possibly result in cost disallowances requiring repayment of funds to the CDE. The </w:t>
      </w:r>
      <w:r w:rsidR="00471BBA" w:rsidRPr="00F83B8D">
        <w:rPr>
          <w:bCs w:val="0"/>
          <w:color w:val="000000"/>
          <w:szCs w:val="24"/>
        </w:rPr>
        <w:t>Federal Single Audit</w:t>
      </w:r>
      <w:r w:rsidRPr="00F83B8D">
        <w:rPr>
          <w:bCs w:val="0"/>
          <w:color w:val="000000"/>
          <w:szCs w:val="24"/>
        </w:rPr>
        <w:t xml:space="preserve">, the definitive federal regulation </w:t>
      </w:r>
      <w:r w:rsidRPr="00F83B8D">
        <w:rPr>
          <w:bCs w:val="0"/>
          <w:color w:val="000000"/>
          <w:szCs w:val="24"/>
        </w:rPr>
        <w:lastRenderedPageBreak/>
        <w:t>concerning audits of nonprofit organizations, bases the requirements for audit on specific dollar amounts</w:t>
      </w:r>
      <w:r w:rsidR="00471BBA" w:rsidRPr="00F83B8D">
        <w:rPr>
          <w:bCs w:val="0"/>
          <w:color w:val="000000"/>
          <w:szCs w:val="24"/>
        </w:rPr>
        <w:t xml:space="preserve"> and</w:t>
      </w:r>
      <w:r w:rsidRPr="00F83B8D">
        <w:rPr>
          <w:bCs w:val="0"/>
          <w:color w:val="000000"/>
          <w:szCs w:val="24"/>
        </w:rPr>
        <w:t xml:space="preserve"> should be reviewed to assure proper implementation.</w:t>
      </w:r>
    </w:p>
    <w:p w14:paraId="6FA644DD" w14:textId="77777777" w:rsidR="008E11C4" w:rsidRPr="00F83B8D" w:rsidRDefault="008E11C4" w:rsidP="00E11687">
      <w:pPr>
        <w:pStyle w:val="Heading3"/>
        <w:numPr>
          <w:ilvl w:val="0"/>
          <w:numId w:val="85"/>
        </w:numPr>
        <w:spacing w:before="360" w:after="240"/>
      </w:pPr>
      <w:bookmarkStart w:id="79" w:name="_Toc158361619"/>
      <w:r w:rsidRPr="00F83B8D">
        <w:t>References</w:t>
      </w:r>
      <w:bookmarkEnd w:id="79"/>
    </w:p>
    <w:p w14:paraId="58ACC5C0" w14:textId="73B15A1C" w:rsidR="008E11C4" w:rsidRPr="00F83B8D" w:rsidRDefault="008E11C4" w:rsidP="008E11C4">
      <w:pPr>
        <w:spacing w:after="480"/>
        <w:ind w:left="720"/>
        <w:rPr>
          <w:bCs w:val="0"/>
          <w:szCs w:val="24"/>
        </w:rPr>
      </w:pPr>
      <w:r w:rsidRPr="00F83B8D">
        <w:t xml:space="preserve">The </w:t>
      </w:r>
      <w:r w:rsidRPr="00F83B8D">
        <w:rPr>
          <w:bCs w:val="0"/>
          <w:szCs w:val="24"/>
        </w:rPr>
        <w:t>OMB Uniform Guidance</w:t>
      </w:r>
      <w:r w:rsidR="00A5431D" w:rsidRPr="00F83B8D">
        <w:rPr>
          <w:bCs w:val="0"/>
          <w:szCs w:val="24"/>
        </w:rPr>
        <w:t xml:space="preserve"> of 2014</w:t>
      </w:r>
      <w:r w:rsidRPr="00F83B8D">
        <w:rPr>
          <w:bCs w:val="0"/>
          <w:szCs w:val="24"/>
        </w:rPr>
        <w:t xml:space="preserve"> streamlines and clarifies cost allocation and other rules related to government grants and contracts, removing some areas of confusion and inconsistency while treating more of a nonprofit’s expenses as direct (reimbursable) costs. The OMB Uniform Guidance can be found on the National Council of Nonprofits web page at </w:t>
      </w:r>
      <w:hyperlink r:id="rId21" w:tooltip="National Council of Nonprofits." w:history="1">
        <w:r w:rsidRPr="00F83B8D">
          <w:rPr>
            <w:rStyle w:val="Hyperlink"/>
            <w:bCs w:val="0"/>
            <w:szCs w:val="24"/>
          </w:rPr>
          <w:t>https://www.councilofnonprofits.org/omb-uniform-guidance-nonprofits-know-your-rights</w:t>
        </w:r>
      </w:hyperlink>
      <w:r w:rsidR="00323D72" w:rsidRPr="00F83B8D">
        <w:rPr>
          <w:bCs w:val="0"/>
          <w:color w:val="003366"/>
          <w:szCs w:val="24"/>
        </w:rPr>
        <w:t>.</w:t>
      </w:r>
      <w:r w:rsidR="00323D72" w:rsidRPr="00F83B8D">
        <w:rPr>
          <w:bCs w:val="0"/>
          <w:szCs w:val="24"/>
        </w:rPr>
        <w:t xml:space="preserve"> </w:t>
      </w:r>
    </w:p>
    <w:p w14:paraId="772B2D24" w14:textId="77777777" w:rsidR="008E11C4" w:rsidRPr="00F83B8D" w:rsidRDefault="008E11C4" w:rsidP="00E11687">
      <w:pPr>
        <w:pStyle w:val="Heading3"/>
        <w:numPr>
          <w:ilvl w:val="0"/>
          <w:numId w:val="85"/>
        </w:numPr>
        <w:spacing w:before="360" w:after="240"/>
      </w:pPr>
      <w:bookmarkStart w:id="80" w:name="_Toc158361620"/>
      <w:r w:rsidRPr="00F83B8D">
        <w:t>Application Budget Revisions</w:t>
      </w:r>
      <w:bookmarkEnd w:id="80"/>
    </w:p>
    <w:p w14:paraId="4E6FA87A" w14:textId="77777777" w:rsidR="008E11C4" w:rsidRPr="00F83B8D" w:rsidRDefault="008E11C4" w:rsidP="008E11C4">
      <w:pPr>
        <w:tabs>
          <w:tab w:val="left" w:pos="360"/>
        </w:tabs>
        <w:spacing w:after="240"/>
        <w:ind w:left="720"/>
        <w:rPr>
          <w:bCs w:val="0"/>
          <w:szCs w:val="24"/>
        </w:rPr>
      </w:pPr>
      <w:r w:rsidRPr="00F83B8D">
        <w:t xml:space="preserve">Project budget revisions of more than 10 percent of the line item must be approved in writing by the CDE </w:t>
      </w:r>
      <w:r w:rsidRPr="00F83B8D">
        <w:rPr>
          <w:bCs w:val="0"/>
          <w:color w:val="000000"/>
          <w:szCs w:val="24"/>
        </w:rPr>
        <w:t xml:space="preserve">prior to implementation. </w:t>
      </w:r>
      <w:r w:rsidRPr="00F83B8D">
        <w:rPr>
          <w:bCs w:val="0"/>
          <w:szCs w:val="24"/>
        </w:rPr>
        <w:t>Expenditures for any grant activity, or type of equipment not listed in the application budget or approved revision must be approved in advance by the CDE.</w:t>
      </w:r>
    </w:p>
    <w:p w14:paraId="2C9F2777" w14:textId="77777777" w:rsidR="008E11C4" w:rsidRPr="00F83B8D" w:rsidRDefault="008E11C4" w:rsidP="008E11C4">
      <w:pPr>
        <w:spacing w:after="240"/>
        <w:ind w:left="720"/>
        <w:rPr>
          <w:bCs w:val="0"/>
          <w:szCs w:val="24"/>
        </w:rPr>
      </w:pPr>
      <w:r w:rsidRPr="00F83B8D">
        <w:rPr>
          <w:bCs w:val="0"/>
          <w:szCs w:val="24"/>
        </w:rPr>
        <w:t>Revisions to an approved application may be submitted any time during the annual grant period as long as the revision is approved prior to the implementation of the revision.</w:t>
      </w:r>
    </w:p>
    <w:p w14:paraId="70B9BD38" w14:textId="77777777" w:rsidR="008E11C4" w:rsidRPr="00F83B8D" w:rsidRDefault="008E11C4" w:rsidP="008E11C4">
      <w:pPr>
        <w:spacing w:after="480" w:line="240" w:lineRule="atLeast"/>
        <w:ind w:left="720"/>
        <w:rPr>
          <w:rFonts w:eastAsia="Times"/>
          <w:bCs w:val="0"/>
          <w:kern w:val="24"/>
          <w:szCs w:val="24"/>
        </w:rPr>
      </w:pPr>
      <w:r w:rsidRPr="00F83B8D">
        <w:rPr>
          <w:rFonts w:eastAsia="Times"/>
          <w:bCs w:val="0"/>
          <w:kern w:val="24"/>
          <w:szCs w:val="24"/>
        </w:rPr>
        <w:t xml:space="preserve">Requests for budget revisions in excess of 10 percent of a line item will not automatically be approved. As previously stated, budgets constitute an intricate and important part of the grantee’s program description. Any request for budget revisions of more than 10 percent of a line item will be evaluated with that understanding. Thus, grantees should not expect approval for budget revisions which are not justified by actual and sound program revisions. Additionally, please note that 5 </w:t>
      </w:r>
      <w:r w:rsidRPr="00F83B8D">
        <w:rPr>
          <w:rFonts w:eastAsia="Times"/>
          <w:bCs w:val="0"/>
          <w:i/>
          <w:kern w:val="24"/>
          <w:szCs w:val="24"/>
        </w:rPr>
        <w:t>CCR</w:t>
      </w:r>
      <w:r w:rsidRPr="00F83B8D">
        <w:rPr>
          <w:rFonts w:eastAsia="Times"/>
          <w:bCs w:val="0"/>
          <w:kern w:val="24"/>
          <w:szCs w:val="24"/>
        </w:rPr>
        <w:t xml:space="preserve">, Section 11996.11(a) requires written approval for </w:t>
      </w:r>
      <w:r w:rsidRPr="00F83B8D">
        <w:rPr>
          <w:bCs w:val="0"/>
          <w:color w:val="000000"/>
          <w:kern w:val="24"/>
          <w:szCs w:val="24"/>
        </w:rPr>
        <w:t>revisions of more than 10 percent of the line item</w:t>
      </w:r>
      <w:r w:rsidRPr="00F83B8D">
        <w:rPr>
          <w:rFonts w:eastAsia="Times"/>
          <w:bCs w:val="0"/>
          <w:kern w:val="24"/>
          <w:szCs w:val="24"/>
        </w:rPr>
        <w:t xml:space="preserve"> prior to any expenditures based on such revision. The CDE will not approve requests for budget revisions after any expenditure made in reliance on a requested revision that was not approved in advance by the CDE. Budget revisions of more than $1,000 will not be considered after June 30.</w:t>
      </w:r>
    </w:p>
    <w:p w14:paraId="209D0801" w14:textId="77777777" w:rsidR="008E11C4" w:rsidRPr="00F83B8D" w:rsidRDefault="008E11C4" w:rsidP="00E11687">
      <w:pPr>
        <w:pStyle w:val="Heading3"/>
        <w:numPr>
          <w:ilvl w:val="0"/>
          <w:numId w:val="85"/>
        </w:numPr>
        <w:spacing w:before="360" w:after="240"/>
        <w:rPr>
          <w:rFonts w:eastAsia="Times"/>
        </w:rPr>
      </w:pPr>
      <w:bookmarkStart w:id="81" w:name="_Toc158361621"/>
      <w:r w:rsidRPr="00F83B8D">
        <w:rPr>
          <w:rFonts w:eastAsia="Times"/>
        </w:rPr>
        <w:t>Reporting Requirements</w:t>
      </w:r>
      <w:bookmarkEnd w:id="81"/>
    </w:p>
    <w:p w14:paraId="4348CF2D" w14:textId="77777777" w:rsidR="008E11C4" w:rsidRPr="00F83B8D" w:rsidRDefault="008E11C4" w:rsidP="008E11C4">
      <w:pPr>
        <w:spacing w:after="480"/>
        <w:ind w:left="720"/>
      </w:pPr>
      <w:r w:rsidRPr="00F83B8D">
        <w:rPr>
          <w:rFonts w:eastAsia="Times"/>
        </w:rPr>
        <w:t xml:space="preserve">Each </w:t>
      </w:r>
      <w:r w:rsidRPr="00F83B8D">
        <w:t xml:space="preserve">grant recipient shall provide programmatic and fiscal reports (5 </w:t>
      </w:r>
      <w:r w:rsidRPr="00F83B8D">
        <w:rPr>
          <w:i/>
        </w:rPr>
        <w:t>CCR</w:t>
      </w:r>
      <w:r w:rsidRPr="00F83B8D">
        <w:t>, Section 11996.7). Forms shall be provided by the CDE.</w:t>
      </w:r>
    </w:p>
    <w:p w14:paraId="5B40CFC2" w14:textId="77777777" w:rsidR="008E11C4" w:rsidRPr="00F83B8D" w:rsidRDefault="008E11C4" w:rsidP="00E11687">
      <w:pPr>
        <w:pStyle w:val="Heading3"/>
        <w:numPr>
          <w:ilvl w:val="0"/>
          <w:numId w:val="85"/>
        </w:numPr>
        <w:spacing w:before="360" w:after="240"/>
        <w:rPr>
          <w:rFonts w:eastAsia="Times"/>
        </w:rPr>
      </w:pPr>
      <w:bookmarkStart w:id="82" w:name="_Toc158361622"/>
      <w:r w:rsidRPr="00F83B8D">
        <w:rPr>
          <w:rFonts w:eastAsia="Times"/>
        </w:rPr>
        <w:lastRenderedPageBreak/>
        <w:t>Programmatic Reporting</w:t>
      </w:r>
      <w:bookmarkEnd w:id="82"/>
    </w:p>
    <w:p w14:paraId="606F1A38" w14:textId="77777777" w:rsidR="008E11C4" w:rsidRPr="00F83B8D" w:rsidRDefault="008E11C4" w:rsidP="008E11C4">
      <w:pPr>
        <w:spacing w:after="240"/>
        <w:ind w:left="720"/>
        <w:rPr>
          <w:bCs w:val="0"/>
          <w:szCs w:val="24"/>
        </w:rPr>
      </w:pPr>
      <w:r w:rsidRPr="00F83B8D">
        <w:rPr>
          <w:rFonts w:eastAsia="Times"/>
        </w:rPr>
        <w:t xml:space="preserve">Each funded agency will provide a six-month </w:t>
      </w:r>
      <w:r w:rsidRPr="00F83B8D">
        <w:rPr>
          <w:bCs w:val="0"/>
          <w:szCs w:val="24"/>
        </w:rPr>
        <w:t>programmatic report and a final programmatic report.</w:t>
      </w:r>
    </w:p>
    <w:p w14:paraId="214DC0E5" w14:textId="77777777" w:rsidR="008E11C4" w:rsidRPr="00F83B8D" w:rsidRDefault="008E11C4" w:rsidP="008E11C4">
      <w:pPr>
        <w:spacing w:after="240"/>
        <w:ind w:left="720"/>
        <w:rPr>
          <w:bCs w:val="0"/>
          <w:szCs w:val="24"/>
        </w:rPr>
      </w:pPr>
      <w:r w:rsidRPr="00F83B8D">
        <w:rPr>
          <w:bCs w:val="0"/>
          <w:szCs w:val="24"/>
        </w:rPr>
        <w:t>The six-month programmatic report shall be due April 30. This document will report on the implementation of the approved application activities. This report will also include a budget implementation narrative section.</w:t>
      </w:r>
    </w:p>
    <w:p w14:paraId="3EEDCFE8" w14:textId="77777777" w:rsidR="008E11C4" w:rsidRPr="00F83B8D" w:rsidRDefault="008E11C4" w:rsidP="008E11C4">
      <w:pPr>
        <w:spacing w:after="240"/>
        <w:ind w:left="720"/>
        <w:rPr>
          <w:bCs w:val="0"/>
          <w:szCs w:val="24"/>
        </w:rPr>
      </w:pPr>
      <w:r w:rsidRPr="00F83B8D">
        <w:rPr>
          <w:bCs w:val="0"/>
          <w:szCs w:val="24"/>
        </w:rPr>
        <w:t>The final programmatic report shall be submitted annually and shall be due November 30 (60 days from the end of the grant period), and shall contain the following information:</w:t>
      </w:r>
    </w:p>
    <w:p w14:paraId="444DD265" w14:textId="77777777" w:rsidR="008E11C4" w:rsidRPr="00F83B8D" w:rsidRDefault="008E11C4" w:rsidP="00E11687">
      <w:pPr>
        <w:pStyle w:val="ListParagraph"/>
        <w:numPr>
          <w:ilvl w:val="0"/>
          <w:numId w:val="97"/>
        </w:numPr>
        <w:spacing w:after="240"/>
        <w:rPr>
          <w:bCs w:val="0"/>
          <w:szCs w:val="24"/>
        </w:rPr>
      </w:pPr>
      <w:r w:rsidRPr="00F83B8D">
        <w:rPr>
          <w:bCs w:val="0"/>
          <w:szCs w:val="24"/>
        </w:rPr>
        <w:t>Number of students enrolled, by grade level or age.</w:t>
      </w:r>
    </w:p>
    <w:p w14:paraId="788D41BB" w14:textId="77777777" w:rsidR="008E11C4" w:rsidRPr="00F83B8D" w:rsidRDefault="008E11C4" w:rsidP="00E11687">
      <w:pPr>
        <w:numPr>
          <w:ilvl w:val="0"/>
          <w:numId w:val="97"/>
        </w:numPr>
        <w:spacing w:after="240"/>
        <w:rPr>
          <w:bCs w:val="0"/>
          <w:szCs w:val="24"/>
        </w:rPr>
      </w:pPr>
      <w:r w:rsidRPr="00F83B8D">
        <w:rPr>
          <w:bCs w:val="0"/>
          <w:szCs w:val="24"/>
        </w:rPr>
        <w:t>Number of students served, by grade level or age, and by service type and frequency.</w:t>
      </w:r>
    </w:p>
    <w:p w14:paraId="5E1FA95A" w14:textId="77777777" w:rsidR="008E11C4" w:rsidRPr="00F83B8D" w:rsidRDefault="008E11C4" w:rsidP="00E11687">
      <w:pPr>
        <w:numPr>
          <w:ilvl w:val="0"/>
          <w:numId w:val="97"/>
        </w:numPr>
        <w:tabs>
          <w:tab w:val="left" w:pos="360"/>
        </w:tabs>
        <w:spacing w:after="240"/>
        <w:rPr>
          <w:bCs w:val="0"/>
          <w:szCs w:val="24"/>
        </w:rPr>
      </w:pPr>
      <w:r w:rsidRPr="00F83B8D">
        <w:rPr>
          <w:bCs w:val="0"/>
          <w:szCs w:val="24"/>
        </w:rPr>
        <w:t>Description of how the AIEC–TUPE Program meets the continuing educational and cultural needs of the community it serves.</w:t>
      </w:r>
    </w:p>
    <w:p w14:paraId="7FB0DCCD" w14:textId="77777777" w:rsidR="008E11C4" w:rsidRPr="00F83B8D" w:rsidRDefault="008E11C4" w:rsidP="00E11687">
      <w:pPr>
        <w:numPr>
          <w:ilvl w:val="0"/>
          <w:numId w:val="97"/>
        </w:numPr>
        <w:tabs>
          <w:tab w:val="left" w:pos="360"/>
        </w:tabs>
        <w:spacing w:after="240"/>
        <w:rPr>
          <w:bCs w:val="0"/>
          <w:szCs w:val="24"/>
        </w:rPr>
      </w:pPr>
      <w:r w:rsidRPr="00F83B8D">
        <w:rPr>
          <w:bCs w:val="0"/>
          <w:szCs w:val="24"/>
        </w:rPr>
        <w:t>Description of the collaborative activities conducted during the year.</w:t>
      </w:r>
    </w:p>
    <w:p w14:paraId="3F138F05" w14:textId="77777777" w:rsidR="008E11C4" w:rsidRPr="00F83B8D" w:rsidRDefault="008E11C4" w:rsidP="00E11687">
      <w:pPr>
        <w:numPr>
          <w:ilvl w:val="0"/>
          <w:numId w:val="97"/>
        </w:numPr>
        <w:tabs>
          <w:tab w:val="left" w:pos="360"/>
        </w:tabs>
        <w:spacing w:after="240"/>
        <w:rPr>
          <w:bCs w:val="0"/>
          <w:szCs w:val="24"/>
        </w:rPr>
      </w:pPr>
      <w:r w:rsidRPr="00F83B8D">
        <w:rPr>
          <w:bCs w:val="0"/>
          <w:szCs w:val="24"/>
        </w:rPr>
        <w:t xml:space="preserve">Progress made in meeting the AIEC–TUPE Program’s stated objectives, including applicable </w:t>
      </w:r>
      <w:r w:rsidRPr="00F83B8D">
        <w:rPr>
          <w:color w:val="000000"/>
          <w:szCs w:val="24"/>
        </w:rPr>
        <w:t xml:space="preserve">program objectives as stated in </w:t>
      </w:r>
      <w:r w:rsidRPr="00F83B8D">
        <w:rPr>
          <w:i/>
          <w:color w:val="000000"/>
          <w:szCs w:val="24"/>
        </w:rPr>
        <w:t>EC</w:t>
      </w:r>
      <w:r w:rsidRPr="00F83B8D">
        <w:rPr>
          <w:color w:val="000000"/>
          <w:szCs w:val="24"/>
        </w:rPr>
        <w:t xml:space="preserve"> Section 33381.</w:t>
      </w:r>
    </w:p>
    <w:p w14:paraId="6C62980B" w14:textId="77777777" w:rsidR="008E11C4" w:rsidRPr="00F83B8D" w:rsidRDefault="008E11C4" w:rsidP="00E11687">
      <w:pPr>
        <w:numPr>
          <w:ilvl w:val="0"/>
          <w:numId w:val="97"/>
        </w:numPr>
        <w:tabs>
          <w:tab w:val="left" w:pos="360"/>
        </w:tabs>
        <w:spacing w:after="240"/>
        <w:rPr>
          <w:bCs w:val="0"/>
          <w:szCs w:val="24"/>
        </w:rPr>
      </w:pPr>
      <w:r w:rsidRPr="00F83B8D">
        <w:rPr>
          <w:bCs w:val="0"/>
          <w:szCs w:val="24"/>
        </w:rPr>
        <w:t>Aggregated data on AIEC–TUPE Program-enrolled students’ performance on state academic assessment measures.</w:t>
      </w:r>
    </w:p>
    <w:p w14:paraId="1D6FC70C" w14:textId="77777777" w:rsidR="008E11C4" w:rsidRPr="00F83B8D" w:rsidRDefault="008E11C4" w:rsidP="00E11687">
      <w:pPr>
        <w:numPr>
          <w:ilvl w:val="0"/>
          <w:numId w:val="97"/>
        </w:numPr>
        <w:tabs>
          <w:tab w:val="left" w:pos="360"/>
        </w:tabs>
        <w:spacing w:after="240"/>
        <w:rPr>
          <w:bCs w:val="0"/>
          <w:szCs w:val="24"/>
        </w:rPr>
      </w:pPr>
      <w:r w:rsidRPr="00F83B8D">
        <w:rPr>
          <w:bCs w:val="0"/>
          <w:szCs w:val="24"/>
        </w:rPr>
        <w:t>Recommendations for revisions to the project and its budget on the basis of an analysis carried out by the grant recipient.</w:t>
      </w:r>
    </w:p>
    <w:p w14:paraId="6433E44F" w14:textId="77777777" w:rsidR="008E11C4" w:rsidRPr="00F83B8D" w:rsidRDefault="008E11C4" w:rsidP="008E11C4">
      <w:pPr>
        <w:tabs>
          <w:tab w:val="left" w:pos="360"/>
        </w:tabs>
        <w:spacing w:after="240"/>
        <w:ind w:left="720"/>
        <w:rPr>
          <w:bCs w:val="0"/>
          <w:szCs w:val="24"/>
        </w:rPr>
      </w:pPr>
      <w:r w:rsidRPr="00F83B8D">
        <w:rPr>
          <w:bCs w:val="0"/>
          <w:szCs w:val="24"/>
        </w:rPr>
        <w:t>Grantees shall submit statistical, cost, and program data as requested by the CDE in order for the CDE to prepare various legislatively mandated reports, to meet state and federal reporting requirements, and for the effective administration of the AIEC–TUPE Program.</w:t>
      </w:r>
    </w:p>
    <w:p w14:paraId="35CA9972" w14:textId="77777777" w:rsidR="008E11C4" w:rsidRPr="00F83B8D" w:rsidRDefault="008E11C4" w:rsidP="008E11C4">
      <w:pPr>
        <w:tabs>
          <w:tab w:val="left" w:pos="360"/>
        </w:tabs>
        <w:spacing w:after="240"/>
        <w:ind w:left="720"/>
        <w:rPr>
          <w:bCs w:val="0"/>
          <w:szCs w:val="24"/>
        </w:rPr>
      </w:pPr>
      <w:r w:rsidRPr="00F83B8D">
        <w:rPr>
          <w:bCs w:val="0"/>
          <w:szCs w:val="24"/>
        </w:rPr>
        <w:t>Grantees submitting data to the CDE will include a certification that the data are correct and complete, and the signature of the person authorized by the grantee to certify the data.</w:t>
      </w:r>
    </w:p>
    <w:p w14:paraId="386D6FB9" w14:textId="77777777" w:rsidR="008E11C4" w:rsidRPr="00F83B8D" w:rsidRDefault="008E11C4" w:rsidP="008E11C4">
      <w:pPr>
        <w:tabs>
          <w:tab w:val="left" w:pos="360"/>
        </w:tabs>
        <w:spacing w:after="480"/>
        <w:ind w:left="720"/>
        <w:rPr>
          <w:bCs w:val="0"/>
          <w:szCs w:val="24"/>
        </w:rPr>
      </w:pPr>
      <w:r w:rsidRPr="00F83B8D">
        <w:rPr>
          <w:bCs w:val="0"/>
          <w:szCs w:val="24"/>
        </w:rPr>
        <w:t xml:space="preserve">Grantees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in 5 </w:t>
      </w:r>
      <w:r w:rsidRPr="00F83B8D">
        <w:rPr>
          <w:bCs w:val="0"/>
          <w:i/>
          <w:szCs w:val="24"/>
        </w:rPr>
        <w:t>CCR</w:t>
      </w:r>
      <w:r w:rsidRPr="00F83B8D">
        <w:rPr>
          <w:bCs w:val="0"/>
          <w:szCs w:val="24"/>
        </w:rPr>
        <w:t>, Section 11996.7[d].</w:t>
      </w:r>
    </w:p>
    <w:p w14:paraId="5963E6B8" w14:textId="77777777" w:rsidR="008E11C4" w:rsidRPr="00F83B8D" w:rsidRDefault="008E11C4" w:rsidP="00E11687">
      <w:pPr>
        <w:pStyle w:val="Heading3"/>
        <w:numPr>
          <w:ilvl w:val="0"/>
          <w:numId w:val="87"/>
        </w:numPr>
        <w:spacing w:before="360" w:after="240"/>
        <w:ind w:left="720"/>
      </w:pPr>
      <w:bookmarkStart w:id="83" w:name="_Toc158361623"/>
      <w:r w:rsidRPr="00F83B8D">
        <w:lastRenderedPageBreak/>
        <w:t>Fiscal Reporting</w:t>
      </w:r>
      <w:bookmarkEnd w:id="83"/>
    </w:p>
    <w:p w14:paraId="352C62FB" w14:textId="55D03EB9" w:rsidR="009454D2" w:rsidRPr="00F83B8D" w:rsidRDefault="008E11C4" w:rsidP="00E11687">
      <w:pPr>
        <w:keepNext/>
        <w:keepLines/>
        <w:tabs>
          <w:tab w:val="left" w:pos="360"/>
        </w:tabs>
        <w:spacing w:before="240" w:after="240"/>
        <w:ind w:left="720"/>
        <w:rPr>
          <w:bCs w:val="0"/>
          <w:szCs w:val="24"/>
        </w:rPr>
      </w:pPr>
      <w:r w:rsidRPr="00F83B8D">
        <w:t xml:space="preserve">The fiscal reporting shall be submitted </w:t>
      </w:r>
      <w:r w:rsidRPr="00F83B8D">
        <w:rPr>
          <w:bCs w:val="0"/>
          <w:szCs w:val="24"/>
        </w:rPr>
        <w:t>quarterly. Fiscal expenditure reports are due as follows:</w:t>
      </w:r>
    </w:p>
    <w:tbl>
      <w:tblPr>
        <w:tblW w:w="8190" w:type="dxa"/>
        <w:jc w:val="center"/>
        <w:tblCellMar>
          <w:left w:w="0" w:type="dxa"/>
          <w:right w:w="0" w:type="dxa"/>
        </w:tblCellMar>
        <w:tblLook w:val="04A0" w:firstRow="1" w:lastRow="0" w:firstColumn="1" w:lastColumn="0" w:noHBand="0" w:noVBand="1"/>
        <w:tblDescription w:val="These are the due dates for the quarterly Expenditure Reports."/>
      </w:tblPr>
      <w:tblGrid>
        <w:gridCol w:w="3690"/>
        <w:gridCol w:w="4500"/>
      </w:tblGrid>
      <w:tr w:rsidR="009454D2" w:rsidRPr="00F83B8D" w14:paraId="59886410" w14:textId="77777777" w:rsidTr="0049420F">
        <w:trPr>
          <w:cantSplit/>
          <w:trHeight w:val="300"/>
          <w:tblHeader/>
          <w:jc w:val="center"/>
        </w:trPr>
        <w:tc>
          <w:tcPr>
            <w:tcW w:w="36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46A3A3A" w14:textId="77777777" w:rsidR="009454D2" w:rsidRPr="00F83B8D" w:rsidRDefault="009454D2" w:rsidP="00E11687">
            <w:pPr>
              <w:jc w:val="center"/>
              <w:rPr>
                <w:bCs w:val="0"/>
                <w:color w:val="000000"/>
                <w:sz w:val="22"/>
              </w:rPr>
            </w:pPr>
            <w:r w:rsidRPr="00F83B8D">
              <w:rPr>
                <w:color w:val="000000"/>
              </w:rPr>
              <w:t>Expenditure Report Due Date</w:t>
            </w:r>
          </w:p>
        </w:tc>
        <w:tc>
          <w:tcPr>
            <w:tcW w:w="45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487A4B" w14:textId="77777777" w:rsidR="009454D2" w:rsidRPr="00F83B8D" w:rsidRDefault="009454D2">
            <w:pPr>
              <w:jc w:val="center"/>
              <w:rPr>
                <w:color w:val="000000"/>
              </w:rPr>
            </w:pPr>
            <w:r w:rsidRPr="00F83B8D">
              <w:rPr>
                <w:color w:val="000000"/>
              </w:rPr>
              <w:t>Report Period</w:t>
            </w:r>
          </w:p>
        </w:tc>
      </w:tr>
      <w:tr w:rsidR="009454D2" w:rsidRPr="00F83B8D" w14:paraId="70197B71" w14:textId="77777777" w:rsidTr="009454D2">
        <w:trPr>
          <w:cantSplit/>
          <w:trHeight w:val="300"/>
          <w:jc w:val="center"/>
        </w:trPr>
        <w:tc>
          <w:tcPr>
            <w:tcW w:w="36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73AB54" w14:textId="77777777" w:rsidR="009454D2" w:rsidRPr="00F83B8D" w:rsidRDefault="009454D2">
            <w:pPr>
              <w:rPr>
                <w:color w:val="000000"/>
              </w:rPr>
            </w:pPr>
            <w:r w:rsidRPr="00F83B8D">
              <w:rPr>
                <w:color w:val="000000"/>
              </w:rPr>
              <w:t>February 11, 2025</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14:paraId="50809679" w14:textId="77777777" w:rsidR="009454D2" w:rsidRPr="00F83B8D" w:rsidRDefault="009454D2">
            <w:pPr>
              <w:rPr>
                <w:color w:val="000000"/>
              </w:rPr>
            </w:pPr>
            <w:r w:rsidRPr="00F83B8D">
              <w:rPr>
                <w:color w:val="000000"/>
              </w:rPr>
              <w:t>October 1, 2024–December 31, 2024</w:t>
            </w:r>
          </w:p>
        </w:tc>
      </w:tr>
      <w:tr w:rsidR="009454D2" w:rsidRPr="00F83B8D" w14:paraId="2986E10C" w14:textId="77777777" w:rsidTr="009454D2">
        <w:trPr>
          <w:cantSplit/>
          <w:trHeight w:val="300"/>
          <w:jc w:val="center"/>
        </w:trPr>
        <w:tc>
          <w:tcPr>
            <w:tcW w:w="36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A195F0" w14:textId="77777777" w:rsidR="009454D2" w:rsidRPr="00F83B8D" w:rsidRDefault="009454D2">
            <w:pPr>
              <w:rPr>
                <w:color w:val="000000"/>
              </w:rPr>
            </w:pPr>
            <w:r w:rsidRPr="00F83B8D">
              <w:rPr>
                <w:color w:val="000000"/>
              </w:rPr>
              <w:t>May 11, 2025</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14:paraId="7E01E3A3" w14:textId="77777777" w:rsidR="009454D2" w:rsidRPr="00F83B8D" w:rsidRDefault="009454D2">
            <w:pPr>
              <w:rPr>
                <w:color w:val="000000"/>
              </w:rPr>
            </w:pPr>
            <w:r w:rsidRPr="00F83B8D">
              <w:rPr>
                <w:color w:val="000000"/>
              </w:rPr>
              <w:t>January 1, 2025–March 31, 2025</w:t>
            </w:r>
          </w:p>
        </w:tc>
      </w:tr>
      <w:tr w:rsidR="009454D2" w:rsidRPr="00F83B8D" w14:paraId="18970459" w14:textId="77777777" w:rsidTr="009454D2">
        <w:trPr>
          <w:cantSplit/>
          <w:trHeight w:val="300"/>
          <w:jc w:val="center"/>
        </w:trPr>
        <w:tc>
          <w:tcPr>
            <w:tcW w:w="36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745483" w14:textId="77777777" w:rsidR="009454D2" w:rsidRPr="00F83B8D" w:rsidRDefault="009454D2">
            <w:pPr>
              <w:rPr>
                <w:color w:val="000000"/>
              </w:rPr>
            </w:pPr>
            <w:r w:rsidRPr="00F83B8D">
              <w:rPr>
                <w:color w:val="000000"/>
              </w:rPr>
              <w:t>August 11, 2025</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14:paraId="27DB068D" w14:textId="77777777" w:rsidR="009454D2" w:rsidRPr="00F83B8D" w:rsidRDefault="009454D2">
            <w:pPr>
              <w:rPr>
                <w:color w:val="000000"/>
              </w:rPr>
            </w:pPr>
            <w:r w:rsidRPr="00F83B8D">
              <w:rPr>
                <w:color w:val="000000"/>
              </w:rPr>
              <w:t>April 1, 2025–June 30, 2025</w:t>
            </w:r>
          </w:p>
        </w:tc>
      </w:tr>
      <w:tr w:rsidR="009454D2" w:rsidRPr="00F83B8D" w14:paraId="315405A2" w14:textId="77777777" w:rsidTr="009454D2">
        <w:trPr>
          <w:cantSplit/>
          <w:trHeight w:val="300"/>
          <w:jc w:val="center"/>
        </w:trPr>
        <w:tc>
          <w:tcPr>
            <w:tcW w:w="36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8E9BDA" w14:textId="77777777" w:rsidR="009454D2" w:rsidRPr="00F83B8D" w:rsidRDefault="009454D2">
            <w:pPr>
              <w:rPr>
                <w:color w:val="000000"/>
              </w:rPr>
            </w:pPr>
            <w:r w:rsidRPr="00F83B8D">
              <w:rPr>
                <w:color w:val="000000"/>
              </w:rPr>
              <w:t>November 10, 2025</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14:paraId="1DFDEC04" w14:textId="77777777" w:rsidR="009454D2" w:rsidRPr="00F83B8D" w:rsidRDefault="009454D2">
            <w:pPr>
              <w:rPr>
                <w:color w:val="000000"/>
              </w:rPr>
            </w:pPr>
            <w:r w:rsidRPr="00F83B8D">
              <w:rPr>
                <w:color w:val="000000"/>
              </w:rPr>
              <w:t>October 1, 2024–September 30, 2025</w:t>
            </w:r>
          </w:p>
        </w:tc>
      </w:tr>
    </w:tbl>
    <w:p w14:paraId="07C84828" w14:textId="77777777" w:rsidR="008E11C4" w:rsidRPr="00F83B8D" w:rsidRDefault="008E11C4" w:rsidP="00A276CE">
      <w:pPr>
        <w:tabs>
          <w:tab w:val="left" w:pos="360"/>
        </w:tabs>
        <w:spacing w:before="360" w:after="240"/>
        <w:ind w:left="720"/>
        <w:rPr>
          <w:bCs w:val="0"/>
          <w:szCs w:val="24"/>
        </w:rPr>
      </w:pPr>
      <w:r w:rsidRPr="00F83B8D">
        <w:rPr>
          <w:bCs w:val="0"/>
          <w:szCs w:val="24"/>
        </w:rPr>
        <w:t>The reports shall be signed by the AIEC Board Chair/Fiscal Accounting Officer and will have two components:</w:t>
      </w:r>
    </w:p>
    <w:p w14:paraId="2984D810" w14:textId="77777777" w:rsidR="008E11C4" w:rsidRPr="00F83B8D" w:rsidRDefault="008E11C4" w:rsidP="00991C5B">
      <w:pPr>
        <w:numPr>
          <w:ilvl w:val="0"/>
          <w:numId w:val="19"/>
        </w:numPr>
        <w:tabs>
          <w:tab w:val="left" w:pos="360"/>
        </w:tabs>
        <w:spacing w:after="240"/>
        <w:ind w:left="1440"/>
        <w:rPr>
          <w:bCs w:val="0"/>
          <w:szCs w:val="24"/>
        </w:rPr>
      </w:pPr>
      <w:r w:rsidRPr="00F83B8D">
        <w:rPr>
          <w:bCs w:val="0"/>
          <w:szCs w:val="24"/>
        </w:rPr>
        <w:t>An Expenditure Report.</w:t>
      </w:r>
    </w:p>
    <w:p w14:paraId="686193C2" w14:textId="77777777" w:rsidR="008E11C4" w:rsidRPr="00F83B8D" w:rsidRDefault="008E11C4" w:rsidP="00991C5B">
      <w:pPr>
        <w:numPr>
          <w:ilvl w:val="0"/>
          <w:numId w:val="19"/>
        </w:numPr>
        <w:tabs>
          <w:tab w:val="left" w:pos="360"/>
        </w:tabs>
        <w:spacing w:after="240"/>
        <w:ind w:left="1440"/>
        <w:rPr>
          <w:bCs w:val="0"/>
          <w:szCs w:val="24"/>
        </w:rPr>
      </w:pPr>
      <w:r w:rsidRPr="00F83B8D">
        <w:rPr>
          <w:bCs w:val="0"/>
          <w:szCs w:val="24"/>
        </w:rPr>
        <w:t>A detailed general ledger that shows each employee’s name and the expenditures in detail.</w:t>
      </w:r>
    </w:p>
    <w:p w14:paraId="026E714A" w14:textId="3450079A" w:rsidR="008E11C4" w:rsidRPr="00F83B8D" w:rsidRDefault="008E11C4" w:rsidP="00991C5B">
      <w:pPr>
        <w:numPr>
          <w:ilvl w:val="0"/>
          <w:numId w:val="20"/>
        </w:numPr>
        <w:tabs>
          <w:tab w:val="left" w:pos="360"/>
        </w:tabs>
        <w:spacing w:after="240"/>
        <w:ind w:left="2160"/>
        <w:rPr>
          <w:bCs w:val="0"/>
          <w:szCs w:val="24"/>
        </w:rPr>
      </w:pPr>
      <w:r w:rsidRPr="00F83B8D">
        <w:rPr>
          <w:bCs w:val="0"/>
          <w:szCs w:val="24"/>
        </w:rPr>
        <w:t xml:space="preserve">The general ledger is due quarterly and is not to be included with the application. The amounts on the general ledger must match the amounts reported </w:t>
      </w:r>
      <w:r w:rsidR="00C95B87" w:rsidRPr="00F83B8D">
        <w:rPr>
          <w:bCs w:val="0"/>
          <w:szCs w:val="24"/>
        </w:rPr>
        <w:t>in</w:t>
      </w:r>
      <w:r w:rsidRPr="00F83B8D">
        <w:rPr>
          <w:bCs w:val="0"/>
          <w:szCs w:val="24"/>
        </w:rPr>
        <w:t xml:space="preserve"> the Expenditure Report.</w:t>
      </w:r>
    </w:p>
    <w:p w14:paraId="61FCE85E" w14:textId="77777777" w:rsidR="008E11C4" w:rsidRPr="00F83B8D" w:rsidRDefault="008E11C4" w:rsidP="00A276CE">
      <w:pPr>
        <w:numPr>
          <w:ilvl w:val="0"/>
          <w:numId w:val="19"/>
        </w:numPr>
        <w:tabs>
          <w:tab w:val="left" w:pos="360"/>
        </w:tabs>
        <w:spacing w:before="240" w:after="240"/>
        <w:ind w:left="1440"/>
        <w:rPr>
          <w:bCs w:val="0"/>
          <w:szCs w:val="24"/>
        </w:rPr>
      </w:pPr>
      <w:r w:rsidRPr="00F83B8D">
        <w:rPr>
          <w:bCs w:val="0"/>
          <w:szCs w:val="24"/>
        </w:rPr>
        <w:t>Once an Expenditure Report has been submitted and approved by the CDE, no changes are allowed without justification as to why the changes are being made. The AIEC must receive prior approval by the CDE before a change is made.</w:t>
      </w:r>
    </w:p>
    <w:p w14:paraId="3E6B38BD" w14:textId="77777777" w:rsidR="008E11C4" w:rsidRPr="00F83B8D" w:rsidRDefault="008E11C4" w:rsidP="00765258">
      <w:pPr>
        <w:autoSpaceDE w:val="0"/>
        <w:autoSpaceDN w:val="0"/>
        <w:adjustRightInd w:val="0"/>
        <w:spacing w:before="240" w:after="240"/>
        <w:ind w:left="720" w:right="-187"/>
        <w:rPr>
          <w:bCs w:val="0"/>
          <w:color w:val="000000"/>
          <w:szCs w:val="24"/>
        </w:rPr>
      </w:pPr>
      <w:r w:rsidRPr="00F83B8D">
        <w:rPr>
          <w:bCs w:val="0"/>
          <w:color w:val="000000"/>
          <w:szCs w:val="24"/>
        </w:rPr>
        <w:t>The CDE shall reduce, withhold, or cancel any scheduled payment when one or more of the following conditions exist:</w:t>
      </w:r>
    </w:p>
    <w:p w14:paraId="326C8C4B" w14:textId="77777777" w:rsidR="008E11C4" w:rsidRPr="00F83B8D" w:rsidRDefault="008E11C4" w:rsidP="00765258">
      <w:pPr>
        <w:numPr>
          <w:ilvl w:val="0"/>
          <w:numId w:val="21"/>
        </w:numPr>
        <w:autoSpaceDE w:val="0"/>
        <w:autoSpaceDN w:val="0"/>
        <w:adjustRightInd w:val="0"/>
        <w:spacing w:before="240" w:after="240"/>
        <w:ind w:right="-187"/>
        <w:rPr>
          <w:bCs w:val="0"/>
          <w:color w:val="000000"/>
          <w:szCs w:val="24"/>
        </w:rPr>
      </w:pPr>
      <w:r w:rsidRPr="00F83B8D">
        <w:rPr>
          <w:bCs w:val="0"/>
          <w:color w:val="000000"/>
          <w:szCs w:val="24"/>
        </w:rPr>
        <w:t>The grantee has not submitted an acceptable audit for any prior year of operation on or before the date due.</w:t>
      </w:r>
    </w:p>
    <w:p w14:paraId="094EE6BA" w14:textId="77777777" w:rsidR="008E11C4" w:rsidRPr="00F83B8D" w:rsidRDefault="008E11C4" w:rsidP="00765258">
      <w:pPr>
        <w:numPr>
          <w:ilvl w:val="0"/>
          <w:numId w:val="21"/>
        </w:numPr>
        <w:autoSpaceDE w:val="0"/>
        <w:autoSpaceDN w:val="0"/>
        <w:adjustRightInd w:val="0"/>
        <w:spacing w:before="240" w:after="240"/>
        <w:ind w:right="-187"/>
        <w:rPr>
          <w:bCs w:val="0"/>
          <w:color w:val="000000"/>
          <w:szCs w:val="24"/>
        </w:rPr>
      </w:pPr>
      <w:r w:rsidRPr="00F83B8D">
        <w:rPr>
          <w:bCs w:val="0"/>
          <w:color w:val="000000"/>
          <w:szCs w:val="24"/>
        </w:rPr>
        <w:t>The grantee has not submitted any reports required before the date due.</w:t>
      </w:r>
    </w:p>
    <w:p w14:paraId="32F61A01" w14:textId="77777777" w:rsidR="008E11C4" w:rsidRPr="00F83B8D" w:rsidRDefault="008E11C4" w:rsidP="00765258">
      <w:pPr>
        <w:numPr>
          <w:ilvl w:val="0"/>
          <w:numId w:val="21"/>
        </w:numPr>
        <w:autoSpaceDE w:val="0"/>
        <w:autoSpaceDN w:val="0"/>
        <w:adjustRightInd w:val="0"/>
        <w:spacing w:before="240" w:after="240"/>
        <w:ind w:right="-187"/>
        <w:rPr>
          <w:bCs w:val="0"/>
          <w:color w:val="000000"/>
          <w:szCs w:val="24"/>
        </w:rPr>
      </w:pPr>
      <w:r w:rsidRPr="00F83B8D">
        <w:rPr>
          <w:bCs w:val="0"/>
          <w:color w:val="000000"/>
          <w:szCs w:val="24"/>
        </w:rPr>
        <w:t>Any past due reports are not approved.</w:t>
      </w:r>
    </w:p>
    <w:p w14:paraId="26506731" w14:textId="77777777" w:rsidR="008E11C4" w:rsidRPr="00F83B8D" w:rsidRDefault="008E11C4" w:rsidP="00765258">
      <w:pPr>
        <w:numPr>
          <w:ilvl w:val="0"/>
          <w:numId w:val="21"/>
        </w:numPr>
        <w:autoSpaceDE w:val="0"/>
        <w:autoSpaceDN w:val="0"/>
        <w:adjustRightInd w:val="0"/>
        <w:spacing w:before="240" w:after="240"/>
        <w:ind w:right="-187"/>
        <w:rPr>
          <w:bCs w:val="0"/>
          <w:color w:val="000000"/>
          <w:szCs w:val="24"/>
        </w:rPr>
      </w:pPr>
      <w:r w:rsidRPr="00F83B8D">
        <w:rPr>
          <w:bCs w:val="0"/>
          <w:color w:val="000000"/>
          <w:szCs w:val="24"/>
        </w:rPr>
        <w:t>The grantee will not earn the full grant amount based on the current year net reimbursable program costs as determined by the CDE.</w:t>
      </w:r>
    </w:p>
    <w:p w14:paraId="75937992" w14:textId="77777777" w:rsidR="008E11C4" w:rsidRPr="00F83B8D" w:rsidRDefault="008E11C4" w:rsidP="00765258">
      <w:pPr>
        <w:numPr>
          <w:ilvl w:val="0"/>
          <w:numId w:val="21"/>
        </w:numPr>
        <w:autoSpaceDE w:val="0"/>
        <w:autoSpaceDN w:val="0"/>
        <w:adjustRightInd w:val="0"/>
        <w:spacing w:before="240" w:after="240"/>
        <w:ind w:right="-187"/>
        <w:rPr>
          <w:bCs w:val="0"/>
          <w:color w:val="000000"/>
          <w:szCs w:val="24"/>
        </w:rPr>
      </w:pPr>
      <w:r w:rsidRPr="00F83B8D">
        <w:rPr>
          <w:bCs w:val="0"/>
          <w:color w:val="000000"/>
          <w:szCs w:val="24"/>
        </w:rPr>
        <w:t>A creditor of the grantee has placed a lien on the grantee’s scheduled payments.</w:t>
      </w:r>
    </w:p>
    <w:p w14:paraId="35ABCDC7" w14:textId="77777777" w:rsidR="008E11C4" w:rsidRPr="00F83B8D" w:rsidRDefault="008E11C4" w:rsidP="00765258">
      <w:pPr>
        <w:numPr>
          <w:ilvl w:val="0"/>
          <w:numId w:val="21"/>
        </w:numPr>
        <w:autoSpaceDE w:val="0"/>
        <w:autoSpaceDN w:val="0"/>
        <w:adjustRightInd w:val="0"/>
        <w:spacing w:before="240"/>
        <w:ind w:right="-187"/>
        <w:rPr>
          <w:bCs w:val="0"/>
          <w:color w:val="000000"/>
          <w:szCs w:val="24"/>
        </w:rPr>
      </w:pPr>
      <w:r w:rsidRPr="00F83B8D">
        <w:rPr>
          <w:bCs w:val="0"/>
          <w:color w:val="000000"/>
          <w:szCs w:val="24"/>
        </w:rPr>
        <w:t>The grantee has accounts payable which are:</w:t>
      </w:r>
    </w:p>
    <w:p w14:paraId="1B0208F6" w14:textId="77777777" w:rsidR="008E11C4" w:rsidRPr="00F83B8D" w:rsidRDefault="008E11C4" w:rsidP="00765258">
      <w:pPr>
        <w:numPr>
          <w:ilvl w:val="0"/>
          <w:numId w:val="22"/>
        </w:numPr>
        <w:autoSpaceDE w:val="0"/>
        <w:autoSpaceDN w:val="0"/>
        <w:adjustRightInd w:val="0"/>
        <w:spacing w:before="240"/>
        <w:ind w:right="-180"/>
        <w:rPr>
          <w:bCs w:val="0"/>
          <w:color w:val="000000"/>
          <w:szCs w:val="24"/>
        </w:rPr>
      </w:pPr>
      <w:r w:rsidRPr="00F83B8D">
        <w:rPr>
          <w:bCs w:val="0"/>
          <w:color w:val="000000"/>
          <w:szCs w:val="24"/>
        </w:rPr>
        <w:lastRenderedPageBreak/>
        <w:t>More than 90 days delinquent to the CDE.</w:t>
      </w:r>
    </w:p>
    <w:p w14:paraId="381E8BA7" w14:textId="77777777" w:rsidR="008E11C4" w:rsidRPr="00F83B8D" w:rsidRDefault="008E11C4" w:rsidP="00765258">
      <w:pPr>
        <w:numPr>
          <w:ilvl w:val="0"/>
          <w:numId w:val="22"/>
        </w:numPr>
        <w:autoSpaceDE w:val="0"/>
        <w:autoSpaceDN w:val="0"/>
        <w:adjustRightInd w:val="0"/>
        <w:ind w:right="-187"/>
        <w:rPr>
          <w:bCs w:val="0"/>
          <w:color w:val="000000"/>
          <w:szCs w:val="24"/>
        </w:rPr>
      </w:pPr>
      <w:r w:rsidRPr="00F83B8D">
        <w:rPr>
          <w:bCs w:val="0"/>
          <w:color w:val="000000"/>
          <w:szCs w:val="24"/>
        </w:rPr>
        <w:t>Not under appeal.</w:t>
      </w:r>
    </w:p>
    <w:p w14:paraId="06E047AF" w14:textId="77777777" w:rsidR="008E11C4" w:rsidRPr="00F83B8D" w:rsidRDefault="008E11C4" w:rsidP="00765258">
      <w:pPr>
        <w:tabs>
          <w:tab w:val="left" w:pos="360"/>
        </w:tabs>
        <w:spacing w:before="240" w:after="240"/>
        <w:ind w:left="720"/>
        <w:rPr>
          <w:bCs w:val="0"/>
          <w:szCs w:val="24"/>
        </w:rPr>
      </w:pPr>
      <w:r w:rsidRPr="00F83B8D">
        <w:rPr>
          <w:bCs w:val="0"/>
          <w:szCs w:val="24"/>
        </w:rPr>
        <w:t>If any payment is to be reduced, withheld, or canceled, the CDE shall provide the grantee prior written notice of the intended action.</w:t>
      </w:r>
    </w:p>
    <w:p w14:paraId="652AB906" w14:textId="77777777" w:rsidR="00D43EE8" w:rsidRPr="00F83B8D" w:rsidRDefault="008E11C4" w:rsidP="00A80088">
      <w:pPr>
        <w:spacing w:after="480"/>
        <w:ind w:left="720"/>
        <w:rPr>
          <w:bCs w:val="0"/>
          <w:color w:val="000000"/>
          <w:szCs w:val="24"/>
        </w:rPr>
      </w:pPr>
      <w:r w:rsidRPr="00F83B8D">
        <w:rPr>
          <w:bCs w:val="0"/>
          <w:color w:val="000000"/>
          <w:szCs w:val="24"/>
        </w:rPr>
        <w:t xml:space="preserve">Failure to submit the Annual Program Report, Quarterly Fiscal Reports, or the CDE has not received the results of the AIEC Audited Final Revenue and Expenditure Report by the due dates will result in a delay of the second payment for the current year and all payments for subsequent grant years until the reports are submitted (5 </w:t>
      </w:r>
      <w:r w:rsidRPr="00F83B8D">
        <w:rPr>
          <w:bCs w:val="0"/>
          <w:i/>
          <w:color w:val="000000"/>
          <w:szCs w:val="24"/>
        </w:rPr>
        <w:t>CCR</w:t>
      </w:r>
      <w:r w:rsidRPr="00F83B8D">
        <w:rPr>
          <w:bCs w:val="0"/>
          <w:color w:val="000000"/>
          <w:szCs w:val="24"/>
        </w:rPr>
        <w:t>, Section 11996.7[d]).</w:t>
      </w:r>
    </w:p>
    <w:p w14:paraId="3308FAB7" w14:textId="77777777" w:rsidR="00A80088" w:rsidRPr="00F83B8D" w:rsidRDefault="00A80088" w:rsidP="00765258">
      <w:pPr>
        <w:pStyle w:val="Heading3"/>
        <w:numPr>
          <w:ilvl w:val="0"/>
          <w:numId w:val="87"/>
        </w:numPr>
        <w:tabs>
          <w:tab w:val="clear" w:pos="960"/>
          <w:tab w:val="clear" w:pos="1440"/>
          <w:tab w:val="clear" w:pos="1800"/>
          <w:tab w:val="clear" w:pos="2160"/>
        </w:tabs>
        <w:spacing w:before="360" w:after="240"/>
        <w:ind w:left="720"/>
      </w:pPr>
      <w:bookmarkStart w:id="84" w:name="_Toc158361624"/>
      <w:r w:rsidRPr="00F83B8D">
        <w:t>Allowable and Reasonable Costs</w:t>
      </w:r>
      <w:bookmarkEnd w:id="84"/>
    </w:p>
    <w:bookmarkEnd w:id="69"/>
    <w:p w14:paraId="7A8708A8" w14:textId="77777777" w:rsidR="00A80088" w:rsidRPr="00F83B8D" w:rsidRDefault="00F75567" w:rsidP="00A80088">
      <w:pPr>
        <w:ind w:left="720"/>
        <w:rPr>
          <w:rFonts w:eastAsia="Calibri"/>
        </w:rPr>
      </w:pPr>
      <w:r w:rsidRPr="00F83B8D">
        <w:rPr>
          <w:rFonts w:eastAsia="Calibri"/>
        </w:rPr>
        <w:t>Funds must supplement, not supplant, existing services and may not be used to supplant federal, state, local, or nonfede</w:t>
      </w:r>
      <w:r w:rsidR="00A80088" w:rsidRPr="00F83B8D">
        <w:rPr>
          <w:rFonts w:eastAsia="Calibri"/>
        </w:rPr>
        <w:t>ral funds. Programs may not use</w:t>
      </w:r>
    </w:p>
    <w:p w14:paraId="29640E7E" w14:textId="3A2BA798" w:rsidR="00F75567" w:rsidRPr="00F83B8D" w:rsidRDefault="00F75567" w:rsidP="00B77128">
      <w:pPr>
        <w:spacing w:after="240"/>
        <w:ind w:left="720"/>
        <w:rPr>
          <w:rFonts w:eastAsia="Calibri"/>
        </w:rPr>
      </w:pPr>
      <w:r w:rsidRPr="00F83B8D">
        <w:rPr>
          <w:rFonts w:eastAsia="Calibri"/>
        </w:rPr>
        <w:t>AIEC</w:t>
      </w:r>
      <w:r w:rsidR="00A80088" w:rsidRPr="00F83B8D">
        <w:rPr>
          <w:rFonts w:eastAsia="Calibri"/>
        </w:rPr>
        <w:t xml:space="preserve">–TUPE </w:t>
      </w:r>
      <w:r w:rsidR="007232DB" w:rsidRPr="00F83B8D">
        <w:rPr>
          <w:rFonts w:eastAsia="Calibri"/>
        </w:rPr>
        <w:t>Program</w:t>
      </w:r>
      <w:r w:rsidRPr="00F83B8D">
        <w:rPr>
          <w:rFonts w:eastAsia="Calibri"/>
        </w:rPr>
        <w:t xml:space="preserve"> funds to pay for existing levels of service funded from any other source. The AIEC</w:t>
      </w:r>
      <w:r w:rsidR="00A80088" w:rsidRPr="00F83B8D">
        <w:rPr>
          <w:rFonts w:eastAsia="Calibri"/>
        </w:rPr>
        <w:t>–TUPE</w:t>
      </w:r>
      <w:r w:rsidRPr="00F83B8D">
        <w:rPr>
          <w:rFonts w:eastAsia="Calibri"/>
        </w:rPr>
        <w:t xml:space="preserve"> </w:t>
      </w:r>
      <w:r w:rsidR="007232DB" w:rsidRPr="00F83B8D">
        <w:rPr>
          <w:rFonts w:eastAsia="Calibri"/>
        </w:rPr>
        <w:t xml:space="preserve">Program </w:t>
      </w:r>
      <w:r w:rsidRPr="00F83B8D">
        <w:rPr>
          <w:rFonts w:eastAsia="Calibri"/>
        </w:rPr>
        <w:t xml:space="preserve">funds may not be used for new construction, entertainment, and purchases not directly related to </w:t>
      </w:r>
      <w:r w:rsidR="00C95B87" w:rsidRPr="00F83B8D">
        <w:rPr>
          <w:rFonts w:eastAsia="Calibri"/>
        </w:rPr>
        <w:t>the requirements</w:t>
      </w:r>
      <w:r w:rsidRPr="00F83B8D">
        <w:rPr>
          <w:rFonts w:eastAsia="Calibri"/>
        </w:rPr>
        <w:t xml:space="preserve"> of the grant. All purchases must be reasonable and necessary. Please visit the Uniform Guidance–Title 2, Subtitle A, Chapter 2, Part 200, Subpart E–Cost Principles web page at </w:t>
      </w:r>
      <w:hyperlink r:id="rId22" w:tooltip="Uniform Guidance–Title 2, Subtitle A, Chapter 2, Part 200, Subpart E–Cost Principles web page " w:history="1">
        <w:r w:rsidRPr="00F83B8D">
          <w:rPr>
            <w:rStyle w:val="Hyperlink"/>
            <w:rFonts w:eastAsia="Calibri"/>
          </w:rPr>
          <w:t>http://www.ecfr.gov/cgi-bin/text-idx? SID=148e539f1aaea800420b71a9feb79f98&amp;mc=true&amp;node=sp2.1.200.e&amp;rgn=div6#sg2.1.200_1419.sg16</w:t>
        </w:r>
      </w:hyperlink>
      <w:r w:rsidRPr="00F83B8D">
        <w:rPr>
          <w:rFonts w:eastAsia="Calibri"/>
        </w:rPr>
        <w:t>.</w:t>
      </w:r>
    </w:p>
    <w:p w14:paraId="7E8CBC2E" w14:textId="77777777" w:rsidR="00F75567" w:rsidRPr="00F83B8D" w:rsidRDefault="00F75567" w:rsidP="00765258">
      <w:pPr>
        <w:spacing w:before="240" w:after="240"/>
        <w:ind w:left="720"/>
        <w:rPr>
          <w:rFonts w:eastAsia="Calibri"/>
        </w:rPr>
      </w:pPr>
      <w:r w:rsidRPr="00F83B8D">
        <w:rPr>
          <w:rFonts w:eastAsia="Calibri"/>
        </w:rPr>
        <w:t>Each application will be reviewed for reasonable costs. A cost is reasonable if, in its nature or amount, it does not exceed that cost which would be incurred by a prudent person under the circumstances prevailing at the time the decision was made to incur the cost.</w:t>
      </w:r>
    </w:p>
    <w:p w14:paraId="781C2AB1" w14:textId="20FDEBEE" w:rsidR="00F75567" w:rsidRPr="00F83B8D" w:rsidRDefault="00F75567" w:rsidP="00765258">
      <w:pPr>
        <w:spacing w:before="240" w:after="240"/>
        <w:ind w:left="720"/>
        <w:rPr>
          <w:rFonts w:eastAsia="Calibri"/>
        </w:rPr>
      </w:pPr>
      <w:r w:rsidRPr="00F83B8D">
        <w:rPr>
          <w:rFonts w:eastAsia="Calibri"/>
        </w:rPr>
        <w:t xml:space="preserve">For additional policy guidance about direct services, administrative costs, and allowable costs, please visit the CDE </w:t>
      </w:r>
      <w:r w:rsidRPr="00F83B8D">
        <w:rPr>
          <w:rFonts w:eastAsia="Calibri"/>
          <w:lang w:val="en"/>
        </w:rPr>
        <w:t xml:space="preserve">Direct Services and Administrative Costs Guidance web page at </w:t>
      </w:r>
      <w:hyperlink r:id="rId23" w:tooltip="California Department of Education Direct Services and Administrative Costs Guidance web page." w:history="1">
        <w:r w:rsidR="00B6436E" w:rsidRPr="00F83B8D">
          <w:rPr>
            <w:rStyle w:val="Hyperlink"/>
          </w:rPr>
          <w:t>https://www.cde.ca.gov/ls/ex/dirctservguidance.asp</w:t>
        </w:r>
      </w:hyperlink>
      <w:r w:rsidR="0026143E" w:rsidRPr="00F83B8D">
        <w:t>.</w:t>
      </w:r>
    </w:p>
    <w:p w14:paraId="6B9EBD69" w14:textId="77777777" w:rsidR="00F75567" w:rsidRPr="00F83B8D" w:rsidRDefault="00F75567" w:rsidP="00765258">
      <w:pPr>
        <w:pStyle w:val="Heading3"/>
        <w:numPr>
          <w:ilvl w:val="0"/>
          <w:numId w:val="88"/>
        </w:numPr>
        <w:spacing w:before="360" w:after="240"/>
        <w:rPr>
          <w:rFonts w:eastAsia="Calibri"/>
        </w:rPr>
      </w:pPr>
      <w:bookmarkStart w:id="85" w:name="_Toc3983579"/>
      <w:bookmarkStart w:id="86" w:name="_Toc158361625"/>
      <w:r w:rsidRPr="00F83B8D">
        <w:rPr>
          <w:rFonts w:eastAsia="Calibri"/>
        </w:rPr>
        <w:t>Unallowable Costs</w:t>
      </w:r>
      <w:bookmarkEnd w:id="85"/>
      <w:bookmarkEnd w:id="86"/>
    </w:p>
    <w:p w14:paraId="43D561C0" w14:textId="77777777" w:rsidR="00F75567" w:rsidRPr="00F83B8D" w:rsidRDefault="00F75567" w:rsidP="00F75567">
      <w:pPr>
        <w:spacing w:after="240"/>
        <w:ind w:left="720"/>
        <w:rPr>
          <w:rFonts w:eastAsia="Calibri"/>
        </w:rPr>
      </w:pPr>
      <w:r w:rsidRPr="00F83B8D">
        <w:rPr>
          <w:rFonts w:eastAsia="Calibri"/>
        </w:rPr>
        <w:t>The applicant may be asked to remove unallowable costs. Examples of expenditures that are unallowable include, but are not limited to, the following:</w:t>
      </w:r>
    </w:p>
    <w:p w14:paraId="6C13DF49"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Incentives</w:t>
      </w:r>
    </w:p>
    <w:p w14:paraId="5169D9DF"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Gifts to honor individuals</w:t>
      </w:r>
    </w:p>
    <w:p w14:paraId="64D81EA5" w14:textId="77777777" w:rsidR="00F75567" w:rsidRPr="00F83B8D" w:rsidRDefault="002D678A" w:rsidP="00A276CE">
      <w:pPr>
        <w:pStyle w:val="ListParagraph"/>
        <w:numPr>
          <w:ilvl w:val="0"/>
          <w:numId w:val="44"/>
        </w:numPr>
        <w:spacing w:before="240" w:after="240"/>
        <w:ind w:left="1440"/>
        <w:rPr>
          <w:rFonts w:eastAsia="Calibri"/>
        </w:rPr>
      </w:pPr>
      <w:r w:rsidRPr="00F83B8D">
        <w:rPr>
          <w:rFonts w:eastAsia="Calibri"/>
        </w:rPr>
        <w:t>Gift c</w:t>
      </w:r>
      <w:r w:rsidR="00F75567" w:rsidRPr="00F83B8D">
        <w:rPr>
          <w:rFonts w:eastAsia="Calibri"/>
        </w:rPr>
        <w:t>ards</w:t>
      </w:r>
    </w:p>
    <w:p w14:paraId="521C8997"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Pre-paid store cards or credit cards</w:t>
      </w:r>
    </w:p>
    <w:p w14:paraId="2BD7440B"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lastRenderedPageBreak/>
        <w:t>Parties/celebrations</w:t>
      </w:r>
    </w:p>
    <w:p w14:paraId="7C5A19D5"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Scholarships</w:t>
      </w:r>
    </w:p>
    <w:p w14:paraId="279DF74B"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Financial support to families</w:t>
      </w:r>
    </w:p>
    <w:p w14:paraId="7224B5E9"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Staff bonuses</w:t>
      </w:r>
    </w:p>
    <w:p w14:paraId="0563984B"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Interest/finance charges</w:t>
      </w:r>
    </w:p>
    <w:p w14:paraId="58D63768"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Internal Revenue Service penalties</w:t>
      </w:r>
    </w:p>
    <w:p w14:paraId="2D187988"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 xml:space="preserve">Entertainment, including amusement, diversion, social activities and any costs directly associated with such costs (such as tickets to shows </w:t>
      </w:r>
      <w:r w:rsidR="00A5431D" w:rsidRPr="00F83B8D">
        <w:rPr>
          <w:rFonts w:eastAsia="Calibri"/>
        </w:rPr>
        <w:t>or sports events</w:t>
      </w:r>
      <w:r w:rsidRPr="00F83B8D">
        <w:rPr>
          <w:rFonts w:eastAsia="Calibri"/>
        </w:rPr>
        <w:t>, rentals, transportation, and gratuities)</w:t>
      </w:r>
    </w:p>
    <w:p w14:paraId="1EFB2DB3" w14:textId="77777777" w:rsidR="00F75567" w:rsidRPr="00F83B8D" w:rsidRDefault="006D5C69" w:rsidP="00A276CE">
      <w:pPr>
        <w:pStyle w:val="ListParagraph"/>
        <w:numPr>
          <w:ilvl w:val="0"/>
          <w:numId w:val="44"/>
        </w:numPr>
        <w:spacing w:before="240" w:after="240"/>
        <w:ind w:left="1440"/>
        <w:rPr>
          <w:rFonts w:eastAsia="Calibri"/>
        </w:rPr>
      </w:pPr>
      <w:r w:rsidRPr="00F83B8D">
        <w:rPr>
          <w:rFonts w:eastAsia="Calibri"/>
        </w:rPr>
        <w:t>Lobbying</w:t>
      </w:r>
    </w:p>
    <w:p w14:paraId="2514F6F5"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Fundraising</w:t>
      </w:r>
    </w:p>
    <w:p w14:paraId="3052E10F" w14:textId="77777777" w:rsidR="00F75567" w:rsidRPr="00F83B8D" w:rsidRDefault="006D5C69" w:rsidP="00A276CE">
      <w:pPr>
        <w:pStyle w:val="ListParagraph"/>
        <w:numPr>
          <w:ilvl w:val="0"/>
          <w:numId w:val="44"/>
        </w:numPr>
        <w:spacing w:before="240" w:after="240"/>
        <w:ind w:left="1440"/>
        <w:rPr>
          <w:rFonts w:eastAsia="Calibri"/>
        </w:rPr>
      </w:pPr>
      <w:r w:rsidRPr="00F83B8D">
        <w:rPr>
          <w:rFonts w:eastAsia="Calibri"/>
        </w:rPr>
        <w:t>Bad debts</w:t>
      </w:r>
    </w:p>
    <w:p w14:paraId="7690BDEF" w14:textId="77777777" w:rsidR="00F75567" w:rsidRPr="00F83B8D" w:rsidRDefault="006D5C69" w:rsidP="00A276CE">
      <w:pPr>
        <w:pStyle w:val="ListParagraph"/>
        <w:numPr>
          <w:ilvl w:val="0"/>
          <w:numId w:val="44"/>
        </w:numPr>
        <w:spacing w:before="240" w:after="240"/>
        <w:ind w:left="1440"/>
        <w:rPr>
          <w:rFonts w:eastAsia="Calibri"/>
        </w:rPr>
      </w:pPr>
      <w:r w:rsidRPr="00F83B8D">
        <w:rPr>
          <w:rFonts w:eastAsia="Calibri"/>
        </w:rPr>
        <w:t>Contingencies</w:t>
      </w:r>
    </w:p>
    <w:p w14:paraId="29D37096" w14:textId="77777777" w:rsidR="00F75567" w:rsidRPr="00F83B8D" w:rsidRDefault="006D5C69" w:rsidP="00A276CE">
      <w:pPr>
        <w:pStyle w:val="ListParagraph"/>
        <w:numPr>
          <w:ilvl w:val="0"/>
          <w:numId w:val="44"/>
        </w:numPr>
        <w:spacing w:before="240" w:after="240"/>
        <w:ind w:left="1440"/>
        <w:rPr>
          <w:rFonts w:eastAsia="Calibri"/>
        </w:rPr>
      </w:pPr>
      <w:r w:rsidRPr="00F83B8D">
        <w:rPr>
          <w:rFonts w:eastAsia="Calibri"/>
        </w:rPr>
        <w:t>Fines and penalties</w:t>
      </w:r>
    </w:p>
    <w:p w14:paraId="2F930096"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Storage space rental</w:t>
      </w:r>
    </w:p>
    <w:p w14:paraId="358A4905" w14:textId="77777777" w:rsidR="00F75567" w:rsidRPr="00F83B8D" w:rsidRDefault="002D678A" w:rsidP="00A276CE">
      <w:pPr>
        <w:pStyle w:val="ListParagraph"/>
        <w:numPr>
          <w:ilvl w:val="0"/>
          <w:numId w:val="44"/>
        </w:numPr>
        <w:spacing w:before="240" w:after="240"/>
        <w:ind w:left="1440"/>
        <w:rPr>
          <w:rFonts w:eastAsia="Calibri"/>
        </w:rPr>
      </w:pPr>
      <w:r w:rsidRPr="00F83B8D">
        <w:rPr>
          <w:rFonts w:eastAsia="Calibri"/>
        </w:rPr>
        <w:t>Cost for a postage m</w:t>
      </w:r>
      <w:r w:rsidR="0066457D" w:rsidRPr="00F83B8D">
        <w:rPr>
          <w:rFonts w:eastAsia="Calibri"/>
        </w:rPr>
        <w:t>achine r</w:t>
      </w:r>
      <w:r w:rsidR="00F75567" w:rsidRPr="00F83B8D">
        <w:rPr>
          <w:rFonts w:eastAsia="Calibri"/>
        </w:rPr>
        <w:t>ental</w:t>
      </w:r>
    </w:p>
    <w:p w14:paraId="15200615"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Cost for a Post Office Box</w:t>
      </w:r>
    </w:p>
    <w:p w14:paraId="08960F20"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Costs of idle facilities</w:t>
      </w:r>
    </w:p>
    <w:p w14:paraId="7FCEFAA4" w14:textId="77777777" w:rsidR="00F75567" w:rsidRPr="00F83B8D" w:rsidRDefault="002D678A" w:rsidP="00A276CE">
      <w:pPr>
        <w:pStyle w:val="ListParagraph"/>
        <w:numPr>
          <w:ilvl w:val="0"/>
          <w:numId w:val="44"/>
        </w:numPr>
        <w:spacing w:before="240" w:after="240"/>
        <w:ind w:left="1440"/>
        <w:rPr>
          <w:rFonts w:eastAsia="Calibri"/>
        </w:rPr>
      </w:pPr>
      <w:r w:rsidRPr="00F83B8D">
        <w:rPr>
          <w:rFonts w:eastAsia="Calibri"/>
        </w:rPr>
        <w:t>Cell p</w:t>
      </w:r>
      <w:r w:rsidR="00F75567" w:rsidRPr="00F83B8D">
        <w:rPr>
          <w:rFonts w:eastAsia="Calibri"/>
        </w:rPr>
        <w:t>hone purchases</w:t>
      </w:r>
    </w:p>
    <w:p w14:paraId="42725260" w14:textId="77777777" w:rsidR="00A80088" w:rsidRPr="00F83B8D" w:rsidRDefault="00A80088" w:rsidP="00A276CE">
      <w:pPr>
        <w:pStyle w:val="ListParagraph"/>
        <w:numPr>
          <w:ilvl w:val="0"/>
          <w:numId w:val="44"/>
        </w:numPr>
        <w:spacing w:before="240" w:after="240"/>
        <w:ind w:left="1440"/>
        <w:rPr>
          <w:rFonts w:eastAsia="Calibri"/>
        </w:rPr>
      </w:pPr>
      <w:r w:rsidRPr="00F83B8D">
        <w:rPr>
          <w:rFonts w:eastAsia="Calibri"/>
        </w:rPr>
        <w:t>Equipment</w:t>
      </w:r>
    </w:p>
    <w:p w14:paraId="36CEFCD3"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Leasing of vehicles</w:t>
      </w:r>
    </w:p>
    <w:p w14:paraId="3DC5FD39"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Costs incurred after the grant has been terminated</w:t>
      </w:r>
    </w:p>
    <w:p w14:paraId="6F9053FD" w14:textId="77777777" w:rsidR="00F75567" w:rsidRPr="00F83B8D" w:rsidRDefault="006D5C69" w:rsidP="00A276CE">
      <w:pPr>
        <w:pStyle w:val="ListParagraph"/>
        <w:numPr>
          <w:ilvl w:val="0"/>
          <w:numId w:val="44"/>
        </w:numPr>
        <w:spacing w:before="240" w:after="240"/>
        <w:ind w:left="1440"/>
        <w:rPr>
          <w:rFonts w:eastAsia="Calibri"/>
        </w:rPr>
      </w:pPr>
      <w:r w:rsidRPr="00F83B8D">
        <w:rPr>
          <w:rFonts w:eastAsia="Calibri"/>
        </w:rPr>
        <w:t>Unnecessary travel</w:t>
      </w:r>
      <w:r w:rsidR="00A5431D" w:rsidRPr="00F83B8D">
        <w:rPr>
          <w:rFonts w:eastAsia="Calibri"/>
        </w:rPr>
        <w:t xml:space="preserve"> (travel that does not support the goals of the application)</w:t>
      </w:r>
    </w:p>
    <w:p w14:paraId="0EF2FA6A"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Out-of-state travel</w:t>
      </w:r>
    </w:p>
    <w:p w14:paraId="1A7D5E65" w14:textId="77777777" w:rsidR="00F75567" w:rsidRPr="00F83B8D" w:rsidRDefault="006D5C69" w:rsidP="00A276CE">
      <w:pPr>
        <w:pStyle w:val="ListParagraph"/>
        <w:numPr>
          <w:ilvl w:val="0"/>
          <w:numId w:val="44"/>
        </w:numPr>
        <w:spacing w:before="240" w:after="240"/>
        <w:ind w:left="1440"/>
        <w:rPr>
          <w:rFonts w:eastAsia="Calibri"/>
        </w:rPr>
      </w:pPr>
      <w:r w:rsidRPr="00F83B8D">
        <w:rPr>
          <w:rFonts w:eastAsia="Calibri"/>
        </w:rPr>
        <w:lastRenderedPageBreak/>
        <w:t>Contributions</w:t>
      </w:r>
    </w:p>
    <w:p w14:paraId="569B10C5"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Costs of organization of a nonprofit corporation such as incorporation fees or consultant fees</w:t>
      </w:r>
    </w:p>
    <w:p w14:paraId="15DF4BBB"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Public relations consultant fees</w:t>
      </w:r>
    </w:p>
    <w:p w14:paraId="32690992" w14:textId="77777777" w:rsidR="00F75567" w:rsidRPr="00F83B8D" w:rsidRDefault="00F75567" w:rsidP="00A276CE">
      <w:pPr>
        <w:pStyle w:val="ListParagraph"/>
        <w:numPr>
          <w:ilvl w:val="0"/>
          <w:numId w:val="44"/>
        </w:numPr>
        <w:spacing w:after="240"/>
        <w:ind w:left="1440"/>
        <w:rPr>
          <w:rFonts w:eastAsia="Calibri"/>
        </w:rPr>
      </w:pPr>
      <w:r w:rsidRPr="00F83B8D">
        <w:rPr>
          <w:rFonts w:eastAsia="Calibri"/>
        </w:rPr>
        <w:t>Costs of legal, consulting, and accounting services incurred in prosecution of claims against the state</w:t>
      </w:r>
    </w:p>
    <w:p w14:paraId="02A0E834" w14:textId="77777777" w:rsidR="00F75567" w:rsidRPr="00F83B8D" w:rsidRDefault="00F75567" w:rsidP="00A276CE">
      <w:pPr>
        <w:pStyle w:val="ListParagraph"/>
        <w:numPr>
          <w:ilvl w:val="0"/>
          <w:numId w:val="44"/>
        </w:numPr>
        <w:spacing w:after="240"/>
        <w:ind w:left="1440"/>
        <w:rPr>
          <w:rFonts w:eastAsia="Calibri"/>
        </w:rPr>
      </w:pPr>
      <w:r w:rsidRPr="00F83B8D">
        <w:rPr>
          <w:rFonts w:eastAsia="Calibri"/>
        </w:rPr>
        <w:t>State and federal income taxes, including filing fees</w:t>
      </w:r>
    </w:p>
    <w:p w14:paraId="71F8D546" w14:textId="77777777" w:rsidR="00F75567" w:rsidRPr="00F83B8D" w:rsidRDefault="00F75567" w:rsidP="00A276CE">
      <w:pPr>
        <w:pStyle w:val="ListParagraph"/>
        <w:numPr>
          <w:ilvl w:val="0"/>
          <w:numId w:val="44"/>
        </w:numPr>
        <w:spacing w:after="240"/>
        <w:ind w:left="1440"/>
        <w:rPr>
          <w:rFonts w:eastAsia="Calibri"/>
        </w:rPr>
      </w:pPr>
      <w:r w:rsidRPr="00F83B8D">
        <w:rPr>
          <w:rFonts w:eastAsia="Calibri"/>
        </w:rPr>
        <w:t>Compensation to the members of the Board of Directors except for:</w:t>
      </w:r>
    </w:p>
    <w:p w14:paraId="721ADC16" w14:textId="77777777" w:rsidR="00F75567" w:rsidRPr="00F83B8D" w:rsidRDefault="00F75567" w:rsidP="00A276CE">
      <w:pPr>
        <w:pStyle w:val="ListParagraph"/>
        <w:numPr>
          <w:ilvl w:val="1"/>
          <w:numId w:val="44"/>
        </w:numPr>
        <w:spacing w:after="240"/>
        <w:ind w:left="2160"/>
        <w:rPr>
          <w:rFonts w:eastAsia="Calibri"/>
        </w:rPr>
      </w:pPr>
      <w:r w:rsidRPr="00F83B8D">
        <w:rPr>
          <w:rFonts w:eastAsia="Calibri"/>
        </w:rPr>
        <w:t>Reimbursement for travel and/or per diem, computed in accordance with state rates, incurred while the members are conducting business on behalf of the AIEC Program</w:t>
      </w:r>
    </w:p>
    <w:p w14:paraId="0B7A19ED"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Costs incurred in prior or future years</w:t>
      </w:r>
    </w:p>
    <w:p w14:paraId="66415C28" w14:textId="77777777" w:rsidR="00F75567" w:rsidRPr="00F83B8D" w:rsidRDefault="00F75567" w:rsidP="00A276CE">
      <w:pPr>
        <w:pStyle w:val="ListParagraph"/>
        <w:numPr>
          <w:ilvl w:val="0"/>
          <w:numId w:val="44"/>
        </w:numPr>
        <w:spacing w:before="240" w:after="240"/>
        <w:ind w:left="1440"/>
        <w:rPr>
          <w:rFonts w:eastAsia="Calibri"/>
        </w:rPr>
      </w:pPr>
      <w:r w:rsidRPr="00F83B8D">
        <w:rPr>
          <w:rFonts w:eastAsia="Calibri"/>
        </w:rPr>
        <w:t>Any expense not included in the approved budget</w:t>
      </w:r>
    </w:p>
    <w:p w14:paraId="74795A2C" w14:textId="77777777" w:rsidR="00F75567" w:rsidRPr="00F83B8D" w:rsidRDefault="00F75567" w:rsidP="00765258">
      <w:pPr>
        <w:spacing w:before="240" w:after="240"/>
        <w:ind w:left="720"/>
        <w:rPr>
          <w:rFonts w:eastAsia="Calibri"/>
        </w:rPr>
      </w:pPr>
      <w:r w:rsidRPr="00F83B8D">
        <w:rPr>
          <w:rFonts w:eastAsia="Calibri"/>
        </w:rPr>
        <w:t>The CDE shall recoup any payments made for costs which were not reasonable and necessary. The amount that is recouped shall be the excess payment over the reasonable or fair market value, or 100 percent of the cost, if the cost was not necessary. The CDE may elect to recover any costs associated with recouping advanced contract funds, including collection services or attorney fees.</w:t>
      </w:r>
    </w:p>
    <w:p w14:paraId="6E853C8C" w14:textId="77777777" w:rsidR="00F75567" w:rsidRPr="00F83B8D" w:rsidRDefault="00F75567" w:rsidP="00765258">
      <w:pPr>
        <w:spacing w:before="240" w:after="240"/>
        <w:ind w:left="720"/>
        <w:rPr>
          <w:rFonts w:eastAsia="Calibri"/>
        </w:rPr>
      </w:pPr>
      <w:r w:rsidRPr="00F83B8D">
        <w:rPr>
          <w:rFonts w:eastAsia="Calibri"/>
        </w:rPr>
        <w:t>Net reimbursable program costs must be incurred during the grant period. Grantees shall not use current year grant funds to pay pri</w:t>
      </w:r>
      <w:r w:rsidR="00F726B2" w:rsidRPr="00F83B8D">
        <w:rPr>
          <w:rFonts w:eastAsia="Calibri"/>
        </w:rPr>
        <w:t>or or future year obligations.</w:t>
      </w:r>
    </w:p>
    <w:p w14:paraId="0870BCBA" w14:textId="77777777" w:rsidR="00F726B2" w:rsidRPr="00F83B8D" w:rsidRDefault="00F726B2" w:rsidP="00765258">
      <w:pPr>
        <w:pStyle w:val="Heading3"/>
        <w:numPr>
          <w:ilvl w:val="0"/>
          <w:numId w:val="88"/>
        </w:numPr>
        <w:spacing w:before="360" w:after="240"/>
        <w:rPr>
          <w:rFonts w:eastAsia="Calibri"/>
        </w:rPr>
      </w:pPr>
      <w:bookmarkStart w:id="87" w:name="_Toc3983580"/>
      <w:bookmarkStart w:id="88" w:name="_Toc158361626"/>
      <w:r w:rsidRPr="00F83B8D">
        <w:rPr>
          <w:rFonts w:eastAsia="Calibri"/>
        </w:rPr>
        <w:t>Costs Requiring California Department of Education Approval</w:t>
      </w:r>
      <w:bookmarkEnd w:id="87"/>
      <w:bookmarkEnd w:id="88"/>
    </w:p>
    <w:p w14:paraId="6804D467" w14:textId="77777777" w:rsidR="00F726B2" w:rsidRPr="00F83B8D" w:rsidRDefault="00F726B2" w:rsidP="00991C5B">
      <w:pPr>
        <w:pStyle w:val="ListParagraph"/>
        <w:numPr>
          <w:ilvl w:val="0"/>
          <w:numId w:val="46"/>
        </w:numPr>
        <w:spacing w:after="240"/>
        <w:rPr>
          <w:rFonts w:eastAsia="Calibri"/>
        </w:rPr>
      </w:pPr>
      <w:r w:rsidRPr="00F83B8D">
        <w:rPr>
          <w:rFonts w:eastAsia="Calibri"/>
        </w:rPr>
        <w:t>Any item that is not in the approved budget is unallowable unless written approval is given in advance by the CDE.</w:t>
      </w:r>
    </w:p>
    <w:p w14:paraId="1C557366" w14:textId="77777777" w:rsidR="00F726B2" w:rsidRPr="00F83B8D" w:rsidRDefault="00F726B2" w:rsidP="00991C5B">
      <w:pPr>
        <w:pStyle w:val="ListParagraph"/>
        <w:numPr>
          <w:ilvl w:val="0"/>
          <w:numId w:val="46"/>
        </w:numPr>
        <w:spacing w:after="240"/>
        <w:rPr>
          <w:rFonts w:eastAsia="Calibri"/>
        </w:rPr>
      </w:pPr>
      <w:r w:rsidRPr="00F83B8D">
        <w:rPr>
          <w:rFonts w:eastAsia="Calibri"/>
        </w:rPr>
        <w:t>If indirect costs are claimed, an indirect cost allocation plan must be on file with the grantee and available for review by</w:t>
      </w:r>
      <w:r w:rsidR="007232DB" w:rsidRPr="00F83B8D">
        <w:rPr>
          <w:rFonts w:eastAsia="Calibri"/>
        </w:rPr>
        <w:t xml:space="preserve"> CDE staff. The maximum for an I</w:t>
      </w:r>
      <w:r w:rsidRPr="00F83B8D">
        <w:rPr>
          <w:rFonts w:eastAsia="Calibri"/>
        </w:rPr>
        <w:t>ndirect cost rate for this funding is 7 percent. This rate is applied to budget categories 1000–5000 only in deter</w:t>
      </w:r>
      <w:r w:rsidR="007232DB" w:rsidRPr="00F83B8D">
        <w:rPr>
          <w:rFonts w:eastAsia="Calibri"/>
        </w:rPr>
        <w:t>mining the maximum amount of I</w:t>
      </w:r>
      <w:r w:rsidRPr="00F83B8D">
        <w:rPr>
          <w:rFonts w:eastAsia="Calibri"/>
        </w:rPr>
        <w:t xml:space="preserve">ndirect costs that are reimbursable under the grant. Indirect costs include agency-wide costs for fiscal services, personnel, central support (e.g., bookkeeping, purchasing, warehousing, and printing), </w:t>
      </w:r>
      <w:r w:rsidR="006D5C69" w:rsidRPr="00F83B8D">
        <w:rPr>
          <w:rFonts w:eastAsia="Calibri"/>
        </w:rPr>
        <w:t>and other centralized services.</w:t>
      </w:r>
    </w:p>
    <w:p w14:paraId="1538CCD3" w14:textId="67E0321E" w:rsidR="00A80088" w:rsidRPr="00F83B8D" w:rsidRDefault="00F726B2" w:rsidP="00991C5B">
      <w:pPr>
        <w:numPr>
          <w:ilvl w:val="1"/>
          <w:numId w:val="89"/>
        </w:numPr>
        <w:autoSpaceDE w:val="0"/>
        <w:autoSpaceDN w:val="0"/>
        <w:adjustRightInd w:val="0"/>
        <w:spacing w:after="240"/>
        <w:rPr>
          <w:b/>
          <w:color w:val="000000"/>
          <w:szCs w:val="24"/>
        </w:rPr>
      </w:pPr>
      <w:r w:rsidRPr="00F83B8D">
        <w:rPr>
          <w:rFonts w:eastAsia="Calibri"/>
        </w:rPr>
        <w:lastRenderedPageBreak/>
        <w:t xml:space="preserve">The amount of cost allocable to this grant shall not exceed the benefits </w:t>
      </w:r>
      <w:r w:rsidR="00CD40CB">
        <w:rPr>
          <w:rFonts w:eastAsia="Calibri"/>
        </w:rPr>
        <w:t>of</w:t>
      </w:r>
      <w:r w:rsidRPr="00F83B8D">
        <w:rPr>
          <w:rFonts w:eastAsia="Calibri"/>
        </w:rPr>
        <w:t xml:space="preserve"> this grant. The allocation method must quantify this benefit among all similar programs and then distribute the costs </w:t>
      </w:r>
      <w:r w:rsidR="00A80088" w:rsidRPr="00F83B8D">
        <w:rPr>
          <w:bCs w:val="0"/>
          <w:szCs w:val="24"/>
        </w:rPr>
        <w:t>accordingly.</w:t>
      </w:r>
    </w:p>
    <w:p w14:paraId="3F167A0B" w14:textId="77777777" w:rsidR="00A80088" w:rsidRPr="00F83B8D" w:rsidRDefault="00A80088" w:rsidP="00991C5B">
      <w:pPr>
        <w:numPr>
          <w:ilvl w:val="0"/>
          <w:numId w:val="90"/>
        </w:numPr>
        <w:autoSpaceDE w:val="0"/>
        <w:autoSpaceDN w:val="0"/>
        <w:adjustRightInd w:val="0"/>
        <w:ind w:left="1440"/>
        <w:rPr>
          <w:rStyle w:val="Strong"/>
          <w:szCs w:val="24"/>
        </w:rPr>
      </w:pPr>
      <w:r w:rsidRPr="00F83B8D">
        <w:rPr>
          <w:bCs w:val="0"/>
          <w:szCs w:val="24"/>
        </w:rPr>
        <w:t>The indirect cost rate shall not include consideration of any costs otherwise non-reimbursable. If a depreciation or use allowance is included in the indirect cost rate, such allowance shall not be claimed on the asset.</w:t>
      </w:r>
    </w:p>
    <w:sectPr w:rsidR="00A80088" w:rsidRPr="00F83B8D" w:rsidSect="00E2116E">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60B0C" w14:textId="77777777" w:rsidR="00EE2557" w:rsidRDefault="00EE2557">
      <w:r>
        <w:separator/>
      </w:r>
    </w:p>
  </w:endnote>
  <w:endnote w:type="continuationSeparator" w:id="0">
    <w:p w14:paraId="33068C64" w14:textId="77777777" w:rsidR="00EE2557" w:rsidRDefault="00EE2557">
      <w:r>
        <w:continuationSeparator/>
      </w:r>
    </w:p>
  </w:endnote>
  <w:endnote w:type="continuationNotice" w:id="1">
    <w:p w14:paraId="6C57B11D" w14:textId="77777777" w:rsidR="00EE2557" w:rsidRDefault="00EE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4926" w14:textId="2A404F9E" w:rsidR="00B36AD4" w:rsidRDefault="00B36AD4">
    <w:pPr>
      <w:pStyle w:val="Footer"/>
    </w:pPr>
    <w:r>
      <w:t>California Department of Education</w:t>
    </w:r>
    <w:r>
      <w:tab/>
    </w:r>
    <w:r>
      <w:tab/>
    </w:r>
    <w:r w:rsidR="00B8302C">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D51D6" w14:textId="77777777" w:rsidR="000250E5" w:rsidRPr="001E2A2E" w:rsidRDefault="000250E5" w:rsidP="001E2A2E">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A779" w14:textId="77777777" w:rsidR="000250E5" w:rsidRDefault="000250E5" w:rsidP="001E2A2E">
    <w:pPr>
      <w:pStyle w:val="Footer"/>
      <w:jc w:val="center"/>
      <w:rPr>
        <w:noProof/>
      </w:rPr>
    </w:pPr>
    <w:r>
      <w:fldChar w:fldCharType="begin"/>
    </w:r>
    <w:r>
      <w:instrText xml:space="preserve"> PAGE   \* MERGEFORMAT </w:instrText>
    </w:r>
    <w:r>
      <w:fldChar w:fldCharType="separate"/>
    </w:r>
    <w:r>
      <w:rPr>
        <w:noProof/>
      </w:rPr>
      <w:t>36</w:t>
    </w:r>
    <w:r>
      <w:rPr>
        <w:noProof/>
      </w:rPr>
      <w:fldChar w:fldCharType="end"/>
    </w:r>
  </w:p>
  <w:p w14:paraId="5225C347" w14:textId="6540E055" w:rsidR="00EF7D9B" w:rsidRDefault="00EF7D9B" w:rsidP="00EF7D9B">
    <w:pPr>
      <w:pStyle w:val="Footer"/>
    </w:pPr>
    <w:r>
      <w:t>California Department of Education</w:t>
    </w:r>
    <w:r>
      <w:tab/>
    </w:r>
    <w:r>
      <w:tab/>
    </w:r>
    <w:r w:rsidR="004915BE">
      <w:t>March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8DF2C" w14:textId="77777777" w:rsidR="000250E5" w:rsidRPr="00A71A0E" w:rsidRDefault="000250E5" w:rsidP="00FA3BB9">
    <w:pPr>
      <w:pStyle w:val="Footer"/>
      <w:jc w:val="center"/>
    </w:pPr>
    <w:r>
      <w:t>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46FD0" w14:textId="77777777" w:rsidR="00EE2557" w:rsidRDefault="00EE2557">
      <w:r>
        <w:separator/>
      </w:r>
    </w:p>
  </w:footnote>
  <w:footnote w:type="continuationSeparator" w:id="0">
    <w:p w14:paraId="3E16F188" w14:textId="77777777" w:rsidR="00EE2557" w:rsidRDefault="00EE2557">
      <w:r>
        <w:continuationSeparator/>
      </w:r>
    </w:p>
  </w:footnote>
  <w:footnote w:type="continuationNotice" w:id="1">
    <w:p w14:paraId="65873749" w14:textId="77777777" w:rsidR="00EE2557" w:rsidRDefault="00EE2557"/>
  </w:footnote>
  <w:footnote w:id="2">
    <w:p w14:paraId="46E4A7A3" w14:textId="77777777" w:rsidR="00BF56AF" w:rsidRDefault="00BF56AF" w:rsidP="00BF56AF">
      <w:pPr>
        <w:pStyle w:val="FootnoteText"/>
      </w:pPr>
      <w:r>
        <w:rPr>
          <w:rStyle w:val="FootnoteReference"/>
        </w:rPr>
        <w:footnoteRef/>
      </w:r>
      <w:r>
        <w:t xml:space="preserve"> Center for Disease Control and Prevention: Youth Risk Behavior Surveillance </w:t>
      </w:r>
      <w:bookmarkStart w:id="24" w:name="_Hlk160194889"/>
      <w:r>
        <w:fldChar w:fldCharType="begin"/>
      </w:r>
      <w:r>
        <w:instrText>HYPERLINK "https://www.cdc.gov/healthyyouth/data/yrbs/overview.htm" \o "Youth Risk Behavior Surveillance Overview "</w:instrText>
      </w:r>
      <w:r>
        <w:fldChar w:fldCharType="separate"/>
      </w:r>
      <w:r>
        <w:rPr>
          <w:color w:val="0000FF"/>
          <w:u w:val="single"/>
        </w:rPr>
        <w:t>https://www.cdc.gov/healthyyouth/data/yrbs/overview.htm</w:t>
      </w:r>
      <w:r>
        <w:rPr>
          <w:color w:val="0000FF"/>
          <w:u w:val="single"/>
        </w:rPr>
        <w:fldChar w:fldCharType="end"/>
      </w:r>
      <w:bookmarkEnd w:id="24"/>
    </w:p>
  </w:footnote>
  <w:footnote w:id="3">
    <w:p w14:paraId="649DE157" w14:textId="4B7215D7" w:rsidR="000250E5" w:rsidRPr="00F91278" w:rsidRDefault="000250E5" w:rsidP="00441787">
      <w:pPr>
        <w:pStyle w:val="FootnoteText"/>
        <w:rPr>
          <w:szCs w:val="24"/>
        </w:rPr>
      </w:pPr>
      <w:r w:rsidRPr="00F91278">
        <w:rPr>
          <w:rStyle w:val="FootnoteReference"/>
          <w:szCs w:val="24"/>
        </w:rPr>
        <w:footnoteRef/>
      </w:r>
      <w:r w:rsidRPr="00F91278">
        <w:rPr>
          <w:szCs w:val="24"/>
        </w:rPr>
        <w:t xml:space="preserve"> U.S. Department of Health and Human Services. The Health Consequences of Smoking—50 Years of Progress: A Report of the Surgeon General.</w:t>
      </w:r>
      <w:r w:rsidRPr="00F91278">
        <w:rPr>
          <w:color w:val="075290"/>
          <w:szCs w:val="24"/>
        </w:rPr>
        <w:t xml:space="preserve"> </w:t>
      </w:r>
      <w:hyperlink r:id="rId1" w:tooltip="The Health Consequences of Smoking-50 Years of Progress - A Report of the Surgeon General" w:history="1">
        <w:r w:rsidRPr="00F91278">
          <w:rPr>
            <w:rStyle w:val="Hyperlink"/>
          </w:rPr>
          <w:t>https://www.cdc.gov/tobacco/data_statistics/sgr/50th-anniversary/index.htm</w:t>
        </w:r>
      </w:hyperlink>
    </w:p>
  </w:footnote>
  <w:footnote w:id="4">
    <w:p w14:paraId="17DABFD8" w14:textId="21FDA69A" w:rsidR="00441787" w:rsidRDefault="00441787" w:rsidP="00441787">
      <w:r>
        <w:rPr>
          <w:rStyle w:val="FootnoteReference"/>
        </w:rPr>
        <w:footnoteRef/>
      </w:r>
      <w:r>
        <w:t xml:space="preserve"> </w:t>
      </w:r>
      <w:r w:rsidRPr="00F91278">
        <w:rPr>
          <w:szCs w:val="24"/>
        </w:rPr>
        <w:t>Centers for Disease Control and Prevention</w:t>
      </w:r>
      <w:r>
        <w:rPr>
          <w:szCs w:val="24"/>
        </w:rPr>
        <w:t xml:space="preserve"> </w:t>
      </w:r>
      <w:hyperlink r:id="rId2" w:tooltip="Fast Facts and Fact Sheets, Smoking and Tobacco Use " w:history="1">
        <w:r w:rsidR="00BB17C3">
          <w:rPr>
            <w:rStyle w:val="Hyperlink"/>
          </w:rPr>
          <w:t>https://www.cdc.gov/tobacco/data_statistics/fact_sheets/fast_facts/index.htm</w:t>
        </w:r>
      </w:hyperlink>
    </w:p>
  </w:footnote>
  <w:footnote w:id="5">
    <w:p w14:paraId="3DFE70E6" w14:textId="3EA4E9B6" w:rsidR="002A1ED6" w:rsidRDefault="002A1ED6">
      <w:pPr>
        <w:pStyle w:val="FootnoteText"/>
      </w:pPr>
      <w:r>
        <w:rPr>
          <w:rStyle w:val="FootnoteReference"/>
        </w:rPr>
        <w:footnoteRef/>
      </w:r>
      <w:r>
        <w:t xml:space="preserve"> United States Census Bureau </w:t>
      </w:r>
      <w:hyperlink r:id="rId3" w:anchor=":~:text=population%20grew%208" w:tooltip="Improved Race, Ethnicity Measures Show U.S. is More Multiracial (census.gov)" w:history="1">
        <w:r w:rsidR="00BB17C3">
          <w:rPr>
            <w:color w:val="0000FF"/>
            <w:u w:val="single"/>
          </w:rPr>
          <w:t>https://www.census.gov/library/stories/2021/08/improved-race-ethnicity-measures-reveal-united-states-population-much-more-multiracial.html#:~:text=population%20grew%208</w:t>
        </w:r>
      </w:hyperlink>
    </w:p>
  </w:footnote>
  <w:footnote w:id="6">
    <w:p w14:paraId="653E0091" w14:textId="6EF33A7C" w:rsidR="000250E5" w:rsidRPr="00C74D00" w:rsidRDefault="000250E5" w:rsidP="00396AE2">
      <w:pPr>
        <w:pStyle w:val="FootnoteText"/>
        <w:rPr>
          <w:szCs w:val="24"/>
        </w:rPr>
      </w:pPr>
      <w:r w:rsidRPr="00C74D00">
        <w:rPr>
          <w:rStyle w:val="FootnoteReference"/>
          <w:szCs w:val="24"/>
        </w:rPr>
        <w:footnoteRef/>
      </w:r>
      <w:r w:rsidRPr="00C74D00">
        <w:rPr>
          <w:szCs w:val="24"/>
        </w:rPr>
        <w:t xml:space="preserve"> U.S. Department of Health and Human Services</w:t>
      </w:r>
      <w:r w:rsidRPr="00C74D00">
        <w:rPr>
          <w:color w:val="333333"/>
          <w:szCs w:val="24"/>
        </w:rPr>
        <w:t xml:space="preserve">. Tobacco Use Among U.S. Racial/Ethnic Minority Groups—African Americans, American Indians and Alaska Natives, Asian American and Pacific Islanders, Hispanics: A Report of the Surgeon General </w:t>
      </w:r>
      <w:hyperlink r:id="rId4" w:tooltip="Tobacco Use Among U.S. Racial/Ethnic Minority Groups—African Americans, American Indians and Alaska Natives, Asian American and Pacific Islanders, Hispanics: A Report of the Surgeon General" w:history="1">
        <w:r w:rsidRPr="00C74D00">
          <w:rPr>
            <w:rStyle w:val="Hyperlink"/>
            <w:rFonts w:cs="Times New Roman"/>
          </w:rPr>
          <w:t>https://www.cdc.gov/mmwr/preview/mmwrhtml/00055081.htm</w:t>
        </w:r>
      </w:hyperlink>
      <w:r w:rsidRPr="00C74D00">
        <w:rPr>
          <w:szCs w:val="24"/>
        </w:rPr>
        <w:t xml:space="preserve"> </w:t>
      </w:r>
    </w:p>
  </w:footnote>
  <w:footnote w:id="7">
    <w:p w14:paraId="16A8B2CA" w14:textId="2249F9B1" w:rsidR="000250E5" w:rsidRPr="00C74D00" w:rsidRDefault="000250E5" w:rsidP="00396AE2">
      <w:pPr>
        <w:pStyle w:val="FootnoteText"/>
        <w:rPr>
          <w:szCs w:val="24"/>
        </w:rPr>
      </w:pPr>
      <w:r w:rsidRPr="00C74D00">
        <w:rPr>
          <w:rStyle w:val="FootnoteReference"/>
          <w:szCs w:val="24"/>
        </w:rPr>
        <w:footnoteRef/>
      </w:r>
      <w:r w:rsidRPr="00C74D00">
        <w:rPr>
          <w:szCs w:val="24"/>
        </w:rPr>
        <w:t xml:space="preserve"> </w:t>
      </w:r>
      <w:r w:rsidRPr="00C74D00">
        <w:rPr>
          <w:color w:val="333333"/>
          <w:szCs w:val="24"/>
        </w:rPr>
        <w:t xml:space="preserve">Mowery PD, Dube SR, Thorne SL, et al. Disparities in </w:t>
      </w:r>
      <w:r w:rsidR="002C3D82">
        <w:rPr>
          <w:color w:val="333333"/>
          <w:szCs w:val="24"/>
        </w:rPr>
        <w:t>Smoking-Related</w:t>
      </w:r>
      <w:r w:rsidRPr="00C74D00">
        <w:rPr>
          <w:color w:val="333333"/>
          <w:szCs w:val="24"/>
        </w:rPr>
        <w:t xml:space="preserve"> Mortality Among American Indian and Alaska Natives. </w:t>
      </w:r>
      <w:hyperlink r:id="rId5" w:tooltip="Disparaties in Smoking Related Mortality Among American Indian and Alaska Natives" w:history="1">
        <w:r w:rsidRPr="00C74D00">
          <w:rPr>
            <w:rStyle w:val="Hyperlink"/>
          </w:rPr>
          <w:t>http://www.sciencedirect.com/science/article/pii/S0749379715002238</w:t>
        </w:r>
      </w:hyperlink>
      <w:r w:rsidRPr="00C74D00">
        <w:rPr>
          <w:color w:val="333333"/>
          <w:szCs w:val="24"/>
        </w:rPr>
        <w:t xml:space="preserve"> American Journal of Preventive Medicine, 2015. doi:10.1016/j.amepre.2015.05.002.</w:t>
      </w:r>
    </w:p>
  </w:footnote>
  <w:footnote w:id="8">
    <w:p w14:paraId="60DFA960" w14:textId="28AD0C5E" w:rsidR="000250E5" w:rsidRPr="005A7C48" w:rsidRDefault="000250E5" w:rsidP="00396AE2">
      <w:pPr>
        <w:pStyle w:val="FootnoteText"/>
        <w:rPr>
          <w:szCs w:val="24"/>
        </w:rPr>
      </w:pPr>
      <w:r w:rsidRPr="005A7C48">
        <w:rPr>
          <w:rStyle w:val="FootnoteReference"/>
          <w:szCs w:val="24"/>
        </w:rPr>
        <w:footnoteRef/>
      </w:r>
      <w:r w:rsidRPr="005A7C48">
        <w:rPr>
          <w:szCs w:val="24"/>
        </w:rPr>
        <w:t xml:space="preserve"> </w:t>
      </w:r>
      <w:r w:rsidRPr="005A7C48">
        <w:rPr>
          <w:color w:val="333333"/>
          <w:szCs w:val="24"/>
        </w:rPr>
        <w:t xml:space="preserve">Tong VT, Dietz PM, Morrow B. Trends in Smoking Before, During, and After Pregnancy—Pregnancy Risk Assessment Monitoring System, United States, 40 Sites, 2000–2010. </w:t>
      </w:r>
      <w:hyperlink r:id="rId6" w:tooltip="Pregnancy Risk Assessment Monitoring System, United States, 40 Sites, 2000-2010" w:history="1">
        <w:r w:rsidRPr="005A7C48">
          <w:rPr>
            <w:rStyle w:val="Hyperlink"/>
            <w:szCs w:val="24"/>
          </w:rPr>
          <w:t>https://www.cdc.gov/mmwr/preview/mmwrhtml/ss6206a1.htm</w:t>
        </w:r>
      </w:hyperlink>
      <w:r w:rsidRPr="005A7C48">
        <w:rPr>
          <w:color w:val="333333"/>
          <w:szCs w:val="24"/>
        </w:rPr>
        <w:t xml:space="preserve"> Morbidity and Mortality Weekly Report November 8, 2013 / 62(SS06); 1–19.</w:t>
      </w:r>
    </w:p>
  </w:footnote>
  <w:footnote w:id="9">
    <w:p w14:paraId="7F71B857" w14:textId="536B4C74" w:rsidR="000250E5" w:rsidRPr="005A7C48" w:rsidRDefault="000250E5" w:rsidP="001D6E3A">
      <w:pPr>
        <w:pStyle w:val="FootnoteText"/>
        <w:rPr>
          <w:szCs w:val="24"/>
        </w:rPr>
      </w:pPr>
      <w:r w:rsidRPr="005A7C48">
        <w:rPr>
          <w:rStyle w:val="FootnoteReference"/>
          <w:szCs w:val="24"/>
        </w:rPr>
        <w:footnoteRef/>
      </w:r>
      <w:r w:rsidRPr="005A7C48">
        <w:rPr>
          <w:szCs w:val="24"/>
        </w:rPr>
        <w:t xml:space="preserve"> </w:t>
      </w:r>
      <w:bookmarkStart w:id="25" w:name="_Hlk158041288"/>
      <w:r w:rsidRPr="005A7C48">
        <w:rPr>
          <w:szCs w:val="24"/>
        </w:rPr>
        <w:t>U.S. Department of Health and Human Services</w:t>
      </w:r>
      <w:r w:rsidRPr="005A7C48">
        <w:rPr>
          <w:color w:val="333333"/>
          <w:szCs w:val="24"/>
        </w:rPr>
        <w:t xml:space="preserve">. Tobacco Use Among U.S. Racial/Ethnic Minority Groups—African Americans, American Indians and Alaska Natives, Asian American and Pacific Islanders, Hispanics: A Report of the Surgeon General </w:t>
      </w:r>
      <w:hyperlink r:id="rId7" w:tooltip="U.S. Department of Health and Human Services. Tobacco Use Among U.S. Racial/Ethnic Minority Groups—African Americans, American Indians and Alaska Natives, Asian American and Pacific Islanders, Hispanics" w:history="1">
        <w:r w:rsidR="00CF0AF8">
          <w:rPr>
            <w:rStyle w:val="Hyperlink"/>
            <w:szCs w:val="24"/>
          </w:rPr>
          <w:t>https://www.cdc.gov/mmwr/preview/mmwrhtml/00055081.htm</w:t>
        </w:r>
      </w:hyperlink>
      <w:r w:rsidRPr="005A7C48">
        <w:rPr>
          <w:color w:val="333333"/>
          <w:szCs w:val="24"/>
        </w:rPr>
        <w:t>.</w:t>
      </w:r>
      <w:bookmarkEnd w:id="25"/>
    </w:p>
  </w:footnote>
  <w:footnote w:id="10">
    <w:p w14:paraId="48B9D418" w14:textId="1CD5BF03" w:rsidR="000250E5" w:rsidRPr="005A7C48" w:rsidRDefault="000250E5" w:rsidP="00396AE2">
      <w:pPr>
        <w:pStyle w:val="FootnoteText"/>
        <w:rPr>
          <w:szCs w:val="24"/>
        </w:rPr>
      </w:pPr>
      <w:r w:rsidRPr="005A7C48">
        <w:rPr>
          <w:rStyle w:val="FootnoteReference"/>
          <w:szCs w:val="24"/>
        </w:rPr>
        <w:footnoteRef/>
      </w:r>
      <w:r w:rsidRPr="005A7C48">
        <w:rPr>
          <w:szCs w:val="24"/>
        </w:rPr>
        <w:t xml:space="preserve"> </w:t>
      </w:r>
      <w:r w:rsidRPr="005A7C48">
        <w:rPr>
          <w:color w:val="333333"/>
          <w:szCs w:val="24"/>
        </w:rPr>
        <w:t xml:space="preserve">U.S. Department of Health and Human Services. The Health Consequences of Smoking—50 Years of Progress: A Report of the Surgeon General </w:t>
      </w:r>
      <w:hyperlink r:id="rId8" w:tooltip="U.S. Department of Health and Human Services. The Health Consequences of Smoking—50 Years of Progress" w:history="1">
        <w:r w:rsidRPr="005A7C48">
          <w:rPr>
            <w:rStyle w:val="Hyperlink"/>
            <w:szCs w:val="24"/>
          </w:rPr>
          <w:t>https://www.cdc.gov/tobacco/data_statistics/sgr/50th-anniversary/index.htm</w:t>
        </w:r>
      </w:hyperlink>
      <w:r w:rsidRPr="005A7C48">
        <w:rPr>
          <w:color w:val="075290"/>
          <w:szCs w:val="24"/>
        </w:rPr>
        <w:t>.</w:t>
      </w:r>
    </w:p>
  </w:footnote>
  <w:footnote w:id="11">
    <w:p w14:paraId="1C0A8B8A" w14:textId="0B6D4974" w:rsidR="000250E5" w:rsidRPr="005A7C48" w:rsidRDefault="000250E5" w:rsidP="00396AE2">
      <w:pPr>
        <w:rPr>
          <w:szCs w:val="24"/>
        </w:rPr>
      </w:pPr>
      <w:r w:rsidRPr="005A7C48">
        <w:rPr>
          <w:rStyle w:val="FootnoteReference"/>
          <w:szCs w:val="24"/>
        </w:rPr>
        <w:footnoteRef/>
      </w:r>
      <w:r w:rsidRPr="005A7C48">
        <w:rPr>
          <w:szCs w:val="24"/>
        </w:rPr>
        <w:t xml:space="preserve"> U.S. Department of Health and Human Services</w:t>
      </w:r>
      <w:bookmarkStart w:id="26" w:name="_Hlk160090324"/>
      <w:r w:rsidRPr="005A7C48">
        <w:rPr>
          <w:color w:val="333333"/>
          <w:szCs w:val="24"/>
        </w:rPr>
        <w:t>. Tobacco Use Among U.S. Racial/Ethnic Minority Groups—African Americans, American Indians and Alaska Natives, Asian American and Pacific Islanders, Hispanics: A Report of the Surgeon General</w:t>
      </w:r>
      <w:bookmarkEnd w:id="26"/>
      <w:r w:rsidRPr="005A7C48">
        <w:rPr>
          <w:color w:val="333333"/>
          <w:szCs w:val="24"/>
        </w:rPr>
        <w:t xml:space="preserve"> </w:t>
      </w:r>
      <w:hyperlink r:id="rId9" w:tooltip="U.S. Department of Health and Human Services. Tobacco Use Among U.S. Racial/Ethnic Minority Groups—African Americans, American Indians and Alaska Natives, Asian American and Pacific Islanders, Hispanics" w:history="1">
        <w:r w:rsidR="00FA4396">
          <w:rPr>
            <w:rStyle w:val="Hyperlink"/>
            <w:szCs w:val="24"/>
          </w:rPr>
          <w:t>https://www.cdc.gov/mmwr/preview/mmwrhtml/00055081.htm</w:t>
        </w:r>
      </w:hyperlink>
      <w:r w:rsidRPr="005A7C48">
        <w:rPr>
          <w:color w:val="333333"/>
          <w:szCs w:val="24"/>
        </w:rPr>
        <w:t>.</w:t>
      </w:r>
    </w:p>
  </w:footnote>
  <w:footnote w:id="12">
    <w:p w14:paraId="5B97F969" w14:textId="0624C3DD" w:rsidR="000250E5" w:rsidRDefault="000250E5" w:rsidP="00396AE2">
      <w:pPr>
        <w:pStyle w:val="FootnoteText"/>
      </w:pPr>
      <w:r w:rsidRPr="005A7C48">
        <w:rPr>
          <w:rStyle w:val="FootnoteReference"/>
          <w:szCs w:val="24"/>
        </w:rPr>
        <w:footnoteRef/>
      </w:r>
      <w:r w:rsidRPr="005A7C48">
        <w:rPr>
          <w:szCs w:val="24"/>
        </w:rPr>
        <w:t xml:space="preserve"> U.S. Department of Health and Human Services</w:t>
      </w:r>
      <w:r w:rsidRPr="005A7C48">
        <w:rPr>
          <w:color w:val="333333"/>
          <w:szCs w:val="24"/>
        </w:rPr>
        <w:t xml:space="preserve">. Tobacco Use Among U.S. Racial/Ethnic Minority Groups—African Americans, American Indians and Alaska Natives, Asian American and Pacific Islanders, Hispanics: A Report of the Surgeon General </w:t>
      </w:r>
      <w:hyperlink r:id="rId10" w:tooltip="U.S. Department of Health and Human Services. Tobacco Use Among U.S. Racial/Ethnic Minority Groups—African Americans, American Indians and Alaska Natives, Asian American and Pacific Islanders, Hispanics" w:history="1">
        <w:r w:rsidR="00FA4396">
          <w:rPr>
            <w:rStyle w:val="Hyperlink"/>
            <w:szCs w:val="24"/>
          </w:rPr>
          <w:t>https://www.cdc.gov/mmwr/preview/mmwrhtml/00055081.htm</w:t>
        </w:r>
      </w:hyperlink>
      <w:r w:rsidRPr="005A7C48">
        <w:rPr>
          <w:szCs w:val="24"/>
        </w:rPr>
        <w:t>.</w:t>
      </w:r>
      <w:r>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53581" w14:textId="09F650D2" w:rsidR="005F4803" w:rsidRDefault="005F4803" w:rsidP="00DC24A8">
    <w:pPr>
      <w:pStyle w:val="Header"/>
      <w:spacing w:after="360"/>
    </w:pPr>
    <w:r>
      <w:t xml:space="preserve">Request for Applications for </w:t>
    </w:r>
    <w:r w:rsidR="00002D29" w:rsidRPr="00002D29">
      <w:t>American Indian Education Center Tobacco-Use Prevention Education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2E0B" w14:textId="77777777" w:rsidR="000250E5" w:rsidRPr="007F43A5" w:rsidRDefault="000250E5" w:rsidP="007F4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FCA4670"/>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FFFFFF89"/>
    <w:multiLevelType w:val="singleLevel"/>
    <w:tmpl w:val="3D8811F6"/>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1A"/>
    <w:multiLevelType w:val="multilevel"/>
    <w:tmpl w:val="00000000"/>
    <w:lvl w:ilvl="0">
      <w:start w:val="1"/>
      <w:numFmt w:val="lowerLetter"/>
      <w:lvlText w:val="%1"/>
      <w:lvlJc w:val="left"/>
    </w:lvl>
    <w:lvl w:ilvl="1">
      <w:start w:val="1"/>
      <w:numFmt w:val="lowerLetter"/>
      <w:pStyle w:val="Level2"/>
      <w:lvlText w:val="(%2)"/>
      <w:lvlJc w:val="left"/>
      <w:pPr>
        <w:tabs>
          <w:tab w:val="num" w:pos="4716"/>
        </w:tabs>
        <w:ind w:left="4716" w:hanging="720"/>
      </w:pPr>
    </w:lvl>
    <w:lvl w:ilvl="2">
      <w:start w:val="1"/>
      <w:numFmt w:val="decimal"/>
      <w:pStyle w:val="Level3"/>
      <w:lvlText w:val="(%3)"/>
      <w:lvlJc w:val="left"/>
      <w:pPr>
        <w:tabs>
          <w:tab w:val="num" w:pos="5436"/>
        </w:tabs>
        <w:ind w:left="5436" w:hanging="72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443771"/>
    <w:multiLevelType w:val="hybridMultilevel"/>
    <w:tmpl w:val="91DE61A6"/>
    <w:lvl w:ilvl="0" w:tplc="04090001">
      <w:start w:val="1"/>
      <w:numFmt w:val="bullet"/>
      <w:lvlText w:val=""/>
      <w:lvlJc w:val="left"/>
      <w:pPr>
        <w:ind w:left="1526" w:hanging="360"/>
      </w:pPr>
      <w:rPr>
        <w:rFonts w:ascii="Symbol" w:hAnsi="Symbol" w:hint="default"/>
      </w:rPr>
    </w:lvl>
    <w:lvl w:ilvl="1" w:tplc="04090001">
      <w:start w:val="1"/>
      <w:numFmt w:val="bullet"/>
      <w:lvlText w:val=""/>
      <w:lvlJc w:val="left"/>
      <w:pPr>
        <w:ind w:left="2246" w:hanging="360"/>
      </w:pPr>
      <w:rPr>
        <w:rFonts w:ascii="Symbol" w:hAnsi="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1D322A2"/>
    <w:multiLevelType w:val="hybridMultilevel"/>
    <w:tmpl w:val="382A2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D67EF3"/>
    <w:multiLevelType w:val="hybridMultilevel"/>
    <w:tmpl w:val="22B87988"/>
    <w:lvl w:ilvl="0" w:tplc="58784F8C">
      <w:start w:val="1"/>
      <w:numFmt w:val="upperRoman"/>
      <w:pStyle w:val="Heading6"/>
      <w:lvlText w:val="%1."/>
      <w:lvlJc w:val="left"/>
      <w:pPr>
        <w:ind w:left="1080" w:hanging="360"/>
      </w:pPr>
      <w:rPr>
        <w:rFonts w:ascii="Arial" w:hAnsi="Arial"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587221"/>
    <w:multiLevelType w:val="hybridMultilevel"/>
    <w:tmpl w:val="2BEAF794"/>
    <w:lvl w:ilvl="0" w:tplc="3BFC7CC4">
      <w:start w:val="1"/>
      <w:numFmt w:val="bullet"/>
      <w:lvlText w:val=""/>
      <w:lvlJc w:val="left"/>
      <w:pPr>
        <w:tabs>
          <w:tab w:val="num" w:pos="1440"/>
        </w:tabs>
        <w:ind w:left="1440" w:hanging="360"/>
      </w:pPr>
      <w:rPr>
        <w:rFonts w:ascii="Symbol" w:hAnsi="Symbol" w:hint="default"/>
        <w:color w:val="auto"/>
      </w:rPr>
    </w:lvl>
    <w:lvl w:ilvl="1" w:tplc="796CB922">
      <w:start w:val="8"/>
      <w:numFmt w:val="upperLetter"/>
      <w:lvlText w:val="%2."/>
      <w:lvlJc w:val="left"/>
      <w:pPr>
        <w:tabs>
          <w:tab w:val="num" w:pos="2160"/>
        </w:tabs>
        <w:ind w:left="2160" w:hanging="360"/>
      </w:pPr>
      <w:rPr>
        <w:rFont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3BA147C"/>
    <w:multiLevelType w:val="hybridMultilevel"/>
    <w:tmpl w:val="FCFE44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42C3169"/>
    <w:multiLevelType w:val="hybridMultilevel"/>
    <w:tmpl w:val="8836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46537BC"/>
    <w:multiLevelType w:val="hybridMultilevel"/>
    <w:tmpl w:val="EEC4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4CA659D"/>
    <w:multiLevelType w:val="hybridMultilevel"/>
    <w:tmpl w:val="C6E845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5E6180"/>
    <w:multiLevelType w:val="hybridMultilevel"/>
    <w:tmpl w:val="8D487244"/>
    <w:lvl w:ilvl="0" w:tplc="3CBC6256">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0A9E0943"/>
    <w:multiLevelType w:val="hybridMultilevel"/>
    <w:tmpl w:val="048C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F872AF"/>
    <w:multiLevelType w:val="hybridMultilevel"/>
    <w:tmpl w:val="554A8AF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3">
      <w:start w:val="1"/>
      <w:numFmt w:val="bullet"/>
      <w:lvlText w:val="o"/>
      <w:lvlJc w:val="left"/>
      <w:pPr>
        <w:ind w:left="2970" w:hanging="360"/>
      </w:pPr>
      <w:rPr>
        <w:rFonts w:ascii="Courier New" w:hAnsi="Courier New" w:cs="Courier New"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B36378D"/>
    <w:multiLevelType w:val="hybridMultilevel"/>
    <w:tmpl w:val="D74AC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F37591"/>
    <w:multiLevelType w:val="hybridMultilevel"/>
    <w:tmpl w:val="1B68B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1810A3"/>
    <w:multiLevelType w:val="hybridMultilevel"/>
    <w:tmpl w:val="3F785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0A9661E"/>
    <w:multiLevelType w:val="hybridMultilevel"/>
    <w:tmpl w:val="48EA869E"/>
    <w:lvl w:ilvl="0" w:tplc="479EF2F4">
      <w:start w:val="4"/>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3D15E49"/>
    <w:multiLevelType w:val="hybridMultilevel"/>
    <w:tmpl w:val="CA0E0266"/>
    <w:lvl w:ilvl="0" w:tplc="7C2407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75BE2"/>
    <w:multiLevelType w:val="hybridMultilevel"/>
    <w:tmpl w:val="A9E2D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430162"/>
    <w:multiLevelType w:val="hybridMultilevel"/>
    <w:tmpl w:val="EBC47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C7A2514"/>
    <w:multiLevelType w:val="hybridMultilevel"/>
    <w:tmpl w:val="75688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A02264"/>
    <w:multiLevelType w:val="hybridMultilevel"/>
    <w:tmpl w:val="726C022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start w:val="1"/>
      <w:numFmt w:val="bullet"/>
      <w:lvlText w:val="o"/>
      <w:lvlJc w:val="left"/>
      <w:pPr>
        <w:tabs>
          <w:tab w:val="num" w:pos="2520"/>
        </w:tabs>
        <w:ind w:left="2520" w:hanging="360"/>
      </w:pPr>
      <w:rPr>
        <w:rFonts w:ascii="Courier New" w:hAnsi="Courier New" w:cs="Courier New" w:hint="default"/>
        <w:b/>
        <w:i w:val="0"/>
        <w:color w:val="auto"/>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2223B44"/>
    <w:multiLevelType w:val="multilevel"/>
    <w:tmpl w:val="B9185E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226C3B6F"/>
    <w:multiLevelType w:val="hybridMultilevel"/>
    <w:tmpl w:val="03EE397A"/>
    <w:lvl w:ilvl="0" w:tplc="7C54FE52">
      <w:start w:val="9"/>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229F5892"/>
    <w:multiLevelType w:val="hybridMultilevel"/>
    <w:tmpl w:val="29CAA17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45A4E19"/>
    <w:multiLevelType w:val="hybridMultilevel"/>
    <w:tmpl w:val="AA70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9127E"/>
    <w:multiLevelType w:val="multilevel"/>
    <w:tmpl w:val="0CE866D4"/>
    <w:lvl w:ilvl="0">
      <w:start w:val="12"/>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15:restartNumberingAfterBreak="0">
    <w:nsid w:val="27BA4802"/>
    <w:multiLevelType w:val="hybridMultilevel"/>
    <w:tmpl w:val="4F2802E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D3454BE"/>
    <w:multiLevelType w:val="hybridMultilevel"/>
    <w:tmpl w:val="4B94CD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2F2012A6"/>
    <w:multiLevelType w:val="hybridMultilevel"/>
    <w:tmpl w:val="58F636C6"/>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2F8B24E6"/>
    <w:multiLevelType w:val="hybridMultilevel"/>
    <w:tmpl w:val="65CCD1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1BB0606"/>
    <w:multiLevelType w:val="hybridMultilevel"/>
    <w:tmpl w:val="844611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27D31CD"/>
    <w:multiLevelType w:val="hybridMultilevel"/>
    <w:tmpl w:val="3DFA35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46A12B9"/>
    <w:multiLevelType w:val="multilevel"/>
    <w:tmpl w:val="042AF814"/>
    <w:lvl w:ilvl="0">
      <w:start w:val="2"/>
      <w:numFmt w:val="decimal"/>
      <w:lvlText w:val="%1."/>
      <w:lvlJc w:val="left"/>
      <w:pPr>
        <w:tabs>
          <w:tab w:val="num" w:pos="1560"/>
        </w:tabs>
        <w:ind w:left="1560" w:hanging="360"/>
      </w:pPr>
      <w:rPr>
        <w:rFonts w:cs="Times New Roman" w:hint="default"/>
        <w:b w:val="0"/>
      </w:rPr>
    </w:lvl>
    <w:lvl w:ilvl="1">
      <w:start w:val="1"/>
      <w:numFmt w:val="lowerLetter"/>
      <w:lvlText w:val="%2."/>
      <w:lvlJc w:val="left"/>
      <w:pPr>
        <w:ind w:left="2280" w:hanging="360"/>
      </w:pPr>
      <w:rPr>
        <w:rFonts w:hint="default"/>
      </w:rPr>
    </w:lvl>
    <w:lvl w:ilvl="2">
      <w:start w:val="1"/>
      <w:numFmt w:val="lowerRoman"/>
      <w:lvlText w:val="%3."/>
      <w:lvlJc w:val="right"/>
      <w:pPr>
        <w:ind w:left="3000" w:hanging="180"/>
      </w:pPr>
      <w:rPr>
        <w:rFonts w:hint="default"/>
      </w:rPr>
    </w:lvl>
    <w:lvl w:ilvl="3">
      <w:start w:val="1"/>
      <w:numFmt w:val="decimal"/>
      <w:lvlText w:val="%4."/>
      <w:lvlJc w:val="left"/>
      <w:pPr>
        <w:ind w:left="372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right"/>
      <w:pPr>
        <w:ind w:left="5160" w:hanging="180"/>
      </w:pPr>
      <w:rPr>
        <w:rFonts w:hint="default"/>
      </w:rPr>
    </w:lvl>
    <w:lvl w:ilvl="6">
      <w:start w:val="1"/>
      <w:numFmt w:val="decimal"/>
      <w:lvlText w:val="%7."/>
      <w:lvlJc w:val="left"/>
      <w:pPr>
        <w:ind w:left="5880" w:hanging="360"/>
      </w:pPr>
      <w:rPr>
        <w:rFonts w:hint="default"/>
      </w:rPr>
    </w:lvl>
    <w:lvl w:ilvl="7">
      <w:start w:val="1"/>
      <w:numFmt w:val="lowerLetter"/>
      <w:lvlText w:val="%8."/>
      <w:lvlJc w:val="left"/>
      <w:pPr>
        <w:ind w:left="6600" w:hanging="360"/>
      </w:pPr>
      <w:rPr>
        <w:rFonts w:hint="default"/>
      </w:rPr>
    </w:lvl>
    <w:lvl w:ilvl="8">
      <w:start w:val="1"/>
      <w:numFmt w:val="lowerRoman"/>
      <w:lvlText w:val="%9."/>
      <w:lvlJc w:val="right"/>
      <w:pPr>
        <w:ind w:left="7320" w:hanging="180"/>
      </w:pPr>
      <w:rPr>
        <w:rFonts w:hint="default"/>
      </w:rPr>
    </w:lvl>
  </w:abstractNum>
  <w:abstractNum w:abstractNumId="35" w15:restartNumberingAfterBreak="0">
    <w:nsid w:val="37C00733"/>
    <w:multiLevelType w:val="hybridMultilevel"/>
    <w:tmpl w:val="E8EE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7C83F7F"/>
    <w:multiLevelType w:val="hybridMultilevel"/>
    <w:tmpl w:val="0180FF58"/>
    <w:lvl w:ilvl="0" w:tplc="3BFC7CC4">
      <w:start w:val="1"/>
      <w:numFmt w:val="bullet"/>
      <w:lvlText w:val=""/>
      <w:lvlJc w:val="left"/>
      <w:pPr>
        <w:tabs>
          <w:tab w:val="num" w:pos="1440"/>
        </w:tabs>
        <w:ind w:left="1440" w:hanging="360"/>
      </w:pPr>
      <w:rPr>
        <w:rFonts w:ascii="Symbol" w:hAnsi="Symbol" w:hint="default"/>
      </w:rPr>
    </w:lvl>
    <w:lvl w:ilvl="1" w:tplc="92E02F4C">
      <w:start w:val="1"/>
      <w:numFmt w:val="bullet"/>
      <w:lvlText w:val=""/>
      <w:lvlJc w:val="left"/>
      <w:pPr>
        <w:tabs>
          <w:tab w:val="num" w:pos="2160"/>
        </w:tabs>
        <w:ind w:left="2160" w:hanging="360"/>
      </w:pPr>
      <w:rPr>
        <w:rFonts w:ascii="Symbol" w:hAnsi="Symbol" w:hint="default"/>
        <w:b/>
        <w:i w:val="0"/>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A5E5893"/>
    <w:multiLevelType w:val="hybridMultilevel"/>
    <w:tmpl w:val="801082BA"/>
    <w:lvl w:ilvl="0" w:tplc="BB88EA6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A247B3"/>
    <w:multiLevelType w:val="hybridMultilevel"/>
    <w:tmpl w:val="A9C80314"/>
    <w:lvl w:ilvl="0" w:tplc="0ED667D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806B4A"/>
    <w:multiLevelType w:val="hybridMultilevel"/>
    <w:tmpl w:val="76A4D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FD80273"/>
    <w:multiLevelType w:val="hybridMultilevel"/>
    <w:tmpl w:val="32BA6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07D3DE7"/>
    <w:multiLevelType w:val="hybridMultilevel"/>
    <w:tmpl w:val="07F488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2E34F5C"/>
    <w:multiLevelType w:val="hybridMultilevel"/>
    <w:tmpl w:val="8FB20ADA"/>
    <w:lvl w:ilvl="0" w:tplc="B5F284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652E2E"/>
    <w:multiLevelType w:val="hybridMultilevel"/>
    <w:tmpl w:val="AB9CEA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4036B42"/>
    <w:multiLevelType w:val="multilevel"/>
    <w:tmpl w:val="7F928C98"/>
    <w:lvl w:ilvl="0">
      <w:start w:val="1"/>
      <w:numFmt w:val="upperRoman"/>
      <w:pStyle w:val="Heading2"/>
      <w:lvlText w:val="%1."/>
      <w:lvlJc w:val="left"/>
      <w:pPr>
        <w:tabs>
          <w:tab w:val="num" w:pos="360"/>
        </w:tabs>
        <w:ind w:left="360" w:hanging="360"/>
      </w:pPr>
      <w:rPr>
        <w:rFonts w:hint="default"/>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upperRoman"/>
      <w:lvlText w:val="%2"/>
      <w:lvlJc w:val="left"/>
      <w:pPr>
        <w:tabs>
          <w:tab w:val="num" w:pos="1030"/>
        </w:tabs>
        <w:ind w:left="1030" w:hanging="360"/>
      </w:pPr>
      <w:rPr>
        <w:rFonts w:hint="default"/>
      </w:rPr>
    </w:lvl>
    <w:lvl w:ilvl="2">
      <w:start w:val="1"/>
      <w:numFmt w:val="upperLetter"/>
      <w:lvlText w:val="%3."/>
      <w:lvlJc w:val="left"/>
      <w:pPr>
        <w:tabs>
          <w:tab w:val="num" w:pos="1930"/>
        </w:tabs>
        <w:ind w:left="1930" w:hanging="360"/>
      </w:pPr>
      <w:rPr>
        <w:rFonts w:hint="default"/>
      </w:rPr>
    </w:lvl>
    <w:lvl w:ilvl="3">
      <w:start w:val="1"/>
      <w:numFmt w:val="lowerLetter"/>
      <w:lvlText w:val="%4."/>
      <w:lvlJc w:val="left"/>
      <w:pPr>
        <w:tabs>
          <w:tab w:val="num" w:pos="2470"/>
        </w:tabs>
        <w:ind w:left="2470" w:hanging="360"/>
      </w:pPr>
      <w:rPr>
        <w:rFonts w:hint="default"/>
      </w:rPr>
    </w:lvl>
    <w:lvl w:ilvl="4">
      <w:start w:val="1"/>
      <w:numFmt w:val="lowerLetter"/>
      <w:lvlText w:val="%5."/>
      <w:lvlJc w:val="left"/>
      <w:pPr>
        <w:tabs>
          <w:tab w:val="num" w:pos="3190"/>
        </w:tabs>
        <w:ind w:left="3190" w:hanging="360"/>
      </w:pPr>
      <w:rPr>
        <w:rFonts w:hint="default"/>
      </w:rPr>
    </w:lvl>
    <w:lvl w:ilvl="5">
      <w:start w:val="1"/>
      <w:numFmt w:val="lowerRoman"/>
      <w:lvlText w:val="%6."/>
      <w:lvlJc w:val="right"/>
      <w:pPr>
        <w:tabs>
          <w:tab w:val="num" w:pos="3910"/>
        </w:tabs>
        <w:ind w:left="3910" w:hanging="180"/>
      </w:pPr>
      <w:rPr>
        <w:rFonts w:hint="default"/>
      </w:rPr>
    </w:lvl>
    <w:lvl w:ilvl="6">
      <w:start w:val="1"/>
      <w:numFmt w:val="decimal"/>
      <w:lvlText w:val="%7."/>
      <w:lvlJc w:val="left"/>
      <w:pPr>
        <w:tabs>
          <w:tab w:val="num" w:pos="4630"/>
        </w:tabs>
        <w:ind w:left="4630" w:hanging="360"/>
      </w:pPr>
      <w:rPr>
        <w:rFonts w:hint="default"/>
      </w:rPr>
    </w:lvl>
    <w:lvl w:ilvl="7">
      <w:start w:val="1"/>
      <w:numFmt w:val="lowerLetter"/>
      <w:lvlText w:val="%8."/>
      <w:lvlJc w:val="left"/>
      <w:pPr>
        <w:tabs>
          <w:tab w:val="num" w:pos="5350"/>
        </w:tabs>
        <w:ind w:left="5350" w:hanging="360"/>
      </w:pPr>
      <w:rPr>
        <w:rFonts w:hint="default"/>
      </w:rPr>
    </w:lvl>
    <w:lvl w:ilvl="8">
      <w:start w:val="1"/>
      <w:numFmt w:val="lowerRoman"/>
      <w:lvlText w:val="%9."/>
      <w:lvlJc w:val="right"/>
      <w:pPr>
        <w:tabs>
          <w:tab w:val="num" w:pos="6070"/>
        </w:tabs>
        <w:ind w:left="6070" w:hanging="180"/>
      </w:pPr>
      <w:rPr>
        <w:rFonts w:hint="default"/>
      </w:rPr>
    </w:lvl>
  </w:abstractNum>
  <w:abstractNum w:abstractNumId="45" w15:restartNumberingAfterBreak="0">
    <w:nsid w:val="44D42B42"/>
    <w:multiLevelType w:val="hybridMultilevel"/>
    <w:tmpl w:val="8E8E4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5FD3099"/>
    <w:multiLevelType w:val="hybridMultilevel"/>
    <w:tmpl w:val="6DE20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712F7F"/>
    <w:multiLevelType w:val="hybridMultilevel"/>
    <w:tmpl w:val="CD444D46"/>
    <w:lvl w:ilvl="0" w:tplc="04090015">
      <w:start w:val="1"/>
      <w:numFmt w:val="upp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8" w15:restartNumberingAfterBreak="0">
    <w:nsid w:val="46A024C1"/>
    <w:multiLevelType w:val="hybridMultilevel"/>
    <w:tmpl w:val="3DD8F470"/>
    <w:lvl w:ilvl="0" w:tplc="526A32D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700426"/>
    <w:multiLevelType w:val="hybridMultilevel"/>
    <w:tmpl w:val="BAC47F28"/>
    <w:lvl w:ilvl="0" w:tplc="037063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3E00F9"/>
    <w:multiLevelType w:val="hybridMultilevel"/>
    <w:tmpl w:val="61520302"/>
    <w:lvl w:ilvl="0" w:tplc="3BFC7CC4">
      <w:start w:val="1"/>
      <w:numFmt w:val="bullet"/>
      <w:lvlText w:val=""/>
      <w:lvlJc w:val="left"/>
      <w:pPr>
        <w:tabs>
          <w:tab w:val="num" w:pos="1440"/>
        </w:tabs>
        <w:ind w:left="1440" w:hanging="360"/>
      </w:pPr>
      <w:rPr>
        <w:rFonts w:ascii="Symbol" w:hAnsi="Symbol" w:hint="default"/>
      </w:rPr>
    </w:lvl>
    <w:lvl w:ilvl="1" w:tplc="F55C773C">
      <w:start w:val="2"/>
      <w:numFmt w:val="upperLetter"/>
      <w:lvlText w:val="%2."/>
      <w:lvlJc w:val="left"/>
      <w:pPr>
        <w:tabs>
          <w:tab w:val="num" w:pos="2160"/>
        </w:tabs>
        <w:ind w:left="2160" w:hanging="360"/>
      </w:pPr>
      <w:rPr>
        <w:rFonts w:eastAsia="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4B525A6E"/>
    <w:multiLevelType w:val="hybridMultilevel"/>
    <w:tmpl w:val="5EA07EE4"/>
    <w:lvl w:ilvl="0" w:tplc="88801016">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F95739"/>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C7F6FBA"/>
    <w:multiLevelType w:val="hybridMultilevel"/>
    <w:tmpl w:val="11322D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EE62066"/>
    <w:multiLevelType w:val="hybridMultilevel"/>
    <w:tmpl w:val="2EF2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0DE2D18"/>
    <w:multiLevelType w:val="hybridMultilevel"/>
    <w:tmpl w:val="537E928C"/>
    <w:lvl w:ilvl="0" w:tplc="293C50C2">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3C59B1"/>
    <w:multiLevelType w:val="hybridMultilevel"/>
    <w:tmpl w:val="4C408226"/>
    <w:lvl w:ilvl="0" w:tplc="6A0601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1E4C87"/>
    <w:multiLevelType w:val="hybridMultilevel"/>
    <w:tmpl w:val="564C30B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57CC6D2F"/>
    <w:multiLevelType w:val="hybridMultilevel"/>
    <w:tmpl w:val="045E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8987C95"/>
    <w:multiLevelType w:val="multilevel"/>
    <w:tmpl w:val="0409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A344865"/>
    <w:multiLevelType w:val="hybridMultilevel"/>
    <w:tmpl w:val="3594C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35FA"/>
    <w:multiLevelType w:val="hybridMultilevel"/>
    <w:tmpl w:val="A3348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B453ADD"/>
    <w:multiLevelType w:val="hybridMultilevel"/>
    <w:tmpl w:val="B360E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BDD7FA9"/>
    <w:multiLevelType w:val="hybridMultilevel"/>
    <w:tmpl w:val="854AE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C2F379F"/>
    <w:multiLevelType w:val="hybridMultilevel"/>
    <w:tmpl w:val="3DDCB592"/>
    <w:lvl w:ilvl="0" w:tplc="91AA99A0">
      <w:start w:val="4"/>
      <w:numFmt w:val="upperRoman"/>
      <w:pStyle w:val="Heading9"/>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5D8744B6"/>
    <w:multiLevelType w:val="hybridMultilevel"/>
    <w:tmpl w:val="9E780F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5DEB396C"/>
    <w:multiLevelType w:val="hybridMultilevel"/>
    <w:tmpl w:val="43F47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EB63BF3"/>
    <w:multiLevelType w:val="hybridMultilevel"/>
    <w:tmpl w:val="3048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F19148E"/>
    <w:multiLevelType w:val="multilevel"/>
    <w:tmpl w:val="8C50678E"/>
    <w:lvl w:ilvl="0">
      <w:start w:val="1"/>
      <w:numFmt w:val="decimal"/>
      <w:lvlText w:val="%1."/>
      <w:lvlJc w:val="left"/>
      <w:pPr>
        <w:tabs>
          <w:tab w:val="num" w:pos="1900"/>
        </w:tabs>
        <w:ind w:left="1900" w:hanging="360"/>
      </w:pPr>
      <w:rPr>
        <w:rFonts w:hint="default"/>
      </w:rPr>
    </w:lvl>
    <w:lvl w:ilvl="1">
      <w:start w:val="2"/>
      <w:numFmt w:val="upperLetter"/>
      <w:lvlText w:val="%2."/>
      <w:lvlJc w:val="left"/>
      <w:pPr>
        <w:tabs>
          <w:tab w:val="num" w:pos="2620"/>
        </w:tabs>
        <w:ind w:left="2620" w:hanging="360"/>
      </w:pPr>
      <w:rPr>
        <w:rFonts w:hint="default"/>
      </w:rPr>
    </w:lvl>
    <w:lvl w:ilvl="2">
      <w:start w:val="1"/>
      <w:numFmt w:val="decimal"/>
      <w:lvlText w:val="%3."/>
      <w:lvlJc w:val="left"/>
      <w:pPr>
        <w:tabs>
          <w:tab w:val="num" w:pos="3340"/>
        </w:tabs>
        <w:ind w:left="3340" w:hanging="360"/>
      </w:pPr>
      <w:rPr>
        <w:rFonts w:hint="default"/>
      </w:rPr>
    </w:lvl>
    <w:lvl w:ilvl="3">
      <w:start w:val="1"/>
      <w:numFmt w:val="decimal"/>
      <w:lvlText w:val="%4."/>
      <w:lvlJc w:val="left"/>
      <w:pPr>
        <w:tabs>
          <w:tab w:val="num" w:pos="4060"/>
        </w:tabs>
        <w:ind w:left="4060" w:hanging="360"/>
      </w:pPr>
      <w:rPr>
        <w:rFonts w:hint="default"/>
      </w:rPr>
    </w:lvl>
    <w:lvl w:ilvl="4">
      <w:start w:val="1"/>
      <w:numFmt w:val="decimal"/>
      <w:lvlText w:val="%5."/>
      <w:lvlJc w:val="left"/>
      <w:pPr>
        <w:tabs>
          <w:tab w:val="num" w:pos="4780"/>
        </w:tabs>
        <w:ind w:left="4780" w:hanging="360"/>
      </w:pPr>
      <w:rPr>
        <w:rFonts w:hint="default"/>
      </w:rPr>
    </w:lvl>
    <w:lvl w:ilvl="5">
      <w:start w:val="1"/>
      <w:numFmt w:val="decimal"/>
      <w:lvlText w:val="%6."/>
      <w:lvlJc w:val="left"/>
      <w:pPr>
        <w:tabs>
          <w:tab w:val="num" w:pos="5500"/>
        </w:tabs>
        <w:ind w:left="5500" w:hanging="360"/>
      </w:pPr>
      <w:rPr>
        <w:rFonts w:hint="default"/>
      </w:rPr>
    </w:lvl>
    <w:lvl w:ilvl="6">
      <w:start w:val="1"/>
      <w:numFmt w:val="decimal"/>
      <w:lvlText w:val="%7."/>
      <w:lvlJc w:val="left"/>
      <w:pPr>
        <w:tabs>
          <w:tab w:val="num" w:pos="6220"/>
        </w:tabs>
        <w:ind w:left="6220" w:hanging="360"/>
      </w:pPr>
      <w:rPr>
        <w:rFonts w:hint="default"/>
      </w:rPr>
    </w:lvl>
    <w:lvl w:ilvl="7">
      <w:start w:val="1"/>
      <w:numFmt w:val="decimal"/>
      <w:lvlText w:val="%8."/>
      <w:lvlJc w:val="left"/>
      <w:pPr>
        <w:tabs>
          <w:tab w:val="num" w:pos="6940"/>
        </w:tabs>
        <w:ind w:left="6940" w:hanging="360"/>
      </w:pPr>
      <w:rPr>
        <w:rFonts w:hint="default"/>
      </w:rPr>
    </w:lvl>
    <w:lvl w:ilvl="8">
      <w:start w:val="1"/>
      <w:numFmt w:val="decimal"/>
      <w:lvlText w:val="%9."/>
      <w:lvlJc w:val="left"/>
      <w:pPr>
        <w:tabs>
          <w:tab w:val="num" w:pos="7660"/>
        </w:tabs>
        <w:ind w:left="7660" w:hanging="360"/>
      </w:pPr>
      <w:rPr>
        <w:rFonts w:hint="default"/>
      </w:rPr>
    </w:lvl>
  </w:abstractNum>
  <w:abstractNum w:abstractNumId="69" w15:restartNumberingAfterBreak="0">
    <w:nsid w:val="5F656238"/>
    <w:multiLevelType w:val="hybridMultilevel"/>
    <w:tmpl w:val="828CDA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00C787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1" w15:restartNumberingAfterBreak="0">
    <w:nsid w:val="619441E6"/>
    <w:multiLevelType w:val="hybridMultilevel"/>
    <w:tmpl w:val="A05EB80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54547B4"/>
    <w:multiLevelType w:val="hybridMultilevel"/>
    <w:tmpl w:val="100E5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5885206"/>
    <w:multiLevelType w:val="hybridMultilevel"/>
    <w:tmpl w:val="E61A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7184BE2"/>
    <w:multiLevelType w:val="multilevel"/>
    <w:tmpl w:val="D66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BD4A70"/>
    <w:multiLevelType w:val="hybridMultilevel"/>
    <w:tmpl w:val="4086D7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AE05736"/>
    <w:multiLevelType w:val="hybridMultilevel"/>
    <w:tmpl w:val="1B68B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0E38C1"/>
    <w:multiLevelType w:val="hybridMultilevel"/>
    <w:tmpl w:val="BEFE910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CFA7A0A"/>
    <w:multiLevelType w:val="multilevel"/>
    <w:tmpl w:val="CF30E814"/>
    <w:lvl w:ilvl="0">
      <w:start w:val="2"/>
      <w:numFmt w:val="decimal"/>
      <w:lvlText w:val="%1."/>
      <w:lvlJc w:val="left"/>
      <w:pPr>
        <w:tabs>
          <w:tab w:val="num" w:pos="1900"/>
        </w:tabs>
        <w:ind w:left="1900" w:hanging="360"/>
      </w:pPr>
      <w:rPr>
        <w:rFonts w:hint="default"/>
      </w:rPr>
    </w:lvl>
    <w:lvl w:ilvl="1">
      <w:start w:val="1"/>
      <w:numFmt w:val="upperLetter"/>
      <w:lvlText w:val="%2."/>
      <w:lvlJc w:val="left"/>
      <w:pPr>
        <w:tabs>
          <w:tab w:val="num" w:pos="2620"/>
        </w:tabs>
        <w:ind w:left="2620" w:hanging="360"/>
      </w:pPr>
      <w:rPr>
        <w:rFonts w:hint="default"/>
      </w:rPr>
    </w:lvl>
    <w:lvl w:ilvl="2">
      <w:start w:val="1"/>
      <w:numFmt w:val="decimal"/>
      <w:lvlText w:val="%3."/>
      <w:lvlJc w:val="left"/>
      <w:pPr>
        <w:tabs>
          <w:tab w:val="num" w:pos="3340"/>
        </w:tabs>
        <w:ind w:left="3340" w:hanging="360"/>
      </w:pPr>
      <w:rPr>
        <w:rFonts w:hint="default"/>
      </w:rPr>
    </w:lvl>
    <w:lvl w:ilvl="3">
      <w:start w:val="1"/>
      <w:numFmt w:val="decimal"/>
      <w:lvlText w:val="%4."/>
      <w:lvlJc w:val="left"/>
      <w:pPr>
        <w:tabs>
          <w:tab w:val="num" w:pos="4060"/>
        </w:tabs>
        <w:ind w:left="4060" w:hanging="360"/>
      </w:pPr>
      <w:rPr>
        <w:rFonts w:hint="default"/>
      </w:rPr>
    </w:lvl>
    <w:lvl w:ilvl="4">
      <w:start w:val="1"/>
      <w:numFmt w:val="decimal"/>
      <w:lvlText w:val="%5."/>
      <w:lvlJc w:val="left"/>
      <w:pPr>
        <w:tabs>
          <w:tab w:val="num" w:pos="4780"/>
        </w:tabs>
        <w:ind w:left="4780" w:hanging="360"/>
      </w:pPr>
      <w:rPr>
        <w:rFonts w:hint="default"/>
      </w:rPr>
    </w:lvl>
    <w:lvl w:ilvl="5">
      <w:start w:val="1"/>
      <w:numFmt w:val="decimal"/>
      <w:lvlText w:val="%6."/>
      <w:lvlJc w:val="left"/>
      <w:pPr>
        <w:tabs>
          <w:tab w:val="num" w:pos="5500"/>
        </w:tabs>
        <w:ind w:left="5500" w:hanging="360"/>
      </w:pPr>
      <w:rPr>
        <w:rFonts w:hint="default"/>
      </w:rPr>
    </w:lvl>
    <w:lvl w:ilvl="6">
      <w:start w:val="1"/>
      <w:numFmt w:val="decimal"/>
      <w:lvlText w:val="%7."/>
      <w:lvlJc w:val="left"/>
      <w:pPr>
        <w:tabs>
          <w:tab w:val="num" w:pos="6220"/>
        </w:tabs>
        <w:ind w:left="6220" w:hanging="360"/>
      </w:pPr>
      <w:rPr>
        <w:rFonts w:hint="default"/>
      </w:rPr>
    </w:lvl>
    <w:lvl w:ilvl="7">
      <w:start w:val="1"/>
      <w:numFmt w:val="decimal"/>
      <w:lvlText w:val="%8."/>
      <w:lvlJc w:val="left"/>
      <w:pPr>
        <w:tabs>
          <w:tab w:val="num" w:pos="6940"/>
        </w:tabs>
        <w:ind w:left="6940" w:hanging="360"/>
      </w:pPr>
      <w:rPr>
        <w:rFonts w:hint="default"/>
      </w:rPr>
    </w:lvl>
    <w:lvl w:ilvl="8">
      <w:start w:val="1"/>
      <w:numFmt w:val="decimal"/>
      <w:lvlText w:val="%9."/>
      <w:lvlJc w:val="left"/>
      <w:pPr>
        <w:tabs>
          <w:tab w:val="num" w:pos="7660"/>
        </w:tabs>
        <w:ind w:left="7660" w:hanging="360"/>
      </w:pPr>
      <w:rPr>
        <w:rFonts w:hint="default"/>
      </w:rPr>
    </w:lvl>
  </w:abstractNum>
  <w:abstractNum w:abstractNumId="79" w15:restartNumberingAfterBreak="0">
    <w:nsid w:val="6D9950B7"/>
    <w:multiLevelType w:val="hybridMultilevel"/>
    <w:tmpl w:val="23E67EC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0" w15:restartNumberingAfterBreak="0">
    <w:nsid w:val="704A15A8"/>
    <w:multiLevelType w:val="hybridMultilevel"/>
    <w:tmpl w:val="E9248876"/>
    <w:lvl w:ilvl="0" w:tplc="7870E42A">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0BB7DC1"/>
    <w:multiLevelType w:val="hybridMultilevel"/>
    <w:tmpl w:val="5E4887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71E534B1"/>
    <w:multiLevelType w:val="hybridMultilevel"/>
    <w:tmpl w:val="46A8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370683D"/>
    <w:multiLevelType w:val="multilevel"/>
    <w:tmpl w:val="A490C3AE"/>
    <w:lvl w:ilvl="0">
      <w:start w:val="1"/>
      <w:numFmt w:val="decimal"/>
      <w:lvlText w:val="%1."/>
      <w:lvlJc w:val="left"/>
      <w:pPr>
        <w:tabs>
          <w:tab w:val="num" w:pos="2160"/>
        </w:tabs>
        <w:ind w:left="2160" w:hanging="360"/>
      </w:pPr>
    </w:lvl>
    <w:lvl w:ilvl="1">
      <w:start w:val="1"/>
      <w:numFmt w:val="upp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4" w15:restartNumberingAfterBreak="0">
    <w:nsid w:val="73E313CA"/>
    <w:multiLevelType w:val="hybridMultilevel"/>
    <w:tmpl w:val="E0D277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0A73B1"/>
    <w:multiLevelType w:val="hybridMultilevel"/>
    <w:tmpl w:val="4BAA0A58"/>
    <w:lvl w:ilvl="0" w:tplc="DD72F96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5B7EAB"/>
    <w:multiLevelType w:val="hybridMultilevel"/>
    <w:tmpl w:val="6D4432B2"/>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7" w15:restartNumberingAfterBreak="0">
    <w:nsid w:val="756E4218"/>
    <w:multiLevelType w:val="hybridMultilevel"/>
    <w:tmpl w:val="827EA14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75E82002"/>
    <w:multiLevelType w:val="hybridMultilevel"/>
    <w:tmpl w:val="64A0BDBE"/>
    <w:lvl w:ilvl="0" w:tplc="3BFC7CC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76672111"/>
    <w:multiLevelType w:val="hybridMultilevel"/>
    <w:tmpl w:val="924E4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81C1154"/>
    <w:multiLevelType w:val="hybridMultilevel"/>
    <w:tmpl w:val="F5CE9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78A77EE0"/>
    <w:multiLevelType w:val="hybridMultilevel"/>
    <w:tmpl w:val="03E2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C0C3237"/>
    <w:multiLevelType w:val="multilevel"/>
    <w:tmpl w:val="6FE088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4" w15:restartNumberingAfterBreak="0">
    <w:nsid w:val="7FAF2720"/>
    <w:multiLevelType w:val="hybridMultilevel"/>
    <w:tmpl w:val="6280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FD4478A"/>
    <w:multiLevelType w:val="hybridMultilevel"/>
    <w:tmpl w:val="70B0B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4983786">
    <w:abstractNumId w:val="64"/>
  </w:num>
  <w:num w:numId="2" w16cid:durableId="1673948057">
    <w:abstractNumId w:val="2"/>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0661111">
    <w:abstractNumId w:val="92"/>
  </w:num>
  <w:num w:numId="4" w16cid:durableId="997339497">
    <w:abstractNumId w:val="70"/>
  </w:num>
  <w:num w:numId="5" w16cid:durableId="915700442">
    <w:abstractNumId w:val="59"/>
  </w:num>
  <w:num w:numId="6" w16cid:durableId="1379624366">
    <w:abstractNumId w:val="52"/>
  </w:num>
  <w:num w:numId="7" w16cid:durableId="1152671161">
    <w:abstractNumId w:val="5"/>
  </w:num>
  <w:num w:numId="8" w16cid:durableId="1209487886">
    <w:abstractNumId w:val="44"/>
  </w:num>
  <w:num w:numId="9" w16cid:durableId="1691947724">
    <w:abstractNumId w:val="60"/>
  </w:num>
  <w:num w:numId="10" w16cid:durableId="1696618829">
    <w:abstractNumId w:val="1"/>
  </w:num>
  <w:num w:numId="11" w16cid:durableId="1288850664">
    <w:abstractNumId w:val="0"/>
  </w:num>
  <w:num w:numId="12" w16cid:durableId="1822194481">
    <w:abstractNumId w:val="33"/>
  </w:num>
  <w:num w:numId="13" w16cid:durableId="99885414">
    <w:abstractNumId w:val="20"/>
  </w:num>
  <w:num w:numId="14" w16cid:durableId="730737726">
    <w:abstractNumId w:val="81"/>
  </w:num>
  <w:num w:numId="15" w16cid:durableId="1453327091">
    <w:abstractNumId w:val="95"/>
  </w:num>
  <w:num w:numId="16" w16cid:durableId="1720085083">
    <w:abstractNumId w:val="35"/>
  </w:num>
  <w:num w:numId="17" w16cid:durableId="1443038423">
    <w:abstractNumId w:val="63"/>
  </w:num>
  <w:num w:numId="18" w16cid:durableId="2039160707">
    <w:abstractNumId w:val="50"/>
  </w:num>
  <w:num w:numId="19" w16cid:durableId="1894779482">
    <w:abstractNumId w:val="61"/>
  </w:num>
  <w:num w:numId="20" w16cid:durableId="1409107445">
    <w:abstractNumId w:val="7"/>
  </w:num>
  <w:num w:numId="21" w16cid:durableId="144007560">
    <w:abstractNumId w:val="84"/>
  </w:num>
  <w:num w:numId="22" w16cid:durableId="74594578">
    <w:abstractNumId w:val="69"/>
  </w:num>
  <w:num w:numId="23" w16cid:durableId="296688945">
    <w:abstractNumId w:val="79"/>
  </w:num>
  <w:num w:numId="24" w16cid:durableId="2078015633">
    <w:abstractNumId w:val="55"/>
  </w:num>
  <w:num w:numId="25" w16cid:durableId="1107391799">
    <w:abstractNumId w:val="48"/>
  </w:num>
  <w:num w:numId="26" w16cid:durableId="832063786">
    <w:abstractNumId w:val="22"/>
  </w:num>
  <w:num w:numId="27" w16cid:durableId="813716023">
    <w:abstractNumId w:val="30"/>
  </w:num>
  <w:num w:numId="28" w16cid:durableId="164711805">
    <w:abstractNumId w:val="75"/>
  </w:num>
  <w:num w:numId="29" w16cid:durableId="1930114888">
    <w:abstractNumId w:val="42"/>
  </w:num>
  <w:num w:numId="30" w16cid:durableId="414210521">
    <w:abstractNumId w:val="56"/>
  </w:num>
  <w:num w:numId="31" w16cid:durableId="2090152595">
    <w:abstractNumId w:val="46"/>
  </w:num>
  <w:num w:numId="32" w16cid:durableId="1292321088">
    <w:abstractNumId w:val="34"/>
  </w:num>
  <w:num w:numId="33" w16cid:durableId="105002721">
    <w:abstractNumId w:val="57"/>
  </w:num>
  <w:num w:numId="34" w16cid:durableId="551699555">
    <w:abstractNumId w:val="94"/>
  </w:num>
  <w:num w:numId="35" w16cid:durableId="1783306405">
    <w:abstractNumId w:val="29"/>
  </w:num>
  <w:num w:numId="36" w16cid:durableId="2056612787">
    <w:abstractNumId w:val="32"/>
  </w:num>
  <w:num w:numId="37" w16cid:durableId="505291386">
    <w:abstractNumId w:val="13"/>
  </w:num>
  <w:num w:numId="38" w16cid:durableId="1281497284">
    <w:abstractNumId w:val="4"/>
  </w:num>
  <w:num w:numId="39" w16cid:durableId="1946382749">
    <w:abstractNumId w:val="41"/>
  </w:num>
  <w:num w:numId="40" w16cid:durableId="1218281011">
    <w:abstractNumId w:val="53"/>
  </w:num>
  <w:num w:numId="41" w16cid:durableId="664892560">
    <w:abstractNumId w:val="3"/>
  </w:num>
  <w:num w:numId="42" w16cid:durableId="663703795">
    <w:abstractNumId w:val="31"/>
  </w:num>
  <w:num w:numId="43" w16cid:durableId="219948470">
    <w:abstractNumId w:val="66"/>
  </w:num>
  <w:num w:numId="44" w16cid:durableId="874544889">
    <w:abstractNumId w:val="43"/>
  </w:num>
  <w:num w:numId="45" w16cid:durableId="916397799">
    <w:abstractNumId w:val="71"/>
  </w:num>
  <w:num w:numId="46" w16cid:durableId="1139374151">
    <w:abstractNumId w:val="19"/>
  </w:num>
  <w:num w:numId="47" w16cid:durableId="591359467">
    <w:abstractNumId w:val="40"/>
  </w:num>
  <w:num w:numId="48" w16cid:durableId="801844922">
    <w:abstractNumId w:val="89"/>
  </w:num>
  <w:num w:numId="49" w16cid:durableId="1194539824">
    <w:abstractNumId w:val="23"/>
  </w:num>
  <w:num w:numId="50" w16cid:durableId="1974021591">
    <w:abstractNumId w:val="73"/>
  </w:num>
  <w:num w:numId="51" w16cid:durableId="506137560">
    <w:abstractNumId w:val="72"/>
  </w:num>
  <w:num w:numId="52" w16cid:durableId="1076632124">
    <w:abstractNumId w:val="54"/>
  </w:num>
  <w:num w:numId="53" w16cid:durableId="1670447223">
    <w:abstractNumId w:val="28"/>
  </w:num>
  <w:num w:numId="54" w16cid:durableId="774403885">
    <w:abstractNumId w:val="9"/>
  </w:num>
  <w:num w:numId="55" w16cid:durableId="264311469">
    <w:abstractNumId w:val="8"/>
  </w:num>
  <w:num w:numId="56" w16cid:durableId="1653220525">
    <w:abstractNumId w:val="83"/>
  </w:num>
  <w:num w:numId="57" w16cid:durableId="573591366">
    <w:abstractNumId w:val="47"/>
  </w:num>
  <w:num w:numId="58" w16cid:durableId="518012611">
    <w:abstractNumId w:val="76"/>
  </w:num>
  <w:num w:numId="59" w16cid:durableId="1841188363">
    <w:abstractNumId w:val="25"/>
  </w:num>
  <w:num w:numId="60" w16cid:durableId="135073326">
    <w:abstractNumId w:val="58"/>
  </w:num>
  <w:num w:numId="61" w16cid:durableId="1378236575">
    <w:abstractNumId w:val="36"/>
  </w:num>
  <w:num w:numId="62" w16cid:durableId="665744087">
    <w:abstractNumId w:val="65"/>
  </w:num>
  <w:num w:numId="63" w16cid:durableId="812603540">
    <w:abstractNumId w:val="67"/>
  </w:num>
  <w:num w:numId="64" w16cid:durableId="501119361">
    <w:abstractNumId w:val="15"/>
  </w:num>
  <w:num w:numId="65" w16cid:durableId="1189639793">
    <w:abstractNumId w:val="82"/>
  </w:num>
  <w:num w:numId="66" w16cid:durableId="2131044579">
    <w:abstractNumId w:val="16"/>
  </w:num>
  <w:num w:numId="67" w16cid:durableId="548344189">
    <w:abstractNumId w:val="91"/>
  </w:num>
  <w:num w:numId="68" w16cid:durableId="121660226">
    <w:abstractNumId w:val="12"/>
  </w:num>
  <w:num w:numId="69" w16cid:durableId="1037854961">
    <w:abstractNumId w:val="10"/>
  </w:num>
  <w:num w:numId="70" w16cid:durableId="424884957">
    <w:abstractNumId w:val="21"/>
  </w:num>
  <w:num w:numId="71" w16cid:durableId="265501091">
    <w:abstractNumId w:val="86"/>
  </w:num>
  <w:num w:numId="72" w16cid:durableId="1528324193">
    <w:abstractNumId w:val="88"/>
  </w:num>
  <w:num w:numId="73" w16cid:durableId="1565799826">
    <w:abstractNumId w:val="6"/>
  </w:num>
  <w:num w:numId="74" w16cid:durableId="123234536">
    <w:abstractNumId w:val="68"/>
  </w:num>
  <w:num w:numId="75" w16cid:durableId="221060337">
    <w:abstractNumId w:val="77"/>
  </w:num>
  <w:num w:numId="76" w16cid:durableId="766341785">
    <w:abstractNumId w:val="78"/>
  </w:num>
  <w:num w:numId="77" w16cid:durableId="1043215980">
    <w:abstractNumId w:val="85"/>
  </w:num>
  <w:num w:numId="78" w16cid:durableId="660085155">
    <w:abstractNumId w:val="49"/>
  </w:num>
  <w:num w:numId="79" w16cid:durableId="465897970">
    <w:abstractNumId w:val="37"/>
  </w:num>
  <w:num w:numId="80" w16cid:durableId="2021394816">
    <w:abstractNumId w:val="51"/>
  </w:num>
  <w:num w:numId="81" w16cid:durableId="2034725910">
    <w:abstractNumId w:val="18"/>
  </w:num>
  <w:num w:numId="82" w16cid:durableId="532763756">
    <w:abstractNumId w:val="27"/>
  </w:num>
  <w:num w:numId="83" w16cid:durableId="2136481406">
    <w:abstractNumId w:val="80"/>
  </w:num>
  <w:num w:numId="84" w16cid:durableId="857279131">
    <w:abstractNumId w:val="11"/>
  </w:num>
  <w:num w:numId="85" w16cid:durableId="2079667264">
    <w:abstractNumId w:val="17"/>
  </w:num>
  <w:num w:numId="86" w16cid:durableId="949509560">
    <w:abstractNumId w:val="62"/>
  </w:num>
  <w:num w:numId="87" w16cid:durableId="1108961344">
    <w:abstractNumId w:val="24"/>
  </w:num>
  <w:num w:numId="88" w16cid:durableId="1693874066">
    <w:abstractNumId w:val="38"/>
  </w:num>
  <w:num w:numId="89" w16cid:durableId="1071346159">
    <w:abstractNumId w:val="14"/>
  </w:num>
  <w:num w:numId="90" w16cid:durableId="223873749">
    <w:abstractNumId w:val="90"/>
  </w:num>
  <w:num w:numId="91" w16cid:durableId="285548680">
    <w:abstractNumId w:val="74"/>
  </w:num>
  <w:num w:numId="92" w16cid:durableId="1150832684">
    <w:abstractNumId w:val="93"/>
  </w:num>
  <w:num w:numId="93" w16cid:durableId="401146630">
    <w:abstractNumId w:val="26"/>
  </w:num>
  <w:num w:numId="94" w16cid:durableId="111749874">
    <w:abstractNumId w:val="45"/>
  </w:num>
  <w:num w:numId="95" w16cid:durableId="1819103849">
    <w:abstractNumId w:val="39"/>
  </w:num>
  <w:num w:numId="96" w16cid:durableId="1407141813">
    <w:abstractNumId w:val="28"/>
  </w:num>
  <w:num w:numId="97" w16cid:durableId="1663585423">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1" w:cryptProviderType="rsaAES" w:cryptAlgorithmClass="hash" w:cryptAlgorithmType="typeAny" w:cryptAlgorithmSid="14" w:cryptSpinCount="100000" w:hash="MCqPOeX0NfH3crl48Rwtb5/YpMzQB7Zx1h2a/9BZRG1PcWwIn3BcTBC69D70WD+/g9kfPUpLrRsLNDkBEpFc6Q==" w:salt="w6HuIXB9qOKWbVKRtgtGvQ=="/>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jAzMDQwtDQEcpV0lIJTi4sz8/NACkxrAdx24aIsAAAA"/>
  </w:docVars>
  <w:rsids>
    <w:rsidRoot w:val="00225334"/>
    <w:rsid w:val="00000B54"/>
    <w:rsid w:val="00001174"/>
    <w:rsid w:val="00001329"/>
    <w:rsid w:val="000018E9"/>
    <w:rsid w:val="000024BF"/>
    <w:rsid w:val="00002999"/>
    <w:rsid w:val="00002D29"/>
    <w:rsid w:val="00002EF7"/>
    <w:rsid w:val="00003C47"/>
    <w:rsid w:val="00003F7A"/>
    <w:rsid w:val="000046F3"/>
    <w:rsid w:val="000054E7"/>
    <w:rsid w:val="00005C77"/>
    <w:rsid w:val="000108CD"/>
    <w:rsid w:val="00012479"/>
    <w:rsid w:val="0001259D"/>
    <w:rsid w:val="000125A6"/>
    <w:rsid w:val="00012F73"/>
    <w:rsid w:val="00014D4A"/>
    <w:rsid w:val="00015D9D"/>
    <w:rsid w:val="00016672"/>
    <w:rsid w:val="00016C37"/>
    <w:rsid w:val="0001781B"/>
    <w:rsid w:val="00020358"/>
    <w:rsid w:val="00020475"/>
    <w:rsid w:val="00020897"/>
    <w:rsid w:val="00020B0C"/>
    <w:rsid w:val="0002164C"/>
    <w:rsid w:val="00022949"/>
    <w:rsid w:val="00022EAC"/>
    <w:rsid w:val="000232FC"/>
    <w:rsid w:val="000237DD"/>
    <w:rsid w:val="0002417D"/>
    <w:rsid w:val="00024A54"/>
    <w:rsid w:val="00024E2F"/>
    <w:rsid w:val="000250E5"/>
    <w:rsid w:val="000257C0"/>
    <w:rsid w:val="00025AC9"/>
    <w:rsid w:val="0003357F"/>
    <w:rsid w:val="00033FAB"/>
    <w:rsid w:val="000343BF"/>
    <w:rsid w:val="0003575B"/>
    <w:rsid w:val="00037550"/>
    <w:rsid w:val="00040090"/>
    <w:rsid w:val="00042B48"/>
    <w:rsid w:val="00042C64"/>
    <w:rsid w:val="000433A9"/>
    <w:rsid w:val="00043767"/>
    <w:rsid w:val="00043D7A"/>
    <w:rsid w:val="00044009"/>
    <w:rsid w:val="0004423E"/>
    <w:rsid w:val="00044ECF"/>
    <w:rsid w:val="0004506A"/>
    <w:rsid w:val="000456F6"/>
    <w:rsid w:val="00046298"/>
    <w:rsid w:val="0005180C"/>
    <w:rsid w:val="00052436"/>
    <w:rsid w:val="000553A8"/>
    <w:rsid w:val="00057E95"/>
    <w:rsid w:val="00057F22"/>
    <w:rsid w:val="00060149"/>
    <w:rsid w:val="00060F57"/>
    <w:rsid w:val="0006151E"/>
    <w:rsid w:val="00061912"/>
    <w:rsid w:val="000619CF"/>
    <w:rsid w:val="000624CA"/>
    <w:rsid w:val="000631DD"/>
    <w:rsid w:val="000632EC"/>
    <w:rsid w:val="000639FD"/>
    <w:rsid w:val="00063DC4"/>
    <w:rsid w:val="00064D93"/>
    <w:rsid w:val="00065721"/>
    <w:rsid w:val="000660F7"/>
    <w:rsid w:val="000679EE"/>
    <w:rsid w:val="00070507"/>
    <w:rsid w:val="0007078E"/>
    <w:rsid w:val="00070D92"/>
    <w:rsid w:val="00076C9D"/>
    <w:rsid w:val="000779B0"/>
    <w:rsid w:val="00082F84"/>
    <w:rsid w:val="00083578"/>
    <w:rsid w:val="00083A2A"/>
    <w:rsid w:val="00084EA3"/>
    <w:rsid w:val="00085139"/>
    <w:rsid w:val="0008642F"/>
    <w:rsid w:val="00086B28"/>
    <w:rsid w:val="00086EA3"/>
    <w:rsid w:val="00087AF5"/>
    <w:rsid w:val="0009158D"/>
    <w:rsid w:val="000935CD"/>
    <w:rsid w:val="00093952"/>
    <w:rsid w:val="00094B96"/>
    <w:rsid w:val="00095527"/>
    <w:rsid w:val="000963F9"/>
    <w:rsid w:val="000970B6"/>
    <w:rsid w:val="000A04AB"/>
    <w:rsid w:val="000A0A99"/>
    <w:rsid w:val="000A1DF8"/>
    <w:rsid w:val="000A4124"/>
    <w:rsid w:val="000A4C66"/>
    <w:rsid w:val="000A556E"/>
    <w:rsid w:val="000A573B"/>
    <w:rsid w:val="000A5F03"/>
    <w:rsid w:val="000A62E4"/>
    <w:rsid w:val="000A6C21"/>
    <w:rsid w:val="000A7425"/>
    <w:rsid w:val="000A77EE"/>
    <w:rsid w:val="000A7BBA"/>
    <w:rsid w:val="000A7C15"/>
    <w:rsid w:val="000B05D3"/>
    <w:rsid w:val="000B067D"/>
    <w:rsid w:val="000B244C"/>
    <w:rsid w:val="000B26AA"/>
    <w:rsid w:val="000B2FE6"/>
    <w:rsid w:val="000B449A"/>
    <w:rsid w:val="000B4BD0"/>
    <w:rsid w:val="000B55B1"/>
    <w:rsid w:val="000B6795"/>
    <w:rsid w:val="000B6BF8"/>
    <w:rsid w:val="000B6D95"/>
    <w:rsid w:val="000B728E"/>
    <w:rsid w:val="000B7E35"/>
    <w:rsid w:val="000C0280"/>
    <w:rsid w:val="000C0838"/>
    <w:rsid w:val="000C1EB2"/>
    <w:rsid w:val="000C1F77"/>
    <w:rsid w:val="000C3958"/>
    <w:rsid w:val="000C4A25"/>
    <w:rsid w:val="000C663E"/>
    <w:rsid w:val="000C66EC"/>
    <w:rsid w:val="000C6980"/>
    <w:rsid w:val="000C7371"/>
    <w:rsid w:val="000D0D20"/>
    <w:rsid w:val="000D1202"/>
    <w:rsid w:val="000D2A8E"/>
    <w:rsid w:val="000D2D2E"/>
    <w:rsid w:val="000D4AEB"/>
    <w:rsid w:val="000D6990"/>
    <w:rsid w:val="000D6A2E"/>
    <w:rsid w:val="000D6A55"/>
    <w:rsid w:val="000E1474"/>
    <w:rsid w:val="000E3334"/>
    <w:rsid w:val="000E5091"/>
    <w:rsid w:val="000E600E"/>
    <w:rsid w:val="000E6578"/>
    <w:rsid w:val="000E6683"/>
    <w:rsid w:val="000F0DD6"/>
    <w:rsid w:val="000F17AF"/>
    <w:rsid w:val="000F1BB8"/>
    <w:rsid w:val="000F435D"/>
    <w:rsid w:val="000F5D92"/>
    <w:rsid w:val="000F672B"/>
    <w:rsid w:val="000F6BD2"/>
    <w:rsid w:val="000F77A3"/>
    <w:rsid w:val="000F7ED4"/>
    <w:rsid w:val="0010153A"/>
    <w:rsid w:val="001023CC"/>
    <w:rsid w:val="00102FFE"/>
    <w:rsid w:val="00104ED8"/>
    <w:rsid w:val="0010532A"/>
    <w:rsid w:val="00106098"/>
    <w:rsid w:val="001105B9"/>
    <w:rsid w:val="00111395"/>
    <w:rsid w:val="0011332F"/>
    <w:rsid w:val="00113372"/>
    <w:rsid w:val="00114CD0"/>
    <w:rsid w:val="00115BF0"/>
    <w:rsid w:val="00116292"/>
    <w:rsid w:val="00116884"/>
    <w:rsid w:val="00116C57"/>
    <w:rsid w:val="00116F1A"/>
    <w:rsid w:val="0011778D"/>
    <w:rsid w:val="00120854"/>
    <w:rsid w:val="0012089C"/>
    <w:rsid w:val="0012173B"/>
    <w:rsid w:val="00124770"/>
    <w:rsid w:val="00124958"/>
    <w:rsid w:val="00124CAC"/>
    <w:rsid w:val="00125FAD"/>
    <w:rsid w:val="001272FF"/>
    <w:rsid w:val="00130310"/>
    <w:rsid w:val="0013045A"/>
    <w:rsid w:val="00130599"/>
    <w:rsid w:val="0013205E"/>
    <w:rsid w:val="00132275"/>
    <w:rsid w:val="00132E07"/>
    <w:rsid w:val="001346F6"/>
    <w:rsid w:val="00136BE2"/>
    <w:rsid w:val="0013723B"/>
    <w:rsid w:val="00137FDF"/>
    <w:rsid w:val="0014014C"/>
    <w:rsid w:val="00141047"/>
    <w:rsid w:val="00144EE3"/>
    <w:rsid w:val="00145A39"/>
    <w:rsid w:val="001461A0"/>
    <w:rsid w:val="001464A2"/>
    <w:rsid w:val="001467AA"/>
    <w:rsid w:val="0014696D"/>
    <w:rsid w:val="00147102"/>
    <w:rsid w:val="0014724D"/>
    <w:rsid w:val="00151884"/>
    <w:rsid w:val="001528A7"/>
    <w:rsid w:val="00152CDC"/>
    <w:rsid w:val="00153316"/>
    <w:rsid w:val="00154152"/>
    <w:rsid w:val="00154298"/>
    <w:rsid w:val="00154CBE"/>
    <w:rsid w:val="00157D8A"/>
    <w:rsid w:val="00160061"/>
    <w:rsid w:val="001601B2"/>
    <w:rsid w:val="00160A1D"/>
    <w:rsid w:val="001619A2"/>
    <w:rsid w:val="00161CB0"/>
    <w:rsid w:val="00162A54"/>
    <w:rsid w:val="001632AF"/>
    <w:rsid w:val="00163C54"/>
    <w:rsid w:val="00163E20"/>
    <w:rsid w:val="00164C91"/>
    <w:rsid w:val="00166949"/>
    <w:rsid w:val="00167007"/>
    <w:rsid w:val="00167762"/>
    <w:rsid w:val="00170A67"/>
    <w:rsid w:val="00171199"/>
    <w:rsid w:val="00171C14"/>
    <w:rsid w:val="00172010"/>
    <w:rsid w:val="001748AD"/>
    <w:rsid w:val="00174FD7"/>
    <w:rsid w:val="001756D3"/>
    <w:rsid w:val="00175922"/>
    <w:rsid w:val="00175ADE"/>
    <w:rsid w:val="00180DE9"/>
    <w:rsid w:val="0018154B"/>
    <w:rsid w:val="00181582"/>
    <w:rsid w:val="00182364"/>
    <w:rsid w:val="00182405"/>
    <w:rsid w:val="001824D3"/>
    <w:rsid w:val="00182FA0"/>
    <w:rsid w:val="001845FA"/>
    <w:rsid w:val="00184869"/>
    <w:rsid w:val="001857DA"/>
    <w:rsid w:val="00185A0F"/>
    <w:rsid w:val="00185CDD"/>
    <w:rsid w:val="00185DDD"/>
    <w:rsid w:val="001860B3"/>
    <w:rsid w:val="001865CD"/>
    <w:rsid w:val="00186629"/>
    <w:rsid w:val="0018718E"/>
    <w:rsid w:val="00187BD3"/>
    <w:rsid w:val="00187E26"/>
    <w:rsid w:val="00190106"/>
    <w:rsid w:val="001904C8"/>
    <w:rsid w:val="0019134E"/>
    <w:rsid w:val="001914FD"/>
    <w:rsid w:val="00191DE8"/>
    <w:rsid w:val="00193F26"/>
    <w:rsid w:val="00195713"/>
    <w:rsid w:val="001959B9"/>
    <w:rsid w:val="00195B1F"/>
    <w:rsid w:val="00196094"/>
    <w:rsid w:val="0019656E"/>
    <w:rsid w:val="001968A6"/>
    <w:rsid w:val="00196981"/>
    <w:rsid w:val="001A1156"/>
    <w:rsid w:val="001A3E54"/>
    <w:rsid w:val="001A4EA1"/>
    <w:rsid w:val="001A5F5A"/>
    <w:rsid w:val="001A6818"/>
    <w:rsid w:val="001B030E"/>
    <w:rsid w:val="001B050F"/>
    <w:rsid w:val="001B4086"/>
    <w:rsid w:val="001B586E"/>
    <w:rsid w:val="001B7436"/>
    <w:rsid w:val="001C072D"/>
    <w:rsid w:val="001C08E5"/>
    <w:rsid w:val="001C2263"/>
    <w:rsid w:val="001C2843"/>
    <w:rsid w:val="001C4842"/>
    <w:rsid w:val="001C5337"/>
    <w:rsid w:val="001C62B3"/>
    <w:rsid w:val="001C6579"/>
    <w:rsid w:val="001C7B7B"/>
    <w:rsid w:val="001D3066"/>
    <w:rsid w:val="001D5565"/>
    <w:rsid w:val="001D5BE2"/>
    <w:rsid w:val="001D6116"/>
    <w:rsid w:val="001D6E3A"/>
    <w:rsid w:val="001E1697"/>
    <w:rsid w:val="001E1840"/>
    <w:rsid w:val="001E2676"/>
    <w:rsid w:val="001E2A2E"/>
    <w:rsid w:val="001E2BA7"/>
    <w:rsid w:val="001E49BC"/>
    <w:rsid w:val="001E5BF3"/>
    <w:rsid w:val="001E6A9A"/>
    <w:rsid w:val="001E7D5D"/>
    <w:rsid w:val="001F2224"/>
    <w:rsid w:val="001F282A"/>
    <w:rsid w:val="001F2E5F"/>
    <w:rsid w:val="001F5136"/>
    <w:rsid w:val="001F5884"/>
    <w:rsid w:val="001F5B7A"/>
    <w:rsid w:val="001F62AB"/>
    <w:rsid w:val="00201129"/>
    <w:rsid w:val="00201226"/>
    <w:rsid w:val="00201FE3"/>
    <w:rsid w:val="00202655"/>
    <w:rsid w:val="00203B86"/>
    <w:rsid w:val="00203C80"/>
    <w:rsid w:val="00204A1D"/>
    <w:rsid w:val="002059E3"/>
    <w:rsid w:val="00206EED"/>
    <w:rsid w:val="00207427"/>
    <w:rsid w:val="0020774F"/>
    <w:rsid w:val="00210788"/>
    <w:rsid w:val="00210D11"/>
    <w:rsid w:val="00210F8A"/>
    <w:rsid w:val="00211377"/>
    <w:rsid w:val="00211770"/>
    <w:rsid w:val="00212494"/>
    <w:rsid w:val="0021461F"/>
    <w:rsid w:val="00214768"/>
    <w:rsid w:val="00217708"/>
    <w:rsid w:val="00217D9E"/>
    <w:rsid w:val="0022020E"/>
    <w:rsid w:val="00220712"/>
    <w:rsid w:val="00221542"/>
    <w:rsid w:val="00222BC9"/>
    <w:rsid w:val="00222F12"/>
    <w:rsid w:val="0022501E"/>
    <w:rsid w:val="00225334"/>
    <w:rsid w:val="00230317"/>
    <w:rsid w:val="00230E4D"/>
    <w:rsid w:val="00231EB0"/>
    <w:rsid w:val="0023583B"/>
    <w:rsid w:val="00235DC5"/>
    <w:rsid w:val="00236067"/>
    <w:rsid w:val="002368DD"/>
    <w:rsid w:val="00236E0D"/>
    <w:rsid w:val="0023782B"/>
    <w:rsid w:val="00237850"/>
    <w:rsid w:val="00240ED7"/>
    <w:rsid w:val="002416AE"/>
    <w:rsid w:val="00242BC2"/>
    <w:rsid w:val="002439E7"/>
    <w:rsid w:val="00243A06"/>
    <w:rsid w:val="002445BA"/>
    <w:rsid w:val="00244834"/>
    <w:rsid w:val="002451DC"/>
    <w:rsid w:val="00245D6E"/>
    <w:rsid w:val="00250C85"/>
    <w:rsid w:val="002519C3"/>
    <w:rsid w:val="00252746"/>
    <w:rsid w:val="00253214"/>
    <w:rsid w:val="00254E87"/>
    <w:rsid w:val="00255D19"/>
    <w:rsid w:val="002568C9"/>
    <w:rsid w:val="00256CF5"/>
    <w:rsid w:val="00257120"/>
    <w:rsid w:val="0026050A"/>
    <w:rsid w:val="00261247"/>
    <w:rsid w:val="0026128F"/>
    <w:rsid w:val="0026143E"/>
    <w:rsid w:val="00264C75"/>
    <w:rsid w:val="00264CBA"/>
    <w:rsid w:val="002652B8"/>
    <w:rsid w:val="00265626"/>
    <w:rsid w:val="0026584C"/>
    <w:rsid w:val="00267007"/>
    <w:rsid w:val="00267F7F"/>
    <w:rsid w:val="0027200F"/>
    <w:rsid w:val="0027285C"/>
    <w:rsid w:val="002733C4"/>
    <w:rsid w:val="00273ED2"/>
    <w:rsid w:val="002753FF"/>
    <w:rsid w:val="002760F0"/>
    <w:rsid w:val="00277275"/>
    <w:rsid w:val="00280C94"/>
    <w:rsid w:val="002821AA"/>
    <w:rsid w:val="00282D4D"/>
    <w:rsid w:val="00283767"/>
    <w:rsid w:val="00283A8E"/>
    <w:rsid w:val="002843A8"/>
    <w:rsid w:val="002857B8"/>
    <w:rsid w:val="0028650B"/>
    <w:rsid w:val="002872E4"/>
    <w:rsid w:val="00292EE3"/>
    <w:rsid w:val="0029314B"/>
    <w:rsid w:val="00293801"/>
    <w:rsid w:val="002939DF"/>
    <w:rsid w:val="00293AB0"/>
    <w:rsid w:val="00293DC8"/>
    <w:rsid w:val="00294960"/>
    <w:rsid w:val="0029521C"/>
    <w:rsid w:val="0029529B"/>
    <w:rsid w:val="00295C1E"/>
    <w:rsid w:val="0029602B"/>
    <w:rsid w:val="0029666B"/>
    <w:rsid w:val="00296833"/>
    <w:rsid w:val="002A0E27"/>
    <w:rsid w:val="002A16A7"/>
    <w:rsid w:val="002A1A76"/>
    <w:rsid w:val="002A1ED6"/>
    <w:rsid w:val="002A2FE9"/>
    <w:rsid w:val="002A3901"/>
    <w:rsid w:val="002A52B7"/>
    <w:rsid w:val="002A668D"/>
    <w:rsid w:val="002A7266"/>
    <w:rsid w:val="002A7B9A"/>
    <w:rsid w:val="002A7DE4"/>
    <w:rsid w:val="002B05FE"/>
    <w:rsid w:val="002B11CE"/>
    <w:rsid w:val="002B1267"/>
    <w:rsid w:val="002B210E"/>
    <w:rsid w:val="002B2D72"/>
    <w:rsid w:val="002B429A"/>
    <w:rsid w:val="002B676B"/>
    <w:rsid w:val="002B7AB1"/>
    <w:rsid w:val="002B7EEA"/>
    <w:rsid w:val="002C08E9"/>
    <w:rsid w:val="002C3943"/>
    <w:rsid w:val="002C3947"/>
    <w:rsid w:val="002C3D82"/>
    <w:rsid w:val="002C445D"/>
    <w:rsid w:val="002C4A02"/>
    <w:rsid w:val="002C4C8E"/>
    <w:rsid w:val="002C4DF4"/>
    <w:rsid w:val="002C6843"/>
    <w:rsid w:val="002C6968"/>
    <w:rsid w:val="002C6A7B"/>
    <w:rsid w:val="002C6BAD"/>
    <w:rsid w:val="002D156A"/>
    <w:rsid w:val="002D1F43"/>
    <w:rsid w:val="002D4853"/>
    <w:rsid w:val="002D4B96"/>
    <w:rsid w:val="002D4BD5"/>
    <w:rsid w:val="002D6171"/>
    <w:rsid w:val="002D678A"/>
    <w:rsid w:val="002D710E"/>
    <w:rsid w:val="002D7301"/>
    <w:rsid w:val="002D7DBE"/>
    <w:rsid w:val="002E0A20"/>
    <w:rsid w:val="002E107A"/>
    <w:rsid w:val="002E291D"/>
    <w:rsid w:val="002E2E7E"/>
    <w:rsid w:val="002E7241"/>
    <w:rsid w:val="002E7C18"/>
    <w:rsid w:val="002F1E0D"/>
    <w:rsid w:val="002F2849"/>
    <w:rsid w:val="002F2D66"/>
    <w:rsid w:val="002F3D74"/>
    <w:rsid w:val="002F5535"/>
    <w:rsid w:val="002F5B2A"/>
    <w:rsid w:val="002F637D"/>
    <w:rsid w:val="002F7A07"/>
    <w:rsid w:val="003011AF"/>
    <w:rsid w:val="00304BBD"/>
    <w:rsid w:val="0030533E"/>
    <w:rsid w:val="00306238"/>
    <w:rsid w:val="003068A8"/>
    <w:rsid w:val="00306A8A"/>
    <w:rsid w:val="003075BD"/>
    <w:rsid w:val="00310867"/>
    <w:rsid w:val="00312504"/>
    <w:rsid w:val="00314F4A"/>
    <w:rsid w:val="00317B67"/>
    <w:rsid w:val="00322964"/>
    <w:rsid w:val="00322E2A"/>
    <w:rsid w:val="003231D4"/>
    <w:rsid w:val="00323686"/>
    <w:rsid w:val="00323D72"/>
    <w:rsid w:val="00324612"/>
    <w:rsid w:val="00326055"/>
    <w:rsid w:val="0032681E"/>
    <w:rsid w:val="00326BCC"/>
    <w:rsid w:val="0032762C"/>
    <w:rsid w:val="0033175A"/>
    <w:rsid w:val="0033175B"/>
    <w:rsid w:val="00331CF1"/>
    <w:rsid w:val="00333E5B"/>
    <w:rsid w:val="00335CA7"/>
    <w:rsid w:val="00335D87"/>
    <w:rsid w:val="00336D9E"/>
    <w:rsid w:val="00337F60"/>
    <w:rsid w:val="00337F98"/>
    <w:rsid w:val="00343163"/>
    <w:rsid w:val="00343A90"/>
    <w:rsid w:val="00343F53"/>
    <w:rsid w:val="00344C85"/>
    <w:rsid w:val="00345094"/>
    <w:rsid w:val="00345826"/>
    <w:rsid w:val="003472BB"/>
    <w:rsid w:val="00350758"/>
    <w:rsid w:val="00350A46"/>
    <w:rsid w:val="00350DE1"/>
    <w:rsid w:val="0035150C"/>
    <w:rsid w:val="003519A9"/>
    <w:rsid w:val="003531D3"/>
    <w:rsid w:val="00353923"/>
    <w:rsid w:val="0035452E"/>
    <w:rsid w:val="0035472E"/>
    <w:rsid w:val="00354AFC"/>
    <w:rsid w:val="00355D7C"/>
    <w:rsid w:val="00356395"/>
    <w:rsid w:val="00356564"/>
    <w:rsid w:val="00356702"/>
    <w:rsid w:val="00356A71"/>
    <w:rsid w:val="00356D79"/>
    <w:rsid w:val="003578A5"/>
    <w:rsid w:val="00360173"/>
    <w:rsid w:val="0036071B"/>
    <w:rsid w:val="003609C1"/>
    <w:rsid w:val="00361102"/>
    <w:rsid w:val="0036125E"/>
    <w:rsid w:val="003612D0"/>
    <w:rsid w:val="00361B06"/>
    <w:rsid w:val="00362E96"/>
    <w:rsid w:val="00363516"/>
    <w:rsid w:val="003640F6"/>
    <w:rsid w:val="00364DB0"/>
    <w:rsid w:val="003662B4"/>
    <w:rsid w:val="0036776E"/>
    <w:rsid w:val="00370E98"/>
    <w:rsid w:val="00371259"/>
    <w:rsid w:val="003713C5"/>
    <w:rsid w:val="003744AF"/>
    <w:rsid w:val="003749BD"/>
    <w:rsid w:val="00374BFC"/>
    <w:rsid w:val="003761E1"/>
    <w:rsid w:val="00376A17"/>
    <w:rsid w:val="003774EA"/>
    <w:rsid w:val="00377A90"/>
    <w:rsid w:val="003801E4"/>
    <w:rsid w:val="003811F2"/>
    <w:rsid w:val="003818D2"/>
    <w:rsid w:val="00381B68"/>
    <w:rsid w:val="0038207D"/>
    <w:rsid w:val="00382F37"/>
    <w:rsid w:val="00385AD6"/>
    <w:rsid w:val="00385D0D"/>
    <w:rsid w:val="003865D0"/>
    <w:rsid w:val="00387859"/>
    <w:rsid w:val="00390AAD"/>
    <w:rsid w:val="00394BA5"/>
    <w:rsid w:val="003965CF"/>
    <w:rsid w:val="00396AE2"/>
    <w:rsid w:val="0039758A"/>
    <w:rsid w:val="00397978"/>
    <w:rsid w:val="00397A08"/>
    <w:rsid w:val="00397B4E"/>
    <w:rsid w:val="003A0038"/>
    <w:rsid w:val="003A0382"/>
    <w:rsid w:val="003A2604"/>
    <w:rsid w:val="003A2A7A"/>
    <w:rsid w:val="003A4751"/>
    <w:rsid w:val="003A6042"/>
    <w:rsid w:val="003A6F72"/>
    <w:rsid w:val="003A7454"/>
    <w:rsid w:val="003A7848"/>
    <w:rsid w:val="003B070D"/>
    <w:rsid w:val="003B1EF6"/>
    <w:rsid w:val="003B2134"/>
    <w:rsid w:val="003B3DF4"/>
    <w:rsid w:val="003B6358"/>
    <w:rsid w:val="003B7A25"/>
    <w:rsid w:val="003B7A35"/>
    <w:rsid w:val="003C1C89"/>
    <w:rsid w:val="003C26B4"/>
    <w:rsid w:val="003C2BE7"/>
    <w:rsid w:val="003C3716"/>
    <w:rsid w:val="003C386C"/>
    <w:rsid w:val="003C439B"/>
    <w:rsid w:val="003C6711"/>
    <w:rsid w:val="003C767C"/>
    <w:rsid w:val="003D1777"/>
    <w:rsid w:val="003D1EBD"/>
    <w:rsid w:val="003D413A"/>
    <w:rsid w:val="003D4487"/>
    <w:rsid w:val="003D4D56"/>
    <w:rsid w:val="003D5013"/>
    <w:rsid w:val="003D58A8"/>
    <w:rsid w:val="003D5F75"/>
    <w:rsid w:val="003D6355"/>
    <w:rsid w:val="003D7BB3"/>
    <w:rsid w:val="003E375C"/>
    <w:rsid w:val="003E4C52"/>
    <w:rsid w:val="003E5EF9"/>
    <w:rsid w:val="003E61B2"/>
    <w:rsid w:val="003E6CE9"/>
    <w:rsid w:val="003E70E0"/>
    <w:rsid w:val="003E7389"/>
    <w:rsid w:val="003F04EA"/>
    <w:rsid w:val="003F13E4"/>
    <w:rsid w:val="003F2486"/>
    <w:rsid w:val="003F26F5"/>
    <w:rsid w:val="003F378F"/>
    <w:rsid w:val="003F5500"/>
    <w:rsid w:val="003F6C55"/>
    <w:rsid w:val="003F792C"/>
    <w:rsid w:val="003F7E0E"/>
    <w:rsid w:val="00400C3F"/>
    <w:rsid w:val="00401401"/>
    <w:rsid w:val="00402043"/>
    <w:rsid w:val="004039DA"/>
    <w:rsid w:val="00403ACB"/>
    <w:rsid w:val="00406BFD"/>
    <w:rsid w:val="0041027B"/>
    <w:rsid w:val="00411F51"/>
    <w:rsid w:val="0041281E"/>
    <w:rsid w:val="00413372"/>
    <w:rsid w:val="00413C7F"/>
    <w:rsid w:val="004219DB"/>
    <w:rsid w:val="00422029"/>
    <w:rsid w:val="00424E3C"/>
    <w:rsid w:val="004254F4"/>
    <w:rsid w:val="00425A91"/>
    <w:rsid w:val="0042675A"/>
    <w:rsid w:val="004275B5"/>
    <w:rsid w:val="004305F5"/>
    <w:rsid w:val="0043073D"/>
    <w:rsid w:val="004310F5"/>
    <w:rsid w:val="00431D82"/>
    <w:rsid w:val="00432B53"/>
    <w:rsid w:val="00433618"/>
    <w:rsid w:val="00433C3E"/>
    <w:rsid w:val="0043559A"/>
    <w:rsid w:val="004372B8"/>
    <w:rsid w:val="004376FE"/>
    <w:rsid w:val="00437CEC"/>
    <w:rsid w:val="00441787"/>
    <w:rsid w:val="0044188B"/>
    <w:rsid w:val="004425C4"/>
    <w:rsid w:val="00443100"/>
    <w:rsid w:val="00443745"/>
    <w:rsid w:val="00444035"/>
    <w:rsid w:val="004444BE"/>
    <w:rsid w:val="00444864"/>
    <w:rsid w:val="00445A37"/>
    <w:rsid w:val="00445E50"/>
    <w:rsid w:val="00447062"/>
    <w:rsid w:val="00447EC5"/>
    <w:rsid w:val="00452743"/>
    <w:rsid w:val="00452777"/>
    <w:rsid w:val="00452796"/>
    <w:rsid w:val="004541A6"/>
    <w:rsid w:val="0045477D"/>
    <w:rsid w:val="00454A06"/>
    <w:rsid w:val="004557B1"/>
    <w:rsid w:val="00455910"/>
    <w:rsid w:val="00456B12"/>
    <w:rsid w:val="00457BDE"/>
    <w:rsid w:val="00463663"/>
    <w:rsid w:val="004639DA"/>
    <w:rsid w:val="00463D92"/>
    <w:rsid w:val="004670B1"/>
    <w:rsid w:val="00467AAD"/>
    <w:rsid w:val="00467C18"/>
    <w:rsid w:val="00470820"/>
    <w:rsid w:val="00470E42"/>
    <w:rsid w:val="00471BBA"/>
    <w:rsid w:val="0047236B"/>
    <w:rsid w:val="004725F7"/>
    <w:rsid w:val="00473E9B"/>
    <w:rsid w:val="004757B2"/>
    <w:rsid w:val="00476243"/>
    <w:rsid w:val="004763D2"/>
    <w:rsid w:val="00476B52"/>
    <w:rsid w:val="00476E3D"/>
    <w:rsid w:val="0048005C"/>
    <w:rsid w:val="00480FE8"/>
    <w:rsid w:val="004835AA"/>
    <w:rsid w:val="00485320"/>
    <w:rsid w:val="004865CD"/>
    <w:rsid w:val="004915BE"/>
    <w:rsid w:val="00491969"/>
    <w:rsid w:val="004930ED"/>
    <w:rsid w:val="00493546"/>
    <w:rsid w:val="0049420F"/>
    <w:rsid w:val="004943B7"/>
    <w:rsid w:val="00496A6B"/>
    <w:rsid w:val="00497976"/>
    <w:rsid w:val="004A1DDE"/>
    <w:rsid w:val="004A2689"/>
    <w:rsid w:val="004A2DDD"/>
    <w:rsid w:val="004A2DE4"/>
    <w:rsid w:val="004A3F32"/>
    <w:rsid w:val="004A4420"/>
    <w:rsid w:val="004A46C7"/>
    <w:rsid w:val="004A555B"/>
    <w:rsid w:val="004A5B56"/>
    <w:rsid w:val="004A68C9"/>
    <w:rsid w:val="004A6E61"/>
    <w:rsid w:val="004A7462"/>
    <w:rsid w:val="004A7A2D"/>
    <w:rsid w:val="004B07A4"/>
    <w:rsid w:val="004B0808"/>
    <w:rsid w:val="004B119F"/>
    <w:rsid w:val="004B1F5F"/>
    <w:rsid w:val="004B25C0"/>
    <w:rsid w:val="004B25F8"/>
    <w:rsid w:val="004B3918"/>
    <w:rsid w:val="004B450A"/>
    <w:rsid w:val="004B542B"/>
    <w:rsid w:val="004B671E"/>
    <w:rsid w:val="004B74C5"/>
    <w:rsid w:val="004C0E62"/>
    <w:rsid w:val="004C1D8F"/>
    <w:rsid w:val="004C29D6"/>
    <w:rsid w:val="004C32A7"/>
    <w:rsid w:val="004C3755"/>
    <w:rsid w:val="004C3CCD"/>
    <w:rsid w:val="004C4BB0"/>
    <w:rsid w:val="004C65CB"/>
    <w:rsid w:val="004C6A2D"/>
    <w:rsid w:val="004C6CF5"/>
    <w:rsid w:val="004C778F"/>
    <w:rsid w:val="004C7960"/>
    <w:rsid w:val="004D15AA"/>
    <w:rsid w:val="004D190E"/>
    <w:rsid w:val="004D260B"/>
    <w:rsid w:val="004D369C"/>
    <w:rsid w:val="004D4451"/>
    <w:rsid w:val="004D4808"/>
    <w:rsid w:val="004D4DCA"/>
    <w:rsid w:val="004D4E5F"/>
    <w:rsid w:val="004D574D"/>
    <w:rsid w:val="004D5C04"/>
    <w:rsid w:val="004D6724"/>
    <w:rsid w:val="004E1E6A"/>
    <w:rsid w:val="004E24E7"/>
    <w:rsid w:val="004E2A9D"/>
    <w:rsid w:val="004E312B"/>
    <w:rsid w:val="004E3BBB"/>
    <w:rsid w:val="004E429A"/>
    <w:rsid w:val="004E4F86"/>
    <w:rsid w:val="004E5100"/>
    <w:rsid w:val="004E5245"/>
    <w:rsid w:val="004E5D0C"/>
    <w:rsid w:val="004F080B"/>
    <w:rsid w:val="004F0E92"/>
    <w:rsid w:val="004F1168"/>
    <w:rsid w:val="004F2A6B"/>
    <w:rsid w:val="004F5ABC"/>
    <w:rsid w:val="004F6547"/>
    <w:rsid w:val="004F716E"/>
    <w:rsid w:val="00500135"/>
    <w:rsid w:val="005005EF"/>
    <w:rsid w:val="0050072E"/>
    <w:rsid w:val="005015E5"/>
    <w:rsid w:val="00502851"/>
    <w:rsid w:val="00502F3F"/>
    <w:rsid w:val="00503460"/>
    <w:rsid w:val="00503A2F"/>
    <w:rsid w:val="005047C0"/>
    <w:rsid w:val="00504CDD"/>
    <w:rsid w:val="005058D2"/>
    <w:rsid w:val="005060AB"/>
    <w:rsid w:val="00506C29"/>
    <w:rsid w:val="0050754F"/>
    <w:rsid w:val="00507F44"/>
    <w:rsid w:val="00511CDF"/>
    <w:rsid w:val="00514AE0"/>
    <w:rsid w:val="00514EF9"/>
    <w:rsid w:val="00515CAA"/>
    <w:rsid w:val="00516AC2"/>
    <w:rsid w:val="0051703D"/>
    <w:rsid w:val="00520C6A"/>
    <w:rsid w:val="00521F4E"/>
    <w:rsid w:val="0052248D"/>
    <w:rsid w:val="0052399A"/>
    <w:rsid w:val="005245AB"/>
    <w:rsid w:val="00524613"/>
    <w:rsid w:val="0052486A"/>
    <w:rsid w:val="00525100"/>
    <w:rsid w:val="00526601"/>
    <w:rsid w:val="005278F4"/>
    <w:rsid w:val="00527C16"/>
    <w:rsid w:val="0053065D"/>
    <w:rsid w:val="00530C93"/>
    <w:rsid w:val="00530FCE"/>
    <w:rsid w:val="00535855"/>
    <w:rsid w:val="00536406"/>
    <w:rsid w:val="00537CD1"/>
    <w:rsid w:val="005408E3"/>
    <w:rsid w:val="00542AAE"/>
    <w:rsid w:val="0054461F"/>
    <w:rsid w:val="005458A0"/>
    <w:rsid w:val="00546293"/>
    <w:rsid w:val="00552178"/>
    <w:rsid w:val="00553AC1"/>
    <w:rsid w:val="005545AD"/>
    <w:rsid w:val="00554A8F"/>
    <w:rsid w:val="00554B92"/>
    <w:rsid w:val="00554D65"/>
    <w:rsid w:val="00555A3E"/>
    <w:rsid w:val="00557EF0"/>
    <w:rsid w:val="005600F4"/>
    <w:rsid w:val="00560331"/>
    <w:rsid w:val="00562484"/>
    <w:rsid w:val="00562C98"/>
    <w:rsid w:val="00562E3C"/>
    <w:rsid w:val="00562FB3"/>
    <w:rsid w:val="00563977"/>
    <w:rsid w:val="005639D7"/>
    <w:rsid w:val="00563F59"/>
    <w:rsid w:val="00564068"/>
    <w:rsid w:val="00564572"/>
    <w:rsid w:val="005648C1"/>
    <w:rsid w:val="00564E81"/>
    <w:rsid w:val="00565080"/>
    <w:rsid w:val="00565DC2"/>
    <w:rsid w:val="00566602"/>
    <w:rsid w:val="0056740C"/>
    <w:rsid w:val="00567964"/>
    <w:rsid w:val="00567AA7"/>
    <w:rsid w:val="00567AAE"/>
    <w:rsid w:val="00567C9F"/>
    <w:rsid w:val="00570DD2"/>
    <w:rsid w:val="005721B6"/>
    <w:rsid w:val="0057262B"/>
    <w:rsid w:val="005726E6"/>
    <w:rsid w:val="00573A70"/>
    <w:rsid w:val="005745C1"/>
    <w:rsid w:val="005745D6"/>
    <w:rsid w:val="005768B0"/>
    <w:rsid w:val="00576E14"/>
    <w:rsid w:val="00577CF0"/>
    <w:rsid w:val="00580C6A"/>
    <w:rsid w:val="0058108F"/>
    <w:rsid w:val="00582B4B"/>
    <w:rsid w:val="00584024"/>
    <w:rsid w:val="005840B9"/>
    <w:rsid w:val="00584D4B"/>
    <w:rsid w:val="00585068"/>
    <w:rsid w:val="00585A7A"/>
    <w:rsid w:val="00585B1B"/>
    <w:rsid w:val="00586A39"/>
    <w:rsid w:val="00587CE2"/>
    <w:rsid w:val="00590112"/>
    <w:rsid w:val="00591165"/>
    <w:rsid w:val="005912CD"/>
    <w:rsid w:val="005913A4"/>
    <w:rsid w:val="00592568"/>
    <w:rsid w:val="00592F78"/>
    <w:rsid w:val="00593EF8"/>
    <w:rsid w:val="00594273"/>
    <w:rsid w:val="00594866"/>
    <w:rsid w:val="00595D88"/>
    <w:rsid w:val="00596963"/>
    <w:rsid w:val="0059711E"/>
    <w:rsid w:val="005977E2"/>
    <w:rsid w:val="005A0A4B"/>
    <w:rsid w:val="005A0C40"/>
    <w:rsid w:val="005A13A8"/>
    <w:rsid w:val="005A3221"/>
    <w:rsid w:val="005A3693"/>
    <w:rsid w:val="005A3B6E"/>
    <w:rsid w:val="005A510A"/>
    <w:rsid w:val="005A65BF"/>
    <w:rsid w:val="005A68F4"/>
    <w:rsid w:val="005A6BD2"/>
    <w:rsid w:val="005A6C73"/>
    <w:rsid w:val="005A6E61"/>
    <w:rsid w:val="005A6FCD"/>
    <w:rsid w:val="005A7C48"/>
    <w:rsid w:val="005B0E7F"/>
    <w:rsid w:val="005B383F"/>
    <w:rsid w:val="005B3FB5"/>
    <w:rsid w:val="005B539B"/>
    <w:rsid w:val="005B56CE"/>
    <w:rsid w:val="005B5787"/>
    <w:rsid w:val="005B70B1"/>
    <w:rsid w:val="005C0E2E"/>
    <w:rsid w:val="005C10D5"/>
    <w:rsid w:val="005C1730"/>
    <w:rsid w:val="005C2FCB"/>
    <w:rsid w:val="005C30F6"/>
    <w:rsid w:val="005C3E0A"/>
    <w:rsid w:val="005C4202"/>
    <w:rsid w:val="005C4363"/>
    <w:rsid w:val="005C443B"/>
    <w:rsid w:val="005C6421"/>
    <w:rsid w:val="005C6A79"/>
    <w:rsid w:val="005C6EF1"/>
    <w:rsid w:val="005C73CE"/>
    <w:rsid w:val="005C7D72"/>
    <w:rsid w:val="005C7F27"/>
    <w:rsid w:val="005D199B"/>
    <w:rsid w:val="005D1CC7"/>
    <w:rsid w:val="005D46D7"/>
    <w:rsid w:val="005D67C0"/>
    <w:rsid w:val="005D6DC0"/>
    <w:rsid w:val="005D79AC"/>
    <w:rsid w:val="005E0893"/>
    <w:rsid w:val="005E0BB1"/>
    <w:rsid w:val="005E0BBF"/>
    <w:rsid w:val="005E1801"/>
    <w:rsid w:val="005E237A"/>
    <w:rsid w:val="005E2D54"/>
    <w:rsid w:val="005E2EC6"/>
    <w:rsid w:val="005E2FB5"/>
    <w:rsid w:val="005E2FF9"/>
    <w:rsid w:val="005E428A"/>
    <w:rsid w:val="005E4B6F"/>
    <w:rsid w:val="005E5A9A"/>
    <w:rsid w:val="005E5FE7"/>
    <w:rsid w:val="005E6004"/>
    <w:rsid w:val="005E6AD6"/>
    <w:rsid w:val="005E7990"/>
    <w:rsid w:val="005F0E61"/>
    <w:rsid w:val="005F1875"/>
    <w:rsid w:val="005F2B42"/>
    <w:rsid w:val="005F4803"/>
    <w:rsid w:val="005F4A78"/>
    <w:rsid w:val="005F5933"/>
    <w:rsid w:val="005F5948"/>
    <w:rsid w:val="005F66CE"/>
    <w:rsid w:val="005F66D9"/>
    <w:rsid w:val="005F7B3C"/>
    <w:rsid w:val="00600917"/>
    <w:rsid w:val="0060188C"/>
    <w:rsid w:val="00601A44"/>
    <w:rsid w:val="006028C6"/>
    <w:rsid w:val="00604990"/>
    <w:rsid w:val="00604AED"/>
    <w:rsid w:val="00604CEA"/>
    <w:rsid w:val="00605E82"/>
    <w:rsid w:val="00606FED"/>
    <w:rsid w:val="0060700F"/>
    <w:rsid w:val="0060761A"/>
    <w:rsid w:val="0061109F"/>
    <w:rsid w:val="006110D1"/>
    <w:rsid w:val="006119F6"/>
    <w:rsid w:val="00614592"/>
    <w:rsid w:val="00614E8A"/>
    <w:rsid w:val="006153F0"/>
    <w:rsid w:val="0061695D"/>
    <w:rsid w:val="00620105"/>
    <w:rsid w:val="006219EA"/>
    <w:rsid w:val="00621A8A"/>
    <w:rsid w:val="006223C8"/>
    <w:rsid w:val="00622AB9"/>
    <w:rsid w:val="00622CB5"/>
    <w:rsid w:val="00622D02"/>
    <w:rsid w:val="006261C5"/>
    <w:rsid w:val="00631283"/>
    <w:rsid w:val="00631628"/>
    <w:rsid w:val="00632057"/>
    <w:rsid w:val="00634167"/>
    <w:rsid w:val="006350ED"/>
    <w:rsid w:val="00635D68"/>
    <w:rsid w:val="00635DDD"/>
    <w:rsid w:val="006370F2"/>
    <w:rsid w:val="00637299"/>
    <w:rsid w:val="006372E3"/>
    <w:rsid w:val="0063733A"/>
    <w:rsid w:val="00640580"/>
    <w:rsid w:val="00641FBE"/>
    <w:rsid w:val="006424E4"/>
    <w:rsid w:val="006427FA"/>
    <w:rsid w:val="00643385"/>
    <w:rsid w:val="006435B8"/>
    <w:rsid w:val="00643E51"/>
    <w:rsid w:val="00645575"/>
    <w:rsid w:val="0064663B"/>
    <w:rsid w:val="0064687A"/>
    <w:rsid w:val="00646EC2"/>
    <w:rsid w:val="006470DC"/>
    <w:rsid w:val="00647169"/>
    <w:rsid w:val="006471F5"/>
    <w:rsid w:val="00647379"/>
    <w:rsid w:val="0064786D"/>
    <w:rsid w:val="00650795"/>
    <w:rsid w:val="00650C2B"/>
    <w:rsid w:val="00650C64"/>
    <w:rsid w:val="00651C82"/>
    <w:rsid w:val="006521D8"/>
    <w:rsid w:val="00652865"/>
    <w:rsid w:val="00652B6D"/>
    <w:rsid w:val="00654964"/>
    <w:rsid w:val="00655F2A"/>
    <w:rsid w:val="006561F0"/>
    <w:rsid w:val="006568D9"/>
    <w:rsid w:val="00656E8C"/>
    <w:rsid w:val="00656FD8"/>
    <w:rsid w:val="0066025A"/>
    <w:rsid w:val="00661EC3"/>
    <w:rsid w:val="0066368F"/>
    <w:rsid w:val="0066395C"/>
    <w:rsid w:val="0066457D"/>
    <w:rsid w:val="0066469B"/>
    <w:rsid w:val="00665FBB"/>
    <w:rsid w:val="0066636B"/>
    <w:rsid w:val="00667B8F"/>
    <w:rsid w:val="00667D50"/>
    <w:rsid w:val="0067009C"/>
    <w:rsid w:val="006701EF"/>
    <w:rsid w:val="006707E3"/>
    <w:rsid w:val="0067190E"/>
    <w:rsid w:val="00671A43"/>
    <w:rsid w:val="00671F09"/>
    <w:rsid w:val="00672980"/>
    <w:rsid w:val="00673C3F"/>
    <w:rsid w:val="00674933"/>
    <w:rsid w:val="00676F6D"/>
    <w:rsid w:val="0067708B"/>
    <w:rsid w:val="00677730"/>
    <w:rsid w:val="00677B0D"/>
    <w:rsid w:val="00677C76"/>
    <w:rsid w:val="0068325F"/>
    <w:rsid w:val="00684650"/>
    <w:rsid w:val="00684FD4"/>
    <w:rsid w:val="00685A11"/>
    <w:rsid w:val="006860B8"/>
    <w:rsid w:val="006869FD"/>
    <w:rsid w:val="00687C1F"/>
    <w:rsid w:val="00692378"/>
    <w:rsid w:val="006926A3"/>
    <w:rsid w:val="00692EF0"/>
    <w:rsid w:val="00694E1A"/>
    <w:rsid w:val="0069528F"/>
    <w:rsid w:val="006955B6"/>
    <w:rsid w:val="00696A06"/>
    <w:rsid w:val="00697D92"/>
    <w:rsid w:val="006A0416"/>
    <w:rsid w:val="006A1774"/>
    <w:rsid w:val="006A17D1"/>
    <w:rsid w:val="006A1AF4"/>
    <w:rsid w:val="006A1E09"/>
    <w:rsid w:val="006A2092"/>
    <w:rsid w:val="006A38A0"/>
    <w:rsid w:val="006A7A29"/>
    <w:rsid w:val="006B09A1"/>
    <w:rsid w:val="006B1539"/>
    <w:rsid w:val="006B4AC8"/>
    <w:rsid w:val="006B4C55"/>
    <w:rsid w:val="006B53EE"/>
    <w:rsid w:val="006B6314"/>
    <w:rsid w:val="006B638B"/>
    <w:rsid w:val="006B6933"/>
    <w:rsid w:val="006B6DA0"/>
    <w:rsid w:val="006C082A"/>
    <w:rsid w:val="006C16C9"/>
    <w:rsid w:val="006C18F2"/>
    <w:rsid w:val="006C20B7"/>
    <w:rsid w:val="006C21CA"/>
    <w:rsid w:val="006C302F"/>
    <w:rsid w:val="006C3174"/>
    <w:rsid w:val="006C3BDA"/>
    <w:rsid w:val="006C41CE"/>
    <w:rsid w:val="006C4250"/>
    <w:rsid w:val="006C5A39"/>
    <w:rsid w:val="006C7249"/>
    <w:rsid w:val="006C7945"/>
    <w:rsid w:val="006D1B58"/>
    <w:rsid w:val="006D1CB9"/>
    <w:rsid w:val="006D26DA"/>
    <w:rsid w:val="006D3DF0"/>
    <w:rsid w:val="006D488F"/>
    <w:rsid w:val="006D4ACC"/>
    <w:rsid w:val="006D5C69"/>
    <w:rsid w:val="006D5F45"/>
    <w:rsid w:val="006D6464"/>
    <w:rsid w:val="006D66AF"/>
    <w:rsid w:val="006D6B05"/>
    <w:rsid w:val="006E1E00"/>
    <w:rsid w:val="006E494B"/>
    <w:rsid w:val="006E6A83"/>
    <w:rsid w:val="006E6AA6"/>
    <w:rsid w:val="006E6BE0"/>
    <w:rsid w:val="006E7084"/>
    <w:rsid w:val="006E7AAE"/>
    <w:rsid w:val="006F0577"/>
    <w:rsid w:val="006F064A"/>
    <w:rsid w:val="006F2021"/>
    <w:rsid w:val="006F20A2"/>
    <w:rsid w:val="006F2418"/>
    <w:rsid w:val="006F34AB"/>
    <w:rsid w:val="006F3BB1"/>
    <w:rsid w:val="006F3DC7"/>
    <w:rsid w:val="006F4335"/>
    <w:rsid w:val="006F53DB"/>
    <w:rsid w:val="006F5B1C"/>
    <w:rsid w:val="006F5DC2"/>
    <w:rsid w:val="006F61BF"/>
    <w:rsid w:val="006F64B9"/>
    <w:rsid w:val="00700B06"/>
    <w:rsid w:val="00700BB4"/>
    <w:rsid w:val="0070403C"/>
    <w:rsid w:val="00705174"/>
    <w:rsid w:val="00705BB0"/>
    <w:rsid w:val="00705D89"/>
    <w:rsid w:val="00705F88"/>
    <w:rsid w:val="00706247"/>
    <w:rsid w:val="007069CD"/>
    <w:rsid w:val="00707403"/>
    <w:rsid w:val="00707495"/>
    <w:rsid w:val="007107AC"/>
    <w:rsid w:val="0071286F"/>
    <w:rsid w:val="007128EC"/>
    <w:rsid w:val="00713359"/>
    <w:rsid w:val="00714734"/>
    <w:rsid w:val="00714840"/>
    <w:rsid w:val="007157DF"/>
    <w:rsid w:val="00717A66"/>
    <w:rsid w:val="00720560"/>
    <w:rsid w:val="00721192"/>
    <w:rsid w:val="00721386"/>
    <w:rsid w:val="007228C1"/>
    <w:rsid w:val="007232DB"/>
    <w:rsid w:val="00723E71"/>
    <w:rsid w:val="007250AB"/>
    <w:rsid w:val="00725291"/>
    <w:rsid w:val="007252D7"/>
    <w:rsid w:val="0072634B"/>
    <w:rsid w:val="007269D8"/>
    <w:rsid w:val="0072752C"/>
    <w:rsid w:val="00727A28"/>
    <w:rsid w:val="00732AD8"/>
    <w:rsid w:val="00732EFE"/>
    <w:rsid w:val="00733DC7"/>
    <w:rsid w:val="00734ACC"/>
    <w:rsid w:val="00734EAA"/>
    <w:rsid w:val="00735670"/>
    <w:rsid w:val="00737BE0"/>
    <w:rsid w:val="00737DA5"/>
    <w:rsid w:val="007418BD"/>
    <w:rsid w:val="00741A2D"/>
    <w:rsid w:val="00741DDD"/>
    <w:rsid w:val="007421FE"/>
    <w:rsid w:val="0074319A"/>
    <w:rsid w:val="00743351"/>
    <w:rsid w:val="007440BF"/>
    <w:rsid w:val="00745124"/>
    <w:rsid w:val="00745614"/>
    <w:rsid w:val="00746199"/>
    <w:rsid w:val="007466D7"/>
    <w:rsid w:val="00746EB9"/>
    <w:rsid w:val="00747621"/>
    <w:rsid w:val="00747EBB"/>
    <w:rsid w:val="00750474"/>
    <w:rsid w:val="007506EF"/>
    <w:rsid w:val="0075083E"/>
    <w:rsid w:val="00752EFE"/>
    <w:rsid w:val="0075306C"/>
    <w:rsid w:val="00753298"/>
    <w:rsid w:val="00754715"/>
    <w:rsid w:val="00757F65"/>
    <w:rsid w:val="007616DB"/>
    <w:rsid w:val="00761C43"/>
    <w:rsid w:val="00761E48"/>
    <w:rsid w:val="00762F20"/>
    <w:rsid w:val="007644A6"/>
    <w:rsid w:val="00764FC8"/>
    <w:rsid w:val="00765258"/>
    <w:rsid w:val="00766302"/>
    <w:rsid w:val="00766778"/>
    <w:rsid w:val="00766B98"/>
    <w:rsid w:val="00767AE8"/>
    <w:rsid w:val="007705B8"/>
    <w:rsid w:val="007709DC"/>
    <w:rsid w:val="00770BB1"/>
    <w:rsid w:val="00770F1E"/>
    <w:rsid w:val="0077100B"/>
    <w:rsid w:val="00771445"/>
    <w:rsid w:val="00772BFA"/>
    <w:rsid w:val="00773E21"/>
    <w:rsid w:val="0077465A"/>
    <w:rsid w:val="00775322"/>
    <w:rsid w:val="007762E9"/>
    <w:rsid w:val="007765F4"/>
    <w:rsid w:val="00776FC3"/>
    <w:rsid w:val="00781D2F"/>
    <w:rsid w:val="00782A14"/>
    <w:rsid w:val="00783B3A"/>
    <w:rsid w:val="00784F91"/>
    <w:rsid w:val="00786079"/>
    <w:rsid w:val="00786649"/>
    <w:rsid w:val="00786C2A"/>
    <w:rsid w:val="007873E8"/>
    <w:rsid w:val="00787B12"/>
    <w:rsid w:val="00787D44"/>
    <w:rsid w:val="00791158"/>
    <w:rsid w:val="00791CCF"/>
    <w:rsid w:val="00792101"/>
    <w:rsid w:val="007922D7"/>
    <w:rsid w:val="00792527"/>
    <w:rsid w:val="00793235"/>
    <w:rsid w:val="007938FD"/>
    <w:rsid w:val="00794164"/>
    <w:rsid w:val="00794C5B"/>
    <w:rsid w:val="00794C73"/>
    <w:rsid w:val="00795FE6"/>
    <w:rsid w:val="00796302"/>
    <w:rsid w:val="00796A71"/>
    <w:rsid w:val="00797885"/>
    <w:rsid w:val="00797AF7"/>
    <w:rsid w:val="00797D91"/>
    <w:rsid w:val="007A095F"/>
    <w:rsid w:val="007A20D4"/>
    <w:rsid w:val="007A3233"/>
    <w:rsid w:val="007A5728"/>
    <w:rsid w:val="007A5A6C"/>
    <w:rsid w:val="007A6488"/>
    <w:rsid w:val="007A6819"/>
    <w:rsid w:val="007A757E"/>
    <w:rsid w:val="007A763E"/>
    <w:rsid w:val="007A7F2C"/>
    <w:rsid w:val="007B003E"/>
    <w:rsid w:val="007B04D6"/>
    <w:rsid w:val="007B1AD5"/>
    <w:rsid w:val="007B20E2"/>
    <w:rsid w:val="007B419B"/>
    <w:rsid w:val="007B48AD"/>
    <w:rsid w:val="007B50B4"/>
    <w:rsid w:val="007B5F76"/>
    <w:rsid w:val="007B7E00"/>
    <w:rsid w:val="007C073A"/>
    <w:rsid w:val="007C0E85"/>
    <w:rsid w:val="007C189A"/>
    <w:rsid w:val="007C31EB"/>
    <w:rsid w:val="007C3DDE"/>
    <w:rsid w:val="007C64CB"/>
    <w:rsid w:val="007C6BC4"/>
    <w:rsid w:val="007C7691"/>
    <w:rsid w:val="007C7FE5"/>
    <w:rsid w:val="007D0B1D"/>
    <w:rsid w:val="007D274E"/>
    <w:rsid w:val="007D2AEC"/>
    <w:rsid w:val="007D37D0"/>
    <w:rsid w:val="007D64BF"/>
    <w:rsid w:val="007D6F3A"/>
    <w:rsid w:val="007D7274"/>
    <w:rsid w:val="007D744B"/>
    <w:rsid w:val="007D7663"/>
    <w:rsid w:val="007E0990"/>
    <w:rsid w:val="007E0E44"/>
    <w:rsid w:val="007E0F02"/>
    <w:rsid w:val="007E2160"/>
    <w:rsid w:val="007E3B4C"/>
    <w:rsid w:val="007E3D08"/>
    <w:rsid w:val="007E5603"/>
    <w:rsid w:val="007E6E8C"/>
    <w:rsid w:val="007F0522"/>
    <w:rsid w:val="007F144C"/>
    <w:rsid w:val="007F255B"/>
    <w:rsid w:val="007F25F0"/>
    <w:rsid w:val="007F43A5"/>
    <w:rsid w:val="007F4434"/>
    <w:rsid w:val="007F6D63"/>
    <w:rsid w:val="008015BB"/>
    <w:rsid w:val="00802423"/>
    <w:rsid w:val="00802844"/>
    <w:rsid w:val="008039ED"/>
    <w:rsid w:val="0080597C"/>
    <w:rsid w:val="00807019"/>
    <w:rsid w:val="00810597"/>
    <w:rsid w:val="0081059C"/>
    <w:rsid w:val="00810710"/>
    <w:rsid w:val="00810C04"/>
    <w:rsid w:val="00813BA3"/>
    <w:rsid w:val="00813D33"/>
    <w:rsid w:val="00814736"/>
    <w:rsid w:val="008147C7"/>
    <w:rsid w:val="00815277"/>
    <w:rsid w:val="008157F0"/>
    <w:rsid w:val="0081659D"/>
    <w:rsid w:val="008168C0"/>
    <w:rsid w:val="008169BE"/>
    <w:rsid w:val="00816C72"/>
    <w:rsid w:val="0081703B"/>
    <w:rsid w:val="00817060"/>
    <w:rsid w:val="0081711D"/>
    <w:rsid w:val="00817370"/>
    <w:rsid w:val="008177F5"/>
    <w:rsid w:val="00817BFC"/>
    <w:rsid w:val="0082006B"/>
    <w:rsid w:val="00820807"/>
    <w:rsid w:val="00820A48"/>
    <w:rsid w:val="00821F50"/>
    <w:rsid w:val="008222BD"/>
    <w:rsid w:val="0082247F"/>
    <w:rsid w:val="00822677"/>
    <w:rsid w:val="00822F6D"/>
    <w:rsid w:val="008240E6"/>
    <w:rsid w:val="008248F5"/>
    <w:rsid w:val="00824F6A"/>
    <w:rsid w:val="0082504B"/>
    <w:rsid w:val="00825AB0"/>
    <w:rsid w:val="00825C04"/>
    <w:rsid w:val="00825C09"/>
    <w:rsid w:val="00826527"/>
    <w:rsid w:val="00826FDE"/>
    <w:rsid w:val="00827255"/>
    <w:rsid w:val="00827D04"/>
    <w:rsid w:val="00827F34"/>
    <w:rsid w:val="0083232A"/>
    <w:rsid w:val="0083310F"/>
    <w:rsid w:val="00834250"/>
    <w:rsid w:val="00836996"/>
    <w:rsid w:val="008370B0"/>
    <w:rsid w:val="008371B7"/>
    <w:rsid w:val="0083725A"/>
    <w:rsid w:val="00840A4A"/>
    <w:rsid w:val="008413D6"/>
    <w:rsid w:val="0084213A"/>
    <w:rsid w:val="00846388"/>
    <w:rsid w:val="008527CC"/>
    <w:rsid w:val="00852A82"/>
    <w:rsid w:val="00852BDA"/>
    <w:rsid w:val="00852C69"/>
    <w:rsid w:val="00853758"/>
    <w:rsid w:val="00854D4D"/>
    <w:rsid w:val="0086018D"/>
    <w:rsid w:val="008624AD"/>
    <w:rsid w:val="008626B2"/>
    <w:rsid w:val="008631D7"/>
    <w:rsid w:val="0086451C"/>
    <w:rsid w:val="008649A2"/>
    <w:rsid w:val="00864A02"/>
    <w:rsid w:val="00865032"/>
    <w:rsid w:val="00865102"/>
    <w:rsid w:val="00865B3A"/>
    <w:rsid w:val="00866653"/>
    <w:rsid w:val="00867C33"/>
    <w:rsid w:val="00870A92"/>
    <w:rsid w:val="00874939"/>
    <w:rsid w:val="008758DC"/>
    <w:rsid w:val="00877898"/>
    <w:rsid w:val="00877D01"/>
    <w:rsid w:val="00877DAC"/>
    <w:rsid w:val="00880DA3"/>
    <w:rsid w:val="00880DAA"/>
    <w:rsid w:val="00880E65"/>
    <w:rsid w:val="008820D8"/>
    <w:rsid w:val="00882DE1"/>
    <w:rsid w:val="00883019"/>
    <w:rsid w:val="00884412"/>
    <w:rsid w:val="008845E7"/>
    <w:rsid w:val="0088525A"/>
    <w:rsid w:val="00885794"/>
    <w:rsid w:val="00885DB3"/>
    <w:rsid w:val="00885E59"/>
    <w:rsid w:val="00886ACA"/>
    <w:rsid w:val="00887400"/>
    <w:rsid w:val="00887626"/>
    <w:rsid w:val="008923D3"/>
    <w:rsid w:val="008940E5"/>
    <w:rsid w:val="00894CD6"/>
    <w:rsid w:val="00894E1A"/>
    <w:rsid w:val="0089508F"/>
    <w:rsid w:val="00895C9C"/>
    <w:rsid w:val="00896224"/>
    <w:rsid w:val="00897780"/>
    <w:rsid w:val="008A1A65"/>
    <w:rsid w:val="008A2B6D"/>
    <w:rsid w:val="008A2EEC"/>
    <w:rsid w:val="008A49BA"/>
    <w:rsid w:val="008A4E93"/>
    <w:rsid w:val="008A5349"/>
    <w:rsid w:val="008A6B53"/>
    <w:rsid w:val="008A6E83"/>
    <w:rsid w:val="008A7735"/>
    <w:rsid w:val="008A7EFD"/>
    <w:rsid w:val="008A7F73"/>
    <w:rsid w:val="008B003F"/>
    <w:rsid w:val="008B0096"/>
    <w:rsid w:val="008B0C58"/>
    <w:rsid w:val="008B0E41"/>
    <w:rsid w:val="008B1A59"/>
    <w:rsid w:val="008B1B88"/>
    <w:rsid w:val="008B2229"/>
    <w:rsid w:val="008B29FC"/>
    <w:rsid w:val="008B31FC"/>
    <w:rsid w:val="008B38C6"/>
    <w:rsid w:val="008B3CEB"/>
    <w:rsid w:val="008B4536"/>
    <w:rsid w:val="008B4D5B"/>
    <w:rsid w:val="008B590D"/>
    <w:rsid w:val="008B59BB"/>
    <w:rsid w:val="008B6408"/>
    <w:rsid w:val="008B68F3"/>
    <w:rsid w:val="008B7B32"/>
    <w:rsid w:val="008B7C6D"/>
    <w:rsid w:val="008C0669"/>
    <w:rsid w:val="008C1823"/>
    <w:rsid w:val="008C2926"/>
    <w:rsid w:val="008C3776"/>
    <w:rsid w:val="008C4486"/>
    <w:rsid w:val="008C4B19"/>
    <w:rsid w:val="008C4E64"/>
    <w:rsid w:val="008C502D"/>
    <w:rsid w:val="008C5414"/>
    <w:rsid w:val="008C605E"/>
    <w:rsid w:val="008C7101"/>
    <w:rsid w:val="008D018F"/>
    <w:rsid w:val="008D01A7"/>
    <w:rsid w:val="008D1430"/>
    <w:rsid w:val="008D1A35"/>
    <w:rsid w:val="008D2643"/>
    <w:rsid w:val="008D3D93"/>
    <w:rsid w:val="008D5B89"/>
    <w:rsid w:val="008D65AA"/>
    <w:rsid w:val="008D7F3B"/>
    <w:rsid w:val="008E11C4"/>
    <w:rsid w:val="008E1753"/>
    <w:rsid w:val="008E231E"/>
    <w:rsid w:val="008E279E"/>
    <w:rsid w:val="008E39FD"/>
    <w:rsid w:val="008E4533"/>
    <w:rsid w:val="008E5CA8"/>
    <w:rsid w:val="008E663F"/>
    <w:rsid w:val="008E6F1B"/>
    <w:rsid w:val="008E7280"/>
    <w:rsid w:val="008E74DE"/>
    <w:rsid w:val="008F222F"/>
    <w:rsid w:val="008F22E9"/>
    <w:rsid w:val="008F38C0"/>
    <w:rsid w:val="00901A22"/>
    <w:rsid w:val="00902C5B"/>
    <w:rsid w:val="009044B5"/>
    <w:rsid w:val="00904C17"/>
    <w:rsid w:val="0090681B"/>
    <w:rsid w:val="00906A83"/>
    <w:rsid w:val="00906DD6"/>
    <w:rsid w:val="009072D7"/>
    <w:rsid w:val="00907C01"/>
    <w:rsid w:val="00910514"/>
    <w:rsid w:val="00912CCA"/>
    <w:rsid w:val="00913383"/>
    <w:rsid w:val="00914FB0"/>
    <w:rsid w:val="00916514"/>
    <w:rsid w:val="009166C1"/>
    <w:rsid w:val="00916DF1"/>
    <w:rsid w:val="009179F3"/>
    <w:rsid w:val="00917AB5"/>
    <w:rsid w:val="00920970"/>
    <w:rsid w:val="009216D7"/>
    <w:rsid w:val="00921855"/>
    <w:rsid w:val="00922048"/>
    <w:rsid w:val="0092268F"/>
    <w:rsid w:val="00922ADB"/>
    <w:rsid w:val="009241A4"/>
    <w:rsid w:val="0092518C"/>
    <w:rsid w:val="009254D4"/>
    <w:rsid w:val="009255B5"/>
    <w:rsid w:val="009300B1"/>
    <w:rsid w:val="009306B7"/>
    <w:rsid w:val="00930FD1"/>
    <w:rsid w:val="009320E4"/>
    <w:rsid w:val="00932640"/>
    <w:rsid w:val="00933056"/>
    <w:rsid w:val="00933298"/>
    <w:rsid w:val="00933858"/>
    <w:rsid w:val="00934DCA"/>
    <w:rsid w:val="0094001A"/>
    <w:rsid w:val="009401D9"/>
    <w:rsid w:val="00941708"/>
    <w:rsid w:val="009427C3"/>
    <w:rsid w:val="00942EF4"/>
    <w:rsid w:val="0094373D"/>
    <w:rsid w:val="00944A46"/>
    <w:rsid w:val="0094519D"/>
    <w:rsid w:val="009454D2"/>
    <w:rsid w:val="00945A3C"/>
    <w:rsid w:val="00945F07"/>
    <w:rsid w:val="00947200"/>
    <w:rsid w:val="00947395"/>
    <w:rsid w:val="009504C7"/>
    <w:rsid w:val="00950D31"/>
    <w:rsid w:val="0095100F"/>
    <w:rsid w:val="0095166D"/>
    <w:rsid w:val="0095273C"/>
    <w:rsid w:val="00953F57"/>
    <w:rsid w:val="009540D3"/>
    <w:rsid w:val="00954883"/>
    <w:rsid w:val="00957B1C"/>
    <w:rsid w:val="00961946"/>
    <w:rsid w:val="0096248A"/>
    <w:rsid w:val="00962633"/>
    <w:rsid w:val="00962BBF"/>
    <w:rsid w:val="00963484"/>
    <w:rsid w:val="00963DF1"/>
    <w:rsid w:val="00963FF3"/>
    <w:rsid w:val="00963FF5"/>
    <w:rsid w:val="009653FC"/>
    <w:rsid w:val="00965555"/>
    <w:rsid w:val="00965BAE"/>
    <w:rsid w:val="00965DB8"/>
    <w:rsid w:val="00966AF9"/>
    <w:rsid w:val="00967058"/>
    <w:rsid w:val="009710CA"/>
    <w:rsid w:val="00971590"/>
    <w:rsid w:val="009726A0"/>
    <w:rsid w:val="009726D2"/>
    <w:rsid w:val="009729AD"/>
    <w:rsid w:val="00972AB9"/>
    <w:rsid w:val="00972CC9"/>
    <w:rsid w:val="00973335"/>
    <w:rsid w:val="00973989"/>
    <w:rsid w:val="00973AAB"/>
    <w:rsid w:val="00974B53"/>
    <w:rsid w:val="00976A89"/>
    <w:rsid w:val="009770A1"/>
    <w:rsid w:val="00977903"/>
    <w:rsid w:val="00977ACD"/>
    <w:rsid w:val="00980346"/>
    <w:rsid w:val="009806CF"/>
    <w:rsid w:val="00980D80"/>
    <w:rsid w:val="009814AB"/>
    <w:rsid w:val="00981E42"/>
    <w:rsid w:val="0098207E"/>
    <w:rsid w:val="00982118"/>
    <w:rsid w:val="00982910"/>
    <w:rsid w:val="0098309D"/>
    <w:rsid w:val="00984D50"/>
    <w:rsid w:val="00984DC1"/>
    <w:rsid w:val="00986E57"/>
    <w:rsid w:val="00987935"/>
    <w:rsid w:val="009904E9"/>
    <w:rsid w:val="00991C5B"/>
    <w:rsid w:val="00992366"/>
    <w:rsid w:val="00992596"/>
    <w:rsid w:val="00992CE1"/>
    <w:rsid w:val="00993607"/>
    <w:rsid w:val="00993869"/>
    <w:rsid w:val="0099567D"/>
    <w:rsid w:val="00995C74"/>
    <w:rsid w:val="00996642"/>
    <w:rsid w:val="009967DE"/>
    <w:rsid w:val="0099688C"/>
    <w:rsid w:val="00996B06"/>
    <w:rsid w:val="00996FC7"/>
    <w:rsid w:val="009A07D2"/>
    <w:rsid w:val="009A159C"/>
    <w:rsid w:val="009A20A8"/>
    <w:rsid w:val="009A2137"/>
    <w:rsid w:val="009A2734"/>
    <w:rsid w:val="009A35FF"/>
    <w:rsid w:val="009A4856"/>
    <w:rsid w:val="009A4A4F"/>
    <w:rsid w:val="009A4FA2"/>
    <w:rsid w:val="009A57D7"/>
    <w:rsid w:val="009A6AC1"/>
    <w:rsid w:val="009A7357"/>
    <w:rsid w:val="009A78AD"/>
    <w:rsid w:val="009B08D7"/>
    <w:rsid w:val="009B137A"/>
    <w:rsid w:val="009B17AB"/>
    <w:rsid w:val="009B1C74"/>
    <w:rsid w:val="009B24A2"/>
    <w:rsid w:val="009B319C"/>
    <w:rsid w:val="009B3D6E"/>
    <w:rsid w:val="009B4B63"/>
    <w:rsid w:val="009B4DB1"/>
    <w:rsid w:val="009B5BEB"/>
    <w:rsid w:val="009B65CC"/>
    <w:rsid w:val="009B670A"/>
    <w:rsid w:val="009B69E7"/>
    <w:rsid w:val="009B7A23"/>
    <w:rsid w:val="009C0740"/>
    <w:rsid w:val="009C0BF8"/>
    <w:rsid w:val="009C0BFD"/>
    <w:rsid w:val="009C0CB0"/>
    <w:rsid w:val="009C0CCF"/>
    <w:rsid w:val="009C1526"/>
    <w:rsid w:val="009C18BB"/>
    <w:rsid w:val="009C315A"/>
    <w:rsid w:val="009C4346"/>
    <w:rsid w:val="009C4428"/>
    <w:rsid w:val="009C485D"/>
    <w:rsid w:val="009C5201"/>
    <w:rsid w:val="009C55CA"/>
    <w:rsid w:val="009C687D"/>
    <w:rsid w:val="009C6EAC"/>
    <w:rsid w:val="009D0CC3"/>
    <w:rsid w:val="009D1566"/>
    <w:rsid w:val="009D17F8"/>
    <w:rsid w:val="009D2A7D"/>
    <w:rsid w:val="009D2D2E"/>
    <w:rsid w:val="009D3966"/>
    <w:rsid w:val="009D39AF"/>
    <w:rsid w:val="009D3D26"/>
    <w:rsid w:val="009D44A3"/>
    <w:rsid w:val="009D62AA"/>
    <w:rsid w:val="009D7A62"/>
    <w:rsid w:val="009E0AAC"/>
    <w:rsid w:val="009E151B"/>
    <w:rsid w:val="009E37BF"/>
    <w:rsid w:val="009E402E"/>
    <w:rsid w:val="009E4919"/>
    <w:rsid w:val="009E4C6B"/>
    <w:rsid w:val="009E510D"/>
    <w:rsid w:val="009E543C"/>
    <w:rsid w:val="009E6D57"/>
    <w:rsid w:val="009E78EC"/>
    <w:rsid w:val="009E7AFD"/>
    <w:rsid w:val="009F017B"/>
    <w:rsid w:val="009F0D0A"/>
    <w:rsid w:val="009F1BBA"/>
    <w:rsid w:val="009F212E"/>
    <w:rsid w:val="009F26F7"/>
    <w:rsid w:val="009F2813"/>
    <w:rsid w:val="009F2EE9"/>
    <w:rsid w:val="009F3CF0"/>
    <w:rsid w:val="009F4842"/>
    <w:rsid w:val="009F4D26"/>
    <w:rsid w:val="009F663C"/>
    <w:rsid w:val="009F6E55"/>
    <w:rsid w:val="009F73D4"/>
    <w:rsid w:val="009F7964"/>
    <w:rsid w:val="00A01C85"/>
    <w:rsid w:val="00A01F88"/>
    <w:rsid w:val="00A02D2B"/>
    <w:rsid w:val="00A034B1"/>
    <w:rsid w:val="00A03CE3"/>
    <w:rsid w:val="00A04191"/>
    <w:rsid w:val="00A04262"/>
    <w:rsid w:val="00A04946"/>
    <w:rsid w:val="00A04A60"/>
    <w:rsid w:val="00A05FB1"/>
    <w:rsid w:val="00A0668C"/>
    <w:rsid w:val="00A0702F"/>
    <w:rsid w:val="00A07564"/>
    <w:rsid w:val="00A07894"/>
    <w:rsid w:val="00A0794F"/>
    <w:rsid w:val="00A11329"/>
    <w:rsid w:val="00A11546"/>
    <w:rsid w:val="00A1199B"/>
    <w:rsid w:val="00A1288B"/>
    <w:rsid w:val="00A12928"/>
    <w:rsid w:val="00A129E6"/>
    <w:rsid w:val="00A12F95"/>
    <w:rsid w:val="00A13515"/>
    <w:rsid w:val="00A1465A"/>
    <w:rsid w:val="00A14F69"/>
    <w:rsid w:val="00A15A4A"/>
    <w:rsid w:val="00A17240"/>
    <w:rsid w:val="00A17401"/>
    <w:rsid w:val="00A175D5"/>
    <w:rsid w:val="00A17CCD"/>
    <w:rsid w:val="00A20555"/>
    <w:rsid w:val="00A20BE9"/>
    <w:rsid w:val="00A20C67"/>
    <w:rsid w:val="00A2115C"/>
    <w:rsid w:val="00A21188"/>
    <w:rsid w:val="00A23BF2"/>
    <w:rsid w:val="00A259E0"/>
    <w:rsid w:val="00A276CE"/>
    <w:rsid w:val="00A27ABE"/>
    <w:rsid w:val="00A3049B"/>
    <w:rsid w:val="00A30782"/>
    <w:rsid w:val="00A32AD6"/>
    <w:rsid w:val="00A32E64"/>
    <w:rsid w:val="00A33A52"/>
    <w:rsid w:val="00A348AF"/>
    <w:rsid w:val="00A3567B"/>
    <w:rsid w:val="00A35DB9"/>
    <w:rsid w:val="00A372AB"/>
    <w:rsid w:val="00A40DD6"/>
    <w:rsid w:val="00A41232"/>
    <w:rsid w:val="00A416AC"/>
    <w:rsid w:val="00A4186C"/>
    <w:rsid w:val="00A41907"/>
    <w:rsid w:val="00A42023"/>
    <w:rsid w:val="00A42AB0"/>
    <w:rsid w:val="00A42CB9"/>
    <w:rsid w:val="00A454A4"/>
    <w:rsid w:val="00A459A9"/>
    <w:rsid w:val="00A45AAE"/>
    <w:rsid w:val="00A4684D"/>
    <w:rsid w:val="00A469E4"/>
    <w:rsid w:val="00A47E02"/>
    <w:rsid w:val="00A508A6"/>
    <w:rsid w:val="00A515EC"/>
    <w:rsid w:val="00A525E2"/>
    <w:rsid w:val="00A530B8"/>
    <w:rsid w:val="00A539F7"/>
    <w:rsid w:val="00A5431D"/>
    <w:rsid w:val="00A54A3D"/>
    <w:rsid w:val="00A55868"/>
    <w:rsid w:val="00A57928"/>
    <w:rsid w:val="00A60FA3"/>
    <w:rsid w:val="00A627BD"/>
    <w:rsid w:val="00A62F48"/>
    <w:rsid w:val="00A63656"/>
    <w:rsid w:val="00A637F0"/>
    <w:rsid w:val="00A64157"/>
    <w:rsid w:val="00A6534C"/>
    <w:rsid w:val="00A66A85"/>
    <w:rsid w:val="00A66ED0"/>
    <w:rsid w:val="00A673D9"/>
    <w:rsid w:val="00A70976"/>
    <w:rsid w:val="00A72063"/>
    <w:rsid w:val="00A732A3"/>
    <w:rsid w:val="00A73E0E"/>
    <w:rsid w:val="00A74DD0"/>
    <w:rsid w:val="00A75BF5"/>
    <w:rsid w:val="00A766CB"/>
    <w:rsid w:val="00A76C06"/>
    <w:rsid w:val="00A777A0"/>
    <w:rsid w:val="00A80088"/>
    <w:rsid w:val="00A82E1A"/>
    <w:rsid w:val="00A84BE6"/>
    <w:rsid w:val="00A84D03"/>
    <w:rsid w:val="00A864CE"/>
    <w:rsid w:val="00A86874"/>
    <w:rsid w:val="00A86B42"/>
    <w:rsid w:val="00A86DE6"/>
    <w:rsid w:val="00A86FAF"/>
    <w:rsid w:val="00A87795"/>
    <w:rsid w:val="00A87D7D"/>
    <w:rsid w:val="00A87D9B"/>
    <w:rsid w:val="00A902A9"/>
    <w:rsid w:val="00A9081B"/>
    <w:rsid w:val="00A90889"/>
    <w:rsid w:val="00A90C8D"/>
    <w:rsid w:val="00A90CBD"/>
    <w:rsid w:val="00A90E52"/>
    <w:rsid w:val="00A9122F"/>
    <w:rsid w:val="00A9190E"/>
    <w:rsid w:val="00A91C6E"/>
    <w:rsid w:val="00A92B1A"/>
    <w:rsid w:val="00A92CE3"/>
    <w:rsid w:val="00A93779"/>
    <w:rsid w:val="00AA077A"/>
    <w:rsid w:val="00AA132C"/>
    <w:rsid w:val="00AA208B"/>
    <w:rsid w:val="00AA454C"/>
    <w:rsid w:val="00AA4F00"/>
    <w:rsid w:val="00AA6AD1"/>
    <w:rsid w:val="00AA705A"/>
    <w:rsid w:val="00AA7BC1"/>
    <w:rsid w:val="00AB0299"/>
    <w:rsid w:val="00AB07A3"/>
    <w:rsid w:val="00AB0837"/>
    <w:rsid w:val="00AB09AC"/>
    <w:rsid w:val="00AB1831"/>
    <w:rsid w:val="00AB2924"/>
    <w:rsid w:val="00AB2B98"/>
    <w:rsid w:val="00AB3090"/>
    <w:rsid w:val="00AB35CB"/>
    <w:rsid w:val="00AB4767"/>
    <w:rsid w:val="00AB4993"/>
    <w:rsid w:val="00AB4DB5"/>
    <w:rsid w:val="00AB6862"/>
    <w:rsid w:val="00AB69D1"/>
    <w:rsid w:val="00AC101E"/>
    <w:rsid w:val="00AC1293"/>
    <w:rsid w:val="00AC2004"/>
    <w:rsid w:val="00AC478E"/>
    <w:rsid w:val="00AC5C4F"/>
    <w:rsid w:val="00AC6244"/>
    <w:rsid w:val="00AC69F4"/>
    <w:rsid w:val="00AC737B"/>
    <w:rsid w:val="00AC75C5"/>
    <w:rsid w:val="00AC7AEE"/>
    <w:rsid w:val="00AD085F"/>
    <w:rsid w:val="00AD11A4"/>
    <w:rsid w:val="00AD1A9A"/>
    <w:rsid w:val="00AD21FA"/>
    <w:rsid w:val="00AD31C2"/>
    <w:rsid w:val="00AD425B"/>
    <w:rsid w:val="00AD656B"/>
    <w:rsid w:val="00AD6E63"/>
    <w:rsid w:val="00AD6E7D"/>
    <w:rsid w:val="00AD71BA"/>
    <w:rsid w:val="00AE07D1"/>
    <w:rsid w:val="00AE134F"/>
    <w:rsid w:val="00AE20CB"/>
    <w:rsid w:val="00AE2D08"/>
    <w:rsid w:val="00AE32BD"/>
    <w:rsid w:val="00AE3ABA"/>
    <w:rsid w:val="00AE3FA3"/>
    <w:rsid w:val="00AE478C"/>
    <w:rsid w:val="00AE6458"/>
    <w:rsid w:val="00AE75DF"/>
    <w:rsid w:val="00AE78DB"/>
    <w:rsid w:val="00AF084B"/>
    <w:rsid w:val="00AF10F2"/>
    <w:rsid w:val="00AF2AC0"/>
    <w:rsid w:val="00AF6117"/>
    <w:rsid w:val="00AF643A"/>
    <w:rsid w:val="00AF66AC"/>
    <w:rsid w:val="00B01EC6"/>
    <w:rsid w:val="00B0267E"/>
    <w:rsid w:val="00B02D59"/>
    <w:rsid w:val="00B03611"/>
    <w:rsid w:val="00B04287"/>
    <w:rsid w:val="00B04314"/>
    <w:rsid w:val="00B043AB"/>
    <w:rsid w:val="00B05195"/>
    <w:rsid w:val="00B05246"/>
    <w:rsid w:val="00B05926"/>
    <w:rsid w:val="00B05A3A"/>
    <w:rsid w:val="00B12252"/>
    <w:rsid w:val="00B122E2"/>
    <w:rsid w:val="00B13B63"/>
    <w:rsid w:val="00B14FE9"/>
    <w:rsid w:val="00B151FA"/>
    <w:rsid w:val="00B157E8"/>
    <w:rsid w:val="00B15D75"/>
    <w:rsid w:val="00B16FB2"/>
    <w:rsid w:val="00B17D97"/>
    <w:rsid w:val="00B20360"/>
    <w:rsid w:val="00B20A5F"/>
    <w:rsid w:val="00B22147"/>
    <w:rsid w:val="00B22CC9"/>
    <w:rsid w:val="00B22CD7"/>
    <w:rsid w:val="00B24102"/>
    <w:rsid w:val="00B24952"/>
    <w:rsid w:val="00B26C02"/>
    <w:rsid w:val="00B27801"/>
    <w:rsid w:val="00B30688"/>
    <w:rsid w:val="00B3086C"/>
    <w:rsid w:val="00B31CCC"/>
    <w:rsid w:val="00B31D06"/>
    <w:rsid w:val="00B32192"/>
    <w:rsid w:val="00B32571"/>
    <w:rsid w:val="00B336F0"/>
    <w:rsid w:val="00B33C41"/>
    <w:rsid w:val="00B33D58"/>
    <w:rsid w:val="00B33F24"/>
    <w:rsid w:val="00B35355"/>
    <w:rsid w:val="00B3659A"/>
    <w:rsid w:val="00B36AD4"/>
    <w:rsid w:val="00B427DE"/>
    <w:rsid w:val="00B45FC0"/>
    <w:rsid w:val="00B46C6E"/>
    <w:rsid w:val="00B51310"/>
    <w:rsid w:val="00B53793"/>
    <w:rsid w:val="00B53D28"/>
    <w:rsid w:val="00B53E22"/>
    <w:rsid w:val="00B54669"/>
    <w:rsid w:val="00B563BD"/>
    <w:rsid w:val="00B56786"/>
    <w:rsid w:val="00B56FFB"/>
    <w:rsid w:val="00B6085B"/>
    <w:rsid w:val="00B61E89"/>
    <w:rsid w:val="00B6363B"/>
    <w:rsid w:val="00B63F48"/>
    <w:rsid w:val="00B6436E"/>
    <w:rsid w:val="00B66032"/>
    <w:rsid w:val="00B6624A"/>
    <w:rsid w:val="00B6750A"/>
    <w:rsid w:val="00B71DE7"/>
    <w:rsid w:val="00B724D7"/>
    <w:rsid w:val="00B727B7"/>
    <w:rsid w:val="00B728B6"/>
    <w:rsid w:val="00B73420"/>
    <w:rsid w:val="00B738C1"/>
    <w:rsid w:val="00B73A69"/>
    <w:rsid w:val="00B740BE"/>
    <w:rsid w:val="00B74BC4"/>
    <w:rsid w:val="00B74EEB"/>
    <w:rsid w:val="00B76072"/>
    <w:rsid w:val="00B7631A"/>
    <w:rsid w:val="00B764D1"/>
    <w:rsid w:val="00B765A8"/>
    <w:rsid w:val="00B77128"/>
    <w:rsid w:val="00B77BAA"/>
    <w:rsid w:val="00B77CF5"/>
    <w:rsid w:val="00B80A81"/>
    <w:rsid w:val="00B80E43"/>
    <w:rsid w:val="00B821DB"/>
    <w:rsid w:val="00B82254"/>
    <w:rsid w:val="00B822DB"/>
    <w:rsid w:val="00B82384"/>
    <w:rsid w:val="00B82957"/>
    <w:rsid w:val="00B82E7C"/>
    <w:rsid w:val="00B8302C"/>
    <w:rsid w:val="00B832C1"/>
    <w:rsid w:val="00B83C5E"/>
    <w:rsid w:val="00B83D4E"/>
    <w:rsid w:val="00B84991"/>
    <w:rsid w:val="00B84BD9"/>
    <w:rsid w:val="00B85DF0"/>
    <w:rsid w:val="00B85EEF"/>
    <w:rsid w:val="00B86295"/>
    <w:rsid w:val="00B86738"/>
    <w:rsid w:val="00B86BE2"/>
    <w:rsid w:val="00B86C71"/>
    <w:rsid w:val="00B8796D"/>
    <w:rsid w:val="00B87BF9"/>
    <w:rsid w:val="00B9005B"/>
    <w:rsid w:val="00B90335"/>
    <w:rsid w:val="00B90445"/>
    <w:rsid w:val="00B91497"/>
    <w:rsid w:val="00B91B58"/>
    <w:rsid w:val="00B91F89"/>
    <w:rsid w:val="00B92109"/>
    <w:rsid w:val="00B94F23"/>
    <w:rsid w:val="00B97DAF"/>
    <w:rsid w:val="00BA1C01"/>
    <w:rsid w:val="00BA1CD9"/>
    <w:rsid w:val="00BA2D84"/>
    <w:rsid w:val="00BA35B3"/>
    <w:rsid w:val="00BA395A"/>
    <w:rsid w:val="00BA53ED"/>
    <w:rsid w:val="00BB050A"/>
    <w:rsid w:val="00BB09DC"/>
    <w:rsid w:val="00BB17C3"/>
    <w:rsid w:val="00BB1DE7"/>
    <w:rsid w:val="00BB1E3A"/>
    <w:rsid w:val="00BB1ED5"/>
    <w:rsid w:val="00BB41CB"/>
    <w:rsid w:val="00BB4FB8"/>
    <w:rsid w:val="00BB676D"/>
    <w:rsid w:val="00BB7EC2"/>
    <w:rsid w:val="00BC0407"/>
    <w:rsid w:val="00BC07D3"/>
    <w:rsid w:val="00BC0ECC"/>
    <w:rsid w:val="00BC1D7C"/>
    <w:rsid w:val="00BC2BEF"/>
    <w:rsid w:val="00BC337C"/>
    <w:rsid w:val="00BC3749"/>
    <w:rsid w:val="00BC7E3E"/>
    <w:rsid w:val="00BC7F08"/>
    <w:rsid w:val="00BD06A3"/>
    <w:rsid w:val="00BD2735"/>
    <w:rsid w:val="00BD3736"/>
    <w:rsid w:val="00BD37C5"/>
    <w:rsid w:val="00BD470F"/>
    <w:rsid w:val="00BD49A0"/>
    <w:rsid w:val="00BD51AF"/>
    <w:rsid w:val="00BD55DC"/>
    <w:rsid w:val="00BD7BFE"/>
    <w:rsid w:val="00BE02BA"/>
    <w:rsid w:val="00BE0A16"/>
    <w:rsid w:val="00BE0B5D"/>
    <w:rsid w:val="00BE174E"/>
    <w:rsid w:val="00BE2342"/>
    <w:rsid w:val="00BE277A"/>
    <w:rsid w:val="00BE2B07"/>
    <w:rsid w:val="00BE38C2"/>
    <w:rsid w:val="00BE3FC0"/>
    <w:rsid w:val="00BE6F89"/>
    <w:rsid w:val="00BF0B05"/>
    <w:rsid w:val="00BF33B0"/>
    <w:rsid w:val="00BF3740"/>
    <w:rsid w:val="00BF5233"/>
    <w:rsid w:val="00BF562D"/>
    <w:rsid w:val="00BF56AF"/>
    <w:rsid w:val="00BF5AC3"/>
    <w:rsid w:val="00BF7F31"/>
    <w:rsid w:val="00C02F0A"/>
    <w:rsid w:val="00C03350"/>
    <w:rsid w:val="00C04D05"/>
    <w:rsid w:val="00C04D4E"/>
    <w:rsid w:val="00C05B5C"/>
    <w:rsid w:val="00C06084"/>
    <w:rsid w:val="00C06924"/>
    <w:rsid w:val="00C07DAF"/>
    <w:rsid w:val="00C10681"/>
    <w:rsid w:val="00C10756"/>
    <w:rsid w:val="00C10C08"/>
    <w:rsid w:val="00C11721"/>
    <w:rsid w:val="00C13EB8"/>
    <w:rsid w:val="00C153F1"/>
    <w:rsid w:val="00C15E82"/>
    <w:rsid w:val="00C16E69"/>
    <w:rsid w:val="00C1715D"/>
    <w:rsid w:val="00C17F6A"/>
    <w:rsid w:val="00C21063"/>
    <w:rsid w:val="00C21CA8"/>
    <w:rsid w:val="00C21EF4"/>
    <w:rsid w:val="00C22ADC"/>
    <w:rsid w:val="00C2341A"/>
    <w:rsid w:val="00C25804"/>
    <w:rsid w:val="00C31953"/>
    <w:rsid w:val="00C31E5A"/>
    <w:rsid w:val="00C32773"/>
    <w:rsid w:val="00C344FD"/>
    <w:rsid w:val="00C360A8"/>
    <w:rsid w:val="00C40830"/>
    <w:rsid w:val="00C41693"/>
    <w:rsid w:val="00C41DD6"/>
    <w:rsid w:val="00C42195"/>
    <w:rsid w:val="00C4231E"/>
    <w:rsid w:val="00C42478"/>
    <w:rsid w:val="00C43365"/>
    <w:rsid w:val="00C4360D"/>
    <w:rsid w:val="00C44DED"/>
    <w:rsid w:val="00C44F12"/>
    <w:rsid w:val="00C455ED"/>
    <w:rsid w:val="00C46EF6"/>
    <w:rsid w:val="00C472BC"/>
    <w:rsid w:val="00C474C0"/>
    <w:rsid w:val="00C51491"/>
    <w:rsid w:val="00C52880"/>
    <w:rsid w:val="00C53BC4"/>
    <w:rsid w:val="00C551A8"/>
    <w:rsid w:val="00C5537D"/>
    <w:rsid w:val="00C554CC"/>
    <w:rsid w:val="00C55C11"/>
    <w:rsid w:val="00C55DBE"/>
    <w:rsid w:val="00C566F2"/>
    <w:rsid w:val="00C60615"/>
    <w:rsid w:val="00C60AA0"/>
    <w:rsid w:val="00C60E67"/>
    <w:rsid w:val="00C62736"/>
    <w:rsid w:val="00C62C31"/>
    <w:rsid w:val="00C646C3"/>
    <w:rsid w:val="00C64AC7"/>
    <w:rsid w:val="00C66935"/>
    <w:rsid w:val="00C6755F"/>
    <w:rsid w:val="00C70BEE"/>
    <w:rsid w:val="00C714C8"/>
    <w:rsid w:val="00C71C30"/>
    <w:rsid w:val="00C721F0"/>
    <w:rsid w:val="00C75C96"/>
    <w:rsid w:val="00C75E70"/>
    <w:rsid w:val="00C76278"/>
    <w:rsid w:val="00C76A87"/>
    <w:rsid w:val="00C76E67"/>
    <w:rsid w:val="00C776D5"/>
    <w:rsid w:val="00C80123"/>
    <w:rsid w:val="00C8016B"/>
    <w:rsid w:val="00C80293"/>
    <w:rsid w:val="00C806F5"/>
    <w:rsid w:val="00C80F07"/>
    <w:rsid w:val="00C81523"/>
    <w:rsid w:val="00C831BE"/>
    <w:rsid w:val="00C85265"/>
    <w:rsid w:val="00C8573B"/>
    <w:rsid w:val="00C861F4"/>
    <w:rsid w:val="00C86AA2"/>
    <w:rsid w:val="00C87352"/>
    <w:rsid w:val="00C91E80"/>
    <w:rsid w:val="00C9220E"/>
    <w:rsid w:val="00C93C0F"/>
    <w:rsid w:val="00C95B87"/>
    <w:rsid w:val="00C977DD"/>
    <w:rsid w:val="00CA0105"/>
    <w:rsid w:val="00CA229A"/>
    <w:rsid w:val="00CA24EB"/>
    <w:rsid w:val="00CA27B7"/>
    <w:rsid w:val="00CA2843"/>
    <w:rsid w:val="00CA2986"/>
    <w:rsid w:val="00CA2C18"/>
    <w:rsid w:val="00CA5F20"/>
    <w:rsid w:val="00CA7282"/>
    <w:rsid w:val="00CB09E8"/>
    <w:rsid w:val="00CB1154"/>
    <w:rsid w:val="00CB17F8"/>
    <w:rsid w:val="00CB1E06"/>
    <w:rsid w:val="00CB21E1"/>
    <w:rsid w:val="00CB26BE"/>
    <w:rsid w:val="00CB2AC1"/>
    <w:rsid w:val="00CB516E"/>
    <w:rsid w:val="00CB5317"/>
    <w:rsid w:val="00CC02C8"/>
    <w:rsid w:val="00CC1516"/>
    <w:rsid w:val="00CC1593"/>
    <w:rsid w:val="00CC18E9"/>
    <w:rsid w:val="00CC1D6F"/>
    <w:rsid w:val="00CC2E0D"/>
    <w:rsid w:val="00CC4E03"/>
    <w:rsid w:val="00CC4E08"/>
    <w:rsid w:val="00CC5055"/>
    <w:rsid w:val="00CC5CDB"/>
    <w:rsid w:val="00CC68B3"/>
    <w:rsid w:val="00CD112B"/>
    <w:rsid w:val="00CD1134"/>
    <w:rsid w:val="00CD122D"/>
    <w:rsid w:val="00CD1F37"/>
    <w:rsid w:val="00CD22DD"/>
    <w:rsid w:val="00CD40CB"/>
    <w:rsid w:val="00CD56A5"/>
    <w:rsid w:val="00CD5A48"/>
    <w:rsid w:val="00CD6242"/>
    <w:rsid w:val="00CD6CD3"/>
    <w:rsid w:val="00CD7D6E"/>
    <w:rsid w:val="00CE0476"/>
    <w:rsid w:val="00CE0A68"/>
    <w:rsid w:val="00CE1F06"/>
    <w:rsid w:val="00CE2D3A"/>
    <w:rsid w:val="00CE31A4"/>
    <w:rsid w:val="00CE49B7"/>
    <w:rsid w:val="00CE5638"/>
    <w:rsid w:val="00CE56AD"/>
    <w:rsid w:val="00CE5746"/>
    <w:rsid w:val="00CE6347"/>
    <w:rsid w:val="00CE70FF"/>
    <w:rsid w:val="00CE78A5"/>
    <w:rsid w:val="00CF06C9"/>
    <w:rsid w:val="00CF09CE"/>
    <w:rsid w:val="00CF0AF8"/>
    <w:rsid w:val="00CF172A"/>
    <w:rsid w:val="00CF1CB9"/>
    <w:rsid w:val="00CF24D1"/>
    <w:rsid w:val="00CF29BE"/>
    <w:rsid w:val="00CF3D25"/>
    <w:rsid w:val="00CF4030"/>
    <w:rsid w:val="00CF4975"/>
    <w:rsid w:val="00CF4A31"/>
    <w:rsid w:val="00CF50A6"/>
    <w:rsid w:val="00CF52DA"/>
    <w:rsid w:val="00CF6036"/>
    <w:rsid w:val="00CF7119"/>
    <w:rsid w:val="00CF73A8"/>
    <w:rsid w:val="00CF7D18"/>
    <w:rsid w:val="00D000FE"/>
    <w:rsid w:val="00D0020E"/>
    <w:rsid w:val="00D00301"/>
    <w:rsid w:val="00D009AD"/>
    <w:rsid w:val="00D02C1B"/>
    <w:rsid w:val="00D02E28"/>
    <w:rsid w:val="00D02F9A"/>
    <w:rsid w:val="00D037F7"/>
    <w:rsid w:val="00D04890"/>
    <w:rsid w:val="00D04A8D"/>
    <w:rsid w:val="00D06566"/>
    <w:rsid w:val="00D06605"/>
    <w:rsid w:val="00D06E2D"/>
    <w:rsid w:val="00D074FE"/>
    <w:rsid w:val="00D13073"/>
    <w:rsid w:val="00D130C2"/>
    <w:rsid w:val="00D13625"/>
    <w:rsid w:val="00D14870"/>
    <w:rsid w:val="00D14B09"/>
    <w:rsid w:val="00D151DF"/>
    <w:rsid w:val="00D15753"/>
    <w:rsid w:val="00D16A8E"/>
    <w:rsid w:val="00D2012B"/>
    <w:rsid w:val="00D2192A"/>
    <w:rsid w:val="00D222F5"/>
    <w:rsid w:val="00D22B1C"/>
    <w:rsid w:val="00D22D7C"/>
    <w:rsid w:val="00D248B9"/>
    <w:rsid w:val="00D24F52"/>
    <w:rsid w:val="00D25DD2"/>
    <w:rsid w:val="00D27D12"/>
    <w:rsid w:val="00D3067E"/>
    <w:rsid w:val="00D309A7"/>
    <w:rsid w:val="00D31862"/>
    <w:rsid w:val="00D31E9E"/>
    <w:rsid w:val="00D31EDE"/>
    <w:rsid w:val="00D32082"/>
    <w:rsid w:val="00D32F6C"/>
    <w:rsid w:val="00D3342C"/>
    <w:rsid w:val="00D34187"/>
    <w:rsid w:val="00D36696"/>
    <w:rsid w:val="00D37B3F"/>
    <w:rsid w:val="00D40AB9"/>
    <w:rsid w:val="00D41B7F"/>
    <w:rsid w:val="00D41BBF"/>
    <w:rsid w:val="00D43EE8"/>
    <w:rsid w:val="00D44003"/>
    <w:rsid w:val="00D44026"/>
    <w:rsid w:val="00D440C9"/>
    <w:rsid w:val="00D46824"/>
    <w:rsid w:val="00D47451"/>
    <w:rsid w:val="00D47D8D"/>
    <w:rsid w:val="00D50254"/>
    <w:rsid w:val="00D5197E"/>
    <w:rsid w:val="00D5347F"/>
    <w:rsid w:val="00D53EA6"/>
    <w:rsid w:val="00D544E6"/>
    <w:rsid w:val="00D54BE6"/>
    <w:rsid w:val="00D550A2"/>
    <w:rsid w:val="00D55404"/>
    <w:rsid w:val="00D56B7B"/>
    <w:rsid w:val="00D56D61"/>
    <w:rsid w:val="00D60E11"/>
    <w:rsid w:val="00D610A7"/>
    <w:rsid w:val="00D61A9F"/>
    <w:rsid w:val="00D62470"/>
    <w:rsid w:val="00D62DCA"/>
    <w:rsid w:val="00D62E77"/>
    <w:rsid w:val="00D62EA8"/>
    <w:rsid w:val="00D631F2"/>
    <w:rsid w:val="00D656C7"/>
    <w:rsid w:val="00D661A1"/>
    <w:rsid w:val="00D70339"/>
    <w:rsid w:val="00D7105B"/>
    <w:rsid w:val="00D712F7"/>
    <w:rsid w:val="00D715E0"/>
    <w:rsid w:val="00D71D8C"/>
    <w:rsid w:val="00D7213C"/>
    <w:rsid w:val="00D73670"/>
    <w:rsid w:val="00D7553F"/>
    <w:rsid w:val="00D76D78"/>
    <w:rsid w:val="00D76D9D"/>
    <w:rsid w:val="00D772B7"/>
    <w:rsid w:val="00D806FA"/>
    <w:rsid w:val="00D80DB2"/>
    <w:rsid w:val="00D81176"/>
    <w:rsid w:val="00D818BD"/>
    <w:rsid w:val="00D826AE"/>
    <w:rsid w:val="00D840EC"/>
    <w:rsid w:val="00D85359"/>
    <w:rsid w:val="00D85A25"/>
    <w:rsid w:val="00D85F7B"/>
    <w:rsid w:val="00D8603F"/>
    <w:rsid w:val="00D87FA1"/>
    <w:rsid w:val="00D9012D"/>
    <w:rsid w:val="00D9125F"/>
    <w:rsid w:val="00D91DEA"/>
    <w:rsid w:val="00D92284"/>
    <w:rsid w:val="00D92AB2"/>
    <w:rsid w:val="00D9303F"/>
    <w:rsid w:val="00D93B55"/>
    <w:rsid w:val="00D93E78"/>
    <w:rsid w:val="00D95546"/>
    <w:rsid w:val="00D95ECE"/>
    <w:rsid w:val="00D9603D"/>
    <w:rsid w:val="00D96FED"/>
    <w:rsid w:val="00D9710A"/>
    <w:rsid w:val="00D97701"/>
    <w:rsid w:val="00DA1C14"/>
    <w:rsid w:val="00DA1EA7"/>
    <w:rsid w:val="00DA2BE4"/>
    <w:rsid w:val="00DA3B44"/>
    <w:rsid w:val="00DA40A7"/>
    <w:rsid w:val="00DA48B3"/>
    <w:rsid w:val="00DA5990"/>
    <w:rsid w:val="00DA603C"/>
    <w:rsid w:val="00DA7912"/>
    <w:rsid w:val="00DB0CF2"/>
    <w:rsid w:val="00DB1E30"/>
    <w:rsid w:val="00DB2898"/>
    <w:rsid w:val="00DB385B"/>
    <w:rsid w:val="00DB39E4"/>
    <w:rsid w:val="00DB3DFD"/>
    <w:rsid w:val="00DB5B63"/>
    <w:rsid w:val="00DB5C72"/>
    <w:rsid w:val="00DB6848"/>
    <w:rsid w:val="00DB7291"/>
    <w:rsid w:val="00DC0D6F"/>
    <w:rsid w:val="00DC13EF"/>
    <w:rsid w:val="00DC240E"/>
    <w:rsid w:val="00DC24A8"/>
    <w:rsid w:val="00DC25B0"/>
    <w:rsid w:val="00DC33CD"/>
    <w:rsid w:val="00DC38EC"/>
    <w:rsid w:val="00DC3E5A"/>
    <w:rsid w:val="00DC4DCB"/>
    <w:rsid w:val="00DC5077"/>
    <w:rsid w:val="00DC51CE"/>
    <w:rsid w:val="00DC552A"/>
    <w:rsid w:val="00DC631B"/>
    <w:rsid w:val="00DD0271"/>
    <w:rsid w:val="00DD041F"/>
    <w:rsid w:val="00DD10A7"/>
    <w:rsid w:val="00DD14F2"/>
    <w:rsid w:val="00DD1A5E"/>
    <w:rsid w:val="00DD2419"/>
    <w:rsid w:val="00DD2D0D"/>
    <w:rsid w:val="00DD30CD"/>
    <w:rsid w:val="00DD3406"/>
    <w:rsid w:val="00DD5C22"/>
    <w:rsid w:val="00DD6C8A"/>
    <w:rsid w:val="00DE0A49"/>
    <w:rsid w:val="00DE0D9C"/>
    <w:rsid w:val="00DE0F47"/>
    <w:rsid w:val="00DE0F74"/>
    <w:rsid w:val="00DE1492"/>
    <w:rsid w:val="00DE170F"/>
    <w:rsid w:val="00DE19FE"/>
    <w:rsid w:val="00DE4A58"/>
    <w:rsid w:val="00DE4D0B"/>
    <w:rsid w:val="00DE4D94"/>
    <w:rsid w:val="00DE579D"/>
    <w:rsid w:val="00DE6881"/>
    <w:rsid w:val="00DE7333"/>
    <w:rsid w:val="00DE7644"/>
    <w:rsid w:val="00DF0C87"/>
    <w:rsid w:val="00DF16A6"/>
    <w:rsid w:val="00DF3DFC"/>
    <w:rsid w:val="00DF4496"/>
    <w:rsid w:val="00E00745"/>
    <w:rsid w:val="00E020C5"/>
    <w:rsid w:val="00E02B1B"/>
    <w:rsid w:val="00E0348F"/>
    <w:rsid w:val="00E05589"/>
    <w:rsid w:val="00E07549"/>
    <w:rsid w:val="00E11687"/>
    <w:rsid w:val="00E11A25"/>
    <w:rsid w:val="00E13EDB"/>
    <w:rsid w:val="00E143F9"/>
    <w:rsid w:val="00E2021D"/>
    <w:rsid w:val="00E2083D"/>
    <w:rsid w:val="00E208DC"/>
    <w:rsid w:val="00E2116E"/>
    <w:rsid w:val="00E228A0"/>
    <w:rsid w:val="00E23110"/>
    <w:rsid w:val="00E23421"/>
    <w:rsid w:val="00E24277"/>
    <w:rsid w:val="00E24D24"/>
    <w:rsid w:val="00E24F5E"/>
    <w:rsid w:val="00E25882"/>
    <w:rsid w:val="00E27B78"/>
    <w:rsid w:val="00E27EF4"/>
    <w:rsid w:val="00E308AE"/>
    <w:rsid w:val="00E322D2"/>
    <w:rsid w:val="00E32DB5"/>
    <w:rsid w:val="00E331C2"/>
    <w:rsid w:val="00E33C12"/>
    <w:rsid w:val="00E3509A"/>
    <w:rsid w:val="00E360C3"/>
    <w:rsid w:val="00E361B8"/>
    <w:rsid w:val="00E36A4F"/>
    <w:rsid w:val="00E36E76"/>
    <w:rsid w:val="00E37AFC"/>
    <w:rsid w:val="00E37E99"/>
    <w:rsid w:val="00E37FED"/>
    <w:rsid w:val="00E4063E"/>
    <w:rsid w:val="00E41774"/>
    <w:rsid w:val="00E41CA6"/>
    <w:rsid w:val="00E430A1"/>
    <w:rsid w:val="00E44936"/>
    <w:rsid w:val="00E44D92"/>
    <w:rsid w:val="00E44E65"/>
    <w:rsid w:val="00E45B0B"/>
    <w:rsid w:val="00E45B93"/>
    <w:rsid w:val="00E46532"/>
    <w:rsid w:val="00E46628"/>
    <w:rsid w:val="00E47F19"/>
    <w:rsid w:val="00E5027C"/>
    <w:rsid w:val="00E50FCA"/>
    <w:rsid w:val="00E51B96"/>
    <w:rsid w:val="00E539FD"/>
    <w:rsid w:val="00E53FC1"/>
    <w:rsid w:val="00E5465F"/>
    <w:rsid w:val="00E547E2"/>
    <w:rsid w:val="00E54C13"/>
    <w:rsid w:val="00E565C8"/>
    <w:rsid w:val="00E56648"/>
    <w:rsid w:val="00E57BAF"/>
    <w:rsid w:val="00E57ED3"/>
    <w:rsid w:val="00E64248"/>
    <w:rsid w:val="00E645C1"/>
    <w:rsid w:val="00E65DBF"/>
    <w:rsid w:val="00E66A3E"/>
    <w:rsid w:val="00E67207"/>
    <w:rsid w:val="00E67245"/>
    <w:rsid w:val="00E675CF"/>
    <w:rsid w:val="00E709AD"/>
    <w:rsid w:val="00E71013"/>
    <w:rsid w:val="00E71385"/>
    <w:rsid w:val="00E71640"/>
    <w:rsid w:val="00E7200B"/>
    <w:rsid w:val="00E72E96"/>
    <w:rsid w:val="00E72EEB"/>
    <w:rsid w:val="00E72F6A"/>
    <w:rsid w:val="00E73AC1"/>
    <w:rsid w:val="00E73D9D"/>
    <w:rsid w:val="00E74FD5"/>
    <w:rsid w:val="00E75ED9"/>
    <w:rsid w:val="00E77280"/>
    <w:rsid w:val="00E77FB8"/>
    <w:rsid w:val="00E80428"/>
    <w:rsid w:val="00E832B8"/>
    <w:rsid w:val="00E8488A"/>
    <w:rsid w:val="00E85ADF"/>
    <w:rsid w:val="00E92039"/>
    <w:rsid w:val="00E923C2"/>
    <w:rsid w:val="00E93CB5"/>
    <w:rsid w:val="00E93D5D"/>
    <w:rsid w:val="00E95230"/>
    <w:rsid w:val="00E95B13"/>
    <w:rsid w:val="00E9775D"/>
    <w:rsid w:val="00E97E2D"/>
    <w:rsid w:val="00EA0565"/>
    <w:rsid w:val="00EA065A"/>
    <w:rsid w:val="00EA0DB4"/>
    <w:rsid w:val="00EA12C6"/>
    <w:rsid w:val="00EA18FC"/>
    <w:rsid w:val="00EA3334"/>
    <w:rsid w:val="00EA3E73"/>
    <w:rsid w:val="00EA46AA"/>
    <w:rsid w:val="00EA5490"/>
    <w:rsid w:val="00EA56A2"/>
    <w:rsid w:val="00EA779B"/>
    <w:rsid w:val="00EA7DD3"/>
    <w:rsid w:val="00EA7F49"/>
    <w:rsid w:val="00EB0A42"/>
    <w:rsid w:val="00EB265D"/>
    <w:rsid w:val="00EB30DA"/>
    <w:rsid w:val="00EB3B92"/>
    <w:rsid w:val="00EB44B5"/>
    <w:rsid w:val="00EB4E42"/>
    <w:rsid w:val="00EB6345"/>
    <w:rsid w:val="00EC00A9"/>
    <w:rsid w:val="00EC0A7F"/>
    <w:rsid w:val="00EC0F81"/>
    <w:rsid w:val="00EC1D27"/>
    <w:rsid w:val="00EC389D"/>
    <w:rsid w:val="00EC6C82"/>
    <w:rsid w:val="00EC7907"/>
    <w:rsid w:val="00EC7E67"/>
    <w:rsid w:val="00EC7F8C"/>
    <w:rsid w:val="00ED091F"/>
    <w:rsid w:val="00ED0C21"/>
    <w:rsid w:val="00ED3AF7"/>
    <w:rsid w:val="00ED6B5E"/>
    <w:rsid w:val="00EE01E8"/>
    <w:rsid w:val="00EE1287"/>
    <w:rsid w:val="00EE2557"/>
    <w:rsid w:val="00EE327A"/>
    <w:rsid w:val="00EE752E"/>
    <w:rsid w:val="00EF028F"/>
    <w:rsid w:val="00EF03A7"/>
    <w:rsid w:val="00EF18E8"/>
    <w:rsid w:val="00EF23A1"/>
    <w:rsid w:val="00EF7203"/>
    <w:rsid w:val="00EF78AD"/>
    <w:rsid w:val="00EF7D9B"/>
    <w:rsid w:val="00EF7EEC"/>
    <w:rsid w:val="00F01A3F"/>
    <w:rsid w:val="00F01E81"/>
    <w:rsid w:val="00F026F3"/>
    <w:rsid w:val="00F03213"/>
    <w:rsid w:val="00F03C00"/>
    <w:rsid w:val="00F04F3F"/>
    <w:rsid w:val="00F05D0D"/>
    <w:rsid w:val="00F05E4B"/>
    <w:rsid w:val="00F068B2"/>
    <w:rsid w:val="00F1200F"/>
    <w:rsid w:val="00F13986"/>
    <w:rsid w:val="00F13E7D"/>
    <w:rsid w:val="00F15368"/>
    <w:rsid w:val="00F159EF"/>
    <w:rsid w:val="00F1653F"/>
    <w:rsid w:val="00F16AA9"/>
    <w:rsid w:val="00F20D81"/>
    <w:rsid w:val="00F22A95"/>
    <w:rsid w:val="00F23767"/>
    <w:rsid w:val="00F24C12"/>
    <w:rsid w:val="00F2515F"/>
    <w:rsid w:val="00F2543E"/>
    <w:rsid w:val="00F25F8B"/>
    <w:rsid w:val="00F25FAA"/>
    <w:rsid w:val="00F261C8"/>
    <w:rsid w:val="00F26756"/>
    <w:rsid w:val="00F26C30"/>
    <w:rsid w:val="00F27267"/>
    <w:rsid w:val="00F30BA1"/>
    <w:rsid w:val="00F30F46"/>
    <w:rsid w:val="00F316A4"/>
    <w:rsid w:val="00F31AC4"/>
    <w:rsid w:val="00F3257A"/>
    <w:rsid w:val="00F33C7D"/>
    <w:rsid w:val="00F340A0"/>
    <w:rsid w:val="00F34628"/>
    <w:rsid w:val="00F34AF2"/>
    <w:rsid w:val="00F34B64"/>
    <w:rsid w:val="00F35EDF"/>
    <w:rsid w:val="00F363B2"/>
    <w:rsid w:val="00F400DD"/>
    <w:rsid w:val="00F41667"/>
    <w:rsid w:val="00F41CB2"/>
    <w:rsid w:val="00F41DC0"/>
    <w:rsid w:val="00F41EC9"/>
    <w:rsid w:val="00F420AF"/>
    <w:rsid w:val="00F42A3A"/>
    <w:rsid w:val="00F455EC"/>
    <w:rsid w:val="00F4631C"/>
    <w:rsid w:val="00F464ED"/>
    <w:rsid w:val="00F46EFA"/>
    <w:rsid w:val="00F47591"/>
    <w:rsid w:val="00F47E92"/>
    <w:rsid w:val="00F509FD"/>
    <w:rsid w:val="00F51028"/>
    <w:rsid w:val="00F5117E"/>
    <w:rsid w:val="00F526C4"/>
    <w:rsid w:val="00F527E2"/>
    <w:rsid w:val="00F52B31"/>
    <w:rsid w:val="00F53185"/>
    <w:rsid w:val="00F53288"/>
    <w:rsid w:val="00F53AB4"/>
    <w:rsid w:val="00F5453B"/>
    <w:rsid w:val="00F554FE"/>
    <w:rsid w:val="00F55896"/>
    <w:rsid w:val="00F55C1F"/>
    <w:rsid w:val="00F6005B"/>
    <w:rsid w:val="00F6178C"/>
    <w:rsid w:val="00F6192C"/>
    <w:rsid w:val="00F62ABF"/>
    <w:rsid w:val="00F65AED"/>
    <w:rsid w:val="00F66EAA"/>
    <w:rsid w:val="00F6771E"/>
    <w:rsid w:val="00F67E55"/>
    <w:rsid w:val="00F702F5"/>
    <w:rsid w:val="00F70862"/>
    <w:rsid w:val="00F717F9"/>
    <w:rsid w:val="00F722CF"/>
    <w:rsid w:val="00F725A0"/>
    <w:rsid w:val="00F726B2"/>
    <w:rsid w:val="00F7337C"/>
    <w:rsid w:val="00F736F2"/>
    <w:rsid w:val="00F73941"/>
    <w:rsid w:val="00F745BB"/>
    <w:rsid w:val="00F750F9"/>
    <w:rsid w:val="00F75567"/>
    <w:rsid w:val="00F778C4"/>
    <w:rsid w:val="00F77D82"/>
    <w:rsid w:val="00F8078D"/>
    <w:rsid w:val="00F81539"/>
    <w:rsid w:val="00F819A2"/>
    <w:rsid w:val="00F819B5"/>
    <w:rsid w:val="00F83694"/>
    <w:rsid w:val="00F83B8D"/>
    <w:rsid w:val="00F8411F"/>
    <w:rsid w:val="00F86373"/>
    <w:rsid w:val="00F873D0"/>
    <w:rsid w:val="00F87913"/>
    <w:rsid w:val="00F90984"/>
    <w:rsid w:val="00F91810"/>
    <w:rsid w:val="00F94D22"/>
    <w:rsid w:val="00F9549C"/>
    <w:rsid w:val="00F95BBD"/>
    <w:rsid w:val="00F97E54"/>
    <w:rsid w:val="00F97F6E"/>
    <w:rsid w:val="00FA002D"/>
    <w:rsid w:val="00FA0A20"/>
    <w:rsid w:val="00FA1D85"/>
    <w:rsid w:val="00FA1E8F"/>
    <w:rsid w:val="00FA2412"/>
    <w:rsid w:val="00FA2634"/>
    <w:rsid w:val="00FA2A48"/>
    <w:rsid w:val="00FA2CFB"/>
    <w:rsid w:val="00FA3668"/>
    <w:rsid w:val="00FA3BB9"/>
    <w:rsid w:val="00FA4396"/>
    <w:rsid w:val="00FA454D"/>
    <w:rsid w:val="00FA4CB6"/>
    <w:rsid w:val="00FA59D8"/>
    <w:rsid w:val="00FA5D87"/>
    <w:rsid w:val="00FA6512"/>
    <w:rsid w:val="00FA6514"/>
    <w:rsid w:val="00FA6AF3"/>
    <w:rsid w:val="00FA6B08"/>
    <w:rsid w:val="00FA6E16"/>
    <w:rsid w:val="00FA700D"/>
    <w:rsid w:val="00FA7ED5"/>
    <w:rsid w:val="00FB018F"/>
    <w:rsid w:val="00FB03F2"/>
    <w:rsid w:val="00FB04BC"/>
    <w:rsid w:val="00FB067F"/>
    <w:rsid w:val="00FB0C02"/>
    <w:rsid w:val="00FB1439"/>
    <w:rsid w:val="00FB1B9A"/>
    <w:rsid w:val="00FB22E7"/>
    <w:rsid w:val="00FB3CAB"/>
    <w:rsid w:val="00FB47DA"/>
    <w:rsid w:val="00FB518C"/>
    <w:rsid w:val="00FB5AF9"/>
    <w:rsid w:val="00FB6332"/>
    <w:rsid w:val="00FB6530"/>
    <w:rsid w:val="00FB731E"/>
    <w:rsid w:val="00FB77AA"/>
    <w:rsid w:val="00FB7E55"/>
    <w:rsid w:val="00FC11DC"/>
    <w:rsid w:val="00FC1708"/>
    <w:rsid w:val="00FC2F1E"/>
    <w:rsid w:val="00FC4D01"/>
    <w:rsid w:val="00FC5408"/>
    <w:rsid w:val="00FD007C"/>
    <w:rsid w:val="00FD03FB"/>
    <w:rsid w:val="00FD2B6F"/>
    <w:rsid w:val="00FD40F3"/>
    <w:rsid w:val="00FD45F7"/>
    <w:rsid w:val="00FD5378"/>
    <w:rsid w:val="00FD5420"/>
    <w:rsid w:val="00FD69EA"/>
    <w:rsid w:val="00FD6CEC"/>
    <w:rsid w:val="00FD753B"/>
    <w:rsid w:val="00FD75C0"/>
    <w:rsid w:val="00FE1805"/>
    <w:rsid w:val="00FE65DB"/>
    <w:rsid w:val="00FE7DCF"/>
    <w:rsid w:val="00FF12C7"/>
    <w:rsid w:val="00FF376C"/>
    <w:rsid w:val="00FF499C"/>
    <w:rsid w:val="00FF5579"/>
    <w:rsid w:val="00FF68F7"/>
    <w:rsid w:val="00FF69F7"/>
    <w:rsid w:val="00FF6DA5"/>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35C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86D"/>
    <w:rPr>
      <w:rFonts w:ascii="Arial" w:hAnsi="Arial" w:cs="Arial"/>
      <w:bCs/>
      <w:sz w:val="24"/>
    </w:rPr>
  </w:style>
  <w:style w:type="paragraph" w:styleId="Heading1">
    <w:name w:val="heading 1"/>
    <w:basedOn w:val="Normal"/>
    <w:next w:val="Normal"/>
    <w:qFormat/>
    <w:rsid w:val="008E74DE"/>
    <w:pPr>
      <w:keepNext/>
      <w:tabs>
        <w:tab w:val="left" w:pos="360"/>
      </w:tabs>
      <w:spacing w:before="240" w:after="60"/>
      <w:jc w:val="center"/>
      <w:outlineLvl w:val="0"/>
    </w:pPr>
    <w:rPr>
      <w:b/>
      <w:kern w:val="32"/>
      <w:sz w:val="48"/>
      <w:szCs w:val="32"/>
    </w:rPr>
  </w:style>
  <w:style w:type="paragraph" w:styleId="Heading2">
    <w:name w:val="heading 2"/>
    <w:basedOn w:val="Normal"/>
    <w:next w:val="Normal"/>
    <w:qFormat/>
    <w:rsid w:val="003612D0"/>
    <w:pPr>
      <w:numPr>
        <w:numId w:val="8"/>
      </w:numPr>
      <w:tabs>
        <w:tab w:val="clear" w:pos="360"/>
        <w:tab w:val="num" w:pos="2160"/>
      </w:tabs>
      <w:spacing w:before="240" w:after="240"/>
      <w:jc w:val="center"/>
      <w:outlineLvl w:val="1"/>
    </w:pPr>
    <w:rPr>
      <w:b/>
      <w:sz w:val="28"/>
      <w:szCs w:val="28"/>
    </w:rPr>
  </w:style>
  <w:style w:type="paragraph" w:styleId="Heading3">
    <w:name w:val="heading 3"/>
    <w:basedOn w:val="Heading7"/>
    <w:next w:val="Normal"/>
    <w:qFormat/>
    <w:rsid w:val="004557B1"/>
    <w:pPr>
      <w:ind w:left="960"/>
      <w:outlineLvl w:val="2"/>
    </w:pPr>
    <w:rPr>
      <w:bCs w:val="0"/>
    </w:rPr>
  </w:style>
  <w:style w:type="paragraph" w:styleId="Heading4">
    <w:name w:val="heading 4"/>
    <w:basedOn w:val="Normal"/>
    <w:next w:val="Normal"/>
    <w:qFormat/>
    <w:rsid w:val="00225334"/>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225334"/>
    <w:pPr>
      <w:spacing w:before="240" w:after="60"/>
      <w:outlineLvl w:val="4"/>
    </w:pPr>
    <w:rPr>
      <w:b/>
      <w:i/>
      <w:iCs/>
      <w:sz w:val="26"/>
      <w:szCs w:val="26"/>
    </w:rPr>
  </w:style>
  <w:style w:type="paragraph" w:styleId="Heading6">
    <w:name w:val="heading 6"/>
    <w:basedOn w:val="Normal"/>
    <w:next w:val="Normal"/>
    <w:qFormat/>
    <w:rsid w:val="00F62ABF"/>
    <w:pPr>
      <w:keepNext/>
      <w:numPr>
        <w:numId w:val="7"/>
      </w:numPr>
      <w:tabs>
        <w:tab w:val="left" w:pos="1080"/>
        <w:tab w:val="left" w:pos="1440"/>
        <w:tab w:val="left" w:pos="1800"/>
        <w:tab w:val="left" w:pos="2160"/>
      </w:tabs>
      <w:outlineLvl w:val="5"/>
    </w:pPr>
    <w:rPr>
      <w:b/>
      <w:bCs w:val="0"/>
      <w:sz w:val="32"/>
    </w:rPr>
  </w:style>
  <w:style w:type="paragraph" w:styleId="Heading7">
    <w:name w:val="heading 7"/>
    <w:basedOn w:val="Normal"/>
    <w:next w:val="Normal"/>
    <w:qFormat/>
    <w:rsid w:val="00225334"/>
    <w:pPr>
      <w:keepNext/>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qFormat/>
    <w:rsid w:val="00225334"/>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225334"/>
    <w:pPr>
      <w:keepNext/>
      <w:numPr>
        <w:numId w:val="1"/>
      </w:numPr>
      <w:tabs>
        <w:tab w:val="left" w:pos="600"/>
      </w:tabs>
      <w:autoSpaceDE w:val="0"/>
      <w:autoSpaceDN w:val="0"/>
      <w:adjustRightInd w:val="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334"/>
    <w:pPr>
      <w:tabs>
        <w:tab w:val="center" w:pos="4320"/>
        <w:tab w:val="right" w:pos="8640"/>
      </w:tabs>
    </w:pPr>
  </w:style>
  <w:style w:type="character" w:styleId="PageNumber">
    <w:name w:val="page number"/>
    <w:basedOn w:val="DefaultParagraphFont"/>
    <w:rsid w:val="00225334"/>
  </w:style>
  <w:style w:type="paragraph" w:styleId="Header">
    <w:name w:val="header"/>
    <w:basedOn w:val="Normal"/>
    <w:link w:val="HeaderChar"/>
    <w:rsid w:val="00225334"/>
    <w:pPr>
      <w:tabs>
        <w:tab w:val="center" w:pos="4320"/>
        <w:tab w:val="right" w:pos="8640"/>
      </w:tabs>
    </w:pPr>
  </w:style>
  <w:style w:type="paragraph" w:styleId="BodyText2">
    <w:name w:val="Body Text 2"/>
    <w:basedOn w:val="Normal"/>
    <w:rsid w:val="00225334"/>
    <w:rPr>
      <w:rFonts w:ascii="Times New Roman" w:hAnsi="Times New Roman"/>
      <w:sz w:val="22"/>
    </w:rPr>
  </w:style>
  <w:style w:type="paragraph" w:customStyle="1" w:styleId="1BulletList">
    <w:name w:val="1Bullet List"/>
    <w:rsid w:val="00225334"/>
    <w:pPr>
      <w:tabs>
        <w:tab w:val="left" w:pos="720"/>
      </w:tabs>
      <w:autoSpaceDE w:val="0"/>
      <w:autoSpaceDN w:val="0"/>
      <w:adjustRightInd w:val="0"/>
      <w:ind w:left="720" w:hanging="720"/>
    </w:pPr>
    <w:rPr>
      <w:szCs w:val="24"/>
    </w:rPr>
  </w:style>
  <w:style w:type="character" w:styleId="Hyperlink">
    <w:name w:val="Hyperlink"/>
    <w:uiPriority w:val="99"/>
    <w:rsid w:val="00225334"/>
    <w:rPr>
      <w:color w:val="0000FF"/>
      <w:u w:val="single"/>
    </w:rPr>
  </w:style>
  <w:style w:type="character" w:customStyle="1" w:styleId="Hypertext">
    <w:name w:val="Hypertext"/>
    <w:rsid w:val="00225334"/>
    <w:rPr>
      <w:b/>
      <w:color w:val="008000"/>
      <w:u w:val="single"/>
    </w:rPr>
  </w:style>
  <w:style w:type="paragraph" w:styleId="Title">
    <w:name w:val="Title"/>
    <w:basedOn w:val="Normal"/>
    <w:link w:val="TitleChar"/>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sz w:val="26"/>
    </w:rPr>
  </w:style>
  <w:style w:type="paragraph" w:styleId="Subtitle">
    <w:name w:val="Subtitle"/>
    <w:basedOn w:val="Normal"/>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napToGrid w:val="0"/>
    </w:rPr>
  </w:style>
  <w:style w:type="paragraph" w:customStyle="1" w:styleId="1">
    <w:name w:val="1"/>
    <w:basedOn w:val="Normal"/>
    <w:rsid w:val="0022533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snapToGrid w:val="0"/>
    </w:rPr>
  </w:style>
  <w:style w:type="character" w:styleId="FootnoteReference">
    <w:name w:val="footnote reference"/>
    <w:rsid w:val="00225334"/>
    <w:rPr>
      <w:vertAlign w:val="superscript"/>
    </w:rPr>
  </w:style>
  <w:style w:type="paragraph" w:customStyle="1" w:styleId="BodyTextIn">
    <w:name w:val="Body Text In"/>
    <w:basedOn w:val="Normal"/>
    <w:rsid w:val="0022533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rPr>
  </w:style>
  <w:style w:type="paragraph" w:styleId="BodyTextIndent2">
    <w:name w:val="Body Text Indent 2"/>
    <w:basedOn w:val="Normal"/>
    <w:link w:val="BodyTextIndent2Char"/>
    <w:rsid w:val="00225334"/>
    <w:pPr>
      <w:tabs>
        <w:tab w:val="left" w:pos="1680"/>
        <w:tab w:val="left" w:pos="2160"/>
      </w:tabs>
      <w:autoSpaceDE w:val="0"/>
      <w:autoSpaceDN w:val="0"/>
      <w:adjustRightInd w:val="0"/>
      <w:spacing w:before="240" w:after="240"/>
      <w:ind w:left="1680" w:hanging="600"/>
    </w:pPr>
  </w:style>
  <w:style w:type="paragraph" w:styleId="BodyText">
    <w:name w:val="Body Text"/>
    <w:basedOn w:val="Normal"/>
    <w:link w:val="BodyTextChar"/>
    <w:rsid w:val="00225334"/>
    <w:rPr>
      <w:rFonts w:ascii="Times New Roman" w:hAnsi="Times New Roman"/>
    </w:rPr>
  </w:style>
  <w:style w:type="paragraph" w:styleId="BodyTextIndent">
    <w:name w:val="Body Text Indent"/>
    <w:basedOn w:val="Normal"/>
    <w:rsid w:val="00225334"/>
    <w:pPr>
      <w:tabs>
        <w:tab w:val="left" w:pos="1080"/>
        <w:tab w:val="left" w:pos="1440"/>
        <w:tab w:val="left" w:pos="1800"/>
        <w:tab w:val="left" w:pos="2160"/>
      </w:tabs>
      <w:autoSpaceDE w:val="0"/>
      <w:autoSpaceDN w:val="0"/>
      <w:adjustRightInd w:val="0"/>
      <w:ind w:left="960"/>
    </w:pPr>
  </w:style>
  <w:style w:type="paragraph" w:customStyle="1" w:styleId="2">
    <w:name w:val="2"/>
    <w:basedOn w:val="Normal"/>
    <w:rsid w:val="0022533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snapToGrid w:val="0"/>
    </w:rPr>
  </w:style>
  <w:style w:type="paragraph" w:styleId="BodyTextIndent3">
    <w:name w:val="Body Text Indent 3"/>
    <w:basedOn w:val="Normal"/>
    <w:rsid w:val="00225334"/>
    <w:pPr>
      <w:autoSpaceDE w:val="0"/>
      <w:autoSpaceDN w:val="0"/>
      <w:adjustRightInd w:val="0"/>
      <w:ind w:left="1200"/>
    </w:pPr>
  </w:style>
  <w:style w:type="paragraph" w:customStyle="1" w:styleId="ci">
    <w:name w:val="ci"/>
    <w:basedOn w:val="Normal"/>
    <w:rsid w:val="0022533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225334"/>
    <w:pPr>
      <w:widowControl w:val="0"/>
      <w:ind w:left="720" w:hanging="360"/>
    </w:pPr>
    <w:rPr>
      <w:rFonts w:ascii="Times New Roman" w:hAnsi="Times New Roman"/>
      <w:snapToGrid w:val="0"/>
    </w:rPr>
  </w:style>
  <w:style w:type="paragraph" w:styleId="NormalWeb">
    <w:name w:val="Normal (Web)"/>
    <w:basedOn w:val="Normal"/>
    <w:uiPriority w:val="99"/>
    <w:rsid w:val="00225334"/>
    <w:pPr>
      <w:spacing w:before="100" w:beforeAutospacing="1" w:after="100" w:afterAutospacing="1"/>
    </w:pPr>
  </w:style>
  <w:style w:type="character" w:styleId="Strong">
    <w:name w:val="Strong"/>
    <w:qFormat/>
    <w:rsid w:val="00225334"/>
    <w:rPr>
      <w:b/>
      <w:bCs/>
    </w:rPr>
  </w:style>
  <w:style w:type="paragraph" w:styleId="FootnoteText">
    <w:name w:val="footnote text"/>
    <w:basedOn w:val="Normal"/>
    <w:semiHidden/>
    <w:rsid w:val="00225334"/>
  </w:style>
  <w:style w:type="character" w:styleId="FollowedHyperlink">
    <w:name w:val="FollowedHyperlink"/>
    <w:rsid w:val="00225334"/>
    <w:rPr>
      <w:color w:val="800080"/>
      <w:u w:val="single"/>
    </w:rPr>
  </w:style>
  <w:style w:type="paragraph" w:customStyle="1" w:styleId="hangingpara">
    <w:name w:val="hanging para"/>
    <w:basedOn w:val="Normal"/>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snapToGrid w:val="0"/>
    </w:rPr>
  </w:style>
  <w:style w:type="paragraph" w:customStyle="1" w:styleId="level20">
    <w:name w:val="level2"/>
    <w:basedOn w:val="BodyText2"/>
    <w:rsid w:val="00225334"/>
    <w:pPr>
      <w:tabs>
        <w:tab w:val="num" w:pos="720"/>
        <w:tab w:val="num" w:pos="2880"/>
      </w:tabs>
      <w:spacing w:before="120" w:line="216" w:lineRule="auto"/>
      <w:ind w:left="720" w:hanging="180"/>
    </w:pPr>
    <w:rPr>
      <w:b/>
      <w:i/>
      <w:snapToGrid w:val="0"/>
      <w:sz w:val="24"/>
    </w:rPr>
  </w:style>
  <w:style w:type="paragraph" w:styleId="E-mailSignature">
    <w:name w:val="E-mail Signature"/>
    <w:basedOn w:val="Normal"/>
    <w:rsid w:val="00225334"/>
    <w:rPr>
      <w:rFonts w:ascii="Times New Roman" w:eastAsia="Arial Unicode MS" w:hAnsi="Times New Roman"/>
    </w:rPr>
  </w:style>
  <w:style w:type="paragraph" w:styleId="EnvelopeReturn">
    <w:name w:val="envelope return"/>
    <w:basedOn w:val="Normal"/>
    <w:rsid w:val="00225334"/>
    <w:rPr>
      <w:rFonts w:ascii="Times New Roman" w:hAnsi="Times New Roman"/>
    </w:rPr>
  </w:style>
  <w:style w:type="character" w:styleId="Emphasis">
    <w:name w:val="Emphasis"/>
    <w:uiPriority w:val="20"/>
    <w:qFormat/>
    <w:rsid w:val="00225334"/>
    <w:rPr>
      <w:i/>
      <w:iCs/>
    </w:rPr>
  </w:style>
  <w:style w:type="paragraph" w:styleId="TOC1">
    <w:name w:val="toc 1"/>
    <w:basedOn w:val="Normal"/>
    <w:next w:val="Normal"/>
    <w:autoRedefine/>
    <w:uiPriority w:val="39"/>
    <w:rsid w:val="00BA395A"/>
    <w:pPr>
      <w:tabs>
        <w:tab w:val="left" w:pos="540"/>
        <w:tab w:val="right" w:leader="dot" w:pos="9350"/>
      </w:tabs>
      <w:spacing w:after="100"/>
      <w:ind w:left="-58" w:firstLine="29"/>
      <w:jc w:val="center"/>
    </w:pPr>
    <w:rPr>
      <w:b/>
    </w:rPr>
  </w:style>
  <w:style w:type="character" w:customStyle="1" w:styleId="1Char">
    <w:name w:val="1 Char"/>
    <w:rsid w:val="00225334"/>
    <w:rPr>
      <w:rFonts w:ascii="Palatino" w:hAnsi="Palatino"/>
      <w:snapToGrid w:val="0"/>
      <w:sz w:val="24"/>
      <w:lang w:val="en-US" w:eastAsia="en-US" w:bidi="ar-SA"/>
    </w:rPr>
  </w:style>
  <w:style w:type="paragraph" w:styleId="BodyText3">
    <w:name w:val="Body Text 3"/>
    <w:basedOn w:val="Normal"/>
    <w:rsid w:val="002253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Level3">
    <w:name w:val="Level 3"/>
    <w:basedOn w:val="Normal"/>
    <w:rsid w:val="00225334"/>
    <w:pPr>
      <w:widowControl w:val="0"/>
      <w:numPr>
        <w:ilvl w:val="2"/>
        <w:numId w:val="2"/>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225334"/>
    <w:pPr>
      <w:widowControl w:val="0"/>
      <w:numPr>
        <w:ilvl w:val="1"/>
        <w:numId w:val="2"/>
      </w:numPr>
      <w:autoSpaceDE w:val="0"/>
      <w:autoSpaceDN w:val="0"/>
      <w:adjustRightInd w:val="0"/>
      <w:ind w:left="1440" w:hanging="720"/>
      <w:outlineLvl w:val="1"/>
    </w:pPr>
    <w:rPr>
      <w:rFonts w:ascii="CG Omega" w:hAnsi="CG Omega"/>
      <w:sz w:val="20"/>
    </w:rPr>
  </w:style>
  <w:style w:type="paragraph" w:styleId="BalloonText">
    <w:name w:val="Balloon Text"/>
    <w:basedOn w:val="Normal"/>
    <w:semiHidden/>
    <w:rsid w:val="00225334"/>
    <w:rPr>
      <w:rFonts w:ascii="Tahoma" w:hAnsi="Tahoma" w:cs="Tahoma"/>
      <w:sz w:val="16"/>
      <w:szCs w:val="16"/>
    </w:rPr>
  </w:style>
  <w:style w:type="paragraph" w:styleId="HTMLPreformatted">
    <w:name w:val="HTML Preformatted"/>
    <w:basedOn w:val="Normal"/>
    <w:link w:val="HTMLPreformattedChar"/>
    <w:rsid w:val="0022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paragraph" w:styleId="BlockText">
    <w:name w:val="Block Text"/>
    <w:basedOn w:val="Normal"/>
    <w:rsid w:val="00225334"/>
    <w:pPr>
      <w:ind w:left="1300" w:right="1360"/>
    </w:pPr>
    <w:rPr>
      <w:sz w:val="20"/>
    </w:rPr>
  </w:style>
  <w:style w:type="table" w:styleId="TableGrid">
    <w:name w:val="Table Grid"/>
    <w:basedOn w:val="TableNormal"/>
    <w:rsid w:val="0022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25334"/>
    <w:pPr>
      <w:numPr>
        <w:numId w:val="3"/>
      </w:numPr>
    </w:pPr>
  </w:style>
  <w:style w:type="paragraph" w:customStyle="1" w:styleId="1-indent">
    <w:name w:val="1-indent"/>
    <w:basedOn w:val="Normal"/>
    <w:rsid w:val="00225334"/>
    <w:pPr>
      <w:ind w:left="720"/>
    </w:pPr>
    <w:rPr>
      <w:rFonts w:ascii="Palatino" w:hAnsi="Palatino" w:cs="Times New Roman"/>
      <w:bCs w:val="0"/>
      <w:szCs w:val="24"/>
    </w:rPr>
  </w:style>
  <w:style w:type="paragraph" w:styleId="CommentText">
    <w:name w:val="annotation text"/>
    <w:basedOn w:val="Normal"/>
    <w:link w:val="CommentTextChar"/>
    <w:semiHidden/>
    <w:rsid w:val="00225334"/>
    <w:rPr>
      <w:bCs w:val="0"/>
      <w:sz w:val="20"/>
    </w:rPr>
  </w:style>
  <w:style w:type="paragraph" w:customStyle="1" w:styleId="A-Plain">
    <w:name w:val="A-Plain"/>
    <w:basedOn w:val="Normal"/>
    <w:rsid w:val="00225334"/>
    <w:pPr>
      <w:ind w:left="1440"/>
    </w:pPr>
    <w:rPr>
      <w:rFonts w:ascii="Palatino" w:hAnsi="Palatino" w:cs="Times New Roman"/>
      <w:bCs w:val="0"/>
      <w:szCs w:val="24"/>
    </w:rPr>
  </w:style>
  <w:style w:type="numbering" w:styleId="111111">
    <w:name w:val="Outline List 2"/>
    <w:basedOn w:val="NoList"/>
    <w:rsid w:val="00225334"/>
    <w:pPr>
      <w:numPr>
        <w:numId w:val="4"/>
      </w:numPr>
    </w:pPr>
  </w:style>
  <w:style w:type="character" w:styleId="CommentReference">
    <w:name w:val="annotation reference"/>
    <w:semiHidden/>
    <w:rsid w:val="00225334"/>
    <w:rPr>
      <w:sz w:val="16"/>
      <w:szCs w:val="16"/>
    </w:rPr>
  </w:style>
  <w:style w:type="paragraph" w:styleId="CommentSubject">
    <w:name w:val="annotation subject"/>
    <w:basedOn w:val="CommentText"/>
    <w:next w:val="CommentText"/>
    <w:semiHidden/>
    <w:rsid w:val="00225334"/>
    <w:rPr>
      <w:b/>
      <w:bCs/>
    </w:rPr>
  </w:style>
  <w:style w:type="character" w:customStyle="1" w:styleId="PlainTextChar">
    <w:name w:val="Plain Text Char"/>
    <w:link w:val="PlainText"/>
    <w:semiHidden/>
    <w:locked/>
    <w:rsid w:val="00225334"/>
    <w:rPr>
      <w:rFonts w:ascii="Arial" w:hAnsi="Arial"/>
      <w:sz w:val="28"/>
      <w:szCs w:val="21"/>
      <w:lang w:bidi="ar-SA"/>
    </w:rPr>
  </w:style>
  <w:style w:type="paragraph" w:styleId="PlainText">
    <w:name w:val="Plain Text"/>
    <w:basedOn w:val="Normal"/>
    <w:link w:val="PlainTextChar"/>
    <w:semiHidden/>
    <w:rsid w:val="00225334"/>
    <w:rPr>
      <w:rFonts w:cs="Times New Roman"/>
      <w:bCs w:val="0"/>
      <w:sz w:val="28"/>
      <w:szCs w:val="21"/>
    </w:rPr>
  </w:style>
  <w:style w:type="paragraph" w:customStyle="1" w:styleId="nospacing">
    <w:name w:val="nospacing"/>
    <w:basedOn w:val="Normal"/>
    <w:rsid w:val="00225334"/>
    <w:pPr>
      <w:spacing w:before="79" w:after="240"/>
    </w:pPr>
    <w:rPr>
      <w:rFonts w:ascii="Times New Roman" w:hAnsi="Times New Roman" w:cs="Times New Roman"/>
      <w:bCs w:val="0"/>
      <w:szCs w:val="24"/>
    </w:rPr>
  </w:style>
  <w:style w:type="numbering" w:styleId="1ai">
    <w:name w:val="Outline List 1"/>
    <w:basedOn w:val="NoList"/>
    <w:rsid w:val="00225334"/>
    <w:pPr>
      <w:numPr>
        <w:numId w:val="5"/>
      </w:numPr>
    </w:pPr>
  </w:style>
  <w:style w:type="character" w:customStyle="1" w:styleId="FooterChar">
    <w:name w:val="Footer Char"/>
    <w:link w:val="Footer"/>
    <w:uiPriority w:val="99"/>
    <w:locked/>
    <w:rsid w:val="003774EA"/>
    <w:rPr>
      <w:rFonts w:ascii="Arial" w:hAnsi="Arial" w:cs="Arial"/>
      <w:bCs/>
      <w:sz w:val="24"/>
      <w:lang w:val="en-US" w:eastAsia="en-US" w:bidi="ar-SA"/>
    </w:rPr>
  </w:style>
  <w:style w:type="paragraph" w:styleId="DocumentMap">
    <w:name w:val="Document Map"/>
    <w:basedOn w:val="Normal"/>
    <w:semiHidden/>
    <w:rsid w:val="00F94D22"/>
    <w:pPr>
      <w:shd w:val="clear" w:color="auto" w:fill="000080"/>
    </w:pPr>
    <w:rPr>
      <w:rFonts w:ascii="Tahoma" w:hAnsi="Tahoma" w:cs="Tahoma"/>
      <w:sz w:val="20"/>
    </w:rPr>
  </w:style>
  <w:style w:type="paragraph" w:styleId="Revision">
    <w:name w:val="Revision"/>
    <w:hidden/>
    <w:uiPriority w:val="99"/>
    <w:semiHidden/>
    <w:rsid w:val="007128EC"/>
    <w:rPr>
      <w:rFonts w:ascii="Arial" w:hAnsi="Arial" w:cs="Arial"/>
      <w:bCs/>
      <w:sz w:val="24"/>
    </w:rPr>
  </w:style>
  <w:style w:type="paragraph" w:styleId="ListParagraph">
    <w:name w:val="List Paragraph"/>
    <w:basedOn w:val="Normal"/>
    <w:uiPriority w:val="34"/>
    <w:qFormat/>
    <w:rsid w:val="00F363B2"/>
    <w:pPr>
      <w:ind w:left="720"/>
    </w:pPr>
  </w:style>
  <w:style w:type="character" w:customStyle="1" w:styleId="HeaderChar">
    <w:name w:val="Header Char"/>
    <w:link w:val="Header"/>
    <w:locked/>
    <w:rsid w:val="00317B67"/>
    <w:rPr>
      <w:rFonts w:ascii="Arial" w:hAnsi="Arial" w:cs="Arial"/>
      <w:bCs/>
      <w:sz w:val="24"/>
    </w:rPr>
  </w:style>
  <w:style w:type="numbering" w:customStyle="1" w:styleId="Style2">
    <w:name w:val="Style2"/>
    <w:rsid w:val="00562C98"/>
    <w:pPr>
      <w:numPr>
        <w:numId w:val="6"/>
      </w:numPr>
    </w:pPr>
  </w:style>
  <w:style w:type="character" w:customStyle="1" w:styleId="CommentTextChar">
    <w:name w:val="Comment Text Char"/>
    <w:link w:val="CommentText"/>
    <w:semiHidden/>
    <w:locked/>
    <w:rsid w:val="00DD1A5E"/>
    <w:rPr>
      <w:rFonts w:ascii="Arial" w:hAnsi="Arial" w:cs="Arial"/>
    </w:rPr>
  </w:style>
  <w:style w:type="character" w:customStyle="1" w:styleId="HTMLPreformattedChar">
    <w:name w:val="HTML Preformatted Char"/>
    <w:link w:val="HTMLPreformatted"/>
    <w:locked/>
    <w:rsid w:val="00F736F2"/>
    <w:rPr>
      <w:rFonts w:ascii="Arial Unicode MS" w:eastAsia="Arial Unicode MS" w:hAnsi="Arial Unicode MS" w:cs="Arial Unicode MS"/>
    </w:rPr>
  </w:style>
  <w:style w:type="paragraph" w:customStyle="1" w:styleId="Pa1">
    <w:name w:val="Pa1"/>
    <w:basedOn w:val="Normal"/>
    <w:next w:val="Normal"/>
    <w:uiPriority w:val="99"/>
    <w:rsid w:val="00F736F2"/>
    <w:pPr>
      <w:autoSpaceDE w:val="0"/>
      <w:autoSpaceDN w:val="0"/>
      <w:adjustRightInd w:val="0"/>
      <w:spacing w:line="201" w:lineRule="atLeast"/>
    </w:pPr>
    <w:rPr>
      <w:rFonts w:ascii="Frutiger 45 Light" w:hAnsi="Frutiger 45 Light" w:cs="Times New Roman"/>
      <w:bCs w:val="0"/>
      <w:szCs w:val="24"/>
    </w:rPr>
  </w:style>
  <w:style w:type="paragraph" w:styleId="EndnoteText">
    <w:name w:val="endnote text"/>
    <w:basedOn w:val="Normal"/>
    <w:link w:val="EndnoteTextChar"/>
    <w:rsid w:val="00673C3F"/>
    <w:rPr>
      <w:sz w:val="20"/>
    </w:rPr>
  </w:style>
  <w:style w:type="character" w:customStyle="1" w:styleId="EndnoteTextChar">
    <w:name w:val="Endnote Text Char"/>
    <w:basedOn w:val="DefaultParagraphFont"/>
    <w:link w:val="EndnoteText"/>
    <w:rsid w:val="00673C3F"/>
    <w:rPr>
      <w:rFonts w:ascii="Arial" w:hAnsi="Arial" w:cs="Arial"/>
      <w:bCs/>
    </w:rPr>
  </w:style>
  <w:style w:type="character" w:styleId="EndnoteReference">
    <w:name w:val="endnote reference"/>
    <w:basedOn w:val="DefaultParagraphFont"/>
    <w:rsid w:val="00673C3F"/>
    <w:rPr>
      <w:vertAlign w:val="superscript"/>
    </w:rPr>
  </w:style>
  <w:style w:type="paragraph" w:customStyle="1" w:styleId="Default">
    <w:name w:val="Default"/>
    <w:rsid w:val="00673C3F"/>
    <w:pPr>
      <w:autoSpaceDE w:val="0"/>
      <w:autoSpaceDN w:val="0"/>
      <w:adjustRightInd w:val="0"/>
    </w:pPr>
    <w:rPr>
      <w:rFonts w:ascii="Myriad Pro" w:hAnsi="Myriad Pro" w:cs="Myriad Pro"/>
      <w:color w:val="000000"/>
      <w:sz w:val="24"/>
      <w:szCs w:val="24"/>
    </w:rPr>
  </w:style>
  <w:style w:type="character" w:customStyle="1" w:styleId="A6">
    <w:name w:val="A6"/>
    <w:uiPriority w:val="99"/>
    <w:rsid w:val="00673C3F"/>
    <w:rPr>
      <w:rFonts w:cs="Myriad Pro"/>
      <w:b/>
      <w:bCs/>
      <w:color w:val="000000"/>
      <w:sz w:val="27"/>
      <w:szCs w:val="27"/>
    </w:rPr>
  </w:style>
  <w:style w:type="paragraph" w:customStyle="1" w:styleId="resourceeditors">
    <w:name w:val="resource_editors"/>
    <w:basedOn w:val="Normal"/>
    <w:rsid w:val="0011778D"/>
    <w:pPr>
      <w:spacing w:before="100" w:beforeAutospacing="1" w:after="100" w:afterAutospacing="1"/>
    </w:pPr>
    <w:rPr>
      <w:rFonts w:ascii="Times New Roman" w:hAnsi="Times New Roman" w:cs="Times New Roman"/>
      <w:bCs w:val="0"/>
      <w:sz w:val="21"/>
      <w:szCs w:val="21"/>
    </w:rPr>
  </w:style>
  <w:style w:type="character" w:customStyle="1" w:styleId="BodyTextIndent2Char">
    <w:name w:val="Body Text Indent 2 Char"/>
    <w:basedOn w:val="DefaultParagraphFont"/>
    <w:link w:val="BodyTextIndent2"/>
    <w:rsid w:val="00E41774"/>
    <w:rPr>
      <w:rFonts w:ascii="Arial" w:hAnsi="Arial" w:cs="Arial"/>
      <w:bCs/>
      <w:sz w:val="24"/>
    </w:rPr>
  </w:style>
  <w:style w:type="character" w:customStyle="1" w:styleId="TitleChar">
    <w:name w:val="Title Char"/>
    <w:link w:val="Title"/>
    <w:rsid w:val="00AE6458"/>
    <w:rPr>
      <w:rFonts w:cs="Arial"/>
      <w:b/>
      <w:bCs/>
      <w:snapToGrid w:val="0"/>
      <w:sz w:val="26"/>
    </w:rPr>
  </w:style>
  <w:style w:type="character" w:styleId="SubtleEmphasis">
    <w:name w:val="Subtle Emphasis"/>
    <w:uiPriority w:val="19"/>
    <w:qFormat/>
    <w:rsid w:val="00AE6458"/>
    <w:rPr>
      <w:i/>
      <w:iCs/>
      <w:color w:val="404040"/>
    </w:rPr>
  </w:style>
  <w:style w:type="character" w:styleId="IntenseEmphasis">
    <w:name w:val="Intense Emphasis"/>
    <w:basedOn w:val="DefaultParagraphFont"/>
    <w:uiPriority w:val="21"/>
    <w:qFormat/>
    <w:rsid w:val="003F6C55"/>
    <w:rPr>
      <w:i/>
      <w:iCs/>
      <w:color w:val="5B9BD5" w:themeColor="accent1"/>
    </w:rPr>
  </w:style>
  <w:style w:type="paragraph" w:styleId="NoSpacing0">
    <w:name w:val="No Spacing"/>
    <w:uiPriority w:val="1"/>
    <w:qFormat/>
    <w:rsid w:val="000A7C15"/>
    <w:rPr>
      <w:rFonts w:ascii="Arial" w:hAnsi="Arial" w:cs="Arial"/>
      <w:bCs/>
      <w:sz w:val="24"/>
    </w:rPr>
  </w:style>
  <w:style w:type="paragraph" w:styleId="TOCHeading">
    <w:name w:val="TOC Heading"/>
    <w:basedOn w:val="Heading1"/>
    <w:next w:val="Normal"/>
    <w:uiPriority w:val="39"/>
    <w:unhideWhenUsed/>
    <w:qFormat/>
    <w:rsid w:val="00F463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973989"/>
    <w:pPr>
      <w:tabs>
        <w:tab w:val="left" w:pos="880"/>
        <w:tab w:val="right" w:leader="dot" w:pos="9350"/>
      </w:tabs>
      <w:spacing w:before="240" w:after="240"/>
      <w:ind w:left="907" w:hanging="997"/>
    </w:pPr>
    <w:rPr>
      <w:rFonts w:eastAsia="Calibri"/>
      <w:b/>
      <w:noProof/>
    </w:rPr>
  </w:style>
  <w:style w:type="paragraph" w:styleId="TOC3">
    <w:name w:val="toc 3"/>
    <w:basedOn w:val="Normal"/>
    <w:next w:val="Normal"/>
    <w:autoRedefine/>
    <w:uiPriority w:val="39"/>
    <w:rsid w:val="00396AE2"/>
    <w:pPr>
      <w:tabs>
        <w:tab w:val="left" w:pos="900"/>
        <w:tab w:val="right" w:leader="dot" w:pos="9350"/>
      </w:tabs>
      <w:ind w:left="230"/>
    </w:pPr>
    <w:rPr>
      <w:noProof/>
    </w:rPr>
  </w:style>
  <w:style w:type="character" w:customStyle="1" w:styleId="BodyTextChar">
    <w:name w:val="Body Text Char"/>
    <w:basedOn w:val="DefaultParagraphFont"/>
    <w:link w:val="BodyText"/>
    <w:rsid w:val="00524613"/>
    <w:rPr>
      <w:rFonts w:cs="Arial"/>
      <w:bCs/>
      <w:sz w:val="24"/>
    </w:rPr>
  </w:style>
  <w:style w:type="character" w:customStyle="1" w:styleId="ListBulletChar">
    <w:name w:val="List Bullet Char"/>
    <w:link w:val="ListBullet"/>
    <w:rsid w:val="00EC00A9"/>
    <w:rPr>
      <w:rFonts w:ascii="Arial" w:hAnsi="Arial"/>
      <w:sz w:val="24"/>
      <w:szCs w:val="24"/>
    </w:rPr>
  </w:style>
  <w:style w:type="paragraph" w:styleId="ListBullet">
    <w:name w:val="List Bullet"/>
    <w:basedOn w:val="BodyText"/>
    <w:link w:val="ListBulletChar"/>
    <w:rsid w:val="00EC00A9"/>
    <w:pPr>
      <w:numPr>
        <w:numId w:val="10"/>
      </w:numPr>
      <w:tabs>
        <w:tab w:val="left" w:pos="720"/>
      </w:tabs>
      <w:spacing w:before="60" w:after="120" w:line="360" w:lineRule="auto"/>
    </w:pPr>
    <w:rPr>
      <w:rFonts w:ascii="Arial" w:hAnsi="Arial" w:cs="Times New Roman"/>
      <w:bCs w:val="0"/>
      <w:szCs w:val="24"/>
    </w:rPr>
  </w:style>
  <w:style w:type="paragraph" w:styleId="ListBullet2">
    <w:name w:val="List Bullet 2"/>
    <w:basedOn w:val="Normal"/>
    <w:link w:val="ListBullet2Char"/>
    <w:rsid w:val="00EC00A9"/>
    <w:pPr>
      <w:numPr>
        <w:numId w:val="11"/>
      </w:numPr>
      <w:spacing w:before="60" w:after="120" w:line="360" w:lineRule="auto"/>
    </w:pPr>
    <w:rPr>
      <w:rFonts w:eastAsia="Calibri" w:cs="Calibri"/>
      <w:bCs w:val="0"/>
      <w:szCs w:val="24"/>
    </w:rPr>
  </w:style>
  <w:style w:type="character" w:customStyle="1" w:styleId="ListBullet2Char">
    <w:name w:val="List Bullet 2 Char"/>
    <w:link w:val="ListBullet2"/>
    <w:rsid w:val="00EC00A9"/>
    <w:rPr>
      <w:rFonts w:ascii="Arial" w:eastAsia="Calibri" w:hAnsi="Arial" w:cs="Calibri"/>
      <w:sz w:val="24"/>
      <w:szCs w:val="24"/>
    </w:rPr>
  </w:style>
  <w:style w:type="paragraph" w:customStyle="1" w:styleId="Header2">
    <w:name w:val="Header 2"/>
    <w:basedOn w:val="Normal"/>
    <w:link w:val="Header2Char"/>
    <w:qFormat/>
    <w:rsid w:val="00D54BE6"/>
    <w:pPr>
      <w:spacing w:after="480"/>
      <w:ind w:left="360" w:hanging="360"/>
      <w:outlineLvl w:val="1"/>
    </w:pPr>
    <w:rPr>
      <w:b/>
      <w:szCs w:val="24"/>
    </w:rPr>
  </w:style>
  <w:style w:type="character" w:customStyle="1" w:styleId="Header2Char">
    <w:name w:val="Header 2 Char"/>
    <w:basedOn w:val="DefaultParagraphFont"/>
    <w:link w:val="Header2"/>
    <w:rsid w:val="00D54BE6"/>
    <w:rPr>
      <w:rFonts w:ascii="Arial" w:hAnsi="Arial" w:cs="Arial"/>
      <w:b/>
      <w:bCs/>
      <w:sz w:val="24"/>
      <w:szCs w:val="24"/>
    </w:rPr>
  </w:style>
  <w:style w:type="character" w:styleId="UnresolvedMention">
    <w:name w:val="Unresolved Mention"/>
    <w:basedOn w:val="DefaultParagraphFont"/>
    <w:uiPriority w:val="99"/>
    <w:semiHidden/>
    <w:unhideWhenUsed/>
    <w:rsid w:val="00B83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9588">
      <w:bodyDiv w:val="1"/>
      <w:marLeft w:val="0"/>
      <w:marRight w:val="0"/>
      <w:marTop w:val="0"/>
      <w:marBottom w:val="0"/>
      <w:divBdr>
        <w:top w:val="none" w:sz="0" w:space="0" w:color="auto"/>
        <w:left w:val="none" w:sz="0" w:space="0" w:color="auto"/>
        <w:bottom w:val="none" w:sz="0" w:space="0" w:color="auto"/>
        <w:right w:val="none" w:sz="0" w:space="0" w:color="auto"/>
      </w:divBdr>
    </w:div>
    <w:div w:id="448477122">
      <w:bodyDiv w:val="1"/>
      <w:marLeft w:val="0"/>
      <w:marRight w:val="0"/>
      <w:marTop w:val="0"/>
      <w:marBottom w:val="0"/>
      <w:divBdr>
        <w:top w:val="none" w:sz="0" w:space="0" w:color="auto"/>
        <w:left w:val="none" w:sz="0" w:space="0" w:color="auto"/>
        <w:bottom w:val="none" w:sz="0" w:space="0" w:color="auto"/>
        <w:right w:val="none" w:sz="0" w:space="0" w:color="auto"/>
      </w:divBdr>
    </w:div>
    <w:div w:id="615067218">
      <w:bodyDiv w:val="1"/>
      <w:marLeft w:val="0"/>
      <w:marRight w:val="0"/>
      <w:marTop w:val="0"/>
      <w:marBottom w:val="0"/>
      <w:divBdr>
        <w:top w:val="none" w:sz="0" w:space="0" w:color="auto"/>
        <w:left w:val="none" w:sz="0" w:space="0" w:color="auto"/>
        <w:bottom w:val="none" w:sz="0" w:space="0" w:color="auto"/>
        <w:right w:val="none" w:sz="0" w:space="0" w:color="auto"/>
      </w:divBdr>
    </w:div>
    <w:div w:id="637225683">
      <w:bodyDiv w:val="1"/>
      <w:marLeft w:val="0"/>
      <w:marRight w:val="0"/>
      <w:marTop w:val="0"/>
      <w:marBottom w:val="0"/>
      <w:divBdr>
        <w:top w:val="none" w:sz="0" w:space="0" w:color="auto"/>
        <w:left w:val="none" w:sz="0" w:space="0" w:color="auto"/>
        <w:bottom w:val="none" w:sz="0" w:space="0" w:color="auto"/>
        <w:right w:val="none" w:sz="0" w:space="0" w:color="auto"/>
      </w:divBdr>
    </w:div>
    <w:div w:id="738788965">
      <w:bodyDiv w:val="1"/>
      <w:marLeft w:val="0"/>
      <w:marRight w:val="0"/>
      <w:marTop w:val="0"/>
      <w:marBottom w:val="0"/>
      <w:divBdr>
        <w:top w:val="none" w:sz="0" w:space="0" w:color="auto"/>
        <w:left w:val="none" w:sz="0" w:space="0" w:color="auto"/>
        <w:bottom w:val="none" w:sz="0" w:space="0" w:color="auto"/>
        <w:right w:val="none" w:sz="0" w:space="0" w:color="auto"/>
      </w:divBdr>
    </w:div>
    <w:div w:id="869297021">
      <w:bodyDiv w:val="1"/>
      <w:marLeft w:val="0"/>
      <w:marRight w:val="0"/>
      <w:marTop w:val="0"/>
      <w:marBottom w:val="0"/>
      <w:divBdr>
        <w:top w:val="none" w:sz="0" w:space="0" w:color="auto"/>
        <w:left w:val="none" w:sz="0" w:space="0" w:color="auto"/>
        <w:bottom w:val="none" w:sz="0" w:space="0" w:color="auto"/>
        <w:right w:val="none" w:sz="0" w:space="0" w:color="auto"/>
      </w:divBdr>
    </w:div>
    <w:div w:id="1101335351">
      <w:bodyDiv w:val="1"/>
      <w:marLeft w:val="0"/>
      <w:marRight w:val="0"/>
      <w:marTop w:val="0"/>
      <w:marBottom w:val="0"/>
      <w:divBdr>
        <w:top w:val="none" w:sz="0" w:space="0" w:color="auto"/>
        <w:left w:val="none" w:sz="0" w:space="0" w:color="auto"/>
        <w:bottom w:val="none" w:sz="0" w:space="0" w:color="auto"/>
        <w:right w:val="none" w:sz="0" w:space="0" w:color="auto"/>
      </w:divBdr>
    </w:div>
    <w:div w:id="1103262437">
      <w:bodyDiv w:val="1"/>
      <w:marLeft w:val="0"/>
      <w:marRight w:val="0"/>
      <w:marTop w:val="0"/>
      <w:marBottom w:val="0"/>
      <w:divBdr>
        <w:top w:val="none" w:sz="0" w:space="0" w:color="auto"/>
        <w:left w:val="none" w:sz="0" w:space="0" w:color="auto"/>
        <w:bottom w:val="none" w:sz="0" w:space="0" w:color="auto"/>
        <w:right w:val="none" w:sz="0" w:space="0" w:color="auto"/>
      </w:divBdr>
    </w:div>
    <w:div w:id="1404794792">
      <w:bodyDiv w:val="1"/>
      <w:marLeft w:val="0"/>
      <w:marRight w:val="0"/>
      <w:marTop w:val="0"/>
      <w:marBottom w:val="0"/>
      <w:divBdr>
        <w:top w:val="none" w:sz="0" w:space="0" w:color="auto"/>
        <w:left w:val="none" w:sz="0" w:space="0" w:color="auto"/>
        <w:bottom w:val="none" w:sz="0" w:space="0" w:color="auto"/>
        <w:right w:val="none" w:sz="0" w:space="0" w:color="auto"/>
      </w:divBdr>
    </w:div>
    <w:div w:id="1421561121">
      <w:bodyDiv w:val="1"/>
      <w:marLeft w:val="0"/>
      <w:marRight w:val="0"/>
      <w:marTop w:val="0"/>
      <w:marBottom w:val="0"/>
      <w:divBdr>
        <w:top w:val="none" w:sz="0" w:space="0" w:color="auto"/>
        <w:left w:val="none" w:sz="0" w:space="0" w:color="auto"/>
        <w:bottom w:val="none" w:sz="0" w:space="0" w:color="auto"/>
        <w:right w:val="none" w:sz="0" w:space="0" w:color="auto"/>
      </w:divBdr>
    </w:div>
    <w:div w:id="1468737155">
      <w:bodyDiv w:val="1"/>
      <w:marLeft w:val="0"/>
      <w:marRight w:val="0"/>
      <w:marTop w:val="0"/>
      <w:marBottom w:val="0"/>
      <w:divBdr>
        <w:top w:val="none" w:sz="0" w:space="0" w:color="auto"/>
        <w:left w:val="none" w:sz="0" w:space="0" w:color="auto"/>
        <w:bottom w:val="none" w:sz="0" w:space="0" w:color="auto"/>
        <w:right w:val="none" w:sz="0" w:space="0" w:color="auto"/>
      </w:divBdr>
    </w:div>
    <w:div w:id="1499543262">
      <w:bodyDiv w:val="1"/>
      <w:marLeft w:val="0"/>
      <w:marRight w:val="0"/>
      <w:marTop w:val="0"/>
      <w:marBottom w:val="0"/>
      <w:divBdr>
        <w:top w:val="none" w:sz="0" w:space="0" w:color="auto"/>
        <w:left w:val="none" w:sz="0" w:space="0" w:color="auto"/>
        <w:bottom w:val="none" w:sz="0" w:space="0" w:color="auto"/>
        <w:right w:val="none" w:sz="0" w:space="0" w:color="auto"/>
      </w:divBdr>
    </w:div>
    <w:div w:id="1503355006">
      <w:bodyDiv w:val="1"/>
      <w:marLeft w:val="0"/>
      <w:marRight w:val="0"/>
      <w:marTop w:val="0"/>
      <w:marBottom w:val="0"/>
      <w:divBdr>
        <w:top w:val="none" w:sz="0" w:space="0" w:color="auto"/>
        <w:left w:val="none" w:sz="0" w:space="0" w:color="auto"/>
        <w:bottom w:val="none" w:sz="0" w:space="0" w:color="auto"/>
        <w:right w:val="none" w:sz="0" w:space="0" w:color="auto"/>
      </w:divBdr>
    </w:div>
    <w:div w:id="1513952924">
      <w:bodyDiv w:val="1"/>
      <w:marLeft w:val="0"/>
      <w:marRight w:val="0"/>
      <w:marTop w:val="0"/>
      <w:marBottom w:val="0"/>
      <w:divBdr>
        <w:top w:val="none" w:sz="0" w:space="0" w:color="auto"/>
        <w:left w:val="none" w:sz="0" w:space="0" w:color="auto"/>
        <w:bottom w:val="none" w:sz="0" w:space="0" w:color="auto"/>
        <w:right w:val="none" w:sz="0" w:space="0" w:color="auto"/>
      </w:divBdr>
    </w:div>
    <w:div w:id="1524123528">
      <w:bodyDiv w:val="1"/>
      <w:marLeft w:val="0"/>
      <w:marRight w:val="0"/>
      <w:marTop w:val="0"/>
      <w:marBottom w:val="0"/>
      <w:divBdr>
        <w:top w:val="none" w:sz="0" w:space="0" w:color="auto"/>
        <w:left w:val="none" w:sz="0" w:space="0" w:color="auto"/>
        <w:bottom w:val="none" w:sz="0" w:space="0" w:color="auto"/>
        <w:right w:val="none" w:sz="0" w:space="0" w:color="auto"/>
      </w:divBdr>
      <w:divsChild>
        <w:div w:id="1440024185">
          <w:marLeft w:val="0"/>
          <w:marRight w:val="0"/>
          <w:marTop w:val="0"/>
          <w:marBottom w:val="0"/>
          <w:divBdr>
            <w:top w:val="none" w:sz="0" w:space="0" w:color="auto"/>
            <w:left w:val="none" w:sz="0" w:space="0" w:color="auto"/>
            <w:bottom w:val="none" w:sz="0" w:space="0" w:color="auto"/>
            <w:right w:val="none" w:sz="0" w:space="0" w:color="auto"/>
          </w:divBdr>
          <w:divsChild>
            <w:div w:id="1802112126">
              <w:marLeft w:val="0"/>
              <w:marRight w:val="0"/>
              <w:marTop w:val="0"/>
              <w:marBottom w:val="150"/>
              <w:divBdr>
                <w:top w:val="single" w:sz="48" w:space="8" w:color="95ADBB"/>
                <w:left w:val="none" w:sz="0" w:space="0" w:color="auto"/>
                <w:bottom w:val="none" w:sz="0" w:space="0" w:color="auto"/>
                <w:right w:val="none" w:sz="0" w:space="0" w:color="auto"/>
              </w:divBdr>
              <w:divsChild>
                <w:div w:id="1175849364">
                  <w:marLeft w:val="0"/>
                  <w:marRight w:val="0"/>
                  <w:marTop w:val="0"/>
                  <w:marBottom w:val="0"/>
                  <w:divBdr>
                    <w:top w:val="none" w:sz="0" w:space="0" w:color="auto"/>
                    <w:left w:val="none" w:sz="0" w:space="0" w:color="auto"/>
                    <w:bottom w:val="none" w:sz="0" w:space="0" w:color="auto"/>
                    <w:right w:val="none" w:sz="0" w:space="0" w:color="auto"/>
                  </w:divBdr>
                  <w:divsChild>
                    <w:div w:id="1367297545">
                      <w:marLeft w:val="0"/>
                      <w:marRight w:val="0"/>
                      <w:marTop w:val="0"/>
                      <w:marBottom w:val="0"/>
                      <w:divBdr>
                        <w:top w:val="none" w:sz="0" w:space="0" w:color="auto"/>
                        <w:left w:val="none" w:sz="0" w:space="0" w:color="auto"/>
                        <w:bottom w:val="none" w:sz="0" w:space="0" w:color="auto"/>
                        <w:right w:val="none" w:sz="0" w:space="0" w:color="auto"/>
                      </w:divBdr>
                      <w:divsChild>
                        <w:div w:id="412632568">
                          <w:marLeft w:val="0"/>
                          <w:marRight w:val="0"/>
                          <w:marTop w:val="0"/>
                          <w:marBottom w:val="0"/>
                          <w:divBdr>
                            <w:top w:val="none" w:sz="0" w:space="0" w:color="auto"/>
                            <w:left w:val="none" w:sz="0" w:space="0" w:color="auto"/>
                            <w:bottom w:val="none" w:sz="0" w:space="0" w:color="auto"/>
                            <w:right w:val="none" w:sz="0" w:space="0" w:color="auto"/>
                          </w:divBdr>
                          <w:divsChild>
                            <w:div w:id="1525248659">
                              <w:marLeft w:val="0"/>
                              <w:marRight w:val="0"/>
                              <w:marTop w:val="30"/>
                              <w:marBottom w:val="0"/>
                              <w:divBdr>
                                <w:top w:val="none" w:sz="0" w:space="0" w:color="auto"/>
                                <w:left w:val="none" w:sz="0" w:space="0" w:color="auto"/>
                                <w:bottom w:val="none" w:sz="0" w:space="0" w:color="auto"/>
                                <w:right w:val="none" w:sz="0" w:space="0" w:color="auto"/>
                              </w:divBdr>
                              <w:divsChild>
                                <w:div w:id="1424649880">
                                  <w:marLeft w:val="0"/>
                                  <w:marRight w:val="0"/>
                                  <w:marTop w:val="0"/>
                                  <w:marBottom w:val="0"/>
                                  <w:divBdr>
                                    <w:top w:val="none" w:sz="0" w:space="0" w:color="auto"/>
                                    <w:left w:val="none" w:sz="0" w:space="0" w:color="auto"/>
                                    <w:bottom w:val="none" w:sz="0" w:space="0" w:color="auto"/>
                                    <w:right w:val="none" w:sz="0" w:space="0" w:color="auto"/>
                                  </w:divBdr>
                                  <w:divsChild>
                                    <w:div w:id="144854217">
                                      <w:marLeft w:val="0"/>
                                      <w:marRight w:val="0"/>
                                      <w:marTop w:val="0"/>
                                      <w:marBottom w:val="0"/>
                                      <w:divBdr>
                                        <w:top w:val="none" w:sz="0" w:space="0" w:color="auto"/>
                                        <w:left w:val="none" w:sz="0" w:space="0" w:color="auto"/>
                                        <w:bottom w:val="none" w:sz="0" w:space="0" w:color="auto"/>
                                        <w:right w:val="none" w:sz="0" w:space="0" w:color="auto"/>
                                      </w:divBdr>
                                      <w:divsChild>
                                        <w:div w:id="1141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47274">
      <w:bodyDiv w:val="1"/>
      <w:marLeft w:val="0"/>
      <w:marRight w:val="0"/>
      <w:marTop w:val="0"/>
      <w:marBottom w:val="0"/>
      <w:divBdr>
        <w:top w:val="none" w:sz="0" w:space="0" w:color="auto"/>
        <w:left w:val="none" w:sz="0" w:space="0" w:color="auto"/>
        <w:bottom w:val="none" w:sz="0" w:space="0" w:color="auto"/>
        <w:right w:val="none" w:sz="0" w:space="0" w:color="auto"/>
      </w:divBdr>
    </w:div>
    <w:div w:id="1674989688">
      <w:bodyDiv w:val="1"/>
      <w:marLeft w:val="0"/>
      <w:marRight w:val="0"/>
      <w:marTop w:val="0"/>
      <w:marBottom w:val="0"/>
      <w:divBdr>
        <w:top w:val="none" w:sz="0" w:space="0" w:color="auto"/>
        <w:left w:val="none" w:sz="0" w:space="0" w:color="auto"/>
        <w:bottom w:val="none" w:sz="0" w:space="0" w:color="auto"/>
        <w:right w:val="none" w:sz="0" w:space="0" w:color="auto"/>
      </w:divBdr>
      <w:divsChild>
        <w:div w:id="1238982855">
          <w:marLeft w:val="0"/>
          <w:marRight w:val="0"/>
          <w:marTop w:val="0"/>
          <w:marBottom w:val="0"/>
          <w:divBdr>
            <w:top w:val="none" w:sz="0" w:space="0" w:color="auto"/>
            <w:left w:val="none" w:sz="0" w:space="0" w:color="auto"/>
            <w:bottom w:val="none" w:sz="0" w:space="0" w:color="auto"/>
            <w:right w:val="none" w:sz="0" w:space="0" w:color="auto"/>
          </w:divBdr>
          <w:divsChild>
            <w:div w:id="295184585">
              <w:marLeft w:val="0"/>
              <w:marRight w:val="0"/>
              <w:marTop w:val="0"/>
              <w:marBottom w:val="150"/>
              <w:divBdr>
                <w:top w:val="single" w:sz="48" w:space="8" w:color="95ADBB"/>
                <w:left w:val="none" w:sz="0" w:space="0" w:color="auto"/>
                <w:bottom w:val="none" w:sz="0" w:space="0" w:color="auto"/>
                <w:right w:val="none" w:sz="0" w:space="0" w:color="auto"/>
              </w:divBdr>
              <w:divsChild>
                <w:div w:id="1326935592">
                  <w:marLeft w:val="0"/>
                  <w:marRight w:val="0"/>
                  <w:marTop w:val="0"/>
                  <w:marBottom w:val="0"/>
                  <w:divBdr>
                    <w:top w:val="none" w:sz="0" w:space="0" w:color="auto"/>
                    <w:left w:val="none" w:sz="0" w:space="0" w:color="auto"/>
                    <w:bottom w:val="none" w:sz="0" w:space="0" w:color="auto"/>
                    <w:right w:val="none" w:sz="0" w:space="0" w:color="auto"/>
                  </w:divBdr>
                  <w:divsChild>
                    <w:div w:id="1733844377">
                      <w:marLeft w:val="0"/>
                      <w:marRight w:val="0"/>
                      <w:marTop w:val="0"/>
                      <w:marBottom w:val="0"/>
                      <w:divBdr>
                        <w:top w:val="none" w:sz="0" w:space="0" w:color="auto"/>
                        <w:left w:val="none" w:sz="0" w:space="0" w:color="auto"/>
                        <w:bottom w:val="none" w:sz="0" w:space="0" w:color="auto"/>
                        <w:right w:val="none" w:sz="0" w:space="0" w:color="auto"/>
                      </w:divBdr>
                      <w:divsChild>
                        <w:div w:id="200096394">
                          <w:marLeft w:val="0"/>
                          <w:marRight w:val="0"/>
                          <w:marTop w:val="0"/>
                          <w:marBottom w:val="0"/>
                          <w:divBdr>
                            <w:top w:val="none" w:sz="0" w:space="0" w:color="auto"/>
                            <w:left w:val="none" w:sz="0" w:space="0" w:color="auto"/>
                            <w:bottom w:val="none" w:sz="0" w:space="0" w:color="auto"/>
                            <w:right w:val="none" w:sz="0" w:space="0" w:color="auto"/>
                          </w:divBdr>
                          <w:divsChild>
                            <w:div w:id="461926692">
                              <w:marLeft w:val="0"/>
                              <w:marRight w:val="0"/>
                              <w:marTop w:val="30"/>
                              <w:marBottom w:val="0"/>
                              <w:divBdr>
                                <w:top w:val="none" w:sz="0" w:space="0" w:color="auto"/>
                                <w:left w:val="none" w:sz="0" w:space="0" w:color="auto"/>
                                <w:bottom w:val="none" w:sz="0" w:space="0" w:color="auto"/>
                                <w:right w:val="none" w:sz="0" w:space="0" w:color="auto"/>
                              </w:divBdr>
                              <w:divsChild>
                                <w:div w:id="526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0544">
      <w:bodyDiv w:val="1"/>
      <w:marLeft w:val="0"/>
      <w:marRight w:val="0"/>
      <w:marTop w:val="0"/>
      <w:marBottom w:val="0"/>
      <w:divBdr>
        <w:top w:val="none" w:sz="0" w:space="0" w:color="auto"/>
        <w:left w:val="none" w:sz="0" w:space="0" w:color="auto"/>
        <w:bottom w:val="none" w:sz="0" w:space="0" w:color="auto"/>
        <w:right w:val="none" w:sz="0" w:space="0" w:color="auto"/>
      </w:divBdr>
    </w:div>
    <w:div w:id="20895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sp/ai/re/funding.asp" TargetMode="External"/><Relationship Id="rId18" Type="http://schemas.openxmlformats.org/officeDocument/2006/relationships/hyperlink" Target="https://www.cde.ca.gov/ls/he/at/tupeoverview.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ouncilofnonprofits.org/omb-uniform-guidance-nonprofits-know-your-rights" TargetMode="External"/><Relationship Id="rId7" Type="http://schemas.openxmlformats.org/officeDocument/2006/relationships/endnotes" Target="endnotes.xml"/><Relationship Id="rId12" Type="http://schemas.openxmlformats.org/officeDocument/2006/relationships/hyperlink" Target="mailto:AmericanIndianEducation@cde.ca.gov" TargetMode="External"/><Relationship Id="rId17" Type="http://schemas.openxmlformats.org/officeDocument/2006/relationships/hyperlink" Target="mailto:cirodriguez@cde.ca.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udelgado@cde.ca.gov" TargetMode="External"/><Relationship Id="rId20" Type="http://schemas.openxmlformats.org/officeDocument/2006/relationships/hyperlink" Target="https://www.californiahealthykids.net/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youth/data/yrbs/overview.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ca.gov/fg/fo/fm/generalassurances2023-24.asp" TargetMode="External"/><Relationship Id="rId23" Type="http://schemas.openxmlformats.org/officeDocument/2006/relationships/hyperlink" Target="https://www.cde.ca.gov/ls/ex/dirctservguidance.asp"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cde.ca.gov/ls/he/at/chks.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ericanIndianEducation@cde.ca.gov" TargetMode="External"/><Relationship Id="rId22" Type="http://schemas.openxmlformats.org/officeDocument/2006/relationships/hyperlink" Target="http://www.ecfr.gov/cgi-bin/text-idx?%20SID=148e539f1aaea800420b71a9feb79f98&amp;mc=true&amp;node=sp2.1.200.e&amp;rgn=div6%23sg2.1.200_1419.sg16%20"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tobacco/data_statistics/sgr/50th-anniversary/index.htm" TargetMode="External"/><Relationship Id="rId3" Type="http://schemas.openxmlformats.org/officeDocument/2006/relationships/hyperlink" Target="https://www.census.gov/library/stories/2021/08/improved-race-ethnicity-measures-reveal-united-states-population-much-more-multiracial.html" TargetMode="External"/><Relationship Id="rId7" Type="http://schemas.openxmlformats.org/officeDocument/2006/relationships/hyperlink" Target="https://www.cdc.gov/mmwr/preview/mmwrhtml/00055081.htm" TargetMode="External"/><Relationship Id="rId2" Type="http://schemas.openxmlformats.org/officeDocument/2006/relationships/hyperlink" Target="https://www.cdc.gov/tobacco/data_statistics/fact_sheets/fast_facts/index.htm" TargetMode="External"/><Relationship Id="rId1" Type="http://schemas.openxmlformats.org/officeDocument/2006/relationships/hyperlink" Target="https://www.cdc.gov/tobacco/data_statistics/sgr/50th-anniversary/index.htm" TargetMode="External"/><Relationship Id="rId6" Type="http://schemas.openxmlformats.org/officeDocument/2006/relationships/hyperlink" Target="https://www.cdc.gov/mmwr/preview/mmwrhtml/ss6206a1.htm" TargetMode="External"/><Relationship Id="rId5" Type="http://schemas.openxmlformats.org/officeDocument/2006/relationships/hyperlink" Target="http://www.sciencedirect.com/science/article/pii/S0749379715002238" TargetMode="External"/><Relationship Id="rId10" Type="http://schemas.openxmlformats.org/officeDocument/2006/relationships/hyperlink" Target="https://www.cdc.gov/mmwr/preview/mmwrhtml/00055081.htm" TargetMode="External"/><Relationship Id="rId4" Type="http://schemas.openxmlformats.org/officeDocument/2006/relationships/hyperlink" Target="https://www.cdc.gov/mmwr/preview/mmwrhtml/00055081.htm" TargetMode="External"/><Relationship Id="rId9" Type="http://schemas.openxmlformats.org/officeDocument/2006/relationships/hyperlink" Target="https://www.cdc.gov/mmwr/preview/mmwrhtml/00055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03AB-3DBC-4018-8B5F-B59E8694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11278</Words>
  <Characters>62932</Characters>
  <Application>Microsoft Office Word</Application>
  <DocSecurity>8</DocSecurity>
  <Lines>1338</Lines>
  <Paragraphs>656</Paragraphs>
  <ScaleCrop>false</ScaleCrop>
  <HeadingPairs>
    <vt:vector size="2" baseType="variant">
      <vt:variant>
        <vt:lpstr>Title</vt:lpstr>
      </vt:variant>
      <vt:variant>
        <vt:i4>1</vt:i4>
      </vt:variant>
    </vt:vector>
  </HeadingPairs>
  <TitlesOfParts>
    <vt:vector size="1" baseType="lpstr">
      <vt:lpstr>RFA-24: AIEC-TUPE (CA Dept of Education)</vt:lpstr>
    </vt:vector>
  </TitlesOfParts>
  <Manager/>
  <Company/>
  <LinksUpToDate>false</LinksUpToDate>
  <CharactersWithSpaces>73554</CharactersWithSpaces>
  <SharedDoc>false</SharedDoc>
  <HLinks>
    <vt:vector size="72" baseType="variant">
      <vt:variant>
        <vt:i4>4325398</vt:i4>
      </vt:variant>
      <vt:variant>
        <vt:i4>136</vt:i4>
      </vt:variant>
      <vt:variant>
        <vt:i4>0</vt:i4>
      </vt:variant>
      <vt:variant>
        <vt:i4>5</vt:i4>
      </vt:variant>
      <vt:variant>
        <vt:lpwstr>http://www.californiasmokershelpline.org/</vt:lpwstr>
      </vt:variant>
      <vt:variant>
        <vt:lpwstr/>
      </vt:variant>
      <vt:variant>
        <vt:i4>7143456</vt:i4>
      </vt:variant>
      <vt:variant>
        <vt:i4>133</vt:i4>
      </vt:variant>
      <vt:variant>
        <vt:i4>0</vt:i4>
      </vt:variant>
      <vt:variant>
        <vt:i4>5</vt:i4>
      </vt:variant>
      <vt:variant>
        <vt:lpwstr>http://www.cde.ca.gov/ls/he/at/tobaccofreecert.asp</vt:lpwstr>
      </vt:variant>
      <vt:variant>
        <vt:lpwstr/>
      </vt:variant>
      <vt:variant>
        <vt:i4>6225938</vt:i4>
      </vt:variant>
      <vt:variant>
        <vt:i4>130</vt:i4>
      </vt:variant>
      <vt:variant>
        <vt:i4>0</vt:i4>
      </vt:variant>
      <vt:variant>
        <vt:i4>5</vt:i4>
      </vt:variant>
      <vt:variant>
        <vt:lpwstr>http://www.cde.ca.gov/ls/he/at/countycoordinators.asp</vt:lpwstr>
      </vt:variant>
      <vt:variant>
        <vt:lpwstr/>
      </vt:variant>
      <vt:variant>
        <vt:i4>7340079</vt:i4>
      </vt:variant>
      <vt:variant>
        <vt:i4>127</vt:i4>
      </vt:variant>
      <vt:variant>
        <vt:i4>0</vt:i4>
      </vt:variant>
      <vt:variant>
        <vt:i4>5</vt:i4>
      </vt:variant>
      <vt:variant>
        <vt:lpwstr>http://chks.wested.org/</vt:lpwstr>
      </vt:variant>
      <vt:variant>
        <vt:lpwstr/>
      </vt:variant>
      <vt:variant>
        <vt:i4>3080226</vt:i4>
      </vt:variant>
      <vt:variant>
        <vt:i4>124</vt:i4>
      </vt:variant>
      <vt:variant>
        <vt:i4>0</vt:i4>
      </vt:variant>
      <vt:variant>
        <vt:i4>5</vt:i4>
      </vt:variant>
      <vt:variant>
        <vt:lpwstr>http://www.leginfo.legislature.ca.gov/faces/codes.xhtml</vt:lpwstr>
      </vt:variant>
      <vt:variant>
        <vt:lpwstr/>
      </vt:variant>
      <vt:variant>
        <vt:i4>6946857</vt:i4>
      </vt:variant>
      <vt:variant>
        <vt:i4>18</vt:i4>
      </vt:variant>
      <vt:variant>
        <vt:i4>0</vt:i4>
      </vt:variant>
      <vt:variant>
        <vt:i4>5</vt:i4>
      </vt:variant>
      <vt:variant>
        <vt:lpwstr>http://www.cde.ca.gov/fg/ac/ic/</vt:lpwstr>
      </vt:variant>
      <vt:variant>
        <vt:lpwstr/>
      </vt:variant>
      <vt:variant>
        <vt:i4>8126506</vt:i4>
      </vt:variant>
      <vt:variant>
        <vt:i4>15</vt:i4>
      </vt:variant>
      <vt:variant>
        <vt:i4>0</vt:i4>
      </vt:variant>
      <vt:variant>
        <vt:i4>5</vt:i4>
      </vt:variant>
      <vt:variant>
        <vt:lpwstr>http://www.cde.ca.gov/fg/fo/fr/</vt:lpwstr>
      </vt:variant>
      <vt:variant>
        <vt:lpwstr/>
      </vt:variant>
      <vt:variant>
        <vt:i4>8126506</vt:i4>
      </vt:variant>
      <vt:variant>
        <vt:i4>12</vt:i4>
      </vt:variant>
      <vt:variant>
        <vt:i4>0</vt:i4>
      </vt:variant>
      <vt:variant>
        <vt:i4>5</vt:i4>
      </vt:variant>
      <vt:variant>
        <vt:lpwstr>http://www.cde.ca.gov/fg/fo/fr/</vt:lpwstr>
      </vt:variant>
      <vt:variant>
        <vt:lpwstr/>
      </vt:variant>
      <vt:variant>
        <vt:i4>6946857</vt:i4>
      </vt:variant>
      <vt:variant>
        <vt:i4>9</vt:i4>
      </vt:variant>
      <vt:variant>
        <vt:i4>0</vt:i4>
      </vt:variant>
      <vt:variant>
        <vt:i4>5</vt:i4>
      </vt:variant>
      <vt:variant>
        <vt:lpwstr>http://www.cde.ca.gov/fg/ac/ic/</vt:lpwstr>
      </vt:variant>
      <vt:variant>
        <vt:lpwstr/>
      </vt:variant>
      <vt:variant>
        <vt:i4>6422564</vt:i4>
      </vt:variant>
      <vt:variant>
        <vt:i4>6</vt:i4>
      </vt:variant>
      <vt:variant>
        <vt:i4>0</vt:i4>
      </vt:variant>
      <vt:variant>
        <vt:i4>5</vt:i4>
      </vt:variant>
      <vt:variant>
        <vt:lpwstr>http://www.cde.ca.gov/ls/pf/fy/funding.asp</vt:lpwstr>
      </vt:variant>
      <vt:variant>
        <vt:lpwstr/>
      </vt:variant>
      <vt:variant>
        <vt:i4>6422564</vt:i4>
      </vt:variant>
      <vt:variant>
        <vt:i4>3</vt:i4>
      </vt:variant>
      <vt:variant>
        <vt:i4>0</vt:i4>
      </vt:variant>
      <vt:variant>
        <vt:i4>5</vt:i4>
      </vt:variant>
      <vt:variant>
        <vt:lpwstr>http://www.cde.ca.gov/ls/pf/fy/funding.asp</vt:lpwstr>
      </vt:variant>
      <vt:variant>
        <vt:lpwstr/>
      </vt:variant>
      <vt:variant>
        <vt:i4>6422564</vt:i4>
      </vt:variant>
      <vt:variant>
        <vt:i4>0</vt:i4>
      </vt:variant>
      <vt:variant>
        <vt:i4>0</vt:i4>
      </vt:variant>
      <vt:variant>
        <vt:i4>5</vt:i4>
      </vt:variant>
      <vt:variant>
        <vt:lpwstr>http://www.cde.ca.gov/ls/pf/fy/funding.asp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AIEC-TUPE (CA Dept of Education)</dc:title>
  <dc:subject>Request for Applications (RFA) for the American Indian Education Center Tobacco-Use Prevention Education (AIEC-TUPE) Program for fiscal year 2024-29.</dc:subject>
  <dc:creator/>
  <cp:keywords>American Indian, RFA 24</cp:keywords>
  <dc:description/>
  <cp:lastModifiedBy/>
  <cp:revision>1</cp:revision>
  <dcterms:created xsi:type="dcterms:W3CDTF">2024-07-15T19:54:00Z</dcterms:created>
  <dcterms:modified xsi:type="dcterms:W3CDTF">2024-07-15T21:44:00Z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b27917924591af9f56381a9aa30997d44de0709463228280d55a1363420e2bb2</vt:lpwstr>
  </property>
</Properties>
</file>