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83C2E" w14:textId="150A6A58" w:rsidR="00C43C3E" w:rsidRDefault="00924046"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t xml:space="preserve"> </w:t>
      </w:r>
      <w:r w:rsidR="002F1CDF">
        <w:t xml:space="preserve"> </w:t>
      </w:r>
      <w:r w:rsidR="00B605A2"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2F7B1443" w:rsidR="0042468E" w:rsidRPr="00404AB5" w:rsidRDefault="0042468E" w:rsidP="00404AB5">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404AB5">
        <w:rPr>
          <w:rFonts w:ascii="Arial" w:eastAsia="Verdana" w:hAnsi="Arial" w:cs="Times New Roman"/>
          <w:b/>
          <w:bCs/>
          <w:color w:val="auto"/>
        </w:rPr>
        <w:t xml:space="preserve">The Federal Update for </w:t>
      </w:r>
      <w:bookmarkEnd w:id="10"/>
      <w:bookmarkEnd w:id="11"/>
      <w:bookmarkEnd w:id="12"/>
      <w:bookmarkEnd w:id="13"/>
      <w:bookmarkEnd w:id="14"/>
      <w:bookmarkEnd w:id="15"/>
      <w:r w:rsidR="008611F8" w:rsidRPr="00404AB5">
        <w:rPr>
          <w:rFonts w:ascii="Arial" w:eastAsia="Verdana" w:hAnsi="Arial" w:cs="Times New Roman"/>
          <w:b/>
          <w:bCs/>
          <w:color w:val="auto"/>
        </w:rPr>
        <w:t>December 13</w:t>
      </w:r>
      <w:r w:rsidR="005D3FF9" w:rsidRPr="00404AB5">
        <w:rPr>
          <w:rFonts w:ascii="Arial" w:eastAsia="Verdana" w:hAnsi="Arial" w:cs="Times New Roman"/>
          <w:b/>
          <w:bCs/>
          <w:color w:val="auto"/>
        </w:rPr>
        <w:t>, 202</w:t>
      </w:r>
      <w:r w:rsidR="00BB6286" w:rsidRPr="00404AB5">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13E49898" w:rsidR="0063135C" w:rsidRDefault="00D0389C" w:rsidP="009B424F">
      <w:pPr>
        <w:pStyle w:val="MessageHeader"/>
        <w:spacing w:after="240"/>
      </w:pPr>
      <w:r>
        <w:t>Date:</w:t>
      </w:r>
      <w:r>
        <w:tab/>
      </w:r>
      <w:r w:rsidR="008611F8">
        <w:t>December 13</w:t>
      </w:r>
      <w:r w:rsidR="00537D4B">
        <w:t>, 202</w:t>
      </w:r>
      <w:r w:rsidR="00BB6286">
        <w:t>4</w:t>
      </w:r>
    </w:p>
    <w:p w14:paraId="562E027D" w14:textId="1661B997" w:rsidR="00064739" w:rsidRDefault="2193F663">
      <w:pPr>
        <w:pStyle w:val="TOC2"/>
        <w:rPr>
          <w:rFonts w:asciiTheme="minorHAnsi" w:eastAsiaTheme="minorEastAsia" w:hAnsiTheme="minorHAnsi" w:cstheme="minorBidi"/>
          <w:b w:val="0"/>
          <w:kern w:val="2"/>
          <w:sz w:val="24"/>
          <w:szCs w:val="24"/>
          <w14:ligatures w14:val="standardContextual"/>
        </w:rPr>
      </w:pPr>
      <w:r>
        <w:fldChar w:fldCharType="begin"/>
      </w:r>
      <w:r w:rsidR="663486F3">
        <w:instrText>TOC \o "1-3" \z \u \h</w:instrText>
      </w:r>
      <w:r>
        <w:fldChar w:fldCharType="separate"/>
      </w:r>
      <w:hyperlink w:anchor="_Toc184983448" w:history="1">
        <w:r w:rsidR="00064739" w:rsidRPr="00183EFB">
          <w:rPr>
            <w:rStyle w:val="Hyperlink"/>
          </w:rPr>
          <w:t>Legislation and Guidance</w:t>
        </w:r>
        <w:r w:rsidR="00064739">
          <w:rPr>
            <w:webHidden/>
          </w:rPr>
          <w:tab/>
        </w:r>
        <w:r w:rsidR="00064739">
          <w:rPr>
            <w:webHidden/>
          </w:rPr>
          <w:fldChar w:fldCharType="begin"/>
        </w:r>
        <w:r w:rsidR="00064739">
          <w:rPr>
            <w:webHidden/>
          </w:rPr>
          <w:instrText xml:space="preserve"> PAGEREF _Toc184983448 \h </w:instrText>
        </w:r>
        <w:r w:rsidR="00064739">
          <w:rPr>
            <w:webHidden/>
          </w:rPr>
        </w:r>
        <w:r w:rsidR="00064739">
          <w:rPr>
            <w:webHidden/>
          </w:rPr>
          <w:fldChar w:fldCharType="separate"/>
        </w:r>
        <w:r w:rsidR="00064739">
          <w:rPr>
            <w:webHidden/>
          </w:rPr>
          <w:t>1</w:t>
        </w:r>
        <w:r w:rsidR="00064739">
          <w:rPr>
            <w:webHidden/>
          </w:rPr>
          <w:fldChar w:fldCharType="end"/>
        </w:r>
      </w:hyperlink>
    </w:p>
    <w:p w14:paraId="3E22528C" w14:textId="6DFEBB2D" w:rsidR="00064739" w:rsidRDefault="00064739">
      <w:pPr>
        <w:pStyle w:val="TOC3"/>
        <w:rPr>
          <w:rFonts w:asciiTheme="minorHAnsi" w:eastAsiaTheme="minorEastAsia" w:hAnsiTheme="minorHAnsi" w:cstheme="minorBidi"/>
          <w:b w:val="0"/>
          <w:kern w:val="2"/>
          <w:sz w:val="24"/>
          <w:szCs w:val="24"/>
          <w14:ligatures w14:val="standardContextual"/>
        </w:rPr>
      </w:pPr>
      <w:hyperlink w:anchor="_Toc184983449" w:history="1">
        <w:r w:rsidRPr="00183EFB">
          <w:rPr>
            <w:rStyle w:val="Hyperlink"/>
          </w:rPr>
          <w:t>Negotiations Continue as CR Deadline Approaches</w:t>
        </w:r>
        <w:r>
          <w:rPr>
            <w:webHidden/>
          </w:rPr>
          <w:tab/>
        </w:r>
        <w:r>
          <w:rPr>
            <w:webHidden/>
          </w:rPr>
          <w:fldChar w:fldCharType="begin"/>
        </w:r>
        <w:r>
          <w:rPr>
            <w:webHidden/>
          </w:rPr>
          <w:instrText xml:space="preserve"> PAGEREF _Toc184983449 \h </w:instrText>
        </w:r>
        <w:r>
          <w:rPr>
            <w:webHidden/>
          </w:rPr>
        </w:r>
        <w:r>
          <w:rPr>
            <w:webHidden/>
          </w:rPr>
          <w:fldChar w:fldCharType="separate"/>
        </w:r>
        <w:r>
          <w:rPr>
            <w:webHidden/>
          </w:rPr>
          <w:t>1</w:t>
        </w:r>
        <w:r>
          <w:rPr>
            <w:webHidden/>
          </w:rPr>
          <w:fldChar w:fldCharType="end"/>
        </w:r>
      </w:hyperlink>
    </w:p>
    <w:p w14:paraId="45C5963B" w14:textId="4BA44E1B" w:rsidR="00064739" w:rsidRDefault="00064739">
      <w:pPr>
        <w:pStyle w:val="TOC3"/>
        <w:rPr>
          <w:rFonts w:asciiTheme="minorHAnsi" w:eastAsiaTheme="minorEastAsia" w:hAnsiTheme="minorHAnsi" w:cstheme="minorBidi"/>
          <w:b w:val="0"/>
          <w:kern w:val="2"/>
          <w:sz w:val="24"/>
          <w:szCs w:val="24"/>
          <w14:ligatures w14:val="standardContextual"/>
        </w:rPr>
      </w:pPr>
      <w:hyperlink w:anchor="_Toc184983450" w:history="1">
        <w:r w:rsidRPr="00183EFB">
          <w:rPr>
            <w:rStyle w:val="Hyperlink"/>
          </w:rPr>
          <w:t>Congress Strikes Deal on WIOA, Passage Remains Uncertain</w:t>
        </w:r>
        <w:r>
          <w:rPr>
            <w:webHidden/>
          </w:rPr>
          <w:tab/>
        </w:r>
        <w:r>
          <w:rPr>
            <w:webHidden/>
          </w:rPr>
          <w:fldChar w:fldCharType="begin"/>
        </w:r>
        <w:r>
          <w:rPr>
            <w:webHidden/>
          </w:rPr>
          <w:instrText xml:space="preserve"> PAGEREF _Toc184983450 \h </w:instrText>
        </w:r>
        <w:r>
          <w:rPr>
            <w:webHidden/>
          </w:rPr>
        </w:r>
        <w:r>
          <w:rPr>
            <w:webHidden/>
          </w:rPr>
          <w:fldChar w:fldCharType="separate"/>
        </w:r>
        <w:r>
          <w:rPr>
            <w:webHidden/>
          </w:rPr>
          <w:t>2</w:t>
        </w:r>
        <w:r>
          <w:rPr>
            <w:webHidden/>
          </w:rPr>
          <w:fldChar w:fldCharType="end"/>
        </w:r>
      </w:hyperlink>
    </w:p>
    <w:p w14:paraId="48213950" w14:textId="7074729E" w:rsidR="00064739" w:rsidRDefault="00064739">
      <w:pPr>
        <w:pStyle w:val="TOC3"/>
        <w:rPr>
          <w:rFonts w:asciiTheme="minorHAnsi" w:eastAsiaTheme="minorEastAsia" w:hAnsiTheme="minorHAnsi" w:cstheme="minorBidi"/>
          <w:b w:val="0"/>
          <w:kern w:val="2"/>
          <w:sz w:val="24"/>
          <w:szCs w:val="24"/>
          <w14:ligatures w14:val="standardContextual"/>
        </w:rPr>
      </w:pPr>
      <w:hyperlink w:anchor="_Toc184983451" w:history="1">
        <w:r w:rsidRPr="00183EFB">
          <w:rPr>
            <w:rStyle w:val="Hyperlink"/>
          </w:rPr>
          <w:t>ED Issues New Title II Guidance Documents</w:t>
        </w:r>
        <w:r>
          <w:rPr>
            <w:webHidden/>
          </w:rPr>
          <w:tab/>
        </w:r>
        <w:r>
          <w:rPr>
            <w:webHidden/>
          </w:rPr>
          <w:fldChar w:fldCharType="begin"/>
        </w:r>
        <w:r>
          <w:rPr>
            <w:webHidden/>
          </w:rPr>
          <w:instrText xml:space="preserve"> PAGEREF _Toc184983451 \h </w:instrText>
        </w:r>
        <w:r>
          <w:rPr>
            <w:webHidden/>
          </w:rPr>
        </w:r>
        <w:r>
          <w:rPr>
            <w:webHidden/>
          </w:rPr>
          <w:fldChar w:fldCharType="separate"/>
        </w:r>
        <w:r>
          <w:rPr>
            <w:webHidden/>
          </w:rPr>
          <w:t>2</w:t>
        </w:r>
        <w:r>
          <w:rPr>
            <w:webHidden/>
          </w:rPr>
          <w:fldChar w:fldCharType="end"/>
        </w:r>
      </w:hyperlink>
    </w:p>
    <w:p w14:paraId="3DA090C6" w14:textId="6D2B8C61" w:rsidR="00064739" w:rsidRDefault="00064739">
      <w:pPr>
        <w:pStyle w:val="TOC3"/>
        <w:rPr>
          <w:rFonts w:asciiTheme="minorHAnsi" w:eastAsiaTheme="minorEastAsia" w:hAnsiTheme="minorHAnsi" w:cstheme="minorBidi"/>
          <w:b w:val="0"/>
          <w:kern w:val="2"/>
          <w:sz w:val="24"/>
          <w:szCs w:val="24"/>
          <w14:ligatures w14:val="standardContextual"/>
        </w:rPr>
      </w:pPr>
      <w:hyperlink w:anchor="_Toc184983452" w:history="1">
        <w:r w:rsidRPr="00183EFB">
          <w:rPr>
            <w:rStyle w:val="Hyperlink"/>
          </w:rPr>
          <w:t>OCR Provides New Retaliation Guidance</w:t>
        </w:r>
        <w:r>
          <w:rPr>
            <w:webHidden/>
          </w:rPr>
          <w:tab/>
        </w:r>
        <w:r>
          <w:rPr>
            <w:webHidden/>
          </w:rPr>
          <w:fldChar w:fldCharType="begin"/>
        </w:r>
        <w:r>
          <w:rPr>
            <w:webHidden/>
          </w:rPr>
          <w:instrText xml:space="preserve"> PAGEREF _Toc184983452 \h </w:instrText>
        </w:r>
        <w:r>
          <w:rPr>
            <w:webHidden/>
          </w:rPr>
        </w:r>
        <w:r>
          <w:rPr>
            <w:webHidden/>
          </w:rPr>
          <w:fldChar w:fldCharType="separate"/>
        </w:r>
        <w:r>
          <w:rPr>
            <w:webHidden/>
          </w:rPr>
          <w:t>3</w:t>
        </w:r>
        <w:r>
          <w:rPr>
            <w:webHidden/>
          </w:rPr>
          <w:fldChar w:fldCharType="end"/>
        </w:r>
      </w:hyperlink>
    </w:p>
    <w:p w14:paraId="53DEC62F" w14:textId="63D18FBF" w:rsidR="00064739" w:rsidRDefault="00064739">
      <w:pPr>
        <w:pStyle w:val="TOC2"/>
        <w:rPr>
          <w:rFonts w:asciiTheme="minorHAnsi" w:eastAsiaTheme="minorEastAsia" w:hAnsiTheme="minorHAnsi" w:cstheme="minorBidi"/>
          <w:b w:val="0"/>
          <w:kern w:val="2"/>
          <w:sz w:val="24"/>
          <w:szCs w:val="24"/>
          <w14:ligatures w14:val="standardContextual"/>
        </w:rPr>
      </w:pPr>
      <w:hyperlink w:anchor="_Toc184983453" w:history="1">
        <w:r w:rsidRPr="00183EFB">
          <w:rPr>
            <w:rStyle w:val="Hyperlink"/>
          </w:rPr>
          <w:t>News</w:t>
        </w:r>
        <w:r>
          <w:rPr>
            <w:webHidden/>
          </w:rPr>
          <w:tab/>
        </w:r>
        <w:r>
          <w:rPr>
            <w:webHidden/>
          </w:rPr>
          <w:fldChar w:fldCharType="begin"/>
        </w:r>
        <w:r>
          <w:rPr>
            <w:webHidden/>
          </w:rPr>
          <w:instrText xml:space="preserve"> PAGEREF _Toc184983453 \h </w:instrText>
        </w:r>
        <w:r>
          <w:rPr>
            <w:webHidden/>
          </w:rPr>
        </w:r>
        <w:r>
          <w:rPr>
            <w:webHidden/>
          </w:rPr>
          <w:fldChar w:fldCharType="separate"/>
        </w:r>
        <w:r>
          <w:rPr>
            <w:webHidden/>
          </w:rPr>
          <w:t>4</w:t>
        </w:r>
        <w:r>
          <w:rPr>
            <w:webHidden/>
          </w:rPr>
          <w:fldChar w:fldCharType="end"/>
        </w:r>
      </w:hyperlink>
    </w:p>
    <w:p w14:paraId="2465D324" w14:textId="35CD94F5" w:rsidR="00064739" w:rsidRDefault="00064739">
      <w:pPr>
        <w:pStyle w:val="TOC3"/>
        <w:rPr>
          <w:rFonts w:asciiTheme="minorHAnsi" w:eastAsiaTheme="minorEastAsia" w:hAnsiTheme="minorHAnsi" w:cstheme="minorBidi"/>
          <w:b w:val="0"/>
          <w:kern w:val="2"/>
          <w:sz w:val="24"/>
          <w:szCs w:val="24"/>
          <w14:ligatures w14:val="standardContextual"/>
        </w:rPr>
      </w:pPr>
      <w:hyperlink w:anchor="_Toc184983454" w:history="1">
        <w:r w:rsidRPr="00183EFB">
          <w:rPr>
            <w:rStyle w:val="Hyperlink"/>
          </w:rPr>
          <w:t>Walberg to Take Top Spot in House Committee</w:t>
        </w:r>
        <w:r>
          <w:rPr>
            <w:webHidden/>
          </w:rPr>
          <w:tab/>
        </w:r>
        <w:r>
          <w:rPr>
            <w:webHidden/>
          </w:rPr>
          <w:fldChar w:fldCharType="begin"/>
        </w:r>
        <w:r>
          <w:rPr>
            <w:webHidden/>
          </w:rPr>
          <w:instrText xml:space="preserve"> PAGEREF _Toc184983454 \h </w:instrText>
        </w:r>
        <w:r>
          <w:rPr>
            <w:webHidden/>
          </w:rPr>
        </w:r>
        <w:r>
          <w:rPr>
            <w:webHidden/>
          </w:rPr>
          <w:fldChar w:fldCharType="separate"/>
        </w:r>
        <w:r>
          <w:rPr>
            <w:webHidden/>
          </w:rPr>
          <w:t>4</w:t>
        </w:r>
        <w:r>
          <w:rPr>
            <w:webHidden/>
          </w:rPr>
          <w:fldChar w:fldCharType="end"/>
        </w:r>
      </w:hyperlink>
    </w:p>
    <w:p w14:paraId="7161CC4A" w14:textId="574524D6" w:rsidR="00064739" w:rsidRDefault="00064739">
      <w:pPr>
        <w:pStyle w:val="TOC3"/>
        <w:rPr>
          <w:rFonts w:asciiTheme="minorHAnsi" w:eastAsiaTheme="minorEastAsia" w:hAnsiTheme="minorHAnsi" w:cstheme="minorBidi"/>
          <w:b w:val="0"/>
          <w:kern w:val="2"/>
          <w:sz w:val="24"/>
          <w:szCs w:val="24"/>
          <w14:ligatures w14:val="standardContextual"/>
        </w:rPr>
      </w:pPr>
      <w:hyperlink w:anchor="_Toc184983455" w:history="1">
        <w:r w:rsidRPr="00183EFB">
          <w:rPr>
            <w:rStyle w:val="Hyperlink"/>
          </w:rPr>
          <w:t>New “Playbook” Offers Cell Phone Guidance for Schools</w:t>
        </w:r>
        <w:r>
          <w:rPr>
            <w:webHidden/>
          </w:rPr>
          <w:tab/>
        </w:r>
        <w:r>
          <w:rPr>
            <w:webHidden/>
          </w:rPr>
          <w:fldChar w:fldCharType="begin"/>
        </w:r>
        <w:r>
          <w:rPr>
            <w:webHidden/>
          </w:rPr>
          <w:instrText xml:space="preserve"> PAGEREF _Toc184983455 \h </w:instrText>
        </w:r>
        <w:r>
          <w:rPr>
            <w:webHidden/>
          </w:rPr>
        </w:r>
        <w:r>
          <w:rPr>
            <w:webHidden/>
          </w:rPr>
          <w:fldChar w:fldCharType="separate"/>
        </w:r>
        <w:r>
          <w:rPr>
            <w:webHidden/>
          </w:rPr>
          <w:t>5</w:t>
        </w:r>
        <w:r>
          <w:rPr>
            <w:webHidden/>
          </w:rPr>
          <w:fldChar w:fldCharType="end"/>
        </w:r>
      </w:hyperlink>
    </w:p>
    <w:p w14:paraId="4FE72646" w14:textId="65A538B0" w:rsidR="00064739" w:rsidRDefault="00064739">
      <w:pPr>
        <w:pStyle w:val="TOC2"/>
        <w:rPr>
          <w:rFonts w:asciiTheme="minorHAnsi" w:eastAsiaTheme="minorEastAsia" w:hAnsiTheme="minorHAnsi" w:cstheme="minorBidi"/>
          <w:b w:val="0"/>
          <w:kern w:val="2"/>
          <w:sz w:val="24"/>
          <w:szCs w:val="24"/>
          <w14:ligatures w14:val="standardContextual"/>
        </w:rPr>
      </w:pPr>
      <w:hyperlink w:anchor="_Toc184983456" w:history="1">
        <w:r w:rsidRPr="00183EFB">
          <w:rPr>
            <w:rStyle w:val="Hyperlink"/>
          </w:rPr>
          <w:t>Reports</w:t>
        </w:r>
        <w:r>
          <w:rPr>
            <w:webHidden/>
          </w:rPr>
          <w:tab/>
        </w:r>
        <w:r>
          <w:rPr>
            <w:webHidden/>
          </w:rPr>
          <w:fldChar w:fldCharType="begin"/>
        </w:r>
        <w:r>
          <w:rPr>
            <w:webHidden/>
          </w:rPr>
          <w:instrText xml:space="preserve"> PAGEREF _Toc184983456 \h </w:instrText>
        </w:r>
        <w:r>
          <w:rPr>
            <w:webHidden/>
          </w:rPr>
        </w:r>
        <w:r>
          <w:rPr>
            <w:webHidden/>
          </w:rPr>
          <w:fldChar w:fldCharType="separate"/>
        </w:r>
        <w:r>
          <w:rPr>
            <w:webHidden/>
          </w:rPr>
          <w:t>5</w:t>
        </w:r>
        <w:r>
          <w:rPr>
            <w:webHidden/>
          </w:rPr>
          <w:fldChar w:fldCharType="end"/>
        </w:r>
      </w:hyperlink>
    </w:p>
    <w:p w14:paraId="71B41AC7" w14:textId="11CF923C" w:rsidR="00064739" w:rsidRDefault="00064739">
      <w:pPr>
        <w:pStyle w:val="TOC3"/>
        <w:rPr>
          <w:rFonts w:asciiTheme="minorHAnsi" w:eastAsiaTheme="minorEastAsia" w:hAnsiTheme="minorHAnsi" w:cstheme="minorBidi"/>
          <w:b w:val="0"/>
          <w:kern w:val="2"/>
          <w:sz w:val="24"/>
          <w:szCs w:val="24"/>
          <w14:ligatures w14:val="standardContextual"/>
        </w:rPr>
      </w:pPr>
      <w:hyperlink w:anchor="_Toc184983457" w:history="1">
        <w:r w:rsidRPr="00183EFB">
          <w:rPr>
            <w:rStyle w:val="Hyperlink"/>
          </w:rPr>
          <w:t>ED OIG Publishes Semi-Annual Report</w:t>
        </w:r>
        <w:r>
          <w:rPr>
            <w:webHidden/>
          </w:rPr>
          <w:tab/>
        </w:r>
        <w:r>
          <w:rPr>
            <w:webHidden/>
          </w:rPr>
          <w:fldChar w:fldCharType="begin"/>
        </w:r>
        <w:r>
          <w:rPr>
            <w:webHidden/>
          </w:rPr>
          <w:instrText xml:space="preserve"> PAGEREF _Toc184983457 \h </w:instrText>
        </w:r>
        <w:r>
          <w:rPr>
            <w:webHidden/>
          </w:rPr>
        </w:r>
        <w:r>
          <w:rPr>
            <w:webHidden/>
          </w:rPr>
          <w:fldChar w:fldCharType="separate"/>
        </w:r>
        <w:r>
          <w:rPr>
            <w:webHidden/>
          </w:rPr>
          <w:t>5</w:t>
        </w:r>
        <w:r>
          <w:rPr>
            <w:webHidden/>
          </w:rPr>
          <w:fldChar w:fldCharType="end"/>
        </w:r>
      </w:hyperlink>
    </w:p>
    <w:p w14:paraId="59976440" w14:textId="25742BD9" w:rsidR="000E2F84" w:rsidRDefault="2193F663" w:rsidP="000E2F84">
      <w:pPr>
        <w:spacing w:before="0" w:after="0"/>
      </w:pPr>
      <w:r>
        <w:fldChar w:fldCharType="end"/>
      </w:r>
    </w:p>
    <w:p w14:paraId="4646E5A5" w14:textId="579FAC95" w:rsidR="008E69F6" w:rsidRDefault="001D7344" w:rsidP="00112EC5">
      <w:pPr>
        <w:pStyle w:val="Heading2"/>
      </w:pPr>
      <w:bookmarkStart w:id="16" w:name="_Toc184983448"/>
      <w:bookmarkStart w:id="17" w:name="_Toc504484598"/>
      <w:bookmarkEnd w:id="0"/>
      <w:bookmarkEnd w:id="1"/>
      <w:bookmarkEnd w:id="2"/>
      <w:bookmarkEnd w:id="3"/>
      <w:bookmarkEnd w:id="4"/>
      <w:bookmarkEnd w:id="5"/>
      <w:r>
        <w:t>Legislation and Guidance</w:t>
      </w:r>
      <w:bookmarkEnd w:id="16"/>
    </w:p>
    <w:p w14:paraId="0602F2A8" w14:textId="204A0AD1" w:rsidR="00D52440" w:rsidRPr="00237F88" w:rsidRDefault="00237F88" w:rsidP="00237F88">
      <w:pPr>
        <w:pStyle w:val="Heading3"/>
      </w:pPr>
      <w:bookmarkStart w:id="18" w:name="_Toc184983449"/>
      <w:bookmarkEnd w:id="6"/>
      <w:bookmarkEnd w:id="7"/>
      <w:bookmarkEnd w:id="8"/>
      <w:bookmarkEnd w:id="9"/>
      <w:bookmarkEnd w:id="17"/>
      <w:r w:rsidRPr="001F3B7A">
        <w:t>Negotiations Continue as CR Deadline Approaches</w:t>
      </w:r>
      <w:bookmarkEnd w:id="18"/>
    </w:p>
    <w:p w14:paraId="6EF11995" w14:textId="5BBA16FD" w:rsidR="0041756B" w:rsidRPr="001F3B7A" w:rsidRDefault="0041756B" w:rsidP="0041756B">
      <w:pPr>
        <w:rPr>
          <w:rFonts w:cs="Arial"/>
          <w:szCs w:val="24"/>
        </w:rPr>
      </w:pPr>
      <w:r w:rsidRPr="001F3B7A">
        <w:rPr>
          <w:rFonts w:cs="Arial"/>
          <w:szCs w:val="24"/>
        </w:rPr>
        <w:t>Lawmakers have only one more week of Congressional session before the temporary spending measure keeping the federal government open expires.  The continuing resolution (CR) funding federal programs at fiscal year 2024 levels will end on December 20</w:t>
      </w:r>
      <w:r w:rsidRPr="001F3B7A">
        <w:rPr>
          <w:rFonts w:cs="Arial"/>
          <w:szCs w:val="24"/>
          <w:vertAlign w:val="superscript"/>
        </w:rPr>
        <w:t>th</w:t>
      </w:r>
      <w:r w:rsidRPr="001F3B7A">
        <w:rPr>
          <w:rFonts w:cs="Arial"/>
          <w:szCs w:val="24"/>
        </w:rPr>
        <w:t xml:space="preserve">, and negotiations have yet to yield a </w:t>
      </w:r>
      <w:r>
        <w:rPr>
          <w:rFonts w:cs="Arial"/>
          <w:szCs w:val="24"/>
        </w:rPr>
        <w:t>r</w:t>
      </w:r>
      <w:r w:rsidRPr="001F3B7A">
        <w:rPr>
          <w:rFonts w:cs="Arial"/>
          <w:szCs w:val="24"/>
        </w:rPr>
        <w:t>eplacement.</w:t>
      </w:r>
    </w:p>
    <w:p w14:paraId="326F5866" w14:textId="6C5A96BD" w:rsidR="0041756B" w:rsidRPr="001F3B7A" w:rsidRDefault="0041756B" w:rsidP="0041756B">
      <w:pPr>
        <w:rPr>
          <w:rFonts w:cs="Arial"/>
          <w:szCs w:val="24"/>
        </w:rPr>
      </w:pPr>
      <w:r w:rsidRPr="001F3B7A">
        <w:rPr>
          <w:rFonts w:cs="Arial"/>
          <w:szCs w:val="24"/>
        </w:rPr>
        <w:t>Negotiators have reportedly cited the need to assess hurricane relief</w:t>
      </w:r>
      <w:r w:rsidR="00D379AD">
        <w:rPr>
          <w:rFonts w:cs="Arial"/>
          <w:szCs w:val="24"/>
        </w:rPr>
        <w:t>,</w:t>
      </w:r>
      <w:r w:rsidRPr="001F3B7A">
        <w:rPr>
          <w:rFonts w:cs="Arial"/>
          <w:szCs w:val="24"/>
        </w:rPr>
        <w:t xml:space="preserve"> and </w:t>
      </w:r>
      <w:r w:rsidR="00D379AD" w:rsidRPr="001F3B7A">
        <w:rPr>
          <w:rFonts w:cs="Arial"/>
          <w:szCs w:val="24"/>
        </w:rPr>
        <w:t>whether</w:t>
      </w:r>
      <w:r w:rsidRPr="001F3B7A">
        <w:rPr>
          <w:rFonts w:cs="Arial"/>
          <w:szCs w:val="24"/>
        </w:rPr>
        <w:t xml:space="preserve"> to include additional funding beyond Federal Emergency Management Agency programs </w:t>
      </w:r>
      <w:r w:rsidR="00D379AD">
        <w:rPr>
          <w:rFonts w:cs="Arial"/>
          <w:szCs w:val="24"/>
        </w:rPr>
        <w:t>i</w:t>
      </w:r>
      <w:r w:rsidRPr="001F3B7A">
        <w:rPr>
          <w:rFonts w:cs="Arial"/>
          <w:szCs w:val="24"/>
        </w:rPr>
        <w:t>s holding up funding.  Others cited I</w:t>
      </w:r>
      <w:r w:rsidR="00D379AD">
        <w:rPr>
          <w:rFonts w:cs="Arial"/>
          <w:szCs w:val="24"/>
        </w:rPr>
        <w:t>nternal Revenue Service</w:t>
      </w:r>
      <w:r w:rsidRPr="001F3B7A">
        <w:rPr>
          <w:rFonts w:cs="Arial"/>
          <w:szCs w:val="24"/>
        </w:rPr>
        <w:t xml:space="preserve"> funding and additional requests for the Environmental Protection Agency and Social Security Administration as hurdles in the talks.</w:t>
      </w:r>
    </w:p>
    <w:p w14:paraId="749F10DA" w14:textId="77777777" w:rsidR="0041756B" w:rsidRPr="001F3B7A" w:rsidRDefault="0041756B" w:rsidP="0041756B">
      <w:pPr>
        <w:rPr>
          <w:rFonts w:cs="Arial"/>
          <w:szCs w:val="24"/>
        </w:rPr>
      </w:pPr>
      <w:r w:rsidRPr="001F3B7A">
        <w:rPr>
          <w:rFonts w:cs="Arial"/>
          <w:szCs w:val="24"/>
        </w:rPr>
        <w:lastRenderedPageBreak/>
        <w:t>While lawmakers initially decided to extend funding until March of 2025, some Republicans have pushed for a new CR that would require Congress to finish funding faster rather than let it define the first months of a new Trump administration.</w:t>
      </w:r>
    </w:p>
    <w:p w14:paraId="15566632" w14:textId="77777777" w:rsidR="0041756B" w:rsidRPr="001F3B7A" w:rsidRDefault="0041756B" w:rsidP="0041756B">
      <w:pPr>
        <w:rPr>
          <w:rFonts w:cs="Arial"/>
          <w:szCs w:val="24"/>
        </w:rPr>
      </w:pPr>
      <w:r w:rsidRPr="001F3B7A">
        <w:rPr>
          <w:rFonts w:cs="Arial"/>
          <w:szCs w:val="24"/>
        </w:rPr>
        <w:t>Author: JCM</w:t>
      </w:r>
    </w:p>
    <w:p w14:paraId="55F552F8" w14:textId="61704C29" w:rsidR="00CA49D0" w:rsidRPr="00D52CD0" w:rsidRDefault="005A1546" w:rsidP="005A1546">
      <w:pPr>
        <w:pStyle w:val="Heading3"/>
      </w:pPr>
      <w:bookmarkStart w:id="19" w:name="_Toc184983450"/>
      <w:r>
        <w:t>Congress Strikes Deal on WIOA, Passage Remains Uncertain</w:t>
      </w:r>
      <w:bookmarkEnd w:id="19"/>
    </w:p>
    <w:p w14:paraId="2DC6E0E8" w14:textId="0C38CF52" w:rsidR="0036310A" w:rsidRDefault="00064739" w:rsidP="0036310A">
      <w:r>
        <w:t xml:space="preserve">Members of Congress have </w:t>
      </w:r>
      <w:r w:rsidR="0036310A">
        <w:t>reportedly struck a deal on legislation to reauthorize the Workforce Innovation Opportunity Act (WIOA) at the beginning of December, following months of negotiations.  The House passed the “A Stronger Workforce for America Act” earlier this year with significant bipartisan support</w:t>
      </w:r>
      <w:r w:rsidR="00D379AD">
        <w:t>, and t</w:t>
      </w:r>
      <w:r w:rsidR="0036310A">
        <w:t xml:space="preserve">he Senate released its own discussion draft of a WIOA reauthorization bill earlier this summer but has not yet taken substantive steps toward passage.  The updated compromise bill, which differs from both the House-passed legislation and the Senate discussion draft, has not yet been officially introduced in Congress, but a summary of the bill and proposed bill text have been quietly </w:t>
      </w:r>
      <w:r>
        <w:t>shared</w:t>
      </w:r>
      <w:r w:rsidR="0036310A">
        <w:t xml:space="preserve"> by the Senate Committee on Health, Education, Labor, and Pensions. </w:t>
      </w:r>
    </w:p>
    <w:p w14:paraId="41AEFE32" w14:textId="25095CA6" w:rsidR="0036310A" w:rsidRDefault="0036310A" w:rsidP="0036310A">
      <w:r>
        <w:t xml:space="preserve">Negotiations over the last few months in the Senate have been delayed partially </w:t>
      </w:r>
      <w:r w:rsidR="00E85382">
        <w:t xml:space="preserve">due </w:t>
      </w:r>
      <w:r>
        <w:t xml:space="preserve">to a debate over whether to include a provision that would exclude employers who have not complied with certain labor law requirements from participating in workforce programs, which was included in the Senate discussion draft from this summer but opposed by </w:t>
      </w:r>
      <w:r w:rsidR="00064739">
        <w:t>several</w:t>
      </w:r>
      <w:r>
        <w:t xml:space="preserve"> stakeholder and advocacy organizations.  Other stakeholder organizations have expressed concern</w:t>
      </w:r>
      <w:r w:rsidR="0081435A">
        <w:t>s</w:t>
      </w:r>
      <w:r>
        <w:t xml:space="preserve"> with several provisions in the compromise </w:t>
      </w:r>
      <w:r w:rsidR="00D379AD">
        <w:t xml:space="preserve">bill </w:t>
      </w:r>
      <w:r>
        <w:t xml:space="preserve">as well, including a mandate to use 50 percent of adult and dislocated worker funding for training and provisions regarding redesignation of workforce areas, among others.  </w:t>
      </w:r>
    </w:p>
    <w:p w14:paraId="715A9CCD" w14:textId="20B1A460" w:rsidR="0036310A" w:rsidRDefault="0036310A" w:rsidP="0036310A">
      <w:r>
        <w:t xml:space="preserve">The Senate is </w:t>
      </w:r>
      <w:r w:rsidR="00064739">
        <w:t>said to be</w:t>
      </w:r>
      <w:r>
        <w:t xml:space="preserve"> consid</w:t>
      </w:r>
      <w:r w:rsidR="00064739">
        <w:t>e</w:t>
      </w:r>
      <w:r>
        <w:t xml:space="preserve">ring passing the legislation through unanimous consent, which requires support of all 100 senators, or attaching the bill to a year end continuing resolution to extend fiscal year 2025 funding.  However, negotiations are still ongoing, with senators on both sides of the aisle expressing hesitation, leaving the certainty of passage unclear.  In addition, since the proposed Senate legislation makes changes to the version passed by the House earlier this year, the House will be required to vote on the updated legislation, with minimal time in session remaining before the end of the year. </w:t>
      </w:r>
    </w:p>
    <w:p w14:paraId="3C3E601B" w14:textId="77777777" w:rsidR="0036310A" w:rsidRDefault="0036310A" w:rsidP="0036310A">
      <w:pPr>
        <w:spacing w:before="240" w:after="0"/>
      </w:pPr>
      <w:r>
        <w:t>Resources:</w:t>
      </w:r>
    </w:p>
    <w:p w14:paraId="3FF9BA8F" w14:textId="77777777" w:rsidR="0036310A" w:rsidRDefault="0036310A" w:rsidP="00D379AD">
      <w:pPr>
        <w:spacing w:before="0"/>
      </w:pPr>
      <w:r>
        <w:t xml:space="preserve">Nick </w:t>
      </w:r>
      <w:proofErr w:type="spellStart"/>
      <w:r>
        <w:t>Niedzwiadek</w:t>
      </w:r>
      <w:proofErr w:type="spellEnd"/>
      <w:r>
        <w:t xml:space="preserve"> and Lawrence </w:t>
      </w:r>
      <w:proofErr w:type="spellStart"/>
      <w:r>
        <w:t>Ukenye</w:t>
      </w:r>
      <w:proofErr w:type="spellEnd"/>
      <w:r>
        <w:t>, “</w:t>
      </w:r>
      <w:r w:rsidRPr="00907F26">
        <w:rPr>
          <w:rFonts w:eastAsiaTheme="minorHAnsi" w:cstheme="minorBidi"/>
          <w:szCs w:val="22"/>
        </w:rPr>
        <w:t>Bipartisan deal to revamp federal workforce development nears finish lin</w:t>
      </w:r>
      <w:r>
        <w:t xml:space="preserve">e,” </w:t>
      </w:r>
      <w:r>
        <w:rPr>
          <w:i/>
          <w:iCs/>
        </w:rPr>
        <w:t>Politico</w:t>
      </w:r>
      <w:r>
        <w:t>, December 4, 2024.</w:t>
      </w:r>
      <w:r>
        <w:br/>
        <w:t>Author: KSC</w:t>
      </w:r>
    </w:p>
    <w:p w14:paraId="1F99152A" w14:textId="157E2D57" w:rsidR="00B32C7D" w:rsidRPr="00D63A93" w:rsidRDefault="00D63A93" w:rsidP="00D63A93">
      <w:pPr>
        <w:pStyle w:val="Heading3"/>
      </w:pPr>
      <w:bookmarkStart w:id="20" w:name="_Toc184983451"/>
      <w:r w:rsidRPr="001F3B7A">
        <w:t xml:space="preserve">ED Issues </w:t>
      </w:r>
      <w:r w:rsidR="00064739">
        <w:t xml:space="preserve">New </w:t>
      </w:r>
      <w:r w:rsidRPr="001F3B7A">
        <w:t>Title II Guidance Documents</w:t>
      </w:r>
      <w:bookmarkEnd w:id="20"/>
    </w:p>
    <w:p w14:paraId="2C4F75BB" w14:textId="660397C7" w:rsidR="00900CB5" w:rsidRPr="001F3B7A" w:rsidRDefault="00900CB5" w:rsidP="00900CB5">
      <w:pPr>
        <w:rPr>
          <w:rFonts w:cs="Arial"/>
          <w:szCs w:val="24"/>
        </w:rPr>
      </w:pPr>
      <w:r w:rsidRPr="001F3B7A">
        <w:rPr>
          <w:rFonts w:cs="Arial"/>
          <w:szCs w:val="24"/>
        </w:rPr>
        <w:t>Last week the U.S. Department of Education (ED) issued two new guidance documents on the administration of Title II</w:t>
      </w:r>
      <w:r w:rsidR="00404E97">
        <w:rPr>
          <w:rFonts w:cs="Arial"/>
          <w:szCs w:val="24"/>
        </w:rPr>
        <w:t>, Part A</w:t>
      </w:r>
      <w:r w:rsidRPr="001F3B7A">
        <w:rPr>
          <w:rFonts w:cs="Arial"/>
          <w:szCs w:val="24"/>
        </w:rPr>
        <w:t xml:space="preserve"> </w:t>
      </w:r>
      <w:r w:rsidR="00404E97">
        <w:rPr>
          <w:rFonts w:cs="Arial"/>
          <w:szCs w:val="24"/>
        </w:rPr>
        <w:t>under</w:t>
      </w:r>
      <w:r w:rsidRPr="001F3B7A">
        <w:rPr>
          <w:rFonts w:cs="Arial"/>
          <w:szCs w:val="24"/>
        </w:rPr>
        <w:t xml:space="preserve"> the Elementary and Secondary Education Act (ESEA).  </w:t>
      </w:r>
    </w:p>
    <w:p w14:paraId="7F646052" w14:textId="32E2900D" w:rsidR="00900CB5" w:rsidRPr="001F3B7A" w:rsidRDefault="00900CB5" w:rsidP="00900CB5">
      <w:pPr>
        <w:rPr>
          <w:rFonts w:cs="Arial"/>
          <w:szCs w:val="24"/>
        </w:rPr>
      </w:pPr>
      <w:r w:rsidRPr="001F3B7A">
        <w:rPr>
          <w:rFonts w:cs="Arial"/>
          <w:szCs w:val="24"/>
        </w:rPr>
        <w:t xml:space="preserve">The first, titled “Supporting a Diverse Educator Workforce to Strengthen Teaching and Learning,” includes numerous citations to research on the value of diversity among </w:t>
      </w:r>
      <w:r w:rsidRPr="001F3B7A">
        <w:rPr>
          <w:rFonts w:cs="Arial"/>
          <w:szCs w:val="24"/>
        </w:rPr>
        <w:lastRenderedPageBreak/>
        <w:t xml:space="preserve">teachers in increasing student performance.  It encourages States, districts, and schools to examine the diversity of their employees, identify barriers, and establish and publish clear diversity goals and a strategic plan to meet those goals.  The </w:t>
      </w:r>
      <w:r w:rsidR="005F13A4">
        <w:rPr>
          <w:rFonts w:cs="Arial"/>
          <w:szCs w:val="24"/>
        </w:rPr>
        <w:t>guidance</w:t>
      </w:r>
      <w:r w:rsidR="005F13A4" w:rsidRPr="001F3B7A">
        <w:rPr>
          <w:rFonts w:cs="Arial"/>
          <w:szCs w:val="24"/>
        </w:rPr>
        <w:t xml:space="preserve"> </w:t>
      </w:r>
      <w:r w:rsidRPr="001F3B7A">
        <w:rPr>
          <w:rFonts w:cs="Arial"/>
          <w:szCs w:val="24"/>
        </w:rPr>
        <w:t>identifies several key strategies to increasing diversity: providing financial support and incentives; creating positive and supportive conditions for candidates in educator preparation programs; creating supportive teaching conditions; and collecting diversity data to support these efforts.  A table in the second half of the document identifies funds that can be used to support educator diversity efforts, including competitive priorities for certain grants.</w:t>
      </w:r>
    </w:p>
    <w:p w14:paraId="48D01E61" w14:textId="56ED6503" w:rsidR="00900CB5" w:rsidRPr="001F3B7A" w:rsidRDefault="00900CB5" w:rsidP="00900CB5">
      <w:pPr>
        <w:rPr>
          <w:rFonts w:cs="Arial"/>
          <w:szCs w:val="24"/>
        </w:rPr>
      </w:pPr>
      <w:r w:rsidRPr="001F3B7A">
        <w:rPr>
          <w:rFonts w:cs="Arial"/>
          <w:szCs w:val="24"/>
        </w:rPr>
        <w:t xml:space="preserve">ED cites as the impetus for this guidance the instructions in the 2023 Consolidated Appropriations Act </w:t>
      </w:r>
      <w:r w:rsidR="00064739">
        <w:rPr>
          <w:rFonts w:cs="Arial"/>
          <w:szCs w:val="24"/>
        </w:rPr>
        <w:t xml:space="preserve">to study ways that certain funds </w:t>
      </w:r>
    </w:p>
    <w:p w14:paraId="732A3AFD" w14:textId="27A14123" w:rsidR="00900CB5" w:rsidRPr="001F3B7A" w:rsidRDefault="00900CB5" w:rsidP="00900CB5">
      <w:pPr>
        <w:ind w:left="720"/>
        <w:rPr>
          <w:rFonts w:cs="Arial"/>
          <w:szCs w:val="24"/>
        </w:rPr>
      </w:pPr>
      <w:r w:rsidRPr="001F3B7A">
        <w:rPr>
          <w:rFonts w:cs="Arial"/>
          <w:szCs w:val="24"/>
        </w:rPr>
        <w:t xml:space="preserve">“may be used by </w:t>
      </w:r>
      <w:r w:rsidR="00404E97">
        <w:rPr>
          <w:rFonts w:cs="Arial"/>
          <w:szCs w:val="24"/>
        </w:rPr>
        <w:t>[State educational agencies]</w:t>
      </w:r>
      <w:r w:rsidRPr="001F3B7A">
        <w:rPr>
          <w:rFonts w:cs="Arial"/>
          <w:szCs w:val="24"/>
        </w:rPr>
        <w:t xml:space="preserve">, </w:t>
      </w:r>
      <w:r w:rsidR="00404E97">
        <w:rPr>
          <w:rFonts w:cs="Arial"/>
          <w:szCs w:val="24"/>
        </w:rPr>
        <w:t>[local educational agencies]</w:t>
      </w:r>
      <w:r w:rsidRPr="001F3B7A">
        <w:rPr>
          <w:rFonts w:cs="Arial"/>
          <w:szCs w:val="24"/>
        </w:rPr>
        <w:t xml:space="preserve"> and </w:t>
      </w:r>
      <w:r w:rsidR="00404E97">
        <w:rPr>
          <w:rFonts w:cs="Arial"/>
          <w:szCs w:val="24"/>
        </w:rPr>
        <w:t>[institutions of higher education]</w:t>
      </w:r>
      <w:r w:rsidRPr="001F3B7A">
        <w:rPr>
          <w:rFonts w:cs="Arial"/>
          <w:szCs w:val="24"/>
        </w:rPr>
        <w:t xml:space="preserve"> to increase teacher and school leader diversity, including through pre-service support, enhancing preparation, providing on-the-job support, and strengthening retention and promotion policies.”</w:t>
      </w:r>
    </w:p>
    <w:p w14:paraId="3625EE40" w14:textId="7E358CA7" w:rsidR="00900CB5" w:rsidRPr="001F3B7A" w:rsidRDefault="00900CB5" w:rsidP="00900CB5">
      <w:pPr>
        <w:rPr>
          <w:rFonts w:cs="Arial"/>
          <w:szCs w:val="24"/>
        </w:rPr>
      </w:pPr>
      <w:hyperlink r:id="rId9" w:history="1">
        <w:r w:rsidRPr="00404E97">
          <w:rPr>
            <w:rStyle w:val="Hyperlink"/>
            <w:rFonts w:cs="Arial"/>
            <w:szCs w:val="24"/>
          </w:rPr>
          <w:t>The educator diversity guidance is available here</w:t>
        </w:r>
      </w:hyperlink>
      <w:r w:rsidRPr="001F3B7A">
        <w:rPr>
          <w:rFonts w:cs="Arial"/>
          <w:szCs w:val="24"/>
        </w:rPr>
        <w:t>.</w:t>
      </w:r>
    </w:p>
    <w:p w14:paraId="6831EE48" w14:textId="77777777" w:rsidR="00900CB5" w:rsidRPr="001F3B7A" w:rsidRDefault="00900CB5" w:rsidP="00900CB5">
      <w:pPr>
        <w:rPr>
          <w:rFonts w:cs="Arial"/>
          <w:szCs w:val="24"/>
        </w:rPr>
      </w:pPr>
      <w:r w:rsidRPr="001F3B7A">
        <w:rPr>
          <w:rFonts w:cs="Arial"/>
          <w:szCs w:val="24"/>
        </w:rPr>
        <w:t xml:space="preserve">A second document focuses on “Using Title II, Part A Funds to Strategically Support Educator Recruitment, Retention, Professional Learning, and Improved Student Outcomes.”  Incorporating some of the flexibilities used under the Elementary and Secondary School Relief Fund (ESSER), the guidance encourages States and districts to build on pandemic-era programs and incorporate lessons learned in recent years. </w:t>
      </w:r>
    </w:p>
    <w:p w14:paraId="5E8F229C" w14:textId="4495C76C" w:rsidR="00900CB5" w:rsidRPr="001F3B7A" w:rsidRDefault="00900CB5" w:rsidP="00900CB5">
      <w:pPr>
        <w:rPr>
          <w:rFonts w:cs="Arial"/>
          <w:szCs w:val="24"/>
        </w:rPr>
      </w:pPr>
      <w:proofErr w:type="gramStart"/>
      <w:r w:rsidRPr="001F3B7A">
        <w:rPr>
          <w:rFonts w:cs="Arial"/>
          <w:szCs w:val="24"/>
        </w:rPr>
        <w:t>In order to</w:t>
      </w:r>
      <w:proofErr w:type="gramEnd"/>
      <w:r w:rsidRPr="001F3B7A">
        <w:rPr>
          <w:rFonts w:cs="Arial"/>
          <w:szCs w:val="24"/>
        </w:rPr>
        <w:t xml:space="preserve"> improve recruitment and retention, the guidance says</w:t>
      </w:r>
      <w:r w:rsidR="00064739">
        <w:rPr>
          <w:rFonts w:cs="Arial"/>
          <w:szCs w:val="24"/>
        </w:rPr>
        <w:t>,</w:t>
      </w:r>
      <w:r w:rsidR="004503A9">
        <w:rPr>
          <w:rFonts w:cs="Arial"/>
          <w:szCs w:val="24"/>
        </w:rPr>
        <w:t xml:space="preserve"> </w:t>
      </w:r>
      <w:r w:rsidRPr="001F3B7A">
        <w:rPr>
          <w:rFonts w:cs="Arial"/>
          <w:szCs w:val="24"/>
        </w:rPr>
        <w:t>Title II, Part A funds can be used to pay for teachers who take on other responsibilities like coaching and mentoring, or for increased time spent in collaborative planning outside regular working hours, so long as such costs are supplemental.</w:t>
      </w:r>
      <w:r w:rsidR="00404E97">
        <w:rPr>
          <w:rFonts w:cs="Arial"/>
          <w:szCs w:val="24"/>
        </w:rPr>
        <w:t xml:space="preserve"> </w:t>
      </w:r>
      <w:r w:rsidRPr="001F3B7A">
        <w:rPr>
          <w:rFonts w:cs="Arial"/>
          <w:szCs w:val="24"/>
        </w:rPr>
        <w:t xml:space="preserve"> Additionally, forms of compensation like scholarships or loan forgiveness may be offered in exchange for a commitment to teacher</w:t>
      </w:r>
      <w:r w:rsidR="009C288F">
        <w:rPr>
          <w:rFonts w:cs="Arial"/>
          <w:szCs w:val="24"/>
        </w:rPr>
        <w:t>s</w:t>
      </w:r>
      <w:r w:rsidRPr="001F3B7A">
        <w:rPr>
          <w:rFonts w:cs="Arial"/>
          <w:szCs w:val="24"/>
        </w:rPr>
        <w:t xml:space="preserve"> in hard-to-staff schools or positions, or to pay for additional certifications in high-need areas.  Funds can also be used to support educator wellbeing through efforts to improve working conditions, hir</w:t>
      </w:r>
      <w:r w:rsidR="007F7454">
        <w:rPr>
          <w:rFonts w:cs="Arial"/>
          <w:szCs w:val="24"/>
        </w:rPr>
        <w:t>e</w:t>
      </w:r>
      <w:r w:rsidRPr="001F3B7A">
        <w:rPr>
          <w:rFonts w:cs="Arial"/>
          <w:szCs w:val="24"/>
        </w:rPr>
        <w:t xml:space="preserve"> additional staff, creat</w:t>
      </w:r>
      <w:r w:rsidR="007F7454">
        <w:rPr>
          <w:rFonts w:cs="Arial"/>
          <w:szCs w:val="24"/>
        </w:rPr>
        <w:t>e</w:t>
      </w:r>
      <w:r w:rsidRPr="001F3B7A">
        <w:rPr>
          <w:rFonts w:cs="Arial"/>
          <w:szCs w:val="24"/>
        </w:rPr>
        <w:t xml:space="preserve"> professional learning communities, and provid</w:t>
      </w:r>
      <w:r w:rsidR="007F7454">
        <w:rPr>
          <w:rFonts w:cs="Arial"/>
          <w:szCs w:val="24"/>
        </w:rPr>
        <w:t>e</w:t>
      </w:r>
      <w:r w:rsidRPr="001F3B7A">
        <w:rPr>
          <w:rFonts w:cs="Arial"/>
          <w:szCs w:val="24"/>
        </w:rPr>
        <w:t xml:space="preserve"> logistical support so teachers can focus on instructional practice.</w:t>
      </w:r>
    </w:p>
    <w:p w14:paraId="342FAE70" w14:textId="77777777" w:rsidR="00900CB5" w:rsidRPr="001F3B7A" w:rsidRDefault="00900CB5" w:rsidP="00900CB5">
      <w:pPr>
        <w:rPr>
          <w:rFonts w:cs="Arial"/>
          <w:szCs w:val="24"/>
        </w:rPr>
      </w:pPr>
      <w:r w:rsidRPr="001F3B7A">
        <w:rPr>
          <w:rFonts w:cs="Arial"/>
          <w:szCs w:val="24"/>
        </w:rPr>
        <w:t>Examples of successful “best practices” from States and districts are used throughout the document to explain each activity.</w:t>
      </w:r>
    </w:p>
    <w:p w14:paraId="2443CA84" w14:textId="55B82C2A" w:rsidR="00900CB5" w:rsidRPr="001F3B7A" w:rsidRDefault="00900CB5" w:rsidP="00900CB5">
      <w:pPr>
        <w:rPr>
          <w:rFonts w:cs="Arial"/>
          <w:szCs w:val="24"/>
        </w:rPr>
      </w:pPr>
      <w:hyperlink r:id="rId10" w:history="1">
        <w:r w:rsidRPr="00404E97">
          <w:rPr>
            <w:rStyle w:val="Hyperlink"/>
            <w:rFonts w:cs="Arial"/>
            <w:szCs w:val="24"/>
          </w:rPr>
          <w:t>The recruitment and retention guidance is here</w:t>
        </w:r>
      </w:hyperlink>
      <w:r w:rsidRPr="001F3B7A">
        <w:rPr>
          <w:rFonts w:cs="Arial"/>
          <w:szCs w:val="24"/>
        </w:rPr>
        <w:t>.</w:t>
      </w:r>
    </w:p>
    <w:p w14:paraId="57BCFCE6" w14:textId="77777777" w:rsidR="00900CB5" w:rsidRDefault="00900CB5" w:rsidP="00900CB5">
      <w:pPr>
        <w:rPr>
          <w:rFonts w:cs="Arial"/>
          <w:szCs w:val="24"/>
        </w:rPr>
      </w:pPr>
      <w:r w:rsidRPr="001F3B7A">
        <w:rPr>
          <w:rFonts w:cs="Arial"/>
          <w:szCs w:val="24"/>
        </w:rPr>
        <w:t>Author: JCM</w:t>
      </w:r>
    </w:p>
    <w:p w14:paraId="01CF7114" w14:textId="4B8EA0E0" w:rsidR="00465203" w:rsidRDefault="00465203" w:rsidP="00465203">
      <w:pPr>
        <w:pStyle w:val="Heading3"/>
      </w:pPr>
      <w:bookmarkStart w:id="21" w:name="_Toc184983452"/>
      <w:r w:rsidRPr="00FF7B40">
        <w:t>OCR Provides New Retaliation Guidance</w:t>
      </w:r>
      <w:bookmarkEnd w:id="21"/>
    </w:p>
    <w:p w14:paraId="23A775AA" w14:textId="686F1B98" w:rsidR="000C4C30" w:rsidRPr="00F15788" w:rsidRDefault="000C4C30" w:rsidP="000C4C30">
      <w:pPr>
        <w:rPr>
          <w:rFonts w:cs="Arial"/>
          <w:szCs w:val="24"/>
        </w:rPr>
      </w:pPr>
      <w:r w:rsidRPr="00F15788">
        <w:rPr>
          <w:rFonts w:cs="Arial"/>
          <w:szCs w:val="24"/>
        </w:rPr>
        <w:t xml:space="preserve">The U.S. Department of Education’s Office </w:t>
      </w:r>
      <w:r w:rsidR="00404E97">
        <w:rPr>
          <w:rFonts w:cs="Arial"/>
          <w:szCs w:val="24"/>
        </w:rPr>
        <w:t>for</w:t>
      </w:r>
      <w:r w:rsidRPr="00F15788">
        <w:rPr>
          <w:rFonts w:cs="Arial"/>
          <w:szCs w:val="24"/>
        </w:rPr>
        <w:t xml:space="preserve"> Civil Rights </w:t>
      </w:r>
      <w:r>
        <w:rPr>
          <w:rFonts w:cs="Arial"/>
          <w:szCs w:val="24"/>
        </w:rPr>
        <w:t>(</w:t>
      </w:r>
      <w:r w:rsidRPr="00F15788">
        <w:rPr>
          <w:rFonts w:cs="Arial"/>
          <w:szCs w:val="24"/>
        </w:rPr>
        <w:t xml:space="preserve">OCR) released a new resource document </w:t>
      </w:r>
      <w:r>
        <w:rPr>
          <w:rFonts w:cs="Arial"/>
          <w:szCs w:val="24"/>
        </w:rPr>
        <w:t>this week covering retaliation for exercising civil rights</w:t>
      </w:r>
      <w:r w:rsidRPr="00F15788">
        <w:rPr>
          <w:rFonts w:cs="Arial"/>
          <w:szCs w:val="24"/>
        </w:rPr>
        <w:t xml:space="preserve">.  In the document, OCR reminds school communities that </w:t>
      </w:r>
      <w:r w:rsidR="00064739" w:rsidRPr="00F15788">
        <w:rPr>
          <w:rFonts w:cs="Arial"/>
          <w:szCs w:val="24"/>
        </w:rPr>
        <w:t>all</w:t>
      </w:r>
      <w:r w:rsidRPr="00F15788">
        <w:rPr>
          <w:rFonts w:cs="Arial"/>
          <w:szCs w:val="24"/>
        </w:rPr>
        <w:t xml:space="preserve"> civil rights laws that OCR enforces prohibit retaliation.</w:t>
      </w:r>
    </w:p>
    <w:p w14:paraId="6A59BE91" w14:textId="695ADB2A" w:rsidR="000C4C30" w:rsidRDefault="000C4C30" w:rsidP="000C4C30">
      <w:pPr>
        <w:rPr>
          <w:rFonts w:cs="Arial"/>
          <w:szCs w:val="24"/>
        </w:rPr>
      </w:pPr>
      <w:r w:rsidRPr="00F15788">
        <w:rPr>
          <w:rFonts w:cs="Arial"/>
          <w:szCs w:val="24"/>
        </w:rPr>
        <w:lastRenderedPageBreak/>
        <w:t xml:space="preserve">The document provides an overview of </w:t>
      </w:r>
      <w:r w:rsidR="00064739">
        <w:rPr>
          <w:rFonts w:cs="Arial"/>
          <w:szCs w:val="24"/>
        </w:rPr>
        <w:t xml:space="preserve">what </w:t>
      </w:r>
      <w:r w:rsidRPr="00F15788">
        <w:rPr>
          <w:rFonts w:cs="Arial"/>
          <w:szCs w:val="24"/>
        </w:rPr>
        <w:t>retaliation</w:t>
      </w:r>
      <w:r w:rsidR="00064739">
        <w:rPr>
          <w:rFonts w:cs="Arial"/>
          <w:szCs w:val="24"/>
        </w:rPr>
        <w:t xml:space="preserve"> means</w:t>
      </w:r>
      <w:r w:rsidRPr="00F15788">
        <w:rPr>
          <w:rFonts w:cs="Arial"/>
          <w:szCs w:val="24"/>
        </w:rPr>
        <w:t xml:space="preserve">, </w:t>
      </w:r>
      <w:r w:rsidR="00064739">
        <w:rPr>
          <w:rFonts w:cs="Arial"/>
          <w:szCs w:val="24"/>
        </w:rPr>
        <w:t>a list of</w:t>
      </w:r>
      <w:r w:rsidRPr="00F15788">
        <w:rPr>
          <w:rFonts w:cs="Arial"/>
          <w:szCs w:val="24"/>
        </w:rPr>
        <w:t xml:space="preserve"> individuals protected from retaliation, elements of a retaliation claim, and OCR’s investigation and enforcement action after a claim is made.  Along with individuals who make complaints, OCR states that anyone who participates in an investigation or proceeding or opposes discrimination, which could include third parties advocating for the rights of students, is protected from retaliation under civil rights laws.  </w:t>
      </w:r>
    </w:p>
    <w:p w14:paraId="0FF0A947" w14:textId="319F30CB" w:rsidR="000C4C30" w:rsidRDefault="000C4C30" w:rsidP="000C4C30">
      <w:pPr>
        <w:rPr>
          <w:rFonts w:cs="Arial"/>
          <w:szCs w:val="24"/>
        </w:rPr>
      </w:pPr>
      <w:r w:rsidRPr="00F15788">
        <w:rPr>
          <w:rFonts w:cs="Arial"/>
          <w:szCs w:val="24"/>
        </w:rPr>
        <w:t xml:space="preserve">In order to make a case </w:t>
      </w:r>
      <w:r w:rsidR="00064739">
        <w:rPr>
          <w:rFonts w:cs="Arial"/>
          <w:szCs w:val="24"/>
        </w:rPr>
        <w:t>that</w:t>
      </w:r>
      <w:r w:rsidRPr="00F15788">
        <w:rPr>
          <w:rFonts w:cs="Arial"/>
          <w:szCs w:val="24"/>
        </w:rPr>
        <w:t xml:space="preserve"> retaliation</w:t>
      </w:r>
      <w:r w:rsidR="00064739">
        <w:rPr>
          <w:rFonts w:cs="Arial"/>
          <w:szCs w:val="24"/>
        </w:rPr>
        <w:t xml:space="preserve"> has occurred</w:t>
      </w:r>
      <w:r w:rsidRPr="00F15788">
        <w:rPr>
          <w:rFonts w:cs="Arial"/>
          <w:szCs w:val="24"/>
        </w:rPr>
        <w:t>, a claimant should show that (1) they reported or opposed the violation of civil rights laws in a protected activity, (2) they experienced an adverse action, such as intimidation or discrimination, that would discourage making or participating in a complaint, and (3) there is a causal connection between the adverse action and the protected activity.</w:t>
      </w:r>
      <w:r>
        <w:rPr>
          <w:rFonts w:cs="Arial"/>
        </w:rPr>
        <w:t xml:space="preserve">  </w:t>
      </w:r>
      <w:r>
        <w:rPr>
          <w:rFonts w:cs="Arial"/>
          <w:szCs w:val="24"/>
        </w:rPr>
        <w:t xml:space="preserve">According to the document, OCR reviews complaints and evidence to see if these three elements have been met.  If they have, OCR offers the school the opportunity to show that there was a “legitimate, non-retaliatory reason for the adverse action” and reviews the evidence to see if there was also an unlawful reason for the action. </w:t>
      </w:r>
    </w:p>
    <w:p w14:paraId="1E9AD226" w14:textId="77777777" w:rsidR="000C4C30" w:rsidRDefault="000C4C30" w:rsidP="000C4C30">
      <w:pPr>
        <w:rPr>
          <w:rFonts w:cs="Arial"/>
          <w:szCs w:val="24"/>
        </w:rPr>
      </w:pPr>
      <w:r>
        <w:rPr>
          <w:rFonts w:cs="Arial"/>
          <w:szCs w:val="24"/>
        </w:rPr>
        <w:t xml:space="preserve">The guidance also includes 15 examples of situations that may raise concerns about retaliation, including retaliation based on sex, race, national origin, and disability.  </w:t>
      </w:r>
    </w:p>
    <w:p w14:paraId="347CCEFA" w14:textId="77777777" w:rsidR="000C4C30" w:rsidRPr="00FF7B40" w:rsidRDefault="000C4C30" w:rsidP="000C4C30">
      <w:pPr>
        <w:rPr>
          <w:rFonts w:cs="Arial"/>
        </w:rPr>
      </w:pPr>
      <w:r>
        <w:rPr>
          <w:rFonts w:cs="Arial"/>
          <w:szCs w:val="24"/>
        </w:rPr>
        <w:t xml:space="preserve">The last time OCR issued retaliation guidance was in 2013.  </w:t>
      </w:r>
      <w:hyperlink r:id="rId11" w:history="1">
        <w:r>
          <w:rPr>
            <w:rStyle w:val="Hyperlink"/>
            <w:rFonts w:cs="Arial"/>
            <w:szCs w:val="24"/>
          </w:rPr>
          <w:t>The new guidance is available here.</w:t>
        </w:r>
      </w:hyperlink>
      <w:r w:rsidRPr="00F15788">
        <w:rPr>
          <w:rFonts w:cs="Arial"/>
          <w:szCs w:val="24"/>
        </w:rPr>
        <w:t xml:space="preserve"> </w:t>
      </w:r>
    </w:p>
    <w:p w14:paraId="0C7FFA3B" w14:textId="331D1820" w:rsidR="00465203" w:rsidRDefault="000C4C30" w:rsidP="000C4C30">
      <w:pPr>
        <w:rPr>
          <w:rFonts w:cs="Arial"/>
          <w:szCs w:val="24"/>
        </w:rPr>
      </w:pPr>
      <w:r w:rsidRPr="00F15788">
        <w:rPr>
          <w:rFonts w:cs="Arial"/>
          <w:szCs w:val="24"/>
        </w:rPr>
        <w:t>Author: BTW</w:t>
      </w:r>
    </w:p>
    <w:p w14:paraId="45737F86" w14:textId="2DDBF8BA" w:rsidR="00B01ED7" w:rsidRDefault="00B01ED7" w:rsidP="00B01ED7">
      <w:pPr>
        <w:pStyle w:val="Heading2"/>
      </w:pPr>
      <w:bookmarkStart w:id="22" w:name="_Toc184983453"/>
      <w:r>
        <w:t>News</w:t>
      </w:r>
      <w:bookmarkEnd w:id="22"/>
    </w:p>
    <w:p w14:paraId="4AE2D4ED" w14:textId="1206DC6B" w:rsidR="00D379AD" w:rsidRPr="00D379AD" w:rsidRDefault="00D379AD" w:rsidP="00D379AD">
      <w:pPr>
        <w:pStyle w:val="Heading3"/>
      </w:pPr>
      <w:bookmarkStart w:id="23" w:name="_Toc184983454"/>
      <w:r w:rsidRPr="00D379AD">
        <w:t>Walberg to Take Top Spot in House Committee</w:t>
      </w:r>
      <w:bookmarkEnd w:id="23"/>
    </w:p>
    <w:p w14:paraId="16559B12" w14:textId="2C42A859" w:rsidR="00D379AD" w:rsidRPr="00D379AD" w:rsidRDefault="00D379AD" w:rsidP="00D379AD">
      <w:r w:rsidRPr="00D379AD">
        <w:t>Representative Tim Walberg (R-MI) is set to take over as Chairman of the House Committee on Education and the Workforce after his election was announced Friday.  Walberg won out over Representative Burgess Owens (R-UT) who was also vying for the position, and after Representative Virginia Foxx (R-NC) said she would step down.</w:t>
      </w:r>
    </w:p>
    <w:p w14:paraId="1DF003C7" w14:textId="14413002" w:rsidR="00D379AD" w:rsidRPr="00D379AD" w:rsidRDefault="00D379AD" w:rsidP="00D379AD">
      <w:r w:rsidRPr="00D379AD">
        <w:t>Walberg has said that his priorities are bolstering school choice, improving college affordability, passing short-term Pell Grant legislation, and reauthorizing the Workforce Innovation and Opportunity Act (WIOA).</w:t>
      </w:r>
    </w:p>
    <w:p w14:paraId="3CC163AF" w14:textId="65EF74E2" w:rsidR="00D379AD" w:rsidRPr="00D379AD" w:rsidRDefault="00404E97" w:rsidP="00D379AD">
      <w:r>
        <w:t>“</w:t>
      </w:r>
      <w:r w:rsidR="00D379AD" w:rsidRPr="00D379AD">
        <w:t>Having served under three Republican chairs of this committee, I understand both the privilege and responsibility now entrusted to me,” said Walberg in a statement.  “We have a unique opportunity to make substantive reforms to empower parents, incentivize workforce training, improve government efficiency, and unburden American innovators and job creators.  The American people have given us a mandate to enact meaningful change and ensure future generations will succeed.”</w:t>
      </w:r>
    </w:p>
    <w:p w14:paraId="4B0F63D3" w14:textId="4FF2BC65" w:rsidR="00D379AD" w:rsidRDefault="00D379AD" w:rsidP="00D379AD">
      <w:r w:rsidRPr="00D379AD">
        <w:t>Author: JCM</w:t>
      </w:r>
    </w:p>
    <w:p w14:paraId="73CF7EF4" w14:textId="289A6E1F" w:rsidR="00B01ED7" w:rsidRDefault="00064739" w:rsidP="00B01ED7">
      <w:pPr>
        <w:pStyle w:val="Heading3"/>
      </w:pPr>
      <w:bookmarkStart w:id="24" w:name="_Toc184983455"/>
      <w:r>
        <w:lastRenderedPageBreak/>
        <w:t>New</w:t>
      </w:r>
      <w:r w:rsidR="00B01ED7">
        <w:t xml:space="preserve"> </w:t>
      </w:r>
      <w:r>
        <w:t>“</w:t>
      </w:r>
      <w:r w:rsidR="00B01ED7">
        <w:t>Playbook</w:t>
      </w:r>
      <w:r>
        <w:t>” Offers</w:t>
      </w:r>
      <w:r w:rsidR="00B01ED7">
        <w:t xml:space="preserve"> Cell Phone Guidance </w:t>
      </w:r>
      <w:r>
        <w:t>for</w:t>
      </w:r>
      <w:r w:rsidR="00B01ED7">
        <w:t xml:space="preserve"> Schools</w:t>
      </w:r>
      <w:bookmarkEnd w:id="24"/>
    </w:p>
    <w:p w14:paraId="2CD715C8" w14:textId="3CBB896A" w:rsidR="00D33BE6" w:rsidRDefault="00D33BE6" w:rsidP="00D33BE6">
      <w:r>
        <w:t>The U.S. Department of Education (ED) issued a playbook last week to provide guidance to schools and districts in developing or updating policies on the use of cell phones or other personal devices, like smart watches, in schools.  The playbook comes as more States and districts are considering or have passed laws or polic</w:t>
      </w:r>
      <w:r w:rsidR="0028305D">
        <w:t>ies</w:t>
      </w:r>
      <w:r>
        <w:t xml:space="preserve"> restricting the use of personal devices in school. </w:t>
      </w:r>
    </w:p>
    <w:p w14:paraId="526B5A05" w14:textId="77777777" w:rsidR="00D33BE6" w:rsidRDefault="00D33BE6" w:rsidP="00D33BE6">
      <w:r>
        <w:t>ED recommends States, districts, and schools engage stakeholders – especially students, parents, families, and teachers – as they consider establishing or modifying their policies, recognizing that circumstances may be different in schools across the country.  ED also encourages educational entities to ensure the youth participation in the policymaking process is meaningful.  The playbook also highlights various types of policies regarding personal device use in schools from several States, which have different levels of restrictions.  Finally, ED encourages schools to track the implementation of new or updated policies and use data, where available, to evaluate the effectiveness and whether further updates are needed.</w:t>
      </w:r>
    </w:p>
    <w:p w14:paraId="7B694CC7" w14:textId="77777777" w:rsidR="00D33BE6" w:rsidRDefault="00D33BE6" w:rsidP="00D33BE6">
      <w:hyperlink r:id="rId12" w:history="1">
        <w:r w:rsidRPr="00206E7F">
          <w:rPr>
            <w:rStyle w:val="Hyperlink"/>
          </w:rPr>
          <w:t>The playbook on personal device use is available here</w:t>
        </w:r>
      </w:hyperlink>
      <w:r>
        <w:t>.</w:t>
      </w:r>
    </w:p>
    <w:p w14:paraId="492FCF27" w14:textId="7E1A4D8A" w:rsidR="00B01ED7" w:rsidRPr="00B01ED7" w:rsidRDefault="00D33BE6" w:rsidP="00D33BE6">
      <w:pPr>
        <w:spacing w:after="160"/>
      </w:pPr>
      <w:r>
        <w:t>Author: KSC</w:t>
      </w:r>
    </w:p>
    <w:p w14:paraId="139E2BDC" w14:textId="7CDE7FB4" w:rsidR="00835612" w:rsidRDefault="00835612" w:rsidP="00835612">
      <w:pPr>
        <w:pStyle w:val="Heading2"/>
      </w:pPr>
      <w:bookmarkStart w:id="25" w:name="_Toc184983456"/>
      <w:r>
        <w:t>Reports</w:t>
      </w:r>
      <w:bookmarkEnd w:id="25"/>
    </w:p>
    <w:p w14:paraId="784A36FF" w14:textId="4D8C2670" w:rsidR="00835612" w:rsidRDefault="00E32693" w:rsidP="00691BCA">
      <w:pPr>
        <w:pStyle w:val="Heading3"/>
      </w:pPr>
      <w:bookmarkStart w:id="26" w:name="_Toc184983457"/>
      <w:r>
        <w:t>ED OIG Publishes Semi-Annual Report</w:t>
      </w:r>
      <w:bookmarkEnd w:id="26"/>
    </w:p>
    <w:p w14:paraId="46F6F023" w14:textId="77777777" w:rsidR="00C7536B" w:rsidRDefault="00C7536B" w:rsidP="00C7536B">
      <w:pPr>
        <w:rPr>
          <w:rFonts w:cs="Arial"/>
          <w:szCs w:val="24"/>
        </w:rPr>
      </w:pPr>
      <w:r>
        <w:rPr>
          <w:rFonts w:cs="Arial"/>
          <w:szCs w:val="24"/>
        </w:rPr>
        <w:t xml:space="preserve">Last month the U.S. Department of Education’s Office of Inspector General (ED OIG) published its semi-annual report covering the second half of federal fiscal year (FY) 2024.  The report provides an overview of the investigative, audit, and related activities of OIG and includes recommendations to ensure ED’s compliance with federal laws.  </w:t>
      </w:r>
    </w:p>
    <w:p w14:paraId="0A675C57" w14:textId="00923E68" w:rsidR="00C7536B" w:rsidRDefault="00C7536B" w:rsidP="00C7536B">
      <w:pPr>
        <w:rPr>
          <w:rFonts w:cs="Arial"/>
          <w:szCs w:val="24"/>
        </w:rPr>
      </w:pPr>
      <w:r>
        <w:rPr>
          <w:rFonts w:cs="Arial"/>
          <w:szCs w:val="24"/>
        </w:rPr>
        <w:t xml:space="preserve">The goal of OIG is to identify and help prevent fraud, waste, and abuse. </w:t>
      </w:r>
      <w:r w:rsidR="004A0B53">
        <w:rPr>
          <w:rFonts w:cs="Arial"/>
          <w:szCs w:val="24"/>
        </w:rPr>
        <w:t xml:space="preserve"> </w:t>
      </w:r>
      <w:r>
        <w:rPr>
          <w:rFonts w:cs="Arial"/>
          <w:szCs w:val="24"/>
        </w:rPr>
        <w:t>Overall</w:t>
      </w:r>
      <w:r w:rsidR="004E2267">
        <w:rPr>
          <w:rFonts w:cs="Arial"/>
          <w:szCs w:val="24"/>
        </w:rPr>
        <w:t>,</w:t>
      </w:r>
      <w:r>
        <w:rPr>
          <w:rFonts w:cs="Arial"/>
          <w:szCs w:val="24"/>
        </w:rPr>
        <w:t xml:space="preserve"> in FY 2024, OIG closed 64 investigative cases, opened 42 new cases, ordered fines of $852,000, and recovered and seized over $8 million.  OIG estimates that this work contributed to a savings of $64.6 million. </w:t>
      </w:r>
    </w:p>
    <w:p w14:paraId="3A4E1F1E" w14:textId="4D1778B6" w:rsidR="00C7536B" w:rsidRDefault="00C7536B" w:rsidP="00C7536B">
      <w:pPr>
        <w:rPr>
          <w:rFonts w:cs="Arial"/>
          <w:szCs w:val="24"/>
        </w:rPr>
      </w:pPr>
      <w:r>
        <w:rPr>
          <w:rFonts w:cs="Arial"/>
          <w:szCs w:val="24"/>
        </w:rPr>
        <w:t xml:space="preserve">During the reporting period, OIG began audits of the Emergency Assistance to Nonpublic Schools grants.  OIG also issued a series of reports on districts related to the Elementary and Secondary School Emergency Relief (ESSER) </w:t>
      </w:r>
      <w:r w:rsidR="00404E97">
        <w:rPr>
          <w:rFonts w:cs="Arial"/>
          <w:szCs w:val="24"/>
        </w:rPr>
        <w:t>fund</w:t>
      </w:r>
      <w:r>
        <w:rPr>
          <w:rFonts w:cs="Arial"/>
          <w:szCs w:val="24"/>
        </w:rPr>
        <w:t>.  The reviews looked at expenditures to determine if ESSER funds were used for allowable purposes.  Further, OIG reported that they continued auditing whether States were implementing components of their statewide accountability systems</w:t>
      </w:r>
      <w:r w:rsidR="00404E97">
        <w:rPr>
          <w:rFonts w:cs="Arial"/>
          <w:szCs w:val="24"/>
        </w:rPr>
        <w:t xml:space="preserve"> under the Elementary and Secondary Education Act</w:t>
      </w:r>
      <w:r>
        <w:rPr>
          <w:rFonts w:cs="Arial"/>
          <w:szCs w:val="24"/>
        </w:rPr>
        <w:t xml:space="preserve"> in accordance with their State plans. </w:t>
      </w:r>
    </w:p>
    <w:p w14:paraId="620C8D80" w14:textId="6447D5E0" w:rsidR="00C7536B" w:rsidRDefault="00C7536B" w:rsidP="00C7536B">
      <w:pPr>
        <w:rPr>
          <w:rFonts w:cs="Arial"/>
          <w:szCs w:val="24"/>
        </w:rPr>
      </w:pPr>
      <w:r>
        <w:rPr>
          <w:rFonts w:cs="Arial"/>
          <w:szCs w:val="24"/>
        </w:rPr>
        <w:t>OIG also issued 69 recommendations for improving ED and its programs and operations.  For</w:t>
      </w:r>
      <w:r w:rsidR="00CD1427">
        <w:rPr>
          <w:rFonts w:cs="Arial"/>
          <w:szCs w:val="24"/>
        </w:rPr>
        <w:t xml:space="preserve"> example,</w:t>
      </w:r>
      <w:r w:rsidR="00623F37">
        <w:rPr>
          <w:rFonts w:cs="Arial"/>
          <w:szCs w:val="24"/>
        </w:rPr>
        <w:t xml:space="preserve"> </w:t>
      </w:r>
      <w:r>
        <w:rPr>
          <w:rFonts w:cs="Arial"/>
          <w:szCs w:val="24"/>
        </w:rPr>
        <w:t xml:space="preserve">OIG found that </w:t>
      </w:r>
      <w:r w:rsidR="00623F37">
        <w:rPr>
          <w:rFonts w:cs="Arial"/>
          <w:szCs w:val="24"/>
        </w:rPr>
        <w:t>Federal Student Aid (FSA)</w:t>
      </w:r>
      <w:r>
        <w:rPr>
          <w:rFonts w:cs="Arial"/>
          <w:szCs w:val="24"/>
        </w:rPr>
        <w:t xml:space="preserve"> needed to implement indicators to evaluate its own performance in returning student loan borrowers to repayment after the COVID-19 pause.  FSA was also deficient in effectively implementing the FAFSA Simplification Act, the report noted.  The deficiencies could lead to cost overruns and </w:t>
      </w:r>
      <w:r w:rsidR="000F5F0A">
        <w:rPr>
          <w:rFonts w:cs="Arial"/>
          <w:szCs w:val="24"/>
        </w:rPr>
        <w:lastRenderedPageBreak/>
        <w:t xml:space="preserve">impact </w:t>
      </w:r>
      <w:r w:rsidR="00606D58">
        <w:rPr>
          <w:rFonts w:cs="Arial"/>
          <w:szCs w:val="24"/>
        </w:rPr>
        <w:t xml:space="preserve">the </w:t>
      </w:r>
      <w:r>
        <w:rPr>
          <w:rFonts w:cs="Arial"/>
          <w:szCs w:val="24"/>
        </w:rPr>
        <w:t xml:space="preserve">timely transmission of student data from ED to institutions.  OIG also found that ED was not consistent in including required whistleblower protection clauses in contracts and grant awards.  Additionally, the Department did not have a </w:t>
      </w:r>
      <w:proofErr w:type="gramStart"/>
      <w:r>
        <w:rPr>
          <w:rFonts w:cs="Arial"/>
          <w:szCs w:val="24"/>
        </w:rPr>
        <w:t>process</w:t>
      </w:r>
      <w:proofErr w:type="gramEnd"/>
      <w:r>
        <w:rPr>
          <w:rFonts w:cs="Arial"/>
          <w:szCs w:val="24"/>
        </w:rPr>
        <w:t xml:space="preserve"> to ensure contractors and grantees were notifying staff of the whistleblower protection laws.   </w:t>
      </w:r>
    </w:p>
    <w:p w14:paraId="169D4BE8" w14:textId="0DE8F6E6" w:rsidR="00C7536B" w:rsidRDefault="00C7536B" w:rsidP="00C7536B">
      <w:pPr>
        <w:rPr>
          <w:rFonts w:cs="Arial"/>
          <w:szCs w:val="24"/>
        </w:rPr>
      </w:pPr>
      <w:r>
        <w:rPr>
          <w:rFonts w:cs="Arial"/>
          <w:szCs w:val="24"/>
        </w:rPr>
        <w:t xml:space="preserve">The report also </w:t>
      </w:r>
      <w:r w:rsidR="000F5F0A">
        <w:rPr>
          <w:rFonts w:cs="Arial"/>
          <w:szCs w:val="24"/>
        </w:rPr>
        <w:t>says</w:t>
      </w:r>
      <w:r>
        <w:rPr>
          <w:rFonts w:cs="Arial"/>
          <w:szCs w:val="24"/>
        </w:rPr>
        <w:t xml:space="preserve"> that OIG has made new outreach efforts to encourage the identification and reporting of fraud. </w:t>
      </w:r>
      <w:r w:rsidR="000F5F0A">
        <w:rPr>
          <w:rFonts w:cs="Arial"/>
          <w:szCs w:val="24"/>
        </w:rPr>
        <w:t xml:space="preserve"> ED</w:t>
      </w:r>
      <w:r>
        <w:rPr>
          <w:rFonts w:cs="Arial"/>
          <w:szCs w:val="24"/>
        </w:rPr>
        <w:t xml:space="preserve"> has created free resources for stakeholders that specify what education-related fraud can look like.    </w:t>
      </w:r>
    </w:p>
    <w:p w14:paraId="2B75C60B" w14:textId="77777777" w:rsidR="00C7536B" w:rsidRDefault="00C7536B" w:rsidP="00C7536B">
      <w:pPr>
        <w:rPr>
          <w:rFonts w:cs="Arial"/>
          <w:szCs w:val="24"/>
        </w:rPr>
      </w:pPr>
      <w:hyperlink r:id="rId13" w:history="1">
        <w:r w:rsidRPr="00F456D7">
          <w:rPr>
            <w:rStyle w:val="Hyperlink"/>
            <w:rFonts w:cs="Arial"/>
            <w:szCs w:val="24"/>
          </w:rPr>
          <w:t>The Semi-Annual Report is available here.</w:t>
        </w:r>
      </w:hyperlink>
      <w:r>
        <w:rPr>
          <w:rFonts w:cs="Arial"/>
          <w:szCs w:val="24"/>
        </w:rPr>
        <w:t xml:space="preserve"> </w:t>
      </w:r>
    </w:p>
    <w:p w14:paraId="37D10217" w14:textId="1B03EB7A" w:rsidR="00691BCA" w:rsidRPr="00C7536B" w:rsidRDefault="00C7536B" w:rsidP="00691BCA">
      <w:pPr>
        <w:rPr>
          <w:rFonts w:cs="Arial"/>
          <w:szCs w:val="24"/>
        </w:rPr>
      </w:pPr>
      <w:r>
        <w:rPr>
          <w:rFonts w:cs="Arial"/>
          <w:szCs w:val="24"/>
        </w:rPr>
        <w:t xml:space="preserve">Author: BTW </w:t>
      </w:r>
    </w:p>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w:t>
      </w:r>
      <w:proofErr w:type="gramStart"/>
      <w:r w:rsidRPr="663486F3">
        <w:rPr>
          <w:b/>
          <w:bCs/>
          <w:i/>
          <w:iCs/>
        </w:rPr>
        <w:t>clients</w:t>
      </w:r>
      <w:proofErr w:type="gramEnd"/>
      <w:r w:rsidRPr="663486F3">
        <w:rPr>
          <w:b/>
          <w:bCs/>
          <w:i/>
          <w:iCs/>
        </w:rPr>
        <w:t xml:space="preserve">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6E61D1CD" w14:textId="0BB23344" w:rsidR="00201433" w:rsidRDefault="00201433" w:rsidP="2193F663">
      <w:pPr>
        <w:spacing w:before="240" w:after="240"/>
        <w:rPr>
          <w:rFonts w:eastAsia="Times New Roman" w:cs="Arial"/>
        </w:rPr>
      </w:pPr>
      <w:r w:rsidRPr="2193F663">
        <w:rPr>
          <w:rFonts w:eastAsia="Times New Roman" w:cs="Arial"/>
        </w:rPr>
        <w:t xml:space="preserve">Contributors: </w:t>
      </w:r>
      <w:r w:rsidR="006C63AC">
        <w:rPr>
          <w:rFonts w:eastAsia="Times New Roman" w:cs="Arial"/>
        </w:rPr>
        <w:t xml:space="preserve">Julia Martin, </w:t>
      </w:r>
      <w:r w:rsidR="007D156D">
        <w:rPr>
          <w:rFonts w:eastAsia="Times New Roman" w:cs="Arial"/>
        </w:rPr>
        <w:t>Kelly Christiansen</w:t>
      </w:r>
      <w:r w:rsidR="001D7344">
        <w:rPr>
          <w:rFonts w:eastAsia="Times New Roman" w:cs="Arial"/>
        </w:rPr>
        <w:t xml:space="preserve">, </w:t>
      </w:r>
      <w:r w:rsidR="006C63AC">
        <w:rPr>
          <w:rFonts w:eastAsia="Times New Roman" w:cs="Arial"/>
        </w:rPr>
        <w:t>Brandi Tennant Wills</w:t>
      </w:r>
    </w:p>
    <w:p w14:paraId="4C18B678" w14:textId="6ABC8788" w:rsidR="00404AB5" w:rsidRDefault="00404AB5" w:rsidP="00404AB5">
      <w:pPr>
        <w:spacing w:before="240" w:after="240"/>
        <w:rPr>
          <w:rFonts w:eastAsia="Times New Roman" w:cs="Arial"/>
        </w:rPr>
      </w:pPr>
      <w:r w:rsidRPr="00BC2E6F">
        <w:rPr>
          <w:rFonts w:eastAsia="Times New Roman" w:cs="Arial"/>
        </w:rPr>
        <w:t xml:space="preserve">Posted by the California Department of Education, </w:t>
      </w:r>
      <w:r>
        <w:rPr>
          <w:rFonts w:eastAsia="Times New Roman" w:cs="Arial"/>
        </w:rPr>
        <w:t>December</w:t>
      </w:r>
      <w:r w:rsidRPr="00BC2E6F">
        <w:rPr>
          <w:rFonts w:eastAsia="Times New Roman" w:cs="Arial"/>
        </w:rPr>
        <w:t xml:space="preserve"> 2024</w:t>
      </w:r>
    </w:p>
    <w:p w14:paraId="732E239A" w14:textId="77777777" w:rsidR="00404AB5" w:rsidRDefault="00404AB5" w:rsidP="2193F663">
      <w:pPr>
        <w:spacing w:before="240" w:after="240"/>
        <w:rPr>
          <w:rFonts w:eastAsia="Times New Roman" w:cs="Arial"/>
        </w:rPr>
      </w:pPr>
    </w:p>
    <w:sectPr w:rsidR="00404AB5" w:rsidSect="008C514B">
      <w:headerReference w:type="default" r:id="rId14"/>
      <w:footerReference w:type="default" r:id="rId15"/>
      <w:headerReference w:type="first" r:id="rId16"/>
      <w:footerReference w:type="first" r:id="rId17"/>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DB0E1" w14:textId="77777777" w:rsidR="000325C7" w:rsidRDefault="000325C7">
      <w:pPr>
        <w:spacing w:before="0" w:after="0"/>
      </w:pPr>
      <w:r>
        <w:separator/>
      </w:r>
    </w:p>
  </w:endnote>
  <w:endnote w:type="continuationSeparator" w:id="0">
    <w:p w14:paraId="5D91B204" w14:textId="77777777" w:rsidR="000325C7" w:rsidRDefault="000325C7">
      <w:pPr>
        <w:spacing w:before="0" w:after="0"/>
      </w:pPr>
      <w:r>
        <w:continuationSeparator/>
      </w:r>
    </w:p>
  </w:endnote>
  <w:endnote w:type="continuationNotice" w:id="1">
    <w:p w14:paraId="4836E5BD" w14:textId="77777777" w:rsidR="000325C7" w:rsidRDefault="000325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5A40" w14:textId="77777777" w:rsidR="000325C7" w:rsidRDefault="000325C7">
      <w:pPr>
        <w:spacing w:before="0" w:after="0"/>
      </w:pPr>
      <w:r>
        <w:separator/>
      </w:r>
    </w:p>
  </w:footnote>
  <w:footnote w:type="continuationSeparator" w:id="0">
    <w:p w14:paraId="2D3A2BA8" w14:textId="77777777" w:rsidR="000325C7" w:rsidRDefault="000325C7">
      <w:pPr>
        <w:spacing w:before="0" w:after="0"/>
      </w:pPr>
      <w:r>
        <w:continuationSeparator/>
      </w:r>
    </w:p>
  </w:footnote>
  <w:footnote w:type="continuationNotice" w:id="1">
    <w:p w14:paraId="22C0D68D" w14:textId="77777777" w:rsidR="000325C7" w:rsidRDefault="000325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21D07" w14:textId="52E60078"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220A310" w:rsidR="003C7552" w:rsidRPr="00662BDC" w:rsidRDefault="008611F8" w:rsidP="000A590A">
    <w:pPr>
      <w:pStyle w:val="NoSpacing"/>
      <w:tabs>
        <w:tab w:val="left" w:pos="7920"/>
      </w:tabs>
    </w:pPr>
    <w:r>
      <w:t>December 13</w:t>
    </w:r>
    <w:r w:rsidR="2193F663">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2193F663" w14:paraId="38CE45BF" w14:textId="77777777" w:rsidTr="2193F663">
      <w:trPr>
        <w:trHeight w:val="300"/>
      </w:trPr>
      <w:tc>
        <w:tcPr>
          <w:tcW w:w="3160" w:type="dxa"/>
        </w:tcPr>
        <w:p w14:paraId="5D87D882" w14:textId="427E6F4E" w:rsidR="2193F663" w:rsidRDefault="2193F663" w:rsidP="2193F663">
          <w:pPr>
            <w:pStyle w:val="Header"/>
            <w:ind w:left="-115"/>
          </w:pPr>
        </w:p>
      </w:tc>
      <w:tc>
        <w:tcPr>
          <w:tcW w:w="3160" w:type="dxa"/>
        </w:tcPr>
        <w:p w14:paraId="1BA58480" w14:textId="322C839F" w:rsidR="2193F663" w:rsidRDefault="2193F663" w:rsidP="2193F663">
          <w:pPr>
            <w:pStyle w:val="Header"/>
            <w:jc w:val="center"/>
          </w:pPr>
        </w:p>
      </w:tc>
      <w:tc>
        <w:tcPr>
          <w:tcW w:w="3160" w:type="dxa"/>
        </w:tcPr>
        <w:p w14:paraId="0CD68F80" w14:textId="3C1E6464" w:rsidR="2193F663" w:rsidRDefault="2193F663" w:rsidP="2193F663">
          <w:pPr>
            <w:pStyle w:val="Header"/>
            <w:ind w:right="-115"/>
            <w:jc w:val="right"/>
          </w:pPr>
        </w:p>
      </w:tc>
    </w:tr>
  </w:tbl>
  <w:p w14:paraId="0514E2AD" w14:textId="3E4A02A8" w:rsidR="2193F663" w:rsidRDefault="2193F663" w:rsidP="2193F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3BB"/>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359"/>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12"/>
    <w:rsid w:val="0002305C"/>
    <w:rsid w:val="00023187"/>
    <w:rsid w:val="00024799"/>
    <w:rsid w:val="000255CD"/>
    <w:rsid w:val="00025608"/>
    <w:rsid w:val="000259E1"/>
    <w:rsid w:val="00025D68"/>
    <w:rsid w:val="000260CE"/>
    <w:rsid w:val="00026CC7"/>
    <w:rsid w:val="00027025"/>
    <w:rsid w:val="00027A54"/>
    <w:rsid w:val="000301C7"/>
    <w:rsid w:val="000306D4"/>
    <w:rsid w:val="00030888"/>
    <w:rsid w:val="00030F77"/>
    <w:rsid w:val="0003127A"/>
    <w:rsid w:val="0003132B"/>
    <w:rsid w:val="00031955"/>
    <w:rsid w:val="0003205F"/>
    <w:rsid w:val="000323B4"/>
    <w:rsid w:val="000325C7"/>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6FA"/>
    <w:rsid w:val="00041B30"/>
    <w:rsid w:val="00041C43"/>
    <w:rsid w:val="00041D3B"/>
    <w:rsid w:val="00042E5D"/>
    <w:rsid w:val="00042E66"/>
    <w:rsid w:val="0004327B"/>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4F0"/>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3D91"/>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739"/>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DF5"/>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081C"/>
    <w:rsid w:val="000C12AF"/>
    <w:rsid w:val="000C1436"/>
    <w:rsid w:val="000C19BF"/>
    <w:rsid w:val="000C1A32"/>
    <w:rsid w:val="000C28C1"/>
    <w:rsid w:val="000C3340"/>
    <w:rsid w:val="000C347E"/>
    <w:rsid w:val="000C3991"/>
    <w:rsid w:val="000C3B67"/>
    <w:rsid w:val="000C4074"/>
    <w:rsid w:val="000C4208"/>
    <w:rsid w:val="000C47EE"/>
    <w:rsid w:val="000C48D0"/>
    <w:rsid w:val="000C4C3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957"/>
    <w:rsid w:val="000D7FEF"/>
    <w:rsid w:val="000E01A5"/>
    <w:rsid w:val="000E0C89"/>
    <w:rsid w:val="000E0EED"/>
    <w:rsid w:val="000E1449"/>
    <w:rsid w:val="000E1A8A"/>
    <w:rsid w:val="000E2239"/>
    <w:rsid w:val="000E245F"/>
    <w:rsid w:val="000E2840"/>
    <w:rsid w:val="000E2886"/>
    <w:rsid w:val="000E2D37"/>
    <w:rsid w:val="000E2ED6"/>
    <w:rsid w:val="000E2F84"/>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A5C"/>
    <w:rsid w:val="000F3E0E"/>
    <w:rsid w:val="000F3EDC"/>
    <w:rsid w:val="000F4531"/>
    <w:rsid w:val="000F4968"/>
    <w:rsid w:val="000F4C42"/>
    <w:rsid w:val="000F4DD2"/>
    <w:rsid w:val="000F5510"/>
    <w:rsid w:val="000F5A1A"/>
    <w:rsid w:val="000F5DEE"/>
    <w:rsid w:val="000F5F0A"/>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4AC"/>
    <w:rsid w:val="001135CC"/>
    <w:rsid w:val="0011411E"/>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A6D"/>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721"/>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6F5D"/>
    <w:rsid w:val="00157B08"/>
    <w:rsid w:val="00157BD9"/>
    <w:rsid w:val="00157E3F"/>
    <w:rsid w:val="00160172"/>
    <w:rsid w:val="001604AF"/>
    <w:rsid w:val="0016073A"/>
    <w:rsid w:val="00160CB4"/>
    <w:rsid w:val="001610C5"/>
    <w:rsid w:val="001617D1"/>
    <w:rsid w:val="00161C20"/>
    <w:rsid w:val="00162F33"/>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8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D5C"/>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2B3"/>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D7344"/>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07E"/>
    <w:rsid w:val="001F7272"/>
    <w:rsid w:val="001F746A"/>
    <w:rsid w:val="001F755D"/>
    <w:rsid w:val="001F7778"/>
    <w:rsid w:val="001F7CE1"/>
    <w:rsid w:val="0020013E"/>
    <w:rsid w:val="00200ACD"/>
    <w:rsid w:val="00200CC5"/>
    <w:rsid w:val="00200FD5"/>
    <w:rsid w:val="00201205"/>
    <w:rsid w:val="0020122F"/>
    <w:rsid w:val="00201433"/>
    <w:rsid w:val="002015E8"/>
    <w:rsid w:val="0020231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2C6"/>
    <w:rsid w:val="002077EC"/>
    <w:rsid w:val="00210FCD"/>
    <w:rsid w:val="00211CBE"/>
    <w:rsid w:val="00212192"/>
    <w:rsid w:val="0021231A"/>
    <w:rsid w:val="00212327"/>
    <w:rsid w:val="00212AD2"/>
    <w:rsid w:val="00212DE9"/>
    <w:rsid w:val="00212FA0"/>
    <w:rsid w:val="00213463"/>
    <w:rsid w:val="002135BB"/>
    <w:rsid w:val="00213AD4"/>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289"/>
    <w:rsid w:val="00224387"/>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37F88"/>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121"/>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B39"/>
    <w:rsid w:val="00255F37"/>
    <w:rsid w:val="00256784"/>
    <w:rsid w:val="00256828"/>
    <w:rsid w:val="00256E0D"/>
    <w:rsid w:val="0025727F"/>
    <w:rsid w:val="002573D9"/>
    <w:rsid w:val="00257EAF"/>
    <w:rsid w:val="00260213"/>
    <w:rsid w:val="00260C52"/>
    <w:rsid w:val="00260CF4"/>
    <w:rsid w:val="00261F41"/>
    <w:rsid w:val="00262A31"/>
    <w:rsid w:val="00262ACE"/>
    <w:rsid w:val="00262D95"/>
    <w:rsid w:val="00263097"/>
    <w:rsid w:val="00263167"/>
    <w:rsid w:val="00263228"/>
    <w:rsid w:val="002637AF"/>
    <w:rsid w:val="00263CEC"/>
    <w:rsid w:val="0026411D"/>
    <w:rsid w:val="00264D22"/>
    <w:rsid w:val="002650EA"/>
    <w:rsid w:val="00265479"/>
    <w:rsid w:val="002654B4"/>
    <w:rsid w:val="00265B2E"/>
    <w:rsid w:val="002660A4"/>
    <w:rsid w:val="00266A4D"/>
    <w:rsid w:val="00266BE7"/>
    <w:rsid w:val="00266E87"/>
    <w:rsid w:val="00267275"/>
    <w:rsid w:val="00267647"/>
    <w:rsid w:val="0026791B"/>
    <w:rsid w:val="00267C34"/>
    <w:rsid w:val="00267F36"/>
    <w:rsid w:val="00267F47"/>
    <w:rsid w:val="002719DA"/>
    <w:rsid w:val="00271A72"/>
    <w:rsid w:val="00271D7B"/>
    <w:rsid w:val="00271F01"/>
    <w:rsid w:val="002724B9"/>
    <w:rsid w:val="00272C79"/>
    <w:rsid w:val="00272CD2"/>
    <w:rsid w:val="00273261"/>
    <w:rsid w:val="002733C4"/>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1C1"/>
    <w:rsid w:val="00282317"/>
    <w:rsid w:val="0028282A"/>
    <w:rsid w:val="002828E1"/>
    <w:rsid w:val="00282A68"/>
    <w:rsid w:val="00282AAA"/>
    <w:rsid w:val="00282D63"/>
    <w:rsid w:val="00282E9E"/>
    <w:rsid w:val="0028305D"/>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2F5"/>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4938"/>
    <w:rsid w:val="00295D20"/>
    <w:rsid w:val="0029674B"/>
    <w:rsid w:val="00296A2C"/>
    <w:rsid w:val="00296F57"/>
    <w:rsid w:val="00297C3E"/>
    <w:rsid w:val="00297C7B"/>
    <w:rsid w:val="00297D74"/>
    <w:rsid w:val="002A0178"/>
    <w:rsid w:val="002A05F7"/>
    <w:rsid w:val="002A0765"/>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8D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461"/>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C3"/>
    <w:rsid w:val="002F08DC"/>
    <w:rsid w:val="002F095B"/>
    <w:rsid w:val="002F10FC"/>
    <w:rsid w:val="002F1ADC"/>
    <w:rsid w:val="002F1CDF"/>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4DD4"/>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99F"/>
    <w:rsid w:val="00353A68"/>
    <w:rsid w:val="00353DF1"/>
    <w:rsid w:val="00354519"/>
    <w:rsid w:val="00354600"/>
    <w:rsid w:val="0035522F"/>
    <w:rsid w:val="00355412"/>
    <w:rsid w:val="003556A9"/>
    <w:rsid w:val="003558B1"/>
    <w:rsid w:val="00355B3C"/>
    <w:rsid w:val="00356108"/>
    <w:rsid w:val="0035660B"/>
    <w:rsid w:val="00356921"/>
    <w:rsid w:val="00356A3F"/>
    <w:rsid w:val="00357DD2"/>
    <w:rsid w:val="003608C2"/>
    <w:rsid w:val="003609A6"/>
    <w:rsid w:val="00360B8C"/>
    <w:rsid w:val="003610B5"/>
    <w:rsid w:val="00361409"/>
    <w:rsid w:val="003615E2"/>
    <w:rsid w:val="003619DA"/>
    <w:rsid w:val="0036240A"/>
    <w:rsid w:val="00362445"/>
    <w:rsid w:val="00362C7C"/>
    <w:rsid w:val="00362DA0"/>
    <w:rsid w:val="00362EA0"/>
    <w:rsid w:val="0036310A"/>
    <w:rsid w:val="003636CE"/>
    <w:rsid w:val="00363C1B"/>
    <w:rsid w:val="0036442F"/>
    <w:rsid w:val="00364BA5"/>
    <w:rsid w:val="003651BB"/>
    <w:rsid w:val="00365495"/>
    <w:rsid w:val="003654D3"/>
    <w:rsid w:val="00365855"/>
    <w:rsid w:val="00365AD0"/>
    <w:rsid w:val="003664FF"/>
    <w:rsid w:val="00366563"/>
    <w:rsid w:val="00366714"/>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735"/>
    <w:rsid w:val="003918BB"/>
    <w:rsid w:val="00391B69"/>
    <w:rsid w:val="00391C56"/>
    <w:rsid w:val="00391DC9"/>
    <w:rsid w:val="003929AC"/>
    <w:rsid w:val="00392C92"/>
    <w:rsid w:val="0039442C"/>
    <w:rsid w:val="00394A07"/>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BB"/>
    <w:rsid w:val="003B5DFA"/>
    <w:rsid w:val="003B5F8B"/>
    <w:rsid w:val="003B6043"/>
    <w:rsid w:val="003B67C8"/>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637"/>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617"/>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31F"/>
    <w:rsid w:val="00400573"/>
    <w:rsid w:val="004005ED"/>
    <w:rsid w:val="00400FE4"/>
    <w:rsid w:val="004011E3"/>
    <w:rsid w:val="004012FC"/>
    <w:rsid w:val="004017B0"/>
    <w:rsid w:val="00402381"/>
    <w:rsid w:val="00402D2B"/>
    <w:rsid w:val="004030B5"/>
    <w:rsid w:val="004030CF"/>
    <w:rsid w:val="0040359A"/>
    <w:rsid w:val="004039B7"/>
    <w:rsid w:val="00403AD4"/>
    <w:rsid w:val="00403AE3"/>
    <w:rsid w:val="00403F9B"/>
    <w:rsid w:val="00404A56"/>
    <w:rsid w:val="00404AB5"/>
    <w:rsid w:val="00404E97"/>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7E1"/>
    <w:rsid w:val="00416934"/>
    <w:rsid w:val="00416AB1"/>
    <w:rsid w:val="004174D4"/>
    <w:rsid w:val="0041756B"/>
    <w:rsid w:val="004177D5"/>
    <w:rsid w:val="00417AA8"/>
    <w:rsid w:val="00417ED4"/>
    <w:rsid w:val="00420067"/>
    <w:rsid w:val="0042047F"/>
    <w:rsid w:val="00421EB9"/>
    <w:rsid w:val="00422577"/>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33"/>
    <w:rsid w:val="00433645"/>
    <w:rsid w:val="00433B0D"/>
    <w:rsid w:val="00434262"/>
    <w:rsid w:val="004342C4"/>
    <w:rsid w:val="00434863"/>
    <w:rsid w:val="004350CA"/>
    <w:rsid w:val="004351A4"/>
    <w:rsid w:val="00435BC0"/>
    <w:rsid w:val="00436C26"/>
    <w:rsid w:val="00436D9A"/>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033"/>
    <w:rsid w:val="004471A1"/>
    <w:rsid w:val="00447209"/>
    <w:rsid w:val="004475C2"/>
    <w:rsid w:val="00447F78"/>
    <w:rsid w:val="004503A9"/>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203"/>
    <w:rsid w:val="004653BF"/>
    <w:rsid w:val="00465CD6"/>
    <w:rsid w:val="00465EB5"/>
    <w:rsid w:val="00466024"/>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87A9B"/>
    <w:rsid w:val="004906B4"/>
    <w:rsid w:val="004909D9"/>
    <w:rsid w:val="004914BD"/>
    <w:rsid w:val="00491C4A"/>
    <w:rsid w:val="00491D55"/>
    <w:rsid w:val="00491FE1"/>
    <w:rsid w:val="00492029"/>
    <w:rsid w:val="0049316B"/>
    <w:rsid w:val="00493588"/>
    <w:rsid w:val="004935BB"/>
    <w:rsid w:val="004937CA"/>
    <w:rsid w:val="00493B15"/>
    <w:rsid w:val="00493C6F"/>
    <w:rsid w:val="00493E5B"/>
    <w:rsid w:val="00493EFF"/>
    <w:rsid w:val="00494537"/>
    <w:rsid w:val="00494ACA"/>
    <w:rsid w:val="00494ED7"/>
    <w:rsid w:val="004954EF"/>
    <w:rsid w:val="00495DC9"/>
    <w:rsid w:val="00495FB0"/>
    <w:rsid w:val="004969AD"/>
    <w:rsid w:val="00497B49"/>
    <w:rsid w:val="004A023B"/>
    <w:rsid w:val="004A0B53"/>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317D"/>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4B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267"/>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2A1"/>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0B5E"/>
    <w:rsid w:val="00501084"/>
    <w:rsid w:val="0050126B"/>
    <w:rsid w:val="005016D7"/>
    <w:rsid w:val="0050208B"/>
    <w:rsid w:val="0050294B"/>
    <w:rsid w:val="00502A25"/>
    <w:rsid w:val="005035D9"/>
    <w:rsid w:val="00503AD9"/>
    <w:rsid w:val="00503BC8"/>
    <w:rsid w:val="00504353"/>
    <w:rsid w:val="00504ABB"/>
    <w:rsid w:val="00504D6D"/>
    <w:rsid w:val="00506294"/>
    <w:rsid w:val="00506782"/>
    <w:rsid w:val="005073EB"/>
    <w:rsid w:val="00507743"/>
    <w:rsid w:val="00507BA3"/>
    <w:rsid w:val="005102F8"/>
    <w:rsid w:val="00510F34"/>
    <w:rsid w:val="0051124D"/>
    <w:rsid w:val="005117FC"/>
    <w:rsid w:val="00511ABC"/>
    <w:rsid w:val="0051214A"/>
    <w:rsid w:val="005125B0"/>
    <w:rsid w:val="00513AE4"/>
    <w:rsid w:val="0051406D"/>
    <w:rsid w:val="00514315"/>
    <w:rsid w:val="00514C23"/>
    <w:rsid w:val="005155B1"/>
    <w:rsid w:val="005162C9"/>
    <w:rsid w:val="005164A6"/>
    <w:rsid w:val="0051689D"/>
    <w:rsid w:val="00516D25"/>
    <w:rsid w:val="0051706D"/>
    <w:rsid w:val="00517189"/>
    <w:rsid w:val="005174D5"/>
    <w:rsid w:val="00517A9C"/>
    <w:rsid w:val="0052015B"/>
    <w:rsid w:val="005204A4"/>
    <w:rsid w:val="0052055B"/>
    <w:rsid w:val="005205B8"/>
    <w:rsid w:val="0052083B"/>
    <w:rsid w:val="00520DD8"/>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682"/>
    <w:rsid w:val="00531BB2"/>
    <w:rsid w:val="005323C2"/>
    <w:rsid w:val="00532A40"/>
    <w:rsid w:val="00533BD3"/>
    <w:rsid w:val="005343CB"/>
    <w:rsid w:val="0053467B"/>
    <w:rsid w:val="005346F0"/>
    <w:rsid w:val="00534A7A"/>
    <w:rsid w:val="0053537D"/>
    <w:rsid w:val="005353A2"/>
    <w:rsid w:val="00535550"/>
    <w:rsid w:val="00535996"/>
    <w:rsid w:val="00535CB5"/>
    <w:rsid w:val="00535E2B"/>
    <w:rsid w:val="00536144"/>
    <w:rsid w:val="0053629F"/>
    <w:rsid w:val="005363E0"/>
    <w:rsid w:val="0053662C"/>
    <w:rsid w:val="00536715"/>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5EB6"/>
    <w:rsid w:val="00546792"/>
    <w:rsid w:val="00547461"/>
    <w:rsid w:val="00547628"/>
    <w:rsid w:val="00547ABE"/>
    <w:rsid w:val="00547E6C"/>
    <w:rsid w:val="005502A4"/>
    <w:rsid w:val="005506E2"/>
    <w:rsid w:val="00550E1A"/>
    <w:rsid w:val="00551A8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6F1"/>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878C3"/>
    <w:rsid w:val="0059099B"/>
    <w:rsid w:val="005914C7"/>
    <w:rsid w:val="00591543"/>
    <w:rsid w:val="005916A5"/>
    <w:rsid w:val="00591FFD"/>
    <w:rsid w:val="005925F0"/>
    <w:rsid w:val="00592842"/>
    <w:rsid w:val="00592913"/>
    <w:rsid w:val="00592CF1"/>
    <w:rsid w:val="00592ECA"/>
    <w:rsid w:val="00592F2E"/>
    <w:rsid w:val="00593357"/>
    <w:rsid w:val="00593BFB"/>
    <w:rsid w:val="00593DEE"/>
    <w:rsid w:val="00593ECE"/>
    <w:rsid w:val="00594108"/>
    <w:rsid w:val="00594261"/>
    <w:rsid w:val="005952F3"/>
    <w:rsid w:val="00595844"/>
    <w:rsid w:val="005958CD"/>
    <w:rsid w:val="005977DF"/>
    <w:rsid w:val="00597E70"/>
    <w:rsid w:val="00597EB2"/>
    <w:rsid w:val="005A061B"/>
    <w:rsid w:val="005A0C20"/>
    <w:rsid w:val="005A1546"/>
    <w:rsid w:val="005A15E9"/>
    <w:rsid w:val="005A17BF"/>
    <w:rsid w:val="005A18A0"/>
    <w:rsid w:val="005A2A9E"/>
    <w:rsid w:val="005A2FCE"/>
    <w:rsid w:val="005A30E1"/>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0899"/>
    <w:rsid w:val="005C1045"/>
    <w:rsid w:val="005C1F25"/>
    <w:rsid w:val="005C250F"/>
    <w:rsid w:val="005C2844"/>
    <w:rsid w:val="005C2B19"/>
    <w:rsid w:val="005C2E99"/>
    <w:rsid w:val="005C324D"/>
    <w:rsid w:val="005C35FF"/>
    <w:rsid w:val="005C38C3"/>
    <w:rsid w:val="005C38FF"/>
    <w:rsid w:val="005C3EC0"/>
    <w:rsid w:val="005C4317"/>
    <w:rsid w:val="005C465E"/>
    <w:rsid w:val="005C46F5"/>
    <w:rsid w:val="005C47F7"/>
    <w:rsid w:val="005C4B91"/>
    <w:rsid w:val="005C4BF7"/>
    <w:rsid w:val="005C4DD9"/>
    <w:rsid w:val="005C504E"/>
    <w:rsid w:val="005C5C9B"/>
    <w:rsid w:val="005C61DD"/>
    <w:rsid w:val="005C6393"/>
    <w:rsid w:val="005C6CA2"/>
    <w:rsid w:val="005C6D4B"/>
    <w:rsid w:val="005C7326"/>
    <w:rsid w:val="005C7641"/>
    <w:rsid w:val="005C77AB"/>
    <w:rsid w:val="005C79AD"/>
    <w:rsid w:val="005C7E61"/>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CC0"/>
    <w:rsid w:val="005D3FF9"/>
    <w:rsid w:val="005D4843"/>
    <w:rsid w:val="005D564B"/>
    <w:rsid w:val="005D5BE6"/>
    <w:rsid w:val="005D618F"/>
    <w:rsid w:val="005D64AF"/>
    <w:rsid w:val="005D661F"/>
    <w:rsid w:val="005D6732"/>
    <w:rsid w:val="005E0364"/>
    <w:rsid w:val="005E0760"/>
    <w:rsid w:val="005E0800"/>
    <w:rsid w:val="005E0CCF"/>
    <w:rsid w:val="005E0F60"/>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01C"/>
    <w:rsid w:val="005F089C"/>
    <w:rsid w:val="005F101D"/>
    <w:rsid w:val="005F13A4"/>
    <w:rsid w:val="005F23FA"/>
    <w:rsid w:val="005F2907"/>
    <w:rsid w:val="005F2C24"/>
    <w:rsid w:val="005F2DE3"/>
    <w:rsid w:val="005F2EF7"/>
    <w:rsid w:val="005F33BB"/>
    <w:rsid w:val="005F367B"/>
    <w:rsid w:val="005F36B2"/>
    <w:rsid w:val="005F3EE7"/>
    <w:rsid w:val="005F44B7"/>
    <w:rsid w:val="005F477F"/>
    <w:rsid w:val="005F47D6"/>
    <w:rsid w:val="005F4F70"/>
    <w:rsid w:val="005F5335"/>
    <w:rsid w:val="005F5585"/>
    <w:rsid w:val="005F591B"/>
    <w:rsid w:val="005F5B30"/>
    <w:rsid w:val="005F5EF3"/>
    <w:rsid w:val="005F600C"/>
    <w:rsid w:val="005F63C4"/>
    <w:rsid w:val="005F661D"/>
    <w:rsid w:val="005F6A8B"/>
    <w:rsid w:val="005F6EA8"/>
    <w:rsid w:val="005F7B22"/>
    <w:rsid w:val="0060052D"/>
    <w:rsid w:val="006011FA"/>
    <w:rsid w:val="0060135F"/>
    <w:rsid w:val="00601BC2"/>
    <w:rsid w:val="0060206F"/>
    <w:rsid w:val="00602166"/>
    <w:rsid w:val="006024AF"/>
    <w:rsid w:val="0060255B"/>
    <w:rsid w:val="006028A0"/>
    <w:rsid w:val="00602C0F"/>
    <w:rsid w:val="00602E53"/>
    <w:rsid w:val="00602F30"/>
    <w:rsid w:val="00603F0A"/>
    <w:rsid w:val="00604C2B"/>
    <w:rsid w:val="00604C3A"/>
    <w:rsid w:val="006050BD"/>
    <w:rsid w:val="0060551A"/>
    <w:rsid w:val="00605B53"/>
    <w:rsid w:val="00605E2D"/>
    <w:rsid w:val="00605FDB"/>
    <w:rsid w:val="00606D58"/>
    <w:rsid w:val="00606F22"/>
    <w:rsid w:val="00607255"/>
    <w:rsid w:val="006076AA"/>
    <w:rsid w:val="00607CC9"/>
    <w:rsid w:val="00607D91"/>
    <w:rsid w:val="0061295D"/>
    <w:rsid w:val="00612B4F"/>
    <w:rsid w:val="00612B8D"/>
    <w:rsid w:val="0061343A"/>
    <w:rsid w:val="006134DA"/>
    <w:rsid w:val="00614001"/>
    <w:rsid w:val="00615704"/>
    <w:rsid w:val="00615818"/>
    <w:rsid w:val="00616FFA"/>
    <w:rsid w:val="006202C2"/>
    <w:rsid w:val="00620828"/>
    <w:rsid w:val="00620FCA"/>
    <w:rsid w:val="00621413"/>
    <w:rsid w:val="006214FC"/>
    <w:rsid w:val="00621633"/>
    <w:rsid w:val="0062188E"/>
    <w:rsid w:val="00621BED"/>
    <w:rsid w:val="00622780"/>
    <w:rsid w:val="006231F7"/>
    <w:rsid w:val="00623592"/>
    <w:rsid w:val="00623CFF"/>
    <w:rsid w:val="00623F37"/>
    <w:rsid w:val="006253BE"/>
    <w:rsid w:val="00625E20"/>
    <w:rsid w:val="0062632E"/>
    <w:rsid w:val="00626337"/>
    <w:rsid w:val="0062693D"/>
    <w:rsid w:val="00626E64"/>
    <w:rsid w:val="00630299"/>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5BC"/>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74A"/>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27C9"/>
    <w:rsid w:val="00654378"/>
    <w:rsid w:val="006544A3"/>
    <w:rsid w:val="006544CD"/>
    <w:rsid w:val="00654B08"/>
    <w:rsid w:val="00654C5E"/>
    <w:rsid w:val="0065614D"/>
    <w:rsid w:val="00656218"/>
    <w:rsid w:val="00657097"/>
    <w:rsid w:val="00657D9C"/>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09B"/>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3BEC"/>
    <w:rsid w:val="006842E9"/>
    <w:rsid w:val="0068449A"/>
    <w:rsid w:val="00684925"/>
    <w:rsid w:val="00685C01"/>
    <w:rsid w:val="0068617A"/>
    <w:rsid w:val="00687151"/>
    <w:rsid w:val="0068775C"/>
    <w:rsid w:val="0068778F"/>
    <w:rsid w:val="00687933"/>
    <w:rsid w:val="006902DA"/>
    <w:rsid w:val="00690828"/>
    <w:rsid w:val="0069087F"/>
    <w:rsid w:val="00690B0A"/>
    <w:rsid w:val="00691144"/>
    <w:rsid w:val="00691BCA"/>
    <w:rsid w:val="006924F6"/>
    <w:rsid w:val="006925BA"/>
    <w:rsid w:val="00692D70"/>
    <w:rsid w:val="006930DD"/>
    <w:rsid w:val="00693240"/>
    <w:rsid w:val="006933F6"/>
    <w:rsid w:val="00693BDC"/>
    <w:rsid w:val="00693DE2"/>
    <w:rsid w:val="00694238"/>
    <w:rsid w:val="00694BD4"/>
    <w:rsid w:val="00694D35"/>
    <w:rsid w:val="00694EBA"/>
    <w:rsid w:val="006954FB"/>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B18"/>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3DA3"/>
    <w:rsid w:val="006C41EB"/>
    <w:rsid w:val="006C448B"/>
    <w:rsid w:val="006C460A"/>
    <w:rsid w:val="006C4620"/>
    <w:rsid w:val="006C4A7B"/>
    <w:rsid w:val="006C4DE1"/>
    <w:rsid w:val="006C4E5B"/>
    <w:rsid w:val="006C56DA"/>
    <w:rsid w:val="006C5B9B"/>
    <w:rsid w:val="006C5BC5"/>
    <w:rsid w:val="006C5CB5"/>
    <w:rsid w:val="006C615D"/>
    <w:rsid w:val="006C63AC"/>
    <w:rsid w:val="006C67EB"/>
    <w:rsid w:val="006C689A"/>
    <w:rsid w:val="006C6F8F"/>
    <w:rsid w:val="006C74B2"/>
    <w:rsid w:val="006C7D8A"/>
    <w:rsid w:val="006D0AD7"/>
    <w:rsid w:val="006D113B"/>
    <w:rsid w:val="006D155D"/>
    <w:rsid w:val="006D18E3"/>
    <w:rsid w:val="006D1908"/>
    <w:rsid w:val="006D236C"/>
    <w:rsid w:val="006D2442"/>
    <w:rsid w:val="006D280D"/>
    <w:rsid w:val="006D2917"/>
    <w:rsid w:val="006D2E06"/>
    <w:rsid w:val="006D3F73"/>
    <w:rsid w:val="006D3FED"/>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D7D"/>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C4"/>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5E45"/>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729"/>
    <w:rsid w:val="00723D67"/>
    <w:rsid w:val="0072412D"/>
    <w:rsid w:val="007241E9"/>
    <w:rsid w:val="007242AA"/>
    <w:rsid w:val="00724399"/>
    <w:rsid w:val="0072464E"/>
    <w:rsid w:val="00724837"/>
    <w:rsid w:val="00724ADB"/>
    <w:rsid w:val="0072528D"/>
    <w:rsid w:val="00725D61"/>
    <w:rsid w:val="00726206"/>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A8D"/>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606"/>
    <w:rsid w:val="007449A3"/>
    <w:rsid w:val="007451F4"/>
    <w:rsid w:val="00745758"/>
    <w:rsid w:val="007459CA"/>
    <w:rsid w:val="00745DB5"/>
    <w:rsid w:val="007463B0"/>
    <w:rsid w:val="007464E9"/>
    <w:rsid w:val="00746612"/>
    <w:rsid w:val="00746A45"/>
    <w:rsid w:val="00746CE3"/>
    <w:rsid w:val="00746CF2"/>
    <w:rsid w:val="00746E90"/>
    <w:rsid w:val="0074726A"/>
    <w:rsid w:val="00747B92"/>
    <w:rsid w:val="00747C1F"/>
    <w:rsid w:val="0075062D"/>
    <w:rsid w:val="00750DC4"/>
    <w:rsid w:val="007513BB"/>
    <w:rsid w:val="00751429"/>
    <w:rsid w:val="0075184E"/>
    <w:rsid w:val="00751C4F"/>
    <w:rsid w:val="00751D8A"/>
    <w:rsid w:val="00752C3E"/>
    <w:rsid w:val="00753226"/>
    <w:rsid w:val="00753804"/>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34F"/>
    <w:rsid w:val="00763880"/>
    <w:rsid w:val="007648F1"/>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008"/>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19F"/>
    <w:rsid w:val="007B022F"/>
    <w:rsid w:val="007B027A"/>
    <w:rsid w:val="007B03CF"/>
    <w:rsid w:val="007B11AA"/>
    <w:rsid w:val="007B1845"/>
    <w:rsid w:val="007B1B06"/>
    <w:rsid w:val="007B20BC"/>
    <w:rsid w:val="007B2E69"/>
    <w:rsid w:val="007B32EA"/>
    <w:rsid w:val="007B363B"/>
    <w:rsid w:val="007B3C9D"/>
    <w:rsid w:val="007B3D7C"/>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6F13"/>
    <w:rsid w:val="007C792A"/>
    <w:rsid w:val="007D0BA5"/>
    <w:rsid w:val="007D14A6"/>
    <w:rsid w:val="007D156D"/>
    <w:rsid w:val="007D19C2"/>
    <w:rsid w:val="007D283A"/>
    <w:rsid w:val="007D2A35"/>
    <w:rsid w:val="007D2B73"/>
    <w:rsid w:val="007D3002"/>
    <w:rsid w:val="007D30FA"/>
    <w:rsid w:val="007D3199"/>
    <w:rsid w:val="007D3F8D"/>
    <w:rsid w:val="007D48A4"/>
    <w:rsid w:val="007D53B9"/>
    <w:rsid w:val="007D5B03"/>
    <w:rsid w:val="007D5B23"/>
    <w:rsid w:val="007D6198"/>
    <w:rsid w:val="007D63B3"/>
    <w:rsid w:val="007D64DE"/>
    <w:rsid w:val="007D6DF9"/>
    <w:rsid w:val="007D6F5E"/>
    <w:rsid w:val="007D7431"/>
    <w:rsid w:val="007D77D0"/>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5598"/>
    <w:rsid w:val="007F620D"/>
    <w:rsid w:val="007F695A"/>
    <w:rsid w:val="007F69BF"/>
    <w:rsid w:val="007F6E91"/>
    <w:rsid w:val="007F7454"/>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702"/>
    <w:rsid w:val="0081384E"/>
    <w:rsid w:val="00813B54"/>
    <w:rsid w:val="00813D74"/>
    <w:rsid w:val="0081435A"/>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5612"/>
    <w:rsid w:val="00836183"/>
    <w:rsid w:val="00836DD6"/>
    <w:rsid w:val="00837535"/>
    <w:rsid w:val="008375AB"/>
    <w:rsid w:val="00840235"/>
    <w:rsid w:val="0084065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92F"/>
    <w:rsid w:val="00846DE7"/>
    <w:rsid w:val="00847BEB"/>
    <w:rsid w:val="00847C26"/>
    <w:rsid w:val="00847E1D"/>
    <w:rsid w:val="008500C5"/>
    <w:rsid w:val="00850E33"/>
    <w:rsid w:val="00851649"/>
    <w:rsid w:val="008520C5"/>
    <w:rsid w:val="0085231C"/>
    <w:rsid w:val="008523C1"/>
    <w:rsid w:val="008524F3"/>
    <w:rsid w:val="008528E9"/>
    <w:rsid w:val="008534AC"/>
    <w:rsid w:val="0085394F"/>
    <w:rsid w:val="00853A82"/>
    <w:rsid w:val="00854119"/>
    <w:rsid w:val="008543AC"/>
    <w:rsid w:val="0085453F"/>
    <w:rsid w:val="00854B98"/>
    <w:rsid w:val="008557F2"/>
    <w:rsid w:val="00855845"/>
    <w:rsid w:val="00855919"/>
    <w:rsid w:val="008559EA"/>
    <w:rsid w:val="00855B8A"/>
    <w:rsid w:val="00856221"/>
    <w:rsid w:val="00860959"/>
    <w:rsid w:val="0086111F"/>
    <w:rsid w:val="008611F8"/>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7A3"/>
    <w:rsid w:val="00874E1E"/>
    <w:rsid w:val="0087546A"/>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45C"/>
    <w:rsid w:val="00891F6E"/>
    <w:rsid w:val="00891F78"/>
    <w:rsid w:val="00892098"/>
    <w:rsid w:val="008920A7"/>
    <w:rsid w:val="00892297"/>
    <w:rsid w:val="008923D9"/>
    <w:rsid w:val="00892789"/>
    <w:rsid w:val="00893389"/>
    <w:rsid w:val="00893C9B"/>
    <w:rsid w:val="0089404F"/>
    <w:rsid w:val="00894119"/>
    <w:rsid w:val="00894E8F"/>
    <w:rsid w:val="00895AEC"/>
    <w:rsid w:val="00895C49"/>
    <w:rsid w:val="00896284"/>
    <w:rsid w:val="0089664D"/>
    <w:rsid w:val="0089690D"/>
    <w:rsid w:val="008977C6"/>
    <w:rsid w:val="00897CFC"/>
    <w:rsid w:val="00897E66"/>
    <w:rsid w:val="00897FDA"/>
    <w:rsid w:val="008A0315"/>
    <w:rsid w:val="008A041D"/>
    <w:rsid w:val="008A0548"/>
    <w:rsid w:val="008A06BA"/>
    <w:rsid w:val="008A0E85"/>
    <w:rsid w:val="008A0FF2"/>
    <w:rsid w:val="008A121C"/>
    <w:rsid w:val="008A27F8"/>
    <w:rsid w:val="008A27FE"/>
    <w:rsid w:val="008A2BFF"/>
    <w:rsid w:val="008A3526"/>
    <w:rsid w:val="008A44BC"/>
    <w:rsid w:val="008A5685"/>
    <w:rsid w:val="008A57FC"/>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4FE6"/>
    <w:rsid w:val="008B65D6"/>
    <w:rsid w:val="008B68B3"/>
    <w:rsid w:val="008B6CDE"/>
    <w:rsid w:val="008B77F3"/>
    <w:rsid w:val="008B7948"/>
    <w:rsid w:val="008C0193"/>
    <w:rsid w:val="008C086E"/>
    <w:rsid w:val="008C09C4"/>
    <w:rsid w:val="008C0D64"/>
    <w:rsid w:val="008C1299"/>
    <w:rsid w:val="008C1460"/>
    <w:rsid w:val="008C14D9"/>
    <w:rsid w:val="008C1D30"/>
    <w:rsid w:val="008C2346"/>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0B25"/>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65C"/>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0CB5"/>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331"/>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4ECE"/>
    <w:rsid w:val="009153DB"/>
    <w:rsid w:val="00915B32"/>
    <w:rsid w:val="00916345"/>
    <w:rsid w:val="00916562"/>
    <w:rsid w:val="00916B47"/>
    <w:rsid w:val="00917142"/>
    <w:rsid w:val="0091763D"/>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046"/>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105"/>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1B3"/>
    <w:rsid w:val="00960857"/>
    <w:rsid w:val="009612AC"/>
    <w:rsid w:val="0096170E"/>
    <w:rsid w:val="00961868"/>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88"/>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0"/>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215"/>
    <w:rsid w:val="00992CB7"/>
    <w:rsid w:val="00992EDD"/>
    <w:rsid w:val="00992F06"/>
    <w:rsid w:val="00992F52"/>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97D99"/>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1A"/>
    <w:rsid w:val="009B46E4"/>
    <w:rsid w:val="009B483C"/>
    <w:rsid w:val="009B48F1"/>
    <w:rsid w:val="009B4E11"/>
    <w:rsid w:val="009B4EA5"/>
    <w:rsid w:val="009B4F83"/>
    <w:rsid w:val="009B52E9"/>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88F"/>
    <w:rsid w:val="009C2D2F"/>
    <w:rsid w:val="009C3C95"/>
    <w:rsid w:val="009C4204"/>
    <w:rsid w:val="009C42B0"/>
    <w:rsid w:val="009C42B7"/>
    <w:rsid w:val="009C4717"/>
    <w:rsid w:val="009C4F2D"/>
    <w:rsid w:val="009C5679"/>
    <w:rsid w:val="009C58AC"/>
    <w:rsid w:val="009C5BED"/>
    <w:rsid w:val="009C6598"/>
    <w:rsid w:val="009C669B"/>
    <w:rsid w:val="009C69D6"/>
    <w:rsid w:val="009C6CDA"/>
    <w:rsid w:val="009C6DD7"/>
    <w:rsid w:val="009C73D6"/>
    <w:rsid w:val="009C74FC"/>
    <w:rsid w:val="009C78A8"/>
    <w:rsid w:val="009C78AB"/>
    <w:rsid w:val="009D04C7"/>
    <w:rsid w:val="009D1256"/>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972"/>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E67"/>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633"/>
    <w:rsid w:val="00A24C85"/>
    <w:rsid w:val="00A24E16"/>
    <w:rsid w:val="00A2502F"/>
    <w:rsid w:val="00A250BA"/>
    <w:rsid w:val="00A254C7"/>
    <w:rsid w:val="00A25A32"/>
    <w:rsid w:val="00A26012"/>
    <w:rsid w:val="00A267AD"/>
    <w:rsid w:val="00A26AD2"/>
    <w:rsid w:val="00A26CA2"/>
    <w:rsid w:val="00A26E1C"/>
    <w:rsid w:val="00A26E74"/>
    <w:rsid w:val="00A2715B"/>
    <w:rsid w:val="00A27204"/>
    <w:rsid w:val="00A302F5"/>
    <w:rsid w:val="00A30554"/>
    <w:rsid w:val="00A3060C"/>
    <w:rsid w:val="00A30BA9"/>
    <w:rsid w:val="00A30E12"/>
    <w:rsid w:val="00A30E8F"/>
    <w:rsid w:val="00A313B0"/>
    <w:rsid w:val="00A313DB"/>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AA9"/>
    <w:rsid w:val="00A37FA2"/>
    <w:rsid w:val="00A4023F"/>
    <w:rsid w:val="00A40683"/>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3857"/>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0EAE"/>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44"/>
    <w:rsid w:val="00A8677E"/>
    <w:rsid w:val="00A867CF"/>
    <w:rsid w:val="00A871BE"/>
    <w:rsid w:val="00A87714"/>
    <w:rsid w:val="00A902E4"/>
    <w:rsid w:val="00A90AEB"/>
    <w:rsid w:val="00A91829"/>
    <w:rsid w:val="00A91849"/>
    <w:rsid w:val="00A91AF5"/>
    <w:rsid w:val="00A91FB4"/>
    <w:rsid w:val="00A91FF0"/>
    <w:rsid w:val="00A92613"/>
    <w:rsid w:val="00A936B0"/>
    <w:rsid w:val="00A93D8C"/>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2F94"/>
    <w:rsid w:val="00AA323B"/>
    <w:rsid w:val="00AA32A7"/>
    <w:rsid w:val="00AA33DC"/>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1C07"/>
    <w:rsid w:val="00AB2B3B"/>
    <w:rsid w:val="00AB2BEB"/>
    <w:rsid w:val="00AB2D28"/>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00D"/>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D7CB2"/>
    <w:rsid w:val="00AE00C7"/>
    <w:rsid w:val="00AE066A"/>
    <w:rsid w:val="00AE06B6"/>
    <w:rsid w:val="00AE06F9"/>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AF7AC9"/>
    <w:rsid w:val="00B007F5"/>
    <w:rsid w:val="00B008F0"/>
    <w:rsid w:val="00B01572"/>
    <w:rsid w:val="00B017DB"/>
    <w:rsid w:val="00B0192D"/>
    <w:rsid w:val="00B01C57"/>
    <w:rsid w:val="00B01D20"/>
    <w:rsid w:val="00B01ED7"/>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3E5"/>
    <w:rsid w:val="00B07AFF"/>
    <w:rsid w:val="00B109EF"/>
    <w:rsid w:val="00B10E55"/>
    <w:rsid w:val="00B10EE4"/>
    <w:rsid w:val="00B11587"/>
    <w:rsid w:val="00B1183A"/>
    <w:rsid w:val="00B11ADA"/>
    <w:rsid w:val="00B12008"/>
    <w:rsid w:val="00B12601"/>
    <w:rsid w:val="00B12C75"/>
    <w:rsid w:val="00B1339A"/>
    <w:rsid w:val="00B13555"/>
    <w:rsid w:val="00B13741"/>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7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0E"/>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572"/>
    <w:rsid w:val="00B53712"/>
    <w:rsid w:val="00B53E0E"/>
    <w:rsid w:val="00B54335"/>
    <w:rsid w:val="00B5464F"/>
    <w:rsid w:val="00B5535B"/>
    <w:rsid w:val="00B557FA"/>
    <w:rsid w:val="00B55A59"/>
    <w:rsid w:val="00B55ABF"/>
    <w:rsid w:val="00B55CCC"/>
    <w:rsid w:val="00B560ED"/>
    <w:rsid w:val="00B56265"/>
    <w:rsid w:val="00B5644B"/>
    <w:rsid w:val="00B56949"/>
    <w:rsid w:val="00B57229"/>
    <w:rsid w:val="00B57A7F"/>
    <w:rsid w:val="00B600FA"/>
    <w:rsid w:val="00B605A2"/>
    <w:rsid w:val="00B60D43"/>
    <w:rsid w:val="00B60F41"/>
    <w:rsid w:val="00B61AB7"/>
    <w:rsid w:val="00B61DD7"/>
    <w:rsid w:val="00B61F62"/>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41"/>
    <w:rsid w:val="00B914AF"/>
    <w:rsid w:val="00B919E3"/>
    <w:rsid w:val="00B91A5B"/>
    <w:rsid w:val="00B926AA"/>
    <w:rsid w:val="00B9298D"/>
    <w:rsid w:val="00B92996"/>
    <w:rsid w:val="00B930FE"/>
    <w:rsid w:val="00B9319F"/>
    <w:rsid w:val="00B932CE"/>
    <w:rsid w:val="00B93383"/>
    <w:rsid w:val="00B933E1"/>
    <w:rsid w:val="00B936AD"/>
    <w:rsid w:val="00B936C6"/>
    <w:rsid w:val="00B9448D"/>
    <w:rsid w:val="00B94C9B"/>
    <w:rsid w:val="00B96070"/>
    <w:rsid w:val="00B965B8"/>
    <w:rsid w:val="00B968F6"/>
    <w:rsid w:val="00BA0AF5"/>
    <w:rsid w:val="00BA17E1"/>
    <w:rsid w:val="00BA1868"/>
    <w:rsid w:val="00BA1F2F"/>
    <w:rsid w:val="00BA2852"/>
    <w:rsid w:val="00BA2DE1"/>
    <w:rsid w:val="00BA3308"/>
    <w:rsid w:val="00BA3901"/>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BD3"/>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0FC2"/>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80D"/>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652"/>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1E0"/>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089D"/>
    <w:rsid w:val="00C01374"/>
    <w:rsid w:val="00C01790"/>
    <w:rsid w:val="00C018E3"/>
    <w:rsid w:val="00C02443"/>
    <w:rsid w:val="00C0335F"/>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B9C"/>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1FC4"/>
    <w:rsid w:val="00C224C5"/>
    <w:rsid w:val="00C23DD2"/>
    <w:rsid w:val="00C2464E"/>
    <w:rsid w:val="00C24AF8"/>
    <w:rsid w:val="00C24E07"/>
    <w:rsid w:val="00C2512D"/>
    <w:rsid w:val="00C258E3"/>
    <w:rsid w:val="00C26B3C"/>
    <w:rsid w:val="00C26EA8"/>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84"/>
    <w:rsid w:val="00C408B8"/>
    <w:rsid w:val="00C4095C"/>
    <w:rsid w:val="00C41056"/>
    <w:rsid w:val="00C41308"/>
    <w:rsid w:val="00C4209F"/>
    <w:rsid w:val="00C421C2"/>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897"/>
    <w:rsid w:val="00C62CD8"/>
    <w:rsid w:val="00C62F3F"/>
    <w:rsid w:val="00C63561"/>
    <w:rsid w:val="00C637E5"/>
    <w:rsid w:val="00C6381F"/>
    <w:rsid w:val="00C64570"/>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6B"/>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22C"/>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B75"/>
    <w:rsid w:val="00C93D76"/>
    <w:rsid w:val="00C945ED"/>
    <w:rsid w:val="00C94C15"/>
    <w:rsid w:val="00C94CB3"/>
    <w:rsid w:val="00C95309"/>
    <w:rsid w:val="00C957D9"/>
    <w:rsid w:val="00C95B8C"/>
    <w:rsid w:val="00C95DF7"/>
    <w:rsid w:val="00C963B7"/>
    <w:rsid w:val="00C968BA"/>
    <w:rsid w:val="00C97D89"/>
    <w:rsid w:val="00CA0470"/>
    <w:rsid w:val="00CA0C4A"/>
    <w:rsid w:val="00CA0D24"/>
    <w:rsid w:val="00CA0F60"/>
    <w:rsid w:val="00CA2345"/>
    <w:rsid w:val="00CA29AF"/>
    <w:rsid w:val="00CA3293"/>
    <w:rsid w:val="00CA3471"/>
    <w:rsid w:val="00CA3947"/>
    <w:rsid w:val="00CA4974"/>
    <w:rsid w:val="00CA49D0"/>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47"/>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427"/>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31D"/>
    <w:rsid w:val="00CF3442"/>
    <w:rsid w:val="00CF3589"/>
    <w:rsid w:val="00CF3869"/>
    <w:rsid w:val="00CF3B2A"/>
    <w:rsid w:val="00CF3CD5"/>
    <w:rsid w:val="00CF4011"/>
    <w:rsid w:val="00CF49CF"/>
    <w:rsid w:val="00CF4A04"/>
    <w:rsid w:val="00CF5416"/>
    <w:rsid w:val="00CF594C"/>
    <w:rsid w:val="00CF6A28"/>
    <w:rsid w:val="00CF6B65"/>
    <w:rsid w:val="00CF6B6E"/>
    <w:rsid w:val="00CF70A3"/>
    <w:rsid w:val="00CF79C8"/>
    <w:rsid w:val="00CF7D7B"/>
    <w:rsid w:val="00CF7E1F"/>
    <w:rsid w:val="00CF7E30"/>
    <w:rsid w:val="00D00072"/>
    <w:rsid w:val="00D002DE"/>
    <w:rsid w:val="00D0057E"/>
    <w:rsid w:val="00D007FF"/>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3B8"/>
    <w:rsid w:val="00D22622"/>
    <w:rsid w:val="00D228F6"/>
    <w:rsid w:val="00D22EFF"/>
    <w:rsid w:val="00D23062"/>
    <w:rsid w:val="00D238FA"/>
    <w:rsid w:val="00D23D84"/>
    <w:rsid w:val="00D24201"/>
    <w:rsid w:val="00D24D8E"/>
    <w:rsid w:val="00D2516A"/>
    <w:rsid w:val="00D252FB"/>
    <w:rsid w:val="00D25ABE"/>
    <w:rsid w:val="00D26432"/>
    <w:rsid w:val="00D26733"/>
    <w:rsid w:val="00D26D22"/>
    <w:rsid w:val="00D2710E"/>
    <w:rsid w:val="00D2766D"/>
    <w:rsid w:val="00D276DC"/>
    <w:rsid w:val="00D27A90"/>
    <w:rsid w:val="00D30255"/>
    <w:rsid w:val="00D30BAD"/>
    <w:rsid w:val="00D31511"/>
    <w:rsid w:val="00D3156F"/>
    <w:rsid w:val="00D31D75"/>
    <w:rsid w:val="00D32007"/>
    <w:rsid w:val="00D3206A"/>
    <w:rsid w:val="00D32357"/>
    <w:rsid w:val="00D324AA"/>
    <w:rsid w:val="00D33BE6"/>
    <w:rsid w:val="00D340DC"/>
    <w:rsid w:val="00D34288"/>
    <w:rsid w:val="00D342DD"/>
    <w:rsid w:val="00D343FF"/>
    <w:rsid w:val="00D34580"/>
    <w:rsid w:val="00D363F2"/>
    <w:rsid w:val="00D3665B"/>
    <w:rsid w:val="00D368BE"/>
    <w:rsid w:val="00D36AD8"/>
    <w:rsid w:val="00D379AD"/>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440"/>
    <w:rsid w:val="00D525C2"/>
    <w:rsid w:val="00D52658"/>
    <w:rsid w:val="00D52CD0"/>
    <w:rsid w:val="00D52F36"/>
    <w:rsid w:val="00D52FC4"/>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769"/>
    <w:rsid w:val="00D62B7F"/>
    <w:rsid w:val="00D62D79"/>
    <w:rsid w:val="00D63258"/>
    <w:rsid w:val="00D637EC"/>
    <w:rsid w:val="00D63A93"/>
    <w:rsid w:val="00D63C87"/>
    <w:rsid w:val="00D64391"/>
    <w:rsid w:val="00D64455"/>
    <w:rsid w:val="00D65137"/>
    <w:rsid w:val="00D65927"/>
    <w:rsid w:val="00D6661F"/>
    <w:rsid w:val="00D66AE1"/>
    <w:rsid w:val="00D672A5"/>
    <w:rsid w:val="00D7013B"/>
    <w:rsid w:val="00D703CF"/>
    <w:rsid w:val="00D706CC"/>
    <w:rsid w:val="00D70CD8"/>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0B05"/>
    <w:rsid w:val="00D91042"/>
    <w:rsid w:val="00D917C1"/>
    <w:rsid w:val="00D9181B"/>
    <w:rsid w:val="00D92753"/>
    <w:rsid w:val="00D929DD"/>
    <w:rsid w:val="00D938E6"/>
    <w:rsid w:val="00D93A5F"/>
    <w:rsid w:val="00D93B7C"/>
    <w:rsid w:val="00D93FF4"/>
    <w:rsid w:val="00D962DE"/>
    <w:rsid w:val="00D96CC2"/>
    <w:rsid w:val="00D97071"/>
    <w:rsid w:val="00D972FF"/>
    <w:rsid w:val="00D97638"/>
    <w:rsid w:val="00D97761"/>
    <w:rsid w:val="00D97B9B"/>
    <w:rsid w:val="00DA059D"/>
    <w:rsid w:val="00DA0B9A"/>
    <w:rsid w:val="00DA0F55"/>
    <w:rsid w:val="00DA1056"/>
    <w:rsid w:val="00DA10BF"/>
    <w:rsid w:val="00DA13FB"/>
    <w:rsid w:val="00DA1425"/>
    <w:rsid w:val="00DA2B55"/>
    <w:rsid w:val="00DA2C17"/>
    <w:rsid w:val="00DA30DD"/>
    <w:rsid w:val="00DA3154"/>
    <w:rsid w:val="00DA31A6"/>
    <w:rsid w:val="00DA3B37"/>
    <w:rsid w:val="00DA450A"/>
    <w:rsid w:val="00DA4511"/>
    <w:rsid w:val="00DA4C25"/>
    <w:rsid w:val="00DA5225"/>
    <w:rsid w:val="00DA57B5"/>
    <w:rsid w:val="00DA5D68"/>
    <w:rsid w:val="00DA602C"/>
    <w:rsid w:val="00DA67BD"/>
    <w:rsid w:val="00DA6942"/>
    <w:rsid w:val="00DA69FD"/>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5D7"/>
    <w:rsid w:val="00DD193E"/>
    <w:rsid w:val="00DD1967"/>
    <w:rsid w:val="00DD2083"/>
    <w:rsid w:val="00DD2455"/>
    <w:rsid w:val="00DD274C"/>
    <w:rsid w:val="00DD2ADE"/>
    <w:rsid w:val="00DD3224"/>
    <w:rsid w:val="00DD326D"/>
    <w:rsid w:val="00DD332A"/>
    <w:rsid w:val="00DD3505"/>
    <w:rsid w:val="00DD368D"/>
    <w:rsid w:val="00DD36E9"/>
    <w:rsid w:val="00DD3872"/>
    <w:rsid w:val="00DD3A42"/>
    <w:rsid w:val="00DD3B38"/>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54D"/>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19F"/>
    <w:rsid w:val="00E15293"/>
    <w:rsid w:val="00E15AAE"/>
    <w:rsid w:val="00E16633"/>
    <w:rsid w:val="00E16B7A"/>
    <w:rsid w:val="00E16BA8"/>
    <w:rsid w:val="00E175AD"/>
    <w:rsid w:val="00E1785E"/>
    <w:rsid w:val="00E2051B"/>
    <w:rsid w:val="00E205F3"/>
    <w:rsid w:val="00E20AAB"/>
    <w:rsid w:val="00E21AC8"/>
    <w:rsid w:val="00E21AE3"/>
    <w:rsid w:val="00E21C93"/>
    <w:rsid w:val="00E22395"/>
    <w:rsid w:val="00E22D59"/>
    <w:rsid w:val="00E22D5C"/>
    <w:rsid w:val="00E23C8B"/>
    <w:rsid w:val="00E23D66"/>
    <w:rsid w:val="00E23E2F"/>
    <w:rsid w:val="00E244A1"/>
    <w:rsid w:val="00E24B27"/>
    <w:rsid w:val="00E24B55"/>
    <w:rsid w:val="00E251F0"/>
    <w:rsid w:val="00E2552D"/>
    <w:rsid w:val="00E25CC5"/>
    <w:rsid w:val="00E26080"/>
    <w:rsid w:val="00E2635C"/>
    <w:rsid w:val="00E2664D"/>
    <w:rsid w:val="00E26838"/>
    <w:rsid w:val="00E27866"/>
    <w:rsid w:val="00E27EFD"/>
    <w:rsid w:val="00E3039D"/>
    <w:rsid w:val="00E31B01"/>
    <w:rsid w:val="00E322BA"/>
    <w:rsid w:val="00E32693"/>
    <w:rsid w:val="00E32776"/>
    <w:rsid w:val="00E327D3"/>
    <w:rsid w:val="00E32EE3"/>
    <w:rsid w:val="00E336DB"/>
    <w:rsid w:val="00E33C10"/>
    <w:rsid w:val="00E34977"/>
    <w:rsid w:val="00E34DCA"/>
    <w:rsid w:val="00E35050"/>
    <w:rsid w:val="00E35133"/>
    <w:rsid w:val="00E35647"/>
    <w:rsid w:val="00E356B3"/>
    <w:rsid w:val="00E35D1B"/>
    <w:rsid w:val="00E3613A"/>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7AA"/>
    <w:rsid w:val="00E44A0A"/>
    <w:rsid w:val="00E44F9E"/>
    <w:rsid w:val="00E45082"/>
    <w:rsid w:val="00E4529E"/>
    <w:rsid w:val="00E45405"/>
    <w:rsid w:val="00E45959"/>
    <w:rsid w:val="00E45C83"/>
    <w:rsid w:val="00E45DED"/>
    <w:rsid w:val="00E4639D"/>
    <w:rsid w:val="00E46539"/>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421D"/>
    <w:rsid w:val="00E5603E"/>
    <w:rsid w:val="00E56894"/>
    <w:rsid w:val="00E569D9"/>
    <w:rsid w:val="00E569ED"/>
    <w:rsid w:val="00E56F5B"/>
    <w:rsid w:val="00E57CC2"/>
    <w:rsid w:val="00E57D3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3CE0"/>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591"/>
    <w:rsid w:val="00E70C44"/>
    <w:rsid w:val="00E70E6B"/>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2EB"/>
    <w:rsid w:val="00E839CC"/>
    <w:rsid w:val="00E83A2E"/>
    <w:rsid w:val="00E83A42"/>
    <w:rsid w:val="00E840D1"/>
    <w:rsid w:val="00E84380"/>
    <w:rsid w:val="00E8447C"/>
    <w:rsid w:val="00E844B0"/>
    <w:rsid w:val="00E84A0E"/>
    <w:rsid w:val="00E84A94"/>
    <w:rsid w:val="00E84D6F"/>
    <w:rsid w:val="00E84D9D"/>
    <w:rsid w:val="00E85382"/>
    <w:rsid w:val="00E85396"/>
    <w:rsid w:val="00E8568D"/>
    <w:rsid w:val="00E860DD"/>
    <w:rsid w:val="00E86311"/>
    <w:rsid w:val="00E8666D"/>
    <w:rsid w:val="00E86E22"/>
    <w:rsid w:val="00E8740E"/>
    <w:rsid w:val="00E8744D"/>
    <w:rsid w:val="00E879EB"/>
    <w:rsid w:val="00E87AA8"/>
    <w:rsid w:val="00E9043A"/>
    <w:rsid w:val="00E904EA"/>
    <w:rsid w:val="00E90BB9"/>
    <w:rsid w:val="00E90FF8"/>
    <w:rsid w:val="00E91838"/>
    <w:rsid w:val="00E91DCA"/>
    <w:rsid w:val="00E91E56"/>
    <w:rsid w:val="00E91F66"/>
    <w:rsid w:val="00E92D89"/>
    <w:rsid w:val="00E9360A"/>
    <w:rsid w:val="00E9370D"/>
    <w:rsid w:val="00E937E4"/>
    <w:rsid w:val="00E93D70"/>
    <w:rsid w:val="00E94BA9"/>
    <w:rsid w:val="00E9563B"/>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71A"/>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9D0"/>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6231"/>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ADD"/>
    <w:rsid w:val="00F07E1A"/>
    <w:rsid w:val="00F10CE4"/>
    <w:rsid w:val="00F10EDB"/>
    <w:rsid w:val="00F1163C"/>
    <w:rsid w:val="00F1292D"/>
    <w:rsid w:val="00F12C83"/>
    <w:rsid w:val="00F12D79"/>
    <w:rsid w:val="00F1336F"/>
    <w:rsid w:val="00F141CB"/>
    <w:rsid w:val="00F141ED"/>
    <w:rsid w:val="00F15B7B"/>
    <w:rsid w:val="00F15E17"/>
    <w:rsid w:val="00F15FC4"/>
    <w:rsid w:val="00F1608A"/>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C21"/>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BC6"/>
    <w:rsid w:val="00F32D4C"/>
    <w:rsid w:val="00F32EA0"/>
    <w:rsid w:val="00F330C4"/>
    <w:rsid w:val="00F3312E"/>
    <w:rsid w:val="00F33AD9"/>
    <w:rsid w:val="00F34E09"/>
    <w:rsid w:val="00F350F7"/>
    <w:rsid w:val="00F3550F"/>
    <w:rsid w:val="00F35561"/>
    <w:rsid w:val="00F35B34"/>
    <w:rsid w:val="00F3640E"/>
    <w:rsid w:val="00F367A0"/>
    <w:rsid w:val="00F36DA0"/>
    <w:rsid w:val="00F36DF3"/>
    <w:rsid w:val="00F3742C"/>
    <w:rsid w:val="00F37601"/>
    <w:rsid w:val="00F3763B"/>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774"/>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72D"/>
    <w:rsid w:val="00F87AA7"/>
    <w:rsid w:val="00F906D6"/>
    <w:rsid w:val="00F907A8"/>
    <w:rsid w:val="00F90ED2"/>
    <w:rsid w:val="00F913C1"/>
    <w:rsid w:val="00F921A7"/>
    <w:rsid w:val="00F92822"/>
    <w:rsid w:val="00F92F7F"/>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3"/>
    <w:rsid w:val="00FA224A"/>
    <w:rsid w:val="00FA2B87"/>
    <w:rsid w:val="00FA3202"/>
    <w:rsid w:val="00FA3C51"/>
    <w:rsid w:val="00FA4701"/>
    <w:rsid w:val="00FA4704"/>
    <w:rsid w:val="00FA4D1B"/>
    <w:rsid w:val="00FA5995"/>
    <w:rsid w:val="00FA5DFC"/>
    <w:rsid w:val="00FA60DA"/>
    <w:rsid w:val="00FA6D34"/>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3FBB"/>
    <w:rsid w:val="00FD452F"/>
    <w:rsid w:val="00FD4594"/>
    <w:rsid w:val="00FD45BF"/>
    <w:rsid w:val="00FD4ABC"/>
    <w:rsid w:val="00FD5165"/>
    <w:rsid w:val="00FD550B"/>
    <w:rsid w:val="00FD5573"/>
    <w:rsid w:val="00FD57EC"/>
    <w:rsid w:val="00FD5ED6"/>
    <w:rsid w:val="00FD6531"/>
    <w:rsid w:val="00FD66F9"/>
    <w:rsid w:val="00FD6C03"/>
    <w:rsid w:val="00FD6EC2"/>
    <w:rsid w:val="00FD7026"/>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0CAB"/>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3FBD24"/>
    <w:rsid w:val="056A735C"/>
    <w:rsid w:val="06461294"/>
    <w:rsid w:val="066B7EF1"/>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0DB8225"/>
    <w:rsid w:val="10E12BD0"/>
    <w:rsid w:val="10F2E120"/>
    <w:rsid w:val="11D7AA1D"/>
    <w:rsid w:val="135A63F0"/>
    <w:rsid w:val="14641179"/>
    <w:rsid w:val="15191FAB"/>
    <w:rsid w:val="1597C64A"/>
    <w:rsid w:val="15C3CA65"/>
    <w:rsid w:val="15CAF82F"/>
    <w:rsid w:val="170661E9"/>
    <w:rsid w:val="1755B8C5"/>
    <w:rsid w:val="189C89F4"/>
    <w:rsid w:val="18EFF90A"/>
    <w:rsid w:val="19813A46"/>
    <w:rsid w:val="1AFB83ED"/>
    <w:rsid w:val="1B4446EF"/>
    <w:rsid w:val="1C54A345"/>
    <w:rsid w:val="1E4D1B44"/>
    <w:rsid w:val="1EB161AE"/>
    <w:rsid w:val="1F088E4A"/>
    <w:rsid w:val="1F5324FF"/>
    <w:rsid w:val="1FB70024"/>
    <w:rsid w:val="201D7856"/>
    <w:rsid w:val="20DF8238"/>
    <w:rsid w:val="2193F663"/>
    <w:rsid w:val="22B7F815"/>
    <w:rsid w:val="23208C67"/>
    <w:rsid w:val="23392AE7"/>
    <w:rsid w:val="238D3E80"/>
    <w:rsid w:val="240A16D4"/>
    <w:rsid w:val="26255FAA"/>
    <w:rsid w:val="26582D29"/>
    <w:rsid w:val="27E6634F"/>
    <w:rsid w:val="2874592D"/>
    <w:rsid w:val="295BA303"/>
    <w:rsid w:val="2997BB71"/>
    <w:rsid w:val="2A10DB8F"/>
    <w:rsid w:val="2B15C551"/>
    <w:rsid w:val="2B453457"/>
    <w:rsid w:val="2C56B6C7"/>
    <w:rsid w:val="2E6B2C94"/>
    <w:rsid w:val="2E9213C8"/>
    <w:rsid w:val="2F4EF0A9"/>
    <w:rsid w:val="30AC65EA"/>
    <w:rsid w:val="31A2CD56"/>
    <w:rsid w:val="32B56C21"/>
    <w:rsid w:val="3435344A"/>
    <w:rsid w:val="3448A04F"/>
    <w:rsid w:val="347B7533"/>
    <w:rsid w:val="3795E2F7"/>
    <w:rsid w:val="37C3777F"/>
    <w:rsid w:val="37C53568"/>
    <w:rsid w:val="37F1D141"/>
    <w:rsid w:val="3842665B"/>
    <w:rsid w:val="39F94037"/>
    <w:rsid w:val="3A1BA075"/>
    <w:rsid w:val="3A5D8121"/>
    <w:rsid w:val="3B2C3900"/>
    <w:rsid w:val="3CBD2679"/>
    <w:rsid w:val="3DDC1690"/>
    <w:rsid w:val="401D20BF"/>
    <w:rsid w:val="40326445"/>
    <w:rsid w:val="41C2A0BE"/>
    <w:rsid w:val="43603BB4"/>
    <w:rsid w:val="4558EE02"/>
    <w:rsid w:val="4595548E"/>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2C850DE"/>
    <w:rsid w:val="5522EE17"/>
    <w:rsid w:val="55F87F66"/>
    <w:rsid w:val="560A8353"/>
    <w:rsid w:val="572D5259"/>
    <w:rsid w:val="57944FC7"/>
    <w:rsid w:val="59302028"/>
    <w:rsid w:val="5964334C"/>
    <w:rsid w:val="5A54582B"/>
    <w:rsid w:val="5ACBF089"/>
    <w:rsid w:val="5B8E6A3D"/>
    <w:rsid w:val="5C20DEF4"/>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65689E"/>
    <w:rsid w:val="719B8048"/>
    <w:rsid w:val="73BB52D0"/>
    <w:rsid w:val="73E74B9D"/>
    <w:rsid w:val="743C88DA"/>
    <w:rsid w:val="7490E41F"/>
    <w:rsid w:val="755D28F9"/>
    <w:rsid w:val="762CB480"/>
    <w:rsid w:val="78833AA2"/>
    <w:rsid w:val="788378F0"/>
    <w:rsid w:val="7977C5C0"/>
    <w:rsid w:val="7BC39115"/>
    <w:rsid w:val="7C4D8429"/>
    <w:rsid w:val="7CAF9C79"/>
    <w:rsid w:val="7E5A6DE1"/>
    <w:rsid w:val="7EB76E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4770190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0219783">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43205318">
      <w:bodyDiv w:val="1"/>
      <w:marLeft w:val="0"/>
      <w:marRight w:val="0"/>
      <w:marTop w:val="0"/>
      <w:marBottom w:val="0"/>
      <w:divBdr>
        <w:top w:val="none" w:sz="0" w:space="0" w:color="auto"/>
        <w:left w:val="none" w:sz="0" w:space="0" w:color="auto"/>
        <w:bottom w:val="none" w:sz="0" w:space="0" w:color="auto"/>
        <w:right w:val="none" w:sz="0" w:space="0" w:color="auto"/>
      </w:divBdr>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73684947">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 w:id="209357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ig.ed.gov/sites/default/files/reports/2024-12/FY25%2520SAR89%2520%252811.23.24%2529v100_508_SECURE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h.ed.gov/files/2024/12/Planning-Together-A-Playbook-for-Student-Personal-Device-Policies_v25r4-FIN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media/document/ocr-retaliation-resource-20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gov/media/document/using-title-ii-part-funds-strategically-support-educator-recruitment-retention-professional-learning-and-improved-student-outco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gov/media/document/supporting-diverse-educator-workforce-strengthen-teaching-and-learni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December 13, 2024 - Government Affairs (CA Dept of Education)</dc:title>
  <dc:subject>Federal Update Report for December 13, 2024.</dc:subject>
  <dc:creator/>
  <cp:keywords/>
  <dc:description/>
  <cp:lastModifiedBy/>
  <cp:revision>1</cp:revision>
  <dcterms:created xsi:type="dcterms:W3CDTF">2025-01-27T17:48:00Z</dcterms:created>
  <dcterms:modified xsi:type="dcterms:W3CDTF">2025-01-27T17:49:00Z</dcterms:modified>
</cp:coreProperties>
</file>