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3B840" w14:textId="7B86307F" w:rsidR="00E631A7" w:rsidRPr="003E4A61" w:rsidRDefault="00E631A7" w:rsidP="003E4A61">
      <w:pPr>
        <w:pStyle w:val="Heading1"/>
        <w:keepNext w:val="0"/>
        <w:keepLines w:val="0"/>
        <w:pBdr>
          <w:bottom w:val="single" w:sz="18" w:space="3" w:color="015B8E"/>
        </w:pBdr>
        <w:rPr>
          <w:rFonts w:eastAsia="Times New Roman" w:cs="Times New Roman"/>
          <w:kern w:val="36"/>
          <w:sz w:val="44"/>
          <w:szCs w:val="44"/>
        </w:rPr>
      </w:pPr>
      <w:r w:rsidRPr="003E4A61">
        <w:rPr>
          <w:rFonts w:eastAsia="Times New Roman" w:cs="Times New Roman"/>
          <w:kern w:val="36"/>
          <w:sz w:val="44"/>
          <w:szCs w:val="44"/>
        </w:rPr>
        <w:t>202</w:t>
      </w:r>
      <w:r w:rsidR="00A82B94" w:rsidRPr="003E4A61">
        <w:rPr>
          <w:rFonts w:eastAsia="Times New Roman" w:cs="Times New Roman"/>
          <w:kern w:val="36"/>
          <w:sz w:val="44"/>
          <w:szCs w:val="44"/>
        </w:rPr>
        <w:t>4</w:t>
      </w:r>
      <w:r w:rsidRPr="003E4A61">
        <w:rPr>
          <w:rFonts w:eastAsia="Times New Roman" w:cs="Times New Roman"/>
          <w:kern w:val="36"/>
          <w:sz w:val="44"/>
          <w:szCs w:val="44"/>
        </w:rPr>
        <w:t xml:space="preserve"> Dashboard On-Demand Session: College/Career Indicator Notetaking Guide</w:t>
      </w:r>
    </w:p>
    <w:p w14:paraId="0AE4FFF0" w14:textId="2C0993B9" w:rsidR="00286AD7" w:rsidRDefault="00E631A7" w:rsidP="00286AD7">
      <w:pPr>
        <w:spacing w:after="120" w:line="240" w:lineRule="auto"/>
        <w:jc w:val="center"/>
      </w:pPr>
      <w:r w:rsidRPr="00E970CA">
        <w:t xml:space="preserve">California Department of Education | </w:t>
      </w:r>
      <w:r w:rsidR="003E4A61">
        <w:t xml:space="preserve">November </w:t>
      </w:r>
      <w:r w:rsidRPr="00E970CA">
        <w:t>202</w:t>
      </w:r>
      <w:r w:rsidR="00A82B94">
        <w:t>4</w:t>
      </w:r>
    </w:p>
    <w:p w14:paraId="6ED1AC5B" w14:textId="7678947A" w:rsidR="00502B96" w:rsidRDefault="00502B96" w:rsidP="00286AD7">
      <w:pPr>
        <w:spacing w:after="120" w:line="240" w:lineRule="auto"/>
        <w:jc w:val="center"/>
      </w:pPr>
      <w:r>
        <w:t>Welcome</w:t>
      </w:r>
    </w:p>
    <w:p w14:paraId="7ED77394" w14:textId="77777777" w:rsidR="004C554E" w:rsidRPr="00BE3F3F" w:rsidRDefault="004C554E" w:rsidP="004C554E">
      <w:pPr>
        <w:spacing w:after="120" w:line="240" w:lineRule="auto"/>
        <w:rPr>
          <w:rFonts w:eastAsia="Times New Roman" w:cs="Arial"/>
        </w:rPr>
      </w:pPr>
      <w:r w:rsidRPr="1B0EC1FD">
        <w:rPr>
          <w:rFonts w:eastAsia="Times New Roman" w:cs="Arial"/>
          <w:b/>
          <w:bCs/>
        </w:rPr>
        <w:t>Presenters</w:t>
      </w:r>
      <w:r w:rsidRPr="1B0EC1FD">
        <w:rPr>
          <w:rFonts w:eastAsia="Times New Roman" w:cs="Arial"/>
        </w:rPr>
        <w:t xml:space="preserve">: </w:t>
      </w:r>
      <w:r>
        <w:rPr>
          <w:rFonts w:eastAsia="Times New Roman" w:cs="Arial"/>
        </w:rPr>
        <w:t>Kathryn Morrissey</w:t>
      </w:r>
      <w:r w:rsidRPr="1B0EC1FD">
        <w:rPr>
          <w:rFonts w:eastAsia="Times New Roman" w:cs="Arial"/>
        </w:rPr>
        <w:t>, Education Research and Evaluation Consultant</w:t>
      </w:r>
      <w:r>
        <w:rPr>
          <w:rFonts w:eastAsia="Times New Roman" w:cs="Arial"/>
        </w:rPr>
        <w:t xml:space="preserve"> and</w:t>
      </w:r>
      <w:r w:rsidRPr="1B0EC1FD">
        <w:rPr>
          <w:rFonts w:eastAsia="Times New Roman" w:cs="Arial"/>
        </w:rPr>
        <w:t xml:space="preserve"> </w:t>
      </w:r>
      <w:r>
        <w:rPr>
          <w:rFonts w:eastAsia="Times New Roman" w:cs="Arial"/>
        </w:rPr>
        <w:t>Michael Ishimoto</w:t>
      </w:r>
      <w:r w:rsidRPr="1B0EC1FD">
        <w:rPr>
          <w:rFonts w:eastAsia="Times New Roman" w:cs="Arial"/>
        </w:rPr>
        <w:t>, Education Research and Evaluation Consultant</w:t>
      </w:r>
      <w:r>
        <w:rPr>
          <w:rFonts w:eastAsia="Times New Roman" w:cs="Arial"/>
        </w:rPr>
        <w:t xml:space="preserve"> </w:t>
      </w:r>
      <w:r w:rsidRPr="1B0EC1FD">
        <w:rPr>
          <w:rFonts w:eastAsia="Times New Roman" w:cs="Arial"/>
        </w:rPr>
        <w:t>in the Analysis, Measurement and Accountability Reporting Division of the California Department of Education.</w:t>
      </w:r>
    </w:p>
    <w:p w14:paraId="20E9002D" w14:textId="77777777" w:rsidR="004C554E" w:rsidRPr="0095223C" w:rsidRDefault="004C554E" w:rsidP="0095223C">
      <w:pPr>
        <w:pStyle w:val="Heading2"/>
        <w:pageBreakBefore w:val="0"/>
        <w:pBdr>
          <w:left w:val="single" w:sz="48" w:space="4" w:color="074A6D"/>
        </w:pBdr>
        <w:shd w:val="clear" w:color="auto" w:fill="EFF2F5"/>
        <w:spacing w:before="360"/>
        <w:rPr>
          <w:bCs/>
          <w:color w:val="000000"/>
          <w:sz w:val="36"/>
          <w:szCs w:val="36"/>
        </w:rPr>
      </w:pPr>
      <w:bookmarkStart w:id="0" w:name="_Hlk117602367"/>
      <w:r w:rsidRPr="0095223C">
        <w:rPr>
          <w:bCs/>
          <w:color w:val="000000"/>
          <w:sz w:val="36"/>
          <w:szCs w:val="36"/>
        </w:rPr>
        <w:t>Agenda</w:t>
      </w:r>
    </w:p>
    <w:p w14:paraId="25B872CD" w14:textId="77777777" w:rsidR="004C554E" w:rsidRPr="00BE3F3F" w:rsidRDefault="004C554E" w:rsidP="00D00DB0">
      <w:pPr>
        <w:pStyle w:val="ListParagraph"/>
        <w:numPr>
          <w:ilvl w:val="0"/>
          <w:numId w:val="5"/>
        </w:numPr>
        <w:adjustRightInd/>
        <w:spacing w:before="0" w:after="160" w:line="259" w:lineRule="auto"/>
        <w:ind w:right="0"/>
        <w:contextualSpacing/>
        <w:rPr>
          <w:rFonts w:eastAsia="Times New Roman" w:cs="Arial"/>
          <w:szCs w:val="24"/>
        </w:rPr>
      </w:pPr>
      <w:r w:rsidRPr="00BE3F3F">
        <w:rPr>
          <w:rFonts w:eastAsia="Times New Roman" w:cs="Arial"/>
          <w:szCs w:val="24"/>
        </w:rPr>
        <w:t>Overview of the California School Dashboard (Dashboard)</w:t>
      </w:r>
    </w:p>
    <w:p w14:paraId="3018DBA5" w14:textId="77777777" w:rsidR="004C554E" w:rsidRPr="00BE3F3F" w:rsidRDefault="004C554E" w:rsidP="00D00DB0">
      <w:pPr>
        <w:pStyle w:val="ListParagraph"/>
        <w:numPr>
          <w:ilvl w:val="0"/>
          <w:numId w:val="5"/>
        </w:numPr>
        <w:adjustRightInd/>
        <w:spacing w:before="0" w:after="160" w:line="259" w:lineRule="auto"/>
        <w:ind w:right="0"/>
        <w:contextualSpacing/>
        <w:rPr>
          <w:rFonts w:eastAsia="Times New Roman" w:cs="Arial"/>
          <w:szCs w:val="24"/>
        </w:rPr>
      </w:pPr>
      <w:r w:rsidRPr="00BE3F3F">
        <w:rPr>
          <w:rFonts w:eastAsia="Times New Roman" w:cs="Arial"/>
          <w:szCs w:val="24"/>
        </w:rPr>
        <w:t>College/Career Indicator</w:t>
      </w:r>
    </w:p>
    <w:p w14:paraId="44AF131F" w14:textId="0F50A42F" w:rsidR="004C554E" w:rsidRDefault="004C554E" w:rsidP="00D00DB0">
      <w:pPr>
        <w:pStyle w:val="ListParagraph"/>
        <w:numPr>
          <w:ilvl w:val="0"/>
          <w:numId w:val="5"/>
        </w:numPr>
        <w:adjustRightInd/>
        <w:spacing w:before="0" w:after="160" w:line="259" w:lineRule="auto"/>
        <w:ind w:right="0"/>
        <w:contextualSpacing/>
        <w:rPr>
          <w:rFonts w:eastAsia="Times New Roman" w:cs="Arial"/>
          <w:szCs w:val="24"/>
        </w:rPr>
      </w:pPr>
      <w:r w:rsidRPr="00BE3F3F">
        <w:rPr>
          <w:rFonts w:eastAsia="Times New Roman" w:cs="Arial"/>
          <w:szCs w:val="24"/>
        </w:rPr>
        <w:t>Frequently Asked Questions</w:t>
      </w:r>
    </w:p>
    <w:p w14:paraId="7842B08E" w14:textId="76746C14" w:rsidR="005A6E3E" w:rsidRPr="005A6E3E" w:rsidRDefault="005A6E3E" w:rsidP="00D00DB0">
      <w:pPr>
        <w:pStyle w:val="ListParagraph"/>
        <w:numPr>
          <w:ilvl w:val="0"/>
          <w:numId w:val="5"/>
        </w:numPr>
        <w:adjustRightInd/>
        <w:spacing w:before="0" w:after="160" w:line="259" w:lineRule="auto"/>
        <w:ind w:right="0"/>
        <w:contextualSpacing/>
        <w:rPr>
          <w:rFonts w:eastAsia="Times New Roman" w:cs="Arial"/>
          <w:szCs w:val="24"/>
        </w:rPr>
      </w:pPr>
      <w:r w:rsidRPr="005A6E3E">
        <w:rPr>
          <w:rFonts w:eastAsia="Times New Roman" w:cs="Arial"/>
          <w:szCs w:val="24"/>
        </w:rPr>
        <w:t>General Rules About the Dashboard</w:t>
      </w:r>
    </w:p>
    <w:p w14:paraId="6DB439BE" w14:textId="77777777" w:rsidR="0095223C" w:rsidRPr="0095223C" w:rsidRDefault="004C554E" w:rsidP="6C190428">
      <w:pPr>
        <w:pStyle w:val="ListParagraph"/>
        <w:spacing w:before="0" w:after="160" w:line="259" w:lineRule="auto"/>
        <w:ind w:right="0"/>
        <w:contextualSpacing/>
        <w:rPr>
          <w:rFonts w:eastAsia="Times New Roman" w:cs="Arial"/>
        </w:rPr>
      </w:pPr>
      <w:r w:rsidRPr="6C190428">
        <w:rPr>
          <w:rFonts w:eastAsia="Times New Roman" w:cs="Arial"/>
        </w:rPr>
        <w:t>Contact Us</w:t>
      </w:r>
      <w:bookmarkEnd w:id="0"/>
    </w:p>
    <w:p w14:paraId="07428E79" w14:textId="392B66C4" w:rsidR="00502B96" w:rsidRPr="007C7000" w:rsidRDefault="00502B96" w:rsidP="007C7000">
      <w:pPr>
        <w:pStyle w:val="Heading2"/>
        <w:pageBreakBefore w:val="0"/>
        <w:pBdr>
          <w:left w:val="single" w:sz="48" w:space="4" w:color="074A6D"/>
        </w:pBdr>
        <w:shd w:val="clear" w:color="auto" w:fill="EFF2F5"/>
        <w:spacing w:before="360"/>
        <w:rPr>
          <w:bCs/>
          <w:color w:val="000000"/>
          <w:sz w:val="36"/>
          <w:szCs w:val="36"/>
        </w:rPr>
      </w:pPr>
      <w:r w:rsidRPr="007C7000">
        <w:rPr>
          <w:bCs/>
          <w:color w:val="000000"/>
          <w:sz w:val="36"/>
          <w:szCs w:val="36"/>
        </w:rPr>
        <w:t xml:space="preserve">Overview of the Dashboard </w:t>
      </w:r>
    </w:p>
    <w:p w14:paraId="4DCE4D3D" w14:textId="77777777" w:rsidR="00372640" w:rsidRPr="00107623" w:rsidRDefault="00372640" w:rsidP="00107623">
      <w:pPr>
        <w:pStyle w:val="Heading3"/>
        <w:pBdr>
          <w:bottom w:val="single" w:sz="12" w:space="2" w:color="015B8E"/>
        </w:pBdr>
        <w:rPr>
          <w:sz w:val="32"/>
          <w:szCs w:val="32"/>
        </w:rPr>
      </w:pPr>
      <w:r w:rsidRPr="00107623">
        <w:rPr>
          <w:sz w:val="32"/>
          <w:szCs w:val="32"/>
        </w:rPr>
        <w:t xml:space="preserve">California School Dashboard </w:t>
      </w:r>
    </w:p>
    <w:p w14:paraId="7E760E13" w14:textId="770AC496" w:rsidR="00372640" w:rsidRPr="006571B4" w:rsidRDefault="00372640" w:rsidP="00372640">
      <w:pPr>
        <w:rPr>
          <w:rFonts w:eastAsia="Times New Roman" w:cs="Arial"/>
        </w:rPr>
      </w:pPr>
      <w:r w:rsidRPr="2A65F06B">
        <w:rPr>
          <w:rFonts w:eastAsia="Times New Roman" w:cs="Arial"/>
        </w:rPr>
        <w:t xml:space="preserve">The Dashboard is an online tool designed to help communities across the state access important information about </w:t>
      </w:r>
      <w:r w:rsidR="19528890" w:rsidRPr="2A65F06B">
        <w:rPr>
          <w:rFonts w:eastAsia="Times New Roman" w:cs="Arial"/>
        </w:rPr>
        <w:t xml:space="preserve">transitional </w:t>
      </w:r>
      <w:r w:rsidRPr="2A65F06B">
        <w:rPr>
          <w:rFonts w:eastAsia="Times New Roman" w:cs="Arial"/>
        </w:rPr>
        <w:t>kindergarten through grade twelve. The Dashboard reports how districts and schools are performing on multiple state and local measures that make up California’s accountability system.</w:t>
      </w:r>
    </w:p>
    <w:p w14:paraId="1206E4D8" w14:textId="77777777" w:rsidR="00372640" w:rsidRPr="00107623" w:rsidRDefault="00372640" w:rsidP="00107623">
      <w:pPr>
        <w:pStyle w:val="Heading3"/>
        <w:pBdr>
          <w:bottom w:val="single" w:sz="12" w:space="2" w:color="015B8E"/>
        </w:pBdr>
        <w:rPr>
          <w:sz w:val="32"/>
          <w:szCs w:val="32"/>
        </w:rPr>
      </w:pPr>
      <w:r w:rsidRPr="00107623">
        <w:rPr>
          <w:sz w:val="32"/>
          <w:szCs w:val="32"/>
        </w:rPr>
        <w:t xml:space="preserve">Dashboard State Indicators </w:t>
      </w:r>
    </w:p>
    <w:p w14:paraId="17F9C717" w14:textId="77777777" w:rsidR="00AD0F8F" w:rsidRDefault="00AD0F8F" w:rsidP="00AD0F8F">
      <w:pPr>
        <w:pStyle w:val="ListParagraph"/>
        <w:spacing w:before="0" w:after="0"/>
      </w:pPr>
      <w:r w:rsidRPr="003937ED">
        <w:t>Academic Indicators</w:t>
      </w:r>
    </w:p>
    <w:p w14:paraId="1C923C83" w14:textId="77777777" w:rsidR="00AD0F8F" w:rsidRPr="00AD0F8F" w:rsidRDefault="00AD0F8F" w:rsidP="00D00DB0">
      <w:pPr>
        <w:pStyle w:val="ListParagraph"/>
        <w:numPr>
          <w:ilvl w:val="1"/>
          <w:numId w:val="4"/>
        </w:numPr>
        <w:spacing w:before="0" w:after="0"/>
      </w:pPr>
      <w:r w:rsidRPr="00AD0F8F">
        <w:rPr>
          <w:rFonts w:eastAsia="Times New Roman" w:cs="Arial"/>
          <w:szCs w:val="24"/>
        </w:rPr>
        <w:t>English language arts/literacy (ELA)</w:t>
      </w:r>
    </w:p>
    <w:p w14:paraId="0EC599FB" w14:textId="5D1227EB" w:rsidR="00AD0F8F" w:rsidRPr="00AD0F8F" w:rsidRDefault="00AD0F8F" w:rsidP="00D00DB0">
      <w:pPr>
        <w:pStyle w:val="ListParagraph"/>
        <w:numPr>
          <w:ilvl w:val="1"/>
          <w:numId w:val="4"/>
        </w:numPr>
        <w:spacing w:before="0" w:after="0"/>
      </w:pPr>
      <w:r w:rsidRPr="00AD0F8F">
        <w:rPr>
          <w:rFonts w:eastAsia="Times New Roman" w:cs="Arial"/>
          <w:szCs w:val="24"/>
        </w:rPr>
        <w:t>Mathematics</w:t>
      </w:r>
    </w:p>
    <w:p w14:paraId="04494CCC" w14:textId="77777777" w:rsidR="00372640" w:rsidRDefault="00372640" w:rsidP="00D00DB0">
      <w:pPr>
        <w:pStyle w:val="paragraph"/>
        <w:numPr>
          <w:ilvl w:val="0"/>
          <w:numId w:val="7"/>
        </w:numPr>
        <w:spacing w:before="0" w:beforeAutospacing="0" w:after="0" w:afterAutospacing="0"/>
        <w:textAlignment w:val="baseline"/>
        <w:rPr>
          <w:rFonts w:ascii="Arial" w:hAnsi="Arial" w:cs="Arial"/>
        </w:rPr>
      </w:pPr>
      <w:r>
        <w:rPr>
          <w:rFonts w:ascii="Arial" w:hAnsi="Arial" w:cs="Arial"/>
          <w:color w:val="000000"/>
        </w:rPr>
        <w:t>English Learner Progress Indicator (ELPI)</w:t>
      </w:r>
      <w:r>
        <w:rPr>
          <w:rFonts w:ascii="Arial" w:eastAsiaTheme="majorEastAsia" w:hAnsi="Arial" w:cs="Arial"/>
          <w:color w:val="000000"/>
        </w:rPr>
        <w:t> </w:t>
      </w:r>
    </w:p>
    <w:p w14:paraId="0B13E722" w14:textId="77777777" w:rsidR="00372640" w:rsidRDefault="00372640" w:rsidP="00D00DB0">
      <w:pPr>
        <w:pStyle w:val="paragraph"/>
        <w:numPr>
          <w:ilvl w:val="0"/>
          <w:numId w:val="7"/>
        </w:numPr>
        <w:spacing w:before="0" w:beforeAutospacing="0" w:after="0" w:afterAutospacing="0"/>
        <w:textAlignment w:val="baseline"/>
        <w:rPr>
          <w:rFonts w:ascii="Arial" w:hAnsi="Arial" w:cs="Arial"/>
        </w:rPr>
      </w:pPr>
      <w:r>
        <w:rPr>
          <w:rFonts w:ascii="Arial" w:hAnsi="Arial" w:cs="Arial"/>
          <w:color w:val="000000"/>
        </w:rPr>
        <w:t>Chronic Absenteeism</w:t>
      </w:r>
      <w:r>
        <w:rPr>
          <w:rFonts w:ascii="Arial" w:eastAsiaTheme="majorEastAsia" w:hAnsi="Arial" w:cs="Arial"/>
          <w:color w:val="000000"/>
        </w:rPr>
        <w:t> </w:t>
      </w:r>
      <w:r>
        <w:rPr>
          <w:rFonts w:ascii="Arial" w:hAnsi="Arial" w:cs="Arial"/>
          <w:color w:val="000000"/>
        </w:rPr>
        <w:t>Indicator</w:t>
      </w:r>
    </w:p>
    <w:p w14:paraId="1596BF99" w14:textId="77777777" w:rsidR="00372640" w:rsidRDefault="00372640" w:rsidP="00D00DB0">
      <w:pPr>
        <w:pStyle w:val="paragraph"/>
        <w:numPr>
          <w:ilvl w:val="0"/>
          <w:numId w:val="7"/>
        </w:numPr>
        <w:spacing w:before="0" w:beforeAutospacing="0" w:after="0" w:afterAutospacing="0"/>
        <w:textAlignment w:val="baseline"/>
        <w:rPr>
          <w:rFonts w:ascii="Arial" w:hAnsi="Arial" w:cs="Arial"/>
        </w:rPr>
      </w:pPr>
      <w:r>
        <w:rPr>
          <w:rFonts w:ascii="Arial" w:hAnsi="Arial" w:cs="Arial"/>
          <w:color w:val="000000"/>
        </w:rPr>
        <w:t>Graduation Rate</w:t>
      </w:r>
      <w:r>
        <w:rPr>
          <w:rFonts w:ascii="Arial" w:eastAsiaTheme="majorEastAsia" w:hAnsi="Arial" w:cs="Arial"/>
          <w:color w:val="000000"/>
        </w:rPr>
        <w:t> </w:t>
      </w:r>
      <w:r>
        <w:rPr>
          <w:rFonts w:ascii="Arial" w:hAnsi="Arial" w:cs="Arial"/>
          <w:color w:val="000000"/>
        </w:rPr>
        <w:t>Indicator</w:t>
      </w:r>
    </w:p>
    <w:p w14:paraId="5341058E" w14:textId="77777777" w:rsidR="00372640" w:rsidRDefault="00372640" w:rsidP="00D00DB0">
      <w:pPr>
        <w:pStyle w:val="paragraph"/>
        <w:numPr>
          <w:ilvl w:val="0"/>
          <w:numId w:val="7"/>
        </w:numPr>
        <w:spacing w:before="0" w:beforeAutospacing="0" w:after="0" w:afterAutospacing="0"/>
        <w:textAlignment w:val="baseline"/>
        <w:rPr>
          <w:rFonts w:ascii="Arial" w:hAnsi="Arial" w:cs="Arial"/>
        </w:rPr>
      </w:pPr>
      <w:r>
        <w:rPr>
          <w:rFonts w:ascii="Arial" w:hAnsi="Arial" w:cs="Arial"/>
          <w:color w:val="000000"/>
        </w:rPr>
        <w:t>Suspension Rate</w:t>
      </w:r>
      <w:r>
        <w:rPr>
          <w:rFonts w:ascii="Arial" w:eastAsiaTheme="majorEastAsia" w:hAnsi="Arial" w:cs="Arial"/>
          <w:color w:val="000000"/>
        </w:rPr>
        <w:t> </w:t>
      </w:r>
      <w:r>
        <w:rPr>
          <w:rFonts w:ascii="Arial" w:hAnsi="Arial" w:cs="Arial"/>
          <w:color w:val="000000"/>
        </w:rPr>
        <w:t>Indicator</w:t>
      </w:r>
    </w:p>
    <w:p w14:paraId="121021B3" w14:textId="77777777" w:rsidR="004A06D1" w:rsidRPr="004A06D1" w:rsidRDefault="00372640" w:rsidP="00D00DB0">
      <w:pPr>
        <w:pStyle w:val="paragraph"/>
        <w:numPr>
          <w:ilvl w:val="0"/>
          <w:numId w:val="7"/>
        </w:numPr>
        <w:spacing w:before="0" w:beforeAutospacing="0" w:after="0" w:afterAutospacing="0"/>
        <w:textAlignment w:val="baseline"/>
        <w:rPr>
          <w:rFonts w:ascii="Arial" w:eastAsiaTheme="majorEastAsia" w:hAnsi="Arial" w:cs="Arial"/>
          <w:color w:val="000000"/>
        </w:rPr>
      </w:pPr>
      <w:r>
        <w:rPr>
          <w:rFonts w:ascii="Arial" w:hAnsi="Arial" w:cs="Arial"/>
          <w:color w:val="000000"/>
        </w:rPr>
        <w:t>College/Career Indicator (CCI)</w:t>
      </w:r>
    </w:p>
    <w:p w14:paraId="007F028A" w14:textId="4EEC3BD4" w:rsidR="00372640" w:rsidRDefault="004A06D1" w:rsidP="00D00DB0">
      <w:pPr>
        <w:pStyle w:val="paragraph"/>
        <w:numPr>
          <w:ilvl w:val="0"/>
          <w:numId w:val="7"/>
        </w:numPr>
        <w:spacing w:before="0" w:beforeAutospacing="0" w:after="0" w:afterAutospacing="0"/>
        <w:textAlignment w:val="baseline"/>
        <w:rPr>
          <w:rFonts w:ascii="Arial" w:eastAsiaTheme="majorEastAsia" w:hAnsi="Arial" w:cs="Arial"/>
          <w:color w:val="000000"/>
        </w:rPr>
      </w:pPr>
      <w:r>
        <w:rPr>
          <w:rFonts w:ascii="Arial" w:hAnsi="Arial" w:cs="Arial"/>
          <w:color w:val="000000"/>
        </w:rPr>
        <w:t>Science Indicator</w:t>
      </w:r>
      <w:r w:rsidR="00730B5B">
        <w:rPr>
          <w:rFonts w:ascii="Arial" w:eastAsiaTheme="majorEastAsia" w:hAnsi="Arial" w:cs="Arial"/>
          <w:color w:val="000000"/>
        </w:rPr>
        <w:t>*</w:t>
      </w:r>
    </w:p>
    <w:p w14:paraId="23911577" w14:textId="0F4F800D" w:rsidR="00372640" w:rsidRPr="006571B4" w:rsidRDefault="00372640" w:rsidP="00372640">
      <w:pPr>
        <w:rPr>
          <w:rFonts w:ascii="Segoe UI" w:hAnsi="Segoe UI" w:cs="Segoe UI"/>
          <w:sz w:val="18"/>
          <w:szCs w:val="18"/>
        </w:rPr>
      </w:pPr>
      <w:r w:rsidRPr="006571B4">
        <w:t>*</w:t>
      </w:r>
      <w:r w:rsidR="00906278">
        <w:t xml:space="preserve">The Science Indicator will be </w:t>
      </w:r>
      <w:r w:rsidR="001B1246">
        <w:t xml:space="preserve">for </w:t>
      </w:r>
      <w:r w:rsidR="00906278">
        <w:t>informational purposes only</w:t>
      </w:r>
      <w:r w:rsidR="001B1246">
        <w:t xml:space="preserve"> on the 2024 Dashboard</w:t>
      </w:r>
      <w:r w:rsidR="00906278">
        <w:t>.</w:t>
      </w:r>
    </w:p>
    <w:p w14:paraId="0DD8E2A6" w14:textId="4E1FD767" w:rsidR="00B336D7" w:rsidRPr="008027AE" w:rsidRDefault="00B336D7" w:rsidP="008027AE">
      <w:pPr>
        <w:pStyle w:val="Heading3"/>
        <w:pBdr>
          <w:bottom w:val="single" w:sz="12" w:space="2" w:color="015B8E"/>
        </w:pBdr>
        <w:rPr>
          <w:sz w:val="32"/>
          <w:szCs w:val="32"/>
        </w:rPr>
      </w:pPr>
      <w:r w:rsidRPr="008027AE">
        <w:rPr>
          <w:sz w:val="32"/>
          <w:szCs w:val="32"/>
        </w:rPr>
        <w:lastRenderedPageBreak/>
        <w:t xml:space="preserve">Measurement of Performance </w:t>
      </w:r>
    </w:p>
    <w:p w14:paraId="62C1CAE0" w14:textId="4A63DC3C" w:rsidR="006935D3" w:rsidRPr="00D17F01" w:rsidRDefault="006935D3" w:rsidP="006935D3">
      <w:r>
        <w:t xml:space="preserve">For all state indicators, the </w:t>
      </w:r>
      <w:r w:rsidRPr="00D17F01">
        <w:t>measurement of performance for local educational agencies (LEAs), schools and student groups on the Dashboard is done by looking at two years of data</w:t>
      </w:r>
      <w:r w:rsidR="000A330D">
        <w:t>:</w:t>
      </w:r>
      <w:r w:rsidRPr="00D17F01">
        <w:t xml:space="preserve">  </w:t>
      </w:r>
    </w:p>
    <w:p w14:paraId="3F90E0B2" w14:textId="3E317424" w:rsidR="006935D3" w:rsidRPr="00D17F01" w:rsidRDefault="006935D3" w:rsidP="00D00DB0">
      <w:pPr>
        <w:pStyle w:val="ListParagraph"/>
        <w:numPr>
          <w:ilvl w:val="0"/>
          <w:numId w:val="3"/>
        </w:numPr>
        <w:spacing w:before="120" w:after="90"/>
        <w:ind w:right="300"/>
        <w:contextualSpacing/>
      </w:pPr>
      <w:r w:rsidRPr="00D17F01">
        <w:t xml:space="preserve">Current </w:t>
      </w:r>
      <w:r w:rsidR="00332D47">
        <w:t>y</w:t>
      </w:r>
      <w:r w:rsidRPr="00D17F01">
        <w:t xml:space="preserve">ear </w:t>
      </w:r>
      <w:r w:rsidR="00332D47">
        <w:t>d</w:t>
      </w:r>
      <w:r w:rsidRPr="00D17F01">
        <w:t xml:space="preserve">ata equals </w:t>
      </w:r>
      <w:r w:rsidR="000A330D">
        <w:t>S</w:t>
      </w:r>
      <w:r w:rsidRPr="00D17F01">
        <w:t xml:space="preserve">tatus. </w:t>
      </w:r>
    </w:p>
    <w:p w14:paraId="3408E707" w14:textId="53055DCB" w:rsidR="006935D3" w:rsidRPr="00D17F01" w:rsidRDefault="006935D3" w:rsidP="00D00DB0">
      <w:pPr>
        <w:pStyle w:val="ListParagraph"/>
        <w:numPr>
          <w:ilvl w:val="0"/>
          <w:numId w:val="3"/>
        </w:numPr>
        <w:spacing w:before="120" w:after="90"/>
        <w:ind w:right="300"/>
        <w:contextualSpacing/>
      </w:pPr>
      <w:r w:rsidRPr="00D17F01">
        <w:t xml:space="preserve">A comparison between the current and prior year's data equals </w:t>
      </w:r>
      <w:r w:rsidR="000A330D">
        <w:t>C</w:t>
      </w:r>
      <w:r w:rsidRPr="00D17F01">
        <w:t xml:space="preserve">hange. </w:t>
      </w:r>
    </w:p>
    <w:p w14:paraId="5493D3A1" w14:textId="64F7F990" w:rsidR="006935D3" w:rsidRDefault="006935D3" w:rsidP="006935D3">
      <w:pPr>
        <w:spacing w:before="120" w:after="90"/>
        <w:ind w:right="300"/>
        <w:contextualSpacing/>
        <w:rPr>
          <w:rFonts w:eastAsia="Arial" w:cs="Arial"/>
        </w:rPr>
      </w:pPr>
      <w:r w:rsidRPr="00D17F01">
        <w:t>It</w:t>
      </w:r>
      <w:r>
        <w:t xml:space="preserve"> is</w:t>
      </w:r>
      <w:r w:rsidRPr="00D17F01">
        <w:t xml:space="preserve"> the combination of </w:t>
      </w:r>
      <w:r w:rsidR="000A330D">
        <w:t>S</w:t>
      </w:r>
      <w:r w:rsidRPr="00D17F01">
        <w:t xml:space="preserve">tatus and </w:t>
      </w:r>
      <w:r w:rsidR="000A330D">
        <w:t>C</w:t>
      </w:r>
      <w:r w:rsidRPr="00D17F01">
        <w:t xml:space="preserve">hange that determines color performance on the Dashboard, and is designated by receiving a color, ranging from red at the lowest performance level to blue at the highest performance level. </w:t>
      </w:r>
      <w:r w:rsidR="00106A0F" w:rsidRPr="00106A0F">
        <w:rPr>
          <w:rFonts w:eastAsia="Arial" w:cs="Arial"/>
        </w:rPr>
        <w:t>The</w:t>
      </w:r>
      <w:r w:rsidR="00510CF5">
        <w:rPr>
          <w:rFonts w:eastAsia="Arial" w:cs="Arial"/>
        </w:rPr>
        <w:t xml:space="preserve"> P</w:t>
      </w:r>
      <w:r w:rsidR="00106A0F" w:rsidRPr="00106A0F">
        <w:rPr>
          <w:rFonts w:eastAsia="Arial" w:cs="Arial"/>
        </w:rPr>
        <w:t xml:space="preserve">erformance </w:t>
      </w:r>
      <w:r w:rsidR="00510CF5">
        <w:rPr>
          <w:rFonts w:eastAsia="Arial" w:cs="Arial"/>
        </w:rPr>
        <w:t>L</w:t>
      </w:r>
      <w:r w:rsidR="00106A0F" w:rsidRPr="00106A0F">
        <w:rPr>
          <w:rFonts w:eastAsia="Arial" w:cs="Arial"/>
        </w:rPr>
        <w:t>evels in order from highest to lowest are Blue, Green, Yellow, Orange, and Red.</w:t>
      </w:r>
    </w:p>
    <w:p w14:paraId="6C1EBEBA" w14:textId="77777777" w:rsidR="00F17B2C" w:rsidRDefault="00F17B2C" w:rsidP="006935D3">
      <w:pPr>
        <w:spacing w:before="120" w:after="90"/>
        <w:ind w:right="300"/>
        <w:contextualSpacing/>
        <w:rPr>
          <w:rFonts w:eastAsia="Arial" w:cs="Arial"/>
        </w:rPr>
      </w:pPr>
    </w:p>
    <w:p w14:paraId="70690F6A" w14:textId="098137F8" w:rsidR="000A4298" w:rsidRDefault="000A4298" w:rsidP="006935D3">
      <w:pPr>
        <w:spacing w:before="120" w:after="90"/>
        <w:ind w:right="300"/>
        <w:contextualSpacing/>
        <w:rPr>
          <w:rFonts w:eastAsia="Arial" w:cs="Arial"/>
        </w:rPr>
      </w:pPr>
      <w:r>
        <w:rPr>
          <w:noProof/>
        </w:rPr>
        <w:drawing>
          <wp:inline distT="0" distB="0" distL="0" distR="0" wp14:anchorId="3D4CCC48" wp14:editId="3D9622E3">
            <wp:extent cx="5943600" cy="1954759"/>
            <wp:effectExtent l="0" t="0" r="0" b="7620"/>
            <wp:docPr id="405281559" name="Picture 405281559" descr="Five Performance Levels by color from lowest to highest performance: red, orange, yellow, green, an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281559" name="Picture 405281559" descr="Five Performance Levels by color from lowest to highest performance: red, orange, yellow, green, and blue."/>
                    <pic:cNvPicPr/>
                  </pic:nvPicPr>
                  <pic:blipFill>
                    <a:blip r:embed="rId11">
                      <a:extLst>
                        <a:ext uri="{28A0092B-C50C-407E-A947-70E740481C1C}">
                          <a14:useLocalDpi xmlns:a14="http://schemas.microsoft.com/office/drawing/2010/main" val="0"/>
                        </a:ext>
                      </a:extLst>
                    </a:blip>
                    <a:stretch>
                      <a:fillRect/>
                    </a:stretch>
                  </pic:blipFill>
                  <pic:spPr>
                    <a:xfrm>
                      <a:off x="0" y="0"/>
                      <a:ext cx="5943600" cy="1954759"/>
                    </a:xfrm>
                    <a:prstGeom prst="rect">
                      <a:avLst/>
                    </a:prstGeom>
                  </pic:spPr>
                </pic:pic>
              </a:graphicData>
            </a:graphic>
          </wp:inline>
        </w:drawing>
      </w:r>
    </w:p>
    <w:p w14:paraId="5E705DC0" w14:textId="77777777" w:rsidR="00F17B2C" w:rsidRDefault="00F17B2C" w:rsidP="006935D3">
      <w:pPr>
        <w:spacing w:before="120" w:after="90"/>
        <w:ind w:right="300"/>
        <w:contextualSpacing/>
        <w:rPr>
          <w:rFonts w:eastAsia="Arial" w:cs="Arial"/>
        </w:rPr>
      </w:pPr>
    </w:p>
    <w:p w14:paraId="7F5A0F1F" w14:textId="6C9E1729" w:rsidR="00F17B2C" w:rsidRPr="004E021B" w:rsidRDefault="004C49E2" w:rsidP="004E021B">
      <w:pPr>
        <w:pStyle w:val="Heading3"/>
        <w:pBdr>
          <w:bottom w:val="single" w:sz="12" w:space="2" w:color="015B8E"/>
        </w:pBdr>
        <w:rPr>
          <w:sz w:val="32"/>
          <w:szCs w:val="32"/>
        </w:rPr>
      </w:pPr>
      <w:r w:rsidRPr="004E021B">
        <w:rPr>
          <w:sz w:val="32"/>
          <w:szCs w:val="32"/>
        </w:rPr>
        <w:t>The CCI is Back</w:t>
      </w:r>
    </w:p>
    <w:p w14:paraId="3B083744" w14:textId="2900BF72" w:rsidR="000914AE" w:rsidRDefault="0028227B" w:rsidP="0028227B">
      <w:r>
        <w:t>L</w:t>
      </w:r>
      <w:r w:rsidR="00C22D3E">
        <w:t>ast year the CCI was in status only</w:t>
      </w:r>
      <w:r w:rsidR="00065D84">
        <w:t xml:space="preserve"> with no performance color. </w:t>
      </w:r>
      <w:r w:rsidR="00065D84" w:rsidRPr="00065D84">
        <w:t>For the 2024 Dashboard, as we now have two years of data, performance levels or colors will be displayed</w:t>
      </w:r>
      <w:r w:rsidR="00C22D3E">
        <w:t xml:space="preserve"> this year</w:t>
      </w:r>
      <w:r w:rsidR="002E7084">
        <w:t xml:space="preserve">. </w:t>
      </w:r>
    </w:p>
    <w:p w14:paraId="5420C774" w14:textId="209417EB" w:rsidR="002E7084" w:rsidRPr="002E7084" w:rsidRDefault="002E7084" w:rsidP="002E7084">
      <w:r w:rsidRPr="002E7084">
        <w:t xml:space="preserve">Much like the other indicators, the baseball card with color is returning for the </w:t>
      </w:r>
      <w:r w:rsidR="00865516">
        <w:t>CCI</w:t>
      </w:r>
      <w:r w:rsidRPr="002E7084">
        <w:t>. This means it will have the colored banner across the</w:t>
      </w:r>
      <w:r>
        <w:t xml:space="preserve"> </w:t>
      </w:r>
      <w:r w:rsidRPr="002E7084">
        <w:t>top of the card as well as the Performance Level or color in the form of the gauge and the color explicitly written out.</w:t>
      </w:r>
    </w:p>
    <w:p w14:paraId="08909EE3" w14:textId="2DB7434B" w:rsidR="002E7084" w:rsidRPr="002E7084" w:rsidRDefault="002E7084" w:rsidP="002E7084">
      <w:r w:rsidRPr="002E7084">
        <w:t>Additionally, we will determine the current year Status and whether the Status has changed from the year prior.</w:t>
      </w:r>
    </w:p>
    <w:p w14:paraId="2F2C139A" w14:textId="3416995B" w:rsidR="002E7084" w:rsidRPr="002E7084" w:rsidRDefault="002E7084" w:rsidP="002E7084">
      <w:r w:rsidRPr="002E7084">
        <w:t xml:space="preserve">The equity report shows the number of student groups in each of the Performance Levels or colors for that </w:t>
      </w:r>
      <w:proofErr w:type="gramStart"/>
      <w:r w:rsidRPr="002E7084">
        <w:t>particular school</w:t>
      </w:r>
      <w:proofErr w:type="gramEnd"/>
      <w:r w:rsidRPr="002E7084">
        <w:t xml:space="preserve"> or LEA. This top-level report can assist schools and LEAs in looking at student group inequities that may be occurring.</w:t>
      </w:r>
    </w:p>
    <w:p w14:paraId="48F8CA12" w14:textId="1C45C91C" w:rsidR="002E7084" w:rsidRPr="002E7084" w:rsidRDefault="002E7084" w:rsidP="002E7084">
      <w:r w:rsidRPr="002E7084">
        <w:t>At the very bottom of the baseball cards, there is a link to view more details which provides more specific student group information and trends in data over time, when available.</w:t>
      </w:r>
    </w:p>
    <w:p w14:paraId="24D0F818" w14:textId="086DF310" w:rsidR="00E962E1" w:rsidRPr="00D17F01" w:rsidRDefault="00E962E1" w:rsidP="00E962E1">
      <w:pPr>
        <w:jc w:val="center"/>
      </w:pPr>
      <w:r w:rsidRPr="00E962E1">
        <w:rPr>
          <w:noProof/>
        </w:rPr>
        <w:lastRenderedPageBreak/>
        <w:drawing>
          <wp:inline distT="0" distB="0" distL="0" distR="0" wp14:anchorId="10D30767" wp14:editId="12E89BFE">
            <wp:extent cx="2762250" cy="4884905"/>
            <wp:effectExtent l="0" t="0" r="0" b="0"/>
            <wp:docPr id="6" name="Content Placeholder 5" descr="College/Career Indicator baseball card with five colors gauge—Red, Orange, Yellow, Green, and Blue. The description is below the image.">
              <a:extLst xmlns:a="http://schemas.openxmlformats.org/drawingml/2006/main">
                <a:ext uri="{FF2B5EF4-FFF2-40B4-BE49-F238E27FC236}">
                  <a16:creationId xmlns:a16="http://schemas.microsoft.com/office/drawing/2014/main" id="{7A52DA2F-15E5-9146-84C0-5104ED78CF23}"/>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descr="College/Career Indicator baseball card with five colors gauge—Red, Orange, Yellow, Green, and Blue. The description is below the image.">
                      <a:extLst>
                        <a:ext uri="{FF2B5EF4-FFF2-40B4-BE49-F238E27FC236}">
                          <a16:creationId xmlns:a16="http://schemas.microsoft.com/office/drawing/2014/main" id="{7A52DA2F-15E5-9146-84C0-5104ED78CF23}"/>
                        </a:ext>
                      </a:extLst>
                    </pic:cNvPr>
                    <pic:cNvPicPr>
                      <a:picLocks noGrp="1"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779181" cy="4914847"/>
                    </a:xfrm>
                    <a:prstGeom prst="rect">
                      <a:avLst/>
                    </a:prstGeom>
                  </pic:spPr>
                </pic:pic>
              </a:graphicData>
            </a:graphic>
          </wp:inline>
        </w:drawing>
      </w:r>
    </w:p>
    <w:p w14:paraId="2650A86C" w14:textId="77777777" w:rsidR="00F17B2C" w:rsidRPr="00D17F01" w:rsidRDefault="00F17B2C" w:rsidP="006935D3">
      <w:pPr>
        <w:spacing w:before="120" w:after="90"/>
        <w:ind w:right="300"/>
        <w:contextualSpacing/>
      </w:pPr>
    </w:p>
    <w:p w14:paraId="12E67ECF" w14:textId="00B6DB78" w:rsidR="00324020" w:rsidRPr="003F2AF3" w:rsidRDefault="00324020" w:rsidP="003F2AF3">
      <w:pPr>
        <w:pStyle w:val="Heading2"/>
        <w:pageBreakBefore w:val="0"/>
        <w:pBdr>
          <w:left w:val="single" w:sz="48" w:space="4" w:color="074A6D"/>
        </w:pBdr>
        <w:shd w:val="clear" w:color="auto" w:fill="EFF2F5"/>
        <w:spacing w:before="360"/>
        <w:rPr>
          <w:bCs/>
          <w:color w:val="000000"/>
          <w:sz w:val="36"/>
          <w:szCs w:val="36"/>
        </w:rPr>
      </w:pPr>
      <w:r w:rsidRPr="003F2AF3">
        <w:rPr>
          <w:bCs/>
          <w:color w:val="000000"/>
          <w:sz w:val="36"/>
          <w:szCs w:val="36"/>
        </w:rPr>
        <w:t>College/Career Indicator</w:t>
      </w:r>
    </w:p>
    <w:p w14:paraId="739C6282" w14:textId="77777777" w:rsidR="00C1012D" w:rsidRPr="003F2AF3" w:rsidRDefault="00C1012D" w:rsidP="003F2AF3">
      <w:pPr>
        <w:pStyle w:val="Heading3"/>
        <w:pBdr>
          <w:bottom w:val="single" w:sz="12" w:space="2" w:color="015B8E"/>
        </w:pBdr>
        <w:rPr>
          <w:sz w:val="32"/>
          <w:szCs w:val="32"/>
        </w:rPr>
      </w:pPr>
      <w:r w:rsidRPr="003F2AF3">
        <w:rPr>
          <w:sz w:val="32"/>
          <w:szCs w:val="32"/>
        </w:rPr>
        <w:t>What is the CCI?</w:t>
      </w:r>
    </w:p>
    <w:p w14:paraId="517BFB5A" w14:textId="77777777" w:rsidR="00C1012D" w:rsidRPr="00BE3F3F" w:rsidRDefault="00C1012D" w:rsidP="00C1012D">
      <w:r w:rsidRPr="00BE3F3F">
        <w:t xml:space="preserve">The CCI measures how well districts and schools are preparing </w:t>
      </w:r>
      <w:proofErr w:type="gramStart"/>
      <w:r w:rsidRPr="00BE3F3F">
        <w:t>its</w:t>
      </w:r>
      <w:proofErr w:type="gramEnd"/>
      <w:r w:rsidRPr="00BE3F3F">
        <w:t xml:space="preserve"> graduates for college/career. Specifically, the CCI measures the percent of graduates who are deemed “Prepared” for college and career.</w:t>
      </w:r>
    </w:p>
    <w:p w14:paraId="703F9180" w14:textId="77777777" w:rsidR="00F0494A" w:rsidRDefault="00F0494A" w:rsidP="00F0494A">
      <w:pPr>
        <w:pStyle w:val="Heading3"/>
        <w:pBdr>
          <w:bottom w:val="single" w:sz="12" w:space="2" w:color="015B8E"/>
        </w:pBdr>
        <w:rPr>
          <w:sz w:val="32"/>
          <w:szCs w:val="32"/>
        </w:rPr>
      </w:pPr>
      <w:r w:rsidRPr="00AD50CB">
        <w:rPr>
          <w:sz w:val="32"/>
          <w:szCs w:val="32"/>
        </w:rPr>
        <w:t>Career Measures</w:t>
      </w:r>
    </w:p>
    <w:p w14:paraId="523FACCF" w14:textId="19B67C95" w:rsidR="006F5299" w:rsidRDefault="006F5299" w:rsidP="006F5299">
      <w:pPr>
        <w:spacing w:after="0"/>
      </w:pPr>
      <w:r w:rsidRPr="006F5299">
        <w:t xml:space="preserve">The career measures </w:t>
      </w:r>
      <w:r>
        <w:t>approved by</w:t>
      </w:r>
      <w:r w:rsidRPr="006F5299">
        <w:t xml:space="preserve"> the State Board of Education are:</w:t>
      </w:r>
    </w:p>
    <w:p w14:paraId="0DCEE027" w14:textId="24EDCF8A" w:rsidR="00F0494A" w:rsidRPr="00A55E73" w:rsidRDefault="00F0494A" w:rsidP="00D00DB0">
      <w:pPr>
        <w:pStyle w:val="ListParagraph"/>
        <w:numPr>
          <w:ilvl w:val="0"/>
          <w:numId w:val="6"/>
        </w:numPr>
        <w:spacing w:after="0"/>
      </w:pPr>
      <w:r>
        <w:t xml:space="preserve">Registered </w:t>
      </w:r>
      <w:r w:rsidRPr="00A55E73">
        <w:t>Pre-Apprenticeships</w:t>
      </w:r>
    </w:p>
    <w:p w14:paraId="7A85024D" w14:textId="77777777" w:rsidR="00F0494A" w:rsidRPr="00A55E73" w:rsidRDefault="00F0494A" w:rsidP="00D00DB0">
      <w:pPr>
        <w:pStyle w:val="ListParagraph"/>
        <w:numPr>
          <w:ilvl w:val="0"/>
          <w:numId w:val="6"/>
        </w:numPr>
        <w:spacing w:after="0"/>
      </w:pPr>
      <w:r>
        <w:t>State and Federal Job Programs (DASS Only)</w:t>
      </w:r>
    </w:p>
    <w:p w14:paraId="3E4A874B" w14:textId="77777777" w:rsidR="00F0494A" w:rsidRPr="00A55E73" w:rsidRDefault="00F0494A" w:rsidP="00D00DB0">
      <w:pPr>
        <w:pStyle w:val="ListParagraph"/>
        <w:numPr>
          <w:ilvl w:val="0"/>
          <w:numId w:val="6"/>
        </w:numPr>
      </w:pPr>
      <w:r>
        <w:lastRenderedPageBreak/>
        <w:t>Transition Classroom and Work-Based Learning Experiences (Students with an Individualized Education Program (IEP) and earn a Special Education Certificate of Completion are included)</w:t>
      </w:r>
    </w:p>
    <w:p w14:paraId="4177BB75" w14:textId="77777777" w:rsidR="006F5299" w:rsidRPr="00A55E73" w:rsidRDefault="006F5299" w:rsidP="00D00DB0">
      <w:pPr>
        <w:pStyle w:val="ListParagraph"/>
        <w:numPr>
          <w:ilvl w:val="0"/>
          <w:numId w:val="6"/>
        </w:numPr>
        <w:spacing w:after="0"/>
      </w:pPr>
      <w:r w:rsidRPr="00A55E73">
        <w:t>Career Technical Education Pathway Completion</w:t>
      </w:r>
    </w:p>
    <w:p w14:paraId="537C164D" w14:textId="77777777" w:rsidR="006F5299" w:rsidRPr="00A55E73" w:rsidRDefault="006F5299" w:rsidP="00D00DB0">
      <w:pPr>
        <w:pStyle w:val="ListParagraph"/>
        <w:numPr>
          <w:ilvl w:val="0"/>
          <w:numId w:val="6"/>
        </w:numPr>
        <w:spacing w:after="0"/>
      </w:pPr>
      <w:r w:rsidRPr="00A55E73">
        <w:t>Leadership/Military Science</w:t>
      </w:r>
    </w:p>
    <w:p w14:paraId="67233435" w14:textId="77777777" w:rsidR="006F5299" w:rsidRDefault="006F5299" w:rsidP="006F5299">
      <w:r w:rsidRPr="00BE3F3F">
        <w:t>View the preparedness criteria approved by the State Board of Education on the CDE website:</w:t>
      </w:r>
    </w:p>
    <w:p w14:paraId="0D75514C" w14:textId="531A2347" w:rsidR="006F5299" w:rsidRPr="006F5299" w:rsidRDefault="006F5299" w:rsidP="7294DDF2">
      <w:pPr>
        <w:pStyle w:val="ListParagraph"/>
        <w:rPr>
          <w:rStyle w:val="Hyperlink"/>
        </w:rPr>
      </w:pPr>
      <w:r>
        <w:t xml:space="preserve">Measure of Career Readiness (PDF) at </w:t>
      </w:r>
      <w:hyperlink r:id="rId13" w:tooltip="Measure of Career Readiness ">
        <w:r w:rsidR="378F2E05" w:rsidRPr="7294DDF2">
          <w:rPr>
            <w:rStyle w:val="Hyperlink"/>
          </w:rPr>
          <w:t>https://www.cde.ca.gov/ta/ac/cm/documents/ccicareer.pdf</w:t>
        </w:r>
      </w:hyperlink>
    </w:p>
    <w:p w14:paraId="5820EA0A" w14:textId="77777777" w:rsidR="00F0494A" w:rsidRPr="00F0494A" w:rsidRDefault="00F0494A" w:rsidP="00F0494A"/>
    <w:p w14:paraId="7CD72753" w14:textId="222B7100" w:rsidR="009D4A71" w:rsidRPr="00AD50CB" w:rsidRDefault="009D4A71" w:rsidP="00AD50CB">
      <w:pPr>
        <w:pStyle w:val="Heading3"/>
        <w:pBdr>
          <w:bottom w:val="single" w:sz="12" w:space="2" w:color="015B8E"/>
        </w:pBdr>
        <w:rPr>
          <w:sz w:val="32"/>
          <w:szCs w:val="32"/>
        </w:rPr>
      </w:pPr>
      <w:r w:rsidRPr="00AD50CB">
        <w:rPr>
          <w:sz w:val="32"/>
          <w:szCs w:val="32"/>
        </w:rPr>
        <w:t>College</w:t>
      </w:r>
      <w:r w:rsidR="00AD50CB">
        <w:rPr>
          <w:sz w:val="32"/>
          <w:szCs w:val="32"/>
        </w:rPr>
        <w:t xml:space="preserve"> </w:t>
      </w:r>
      <w:r w:rsidRPr="00AD50CB">
        <w:rPr>
          <w:sz w:val="32"/>
          <w:szCs w:val="32"/>
        </w:rPr>
        <w:t>Measures</w:t>
      </w:r>
    </w:p>
    <w:p w14:paraId="220234B6" w14:textId="02DE55DC" w:rsidR="00652A86" w:rsidRDefault="00652A86" w:rsidP="00652A86">
      <w:pPr>
        <w:spacing w:after="0"/>
      </w:pPr>
      <w:r w:rsidRPr="006F5299">
        <w:t xml:space="preserve">The </w:t>
      </w:r>
      <w:r>
        <w:t>college</w:t>
      </w:r>
      <w:r w:rsidRPr="006F5299">
        <w:t xml:space="preserve"> measures </w:t>
      </w:r>
      <w:r>
        <w:t>approved by</w:t>
      </w:r>
      <w:r w:rsidRPr="006F5299">
        <w:t xml:space="preserve"> the State Board of Education are:</w:t>
      </w:r>
    </w:p>
    <w:p w14:paraId="3B613BD1" w14:textId="77777777" w:rsidR="000C3D70" w:rsidRPr="00A55E73" w:rsidRDefault="000C3D70" w:rsidP="00D00DB0">
      <w:pPr>
        <w:pStyle w:val="ListParagraph"/>
        <w:numPr>
          <w:ilvl w:val="0"/>
          <w:numId w:val="6"/>
        </w:numPr>
        <w:spacing w:after="0"/>
      </w:pPr>
      <w:r w:rsidRPr="00A55E73">
        <w:t>Smarter Balanced Summative Assessments in English Language Arts/Literacy and mathematics (Grade 11)</w:t>
      </w:r>
    </w:p>
    <w:p w14:paraId="2EB98EEE" w14:textId="77777777" w:rsidR="009D4A71" w:rsidRPr="00A55E73" w:rsidRDefault="009D4A71" w:rsidP="00D00DB0">
      <w:pPr>
        <w:pStyle w:val="ListParagraph"/>
        <w:numPr>
          <w:ilvl w:val="0"/>
          <w:numId w:val="6"/>
        </w:numPr>
        <w:spacing w:after="0"/>
      </w:pPr>
      <w:r w:rsidRPr="00A55E73">
        <w:t>Advanced Placement Exams</w:t>
      </w:r>
    </w:p>
    <w:p w14:paraId="3EC257B4" w14:textId="2E9EA622" w:rsidR="005B58F3" w:rsidRDefault="005B58F3" w:rsidP="00D00DB0">
      <w:pPr>
        <w:pStyle w:val="ListParagraph"/>
        <w:numPr>
          <w:ilvl w:val="0"/>
          <w:numId w:val="6"/>
        </w:numPr>
        <w:spacing w:after="0"/>
      </w:pPr>
      <w:r w:rsidRPr="005B58F3">
        <w:t>University of California/California State University Requirements</w:t>
      </w:r>
      <w:r w:rsidR="004F64FE">
        <w:t xml:space="preserve"> (formerly </w:t>
      </w:r>
      <w:r w:rsidR="00D866A8">
        <w:t>called A-G requirement</w:t>
      </w:r>
      <w:r w:rsidR="004F64FE">
        <w:t>)</w:t>
      </w:r>
    </w:p>
    <w:p w14:paraId="5B540E66" w14:textId="77777777" w:rsidR="000C3D70" w:rsidRPr="00A55E73" w:rsidRDefault="000C3D70" w:rsidP="00D00DB0">
      <w:pPr>
        <w:pStyle w:val="ListParagraph"/>
        <w:numPr>
          <w:ilvl w:val="0"/>
          <w:numId w:val="6"/>
        </w:numPr>
        <w:spacing w:after="0"/>
      </w:pPr>
      <w:r w:rsidRPr="00A55E73">
        <w:t>International Baccalaureate Exams</w:t>
      </w:r>
    </w:p>
    <w:p w14:paraId="7830B3FF" w14:textId="77777777" w:rsidR="009D4A71" w:rsidRPr="00A55E73" w:rsidRDefault="009D4A71" w:rsidP="00D00DB0">
      <w:pPr>
        <w:pStyle w:val="ListParagraph"/>
        <w:numPr>
          <w:ilvl w:val="0"/>
          <w:numId w:val="6"/>
        </w:numPr>
        <w:spacing w:after="0"/>
      </w:pPr>
      <w:r w:rsidRPr="00A55E73">
        <w:t>State Seal of Biliteracy</w:t>
      </w:r>
    </w:p>
    <w:p w14:paraId="63060932" w14:textId="77777777" w:rsidR="000C3D70" w:rsidRPr="00A55E73" w:rsidRDefault="000C3D70" w:rsidP="00D00DB0">
      <w:pPr>
        <w:pStyle w:val="ListParagraph"/>
        <w:numPr>
          <w:ilvl w:val="0"/>
          <w:numId w:val="6"/>
        </w:numPr>
        <w:spacing w:after="0"/>
      </w:pPr>
      <w:r w:rsidRPr="00A55E73">
        <w:t>College Credit Course (formerly called Dual Enrollment)</w:t>
      </w:r>
    </w:p>
    <w:p w14:paraId="1E5F9AC7" w14:textId="084E9F19" w:rsidR="009D4A71" w:rsidRPr="00BE3F3F" w:rsidRDefault="009D4A71" w:rsidP="00393590">
      <w:pPr>
        <w:spacing w:after="120"/>
      </w:pPr>
      <w:r w:rsidRPr="00BE3F3F">
        <w:t>View the preparedness criteria approved by the State Board of Education on the CDE website:</w:t>
      </w:r>
    </w:p>
    <w:p w14:paraId="6EEF8801" w14:textId="71C7A732" w:rsidR="00293852" w:rsidRPr="00BE3F3F" w:rsidRDefault="009D4A71" w:rsidP="00293852">
      <w:pPr>
        <w:pStyle w:val="ListParagraph"/>
      </w:pPr>
      <w:r w:rsidRPr="00BE3F3F">
        <w:rPr>
          <w:rFonts w:cs="Arial"/>
        </w:rPr>
        <w:t xml:space="preserve">Measures of College Readiness (PDF) at </w:t>
      </w:r>
      <w:hyperlink r:id="rId14" w:tooltip="Measures of College Readiness " w:history="1">
        <w:r w:rsidR="00293852" w:rsidRPr="00293852">
          <w:rPr>
            <w:rStyle w:val="Hyperlink"/>
          </w:rPr>
          <w:t>https://www.cde.ca.gov/ta/ac/cm/documents/ccicollege.pdf</w:t>
        </w:r>
      </w:hyperlink>
    </w:p>
    <w:p w14:paraId="5366CE3C" w14:textId="6E1A6190" w:rsidR="0045439B" w:rsidRPr="00833EE4" w:rsidRDefault="0045439B" w:rsidP="00833EE4">
      <w:pPr>
        <w:pStyle w:val="Heading3"/>
        <w:pBdr>
          <w:bottom w:val="single" w:sz="12" w:space="2" w:color="015B8E"/>
        </w:pBdr>
        <w:rPr>
          <w:sz w:val="32"/>
          <w:szCs w:val="32"/>
        </w:rPr>
      </w:pPr>
      <w:r w:rsidRPr="00833EE4">
        <w:rPr>
          <w:sz w:val="32"/>
          <w:szCs w:val="32"/>
        </w:rPr>
        <w:t xml:space="preserve">CCI Levels </w:t>
      </w:r>
    </w:p>
    <w:p w14:paraId="2A02C1CB" w14:textId="77777777" w:rsidR="0045439B" w:rsidRPr="00BE3F3F" w:rsidRDefault="0045439B" w:rsidP="0045439B">
      <w:pPr>
        <w:spacing w:after="0"/>
      </w:pPr>
      <w:r w:rsidRPr="00BE3F3F">
        <w:t xml:space="preserve">Students are placed in three levels: </w:t>
      </w:r>
    </w:p>
    <w:p w14:paraId="46D15519" w14:textId="77777777" w:rsidR="0045439B" w:rsidRPr="00BE3F3F" w:rsidRDefault="0045439B" w:rsidP="0045439B">
      <w:pPr>
        <w:pStyle w:val="ListParagraph"/>
      </w:pPr>
      <w:r w:rsidRPr="00BE3F3F">
        <w:t>Prepared</w:t>
      </w:r>
    </w:p>
    <w:p w14:paraId="67BA7D71" w14:textId="77777777" w:rsidR="0045439B" w:rsidRPr="00BE3F3F" w:rsidRDefault="0045439B" w:rsidP="0045439B">
      <w:pPr>
        <w:pStyle w:val="ListParagraph"/>
      </w:pPr>
      <w:r w:rsidRPr="00BE3F3F">
        <w:t>Approaching Prepared</w:t>
      </w:r>
    </w:p>
    <w:p w14:paraId="786B3E53" w14:textId="77777777" w:rsidR="0045439B" w:rsidRPr="00BE3F3F" w:rsidRDefault="0045439B" w:rsidP="0045439B">
      <w:pPr>
        <w:pStyle w:val="ListParagraph"/>
      </w:pPr>
      <w:r w:rsidRPr="00BE3F3F">
        <w:t>Not Prepared</w:t>
      </w:r>
    </w:p>
    <w:p w14:paraId="6B0C1CAB" w14:textId="59DCCC78" w:rsidR="00F4298A" w:rsidRPr="005B4A8F" w:rsidRDefault="005B4A8F" w:rsidP="005B4A8F">
      <w:pPr>
        <w:pStyle w:val="Heading3"/>
        <w:pBdr>
          <w:bottom w:val="single" w:sz="12" w:space="2" w:color="015B8E"/>
        </w:pBdr>
        <w:rPr>
          <w:sz w:val="32"/>
          <w:szCs w:val="32"/>
        </w:rPr>
      </w:pPr>
      <w:r>
        <w:rPr>
          <w:sz w:val="32"/>
          <w:szCs w:val="32"/>
        </w:rPr>
        <w:lastRenderedPageBreak/>
        <w:t>Students</w:t>
      </w:r>
      <w:r w:rsidR="00F4298A" w:rsidRPr="005B4A8F">
        <w:rPr>
          <w:sz w:val="32"/>
          <w:szCs w:val="32"/>
        </w:rPr>
        <w:t xml:space="preserve"> Included in the CCI?</w:t>
      </w:r>
    </w:p>
    <w:p w14:paraId="4AB4BD90" w14:textId="2B2A3B6F" w:rsidR="00F4298A" w:rsidRPr="00BE3F3F" w:rsidRDefault="00AB08A3" w:rsidP="00F4298A">
      <w:r w:rsidRPr="00AB08A3">
        <w:t>Students included in the CCI are derived from students in the Graduation Rate Indicator</w:t>
      </w:r>
      <w:r>
        <w:t xml:space="preserve">. </w:t>
      </w:r>
    </w:p>
    <w:p w14:paraId="12D91774" w14:textId="77777777" w:rsidR="00F4298A" w:rsidRPr="00BE3F3F" w:rsidRDefault="00F4298A" w:rsidP="00F4298A">
      <w:pPr>
        <w:rPr>
          <w:rFonts w:cs="Arial"/>
        </w:rPr>
      </w:pPr>
      <w:r>
        <w:t>This means these are the students included in the combined four- and five-year graduation rate (those who graduated in four years [as part of most current graduating class] and students that graduated in five years [as part of the prior year graduating class]).</w:t>
      </w:r>
    </w:p>
    <w:p w14:paraId="118D49DC" w14:textId="20C66470" w:rsidR="009D4A71" w:rsidRPr="005B4A8F" w:rsidRDefault="006424FF" w:rsidP="005B4A8F">
      <w:pPr>
        <w:pStyle w:val="Heading3"/>
        <w:pBdr>
          <w:bottom w:val="single" w:sz="12" w:space="2" w:color="015B8E"/>
        </w:pBdr>
        <w:rPr>
          <w:sz w:val="32"/>
          <w:szCs w:val="32"/>
        </w:rPr>
      </w:pPr>
      <w:r>
        <w:rPr>
          <w:sz w:val="32"/>
          <w:szCs w:val="32"/>
        </w:rPr>
        <w:lastRenderedPageBreak/>
        <w:t>CCI</w:t>
      </w:r>
      <w:r w:rsidR="009D4A71" w:rsidRPr="005B4A8F">
        <w:rPr>
          <w:sz w:val="32"/>
          <w:szCs w:val="32"/>
        </w:rPr>
        <w:t xml:space="preserve"> Calculation</w:t>
      </w:r>
    </w:p>
    <w:tbl>
      <w:tblPr>
        <w:tblpPr w:leftFromText="180" w:rightFromText="180" w:vertAnchor="text" w:horzAnchor="margin" w:tblpY="109"/>
        <w:tblW w:w="9257" w:type="dxa"/>
        <w:tblCellMar>
          <w:left w:w="0" w:type="dxa"/>
          <w:right w:w="0" w:type="dxa"/>
        </w:tblCellMar>
        <w:tblLook w:val="04A0" w:firstRow="1" w:lastRow="0" w:firstColumn="1" w:lastColumn="0" w:noHBand="0" w:noVBand="1"/>
      </w:tblPr>
      <w:tblGrid>
        <w:gridCol w:w="1658"/>
        <w:gridCol w:w="1617"/>
        <w:gridCol w:w="1395"/>
        <w:gridCol w:w="1530"/>
        <w:gridCol w:w="1440"/>
        <w:gridCol w:w="1617"/>
      </w:tblGrid>
      <w:tr w:rsidR="00C066BD" w:rsidRPr="000C3767" w14:paraId="458CF3B7" w14:textId="77777777" w:rsidTr="00C066BD">
        <w:trPr>
          <w:cantSplit/>
          <w:trHeight w:val="1717"/>
          <w:tblHeader/>
        </w:trPr>
        <w:tc>
          <w:tcPr>
            <w:tcW w:w="1658"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020B0118" w14:textId="77777777" w:rsidR="00C066BD" w:rsidRPr="000C3767" w:rsidRDefault="00C066BD" w:rsidP="00C066BD">
            <w:pPr>
              <w:jc w:val="center"/>
            </w:pPr>
            <w:r w:rsidRPr="000C3767">
              <w:rPr>
                <w:b/>
                <w:bCs/>
              </w:rPr>
              <w:t>Performance Level</w:t>
            </w:r>
          </w:p>
        </w:tc>
        <w:tc>
          <w:tcPr>
            <w:tcW w:w="1617"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7B35A24C" w14:textId="77777777" w:rsidR="00C066BD" w:rsidRDefault="00C066BD" w:rsidP="00C066BD">
            <w:pPr>
              <w:jc w:val="center"/>
              <w:rPr>
                <w:b/>
                <w:bCs/>
              </w:rPr>
            </w:pPr>
            <w:r w:rsidRPr="000C3767">
              <w:rPr>
                <w:b/>
                <w:bCs/>
              </w:rPr>
              <w:t>Declined Significantly</w:t>
            </w:r>
          </w:p>
          <w:p w14:paraId="53A040BC" w14:textId="77777777" w:rsidR="00C066BD" w:rsidRPr="000C3767" w:rsidRDefault="00C066BD" w:rsidP="00C066BD">
            <w:pPr>
              <w:jc w:val="center"/>
            </w:pPr>
            <w:r w:rsidRPr="00CE7531">
              <w:rPr>
                <w:b/>
                <w:bCs/>
              </w:rPr>
              <w:t>from Prior Year (by 9.1% or more)</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45E05845" w14:textId="77777777" w:rsidR="00C066BD" w:rsidRDefault="00C066BD" w:rsidP="00C066BD">
            <w:pPr>
              <w:jc w:val="center"/>
              <w:rPr>
                <w:b/>
                <w:bCs/>
              </w:rPr>
            </w:pPr>
            <w:r w:rsidRPr="000C3767">
              <w:rPr>
                <w:b/>
                <w:bCs/>
              </w:rPr>
              <w:t>Declined</w:t>
            </w:r>
          </w:p>
          <w:p w14:paraId="4AA71F17" w14:textId="77777777" w:rsidR="00C066BD" w:rsidRPr="000C3767" w:rsidRDefault="00C066BD" w:rsidP="00C066BD">
            <w:pPr>
              <w:jc w:val="center"/>
              <w:rPr>
                <w:b/>
                <w:bCs/>
              </w:rPr>
            </w:pPr>
            <w:r w:rsidRPr="00CE7531">
              <w:rPr>
                <w:b/>
                <w:bCs/>
              </w:rPr>
              <w:t>from Prior Year (by 2.0% to 9.0%)</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08608EE6" w14:textId="77777777" w:rsidR="00C066BD" w:rsidRDefault="00C066BD" w:rsidP="00C066BD">
            <w:pPr>
              <w:jc w:val="center"/>
              <w:rPr>
                <w:b/>
                <w:bCs/>
              </w:rPr>
            </w:pPr>
            <w:r w:rsidRPr="000C3767">
              <w:rPr>
                <w:b/>
                <w:bCs/>
              </w:rPr>
              <w:t>Maintained</w:t>
            </w:r>
          </w:p>
          <w:p w14:paraId="7B56C35A" w14:textId="77777777" w:rsidR="00C066BD" w:rsidRPr="000C3767" w:rsidRDefault="00C066BD" w:rsidP="00C066BD">
            <w:pPr>
              <w:jc w:val="center"/>
            </w:pPr>
            <w:r w:rsidRPr="00CE7531">
              <w:rPr>
                <w:b/>
                <w:bCs/>
              </w:rPr>
              <w:t>from Prior Year (declined or increased by 1.9% or less)</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4A913D92" w14:textId="77777777" w:rsidR="00C066BD" w:rsidRDefault="00C066BD" w:rsidP="00C066BD">
            <w:pPr>
              <w:jc w:val="center"/>
              <w:rPr>
                <w:b/>
                <w:bCs/>
              </w:rPr>
            </w:pPr>
            <w:r w:rsidRPr="000C3767">
              <w:rPr>
                <w:b/>
                <w:bCs/>
              </w:rPr>
              <w:t>Increased</w:t>
            </w:r>
          </w:p>
          <w:p w14:paraId="40F3D6D7" w14:textId="77777777" w:rsidR="00C066BD" w:rsidRPr="000C3767" w:rsidRDefault="00C066BD" w:rsidP="00C066BD">
            <w:pPr>
              <w:jc w:val="center"/>
            </w:pPr>
            <w:r w:rsidRPr="009C097F">
              <w:rPr>
                <w:b/>
                <w:bCs/>
              </w:rPr>
              <w:t>from Prior Year</w:t>
            </w:r>
            <w:r>
              <w:rPr>
                <w:b/>
                <w:bCs/>
              </w:rPr>
              <w:t xml:space="preserve"> </w:t>
            </w:r>
            <w:r w:rsidRPr="009C097F">
              <w:rPr>
                <w:b/>
                <w:bCs/>
              </w:rPr>
              <w:t>(by 2.0% to 8.9%)</w:t>
            </w:r>
          </w:p>
        </w:tc>
        <w:tc>
          <w:tcPr>
            <w:tcW w:w="1617"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6585D6E9" w14:textId="77777777" w:rsidR="00C066BD" w:rsidRDefault="00C066BD" w:rsidP="00C066BD">
            <w:pPr>
              <w:jc w:val="center"/>
              <w:rPr>
                <w:b/>
                <w:bCs/>
              </w:rPr>
            </w:pPr>
            <w:r w:rsidRPr="000C3767">
              <w:rPr>
                <w:b/>
                <w:bCs/>
              </w:rPr>
              <w:t>Increased Significantly</w:t>
            </w:r>
          </w:p>
          <w:p w14:paraId="5A929C8F" w14:textId="77777777" w:rsidR="00C066BD" w:rsidRPr="000C3767" w:rsidRDefault="00C066BD" w:rsidP="00C066BD">
            <w:pPr>
              <w:jc w:val="center"/>
            </w:pPr>
            <w:r w:rsidRPr="009C097F">
              <w:rPr>
                <w:b/>
                <w:bCs/>
              </w:rPr>
              <w:t>from Prior Year</w:t>
            </w:r>
            <w:r>
              <w:rPr>
                <w:b/>
                <w:bCs/>
              </w:rPr>
              <w:t xml:space="preserve"> </w:t>
            </w:r>
            <w:r w:rsidRPr="009C097F">
              <w:rPr>
                <w:b/>
                <w:bCs/>
              </w:rPr>
              <w:t>(by 9.0% or more)</w:t>
            </w:r>
          </w:p>
        </w:tc>
      </w:tr>
      <w:tr w:rsidR="00C066BD" w:rsidRPr="000C3767" w14:paraId="383FA0AB" w14:textId="77777777" w:rsidTr="00C066BD">
        <w:trPr>
          <w:cantSplit/>
          <w:trHeight w:val="1151"/>
          <w:tblHeader/>
        </w:trPr>
        <w:tc>
          <w:tcPr>
            <w:tcW w:w="1658"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4B6E7E2F" w14:textId="77777777" w:rsidR="00C066BD" w:rsidRDefault="00C066BD" w:rsidP="00C066BD">
            <w:pPr>
              <w:jc w:val="center"/>
              <w:rPr>
                <w:b/>
                <w:bCs/>
              </w:rPr>
            </w:pPr>
            <w:r w:rsidRPr="000C3767">
              <w:rPr>
                <w:b/>
                <w:bCs/>
              </w:rPr>
              <w:t>Very High</w:t>
            </w:r>
          </w:p>
          <w:p w14:paraId="68EBAE95" w14:textId="77777777" w:rsidR="00C066BD" w:rsidRPr="000C3767" w:rsidRDefault="00C066BD" w:rsidP="00C066BD">
            <w:pPr>
              <w:jc w:val="center"/>
            </w:pPr>
            <w:r w:rsidRPr="00714409">
              <w:t>70.0% or greater</w:t>
            </w:r>
            <w:r>
              <w:t xml:space="preserve"> </w:t>
            </w:r>
            <w:r w:rsidRPr="00B24477">
              <w:t>in Current Year</w:t>
            </w:r>
          </w:p>
        </w:tc>
        <w:tc>
          <w:tcPr>
            <w:tcW w:w="1617" w:type="dxa"/>
            <w:tcBorders>
              <w:top w:val="single" w:sz="8" w:space="0" w:color="000000"/>
              <w:left w:val="single" w:sz="8" w:space="0" w:color="000000"/>
              <w:bottom w:val="single" w:sz="8" w:space="0" w:color="000000"/>
              <w:right w:val="single" w:sz="8" w:space="0" w:color="000000"/>
            </w:tcBorders>
            <w:shd w:val="clear" w:color="auto" w:fill="FFFF00"/>
            <w:tcMar>
              <w:top w:w="15" w:type="dxa"/>
              <w:left w:w="95" w:type="dxa"/>
              <w:bottom w:w="0" w:type="dxa"/>
              <w:right w:w="95" w:type="dxa"/>
            </w:tcMar>
            <w:vAlign w:val="center"/>
            <w:hideMark/>
          </w:tcPr>
          <w:p w14:paraId="34957E58" w14:textId="77777777" w:rsidR="00C066BD" w:rsidRPr="000C3767" w:rsidRDefault="00C066BD" w:rsidP="00C066BD">
            <w:pPr>
              <w:jc w:val="center"/>
              <w:rPr>
                <w:b/>
                <w:bCs/>
              </w:rPr>
            </w:pPr>
            <w:r w:rsidRPr="000C3767">
              <w:rPr>
                <w:b/>
                <w:bCs/>
              </w:rPr>
              <w:t>Yellow</w:t>
            </w:r>
          </w:p>
        </w:tc>
        <w:tc>
          <w:tcPr>
            <w:tcW w:w="1395" w:type="dxa"/>
            <w:tcBorders>
              <w:top w:val="single" w:sz="8" w:space="0" w:color="000000"/>
              <w:left w:val="single" w:sz="8" w:space="0" w:color="000000"/>
              <w:bottom w:val="single" w:sz="8" w:space="0" w:color="000000"/>
              <w:right w:val="single" w:sz="8" w:space="0" w:color="000000"/>
            </w:tcBorders>
            <w:shd w:val="clear" w:color="auto" w:fill="006500"/>
            <w:tcMar>
              <w:top w:w="15" w:type="dxa"/>
              <w:left w:w="95" w:type="dxa"/>
              <w:bottom w:w="0" w:type="dxa"/>
              <w:right w:w="95" w:type="dxa"/>
            </w:tcMar>
            <w:vAlign w:val="center"/>
            <w:hideMark/>
          </w:tcPr>
          <w:p w14:paraId="661CC53E" w14:textId="77777777" w:rsidR="00C066BD" w:rsidRPr="000C3767" w:rsidRDefault="00C066BD" w:rsidP="00C066BD">
            <w:pPr>
              <w:jc w:val="center"/>
              <w:rPr>
                <w:b/>
                <w:bCs/>
              </w:rPr>
            </w:pPr>
            <w:r w:rsidRPr="000C3767">
              <w:rPr>
                <w:b/>
                <w:bCs/>
              </w:rPr>
              <w:t>Green</w:t>
            </w:r>
          </w:p>
        </w:tc>
        <w:tc>
          <w:tcPr>
            <w:tcW w:w="1530" w:type="dxa"/>
            <w:tcBorders>
              <w:top w:val="single" w:sz="8" w:space="0" w:color="000000"/>
              <w:left w:val="single" w:sz="8" w:space="0" w:color="000000"/>
              <w:bottom w:val="single" w:sz="8" w:space="0" w:color="000000"/>
              <w:right w:val="single" w:sz="8" w:space="0" w:color="000000"/>
            </w:tcBorders>
            <w:shd w:val="clear" w:color="auto" w:fill="0000FF"/>
            <w:tcMar>
              <w:top w:w="15" w:type="dxa"/>
              <w:left w:w="95" w:type="dxa"/>
              <w:bottom w:w="0" w:type="dxa"/>
              <w:right w:w="95" w:type="dxa"/>
            </w:tcMar>
            <w:vAlign w:val="center"/>
            <w:hideMark/>
          </w:tcPr>
          <w:p w14:paraId="78C7BC1A" w14:textId="77777777" w:rsidR="00C066BD" w:rsidRPr="000C3767" w:rsidRDefault="00C066BD" w:rsidP="00C066BD">
            <w:pPr>
              <w:jc w:val="center"/>
              <w:rPr>
                <w:b/>
                <w:bCs/>
              </w:rPr>
            </w:pPr>
            <w:r w:rsidRPr="000C3767">
              <w:rPr>
                <w:b/>
                <w:bCs/>
              </w:rPr>
              <w:t>Blue</w:t>
            </w:r>
          </w:p>
        </w:tc>
        <w:tc>
          <w:tcPr>
            <w:tcW w:w="1440" w:type="dxa"/>
            <w:tcBorders>
              <w:top w:val="single" w:sz="8" w:space="0" w:color="000000"/>
              <w:left w:val="single" w:sz="8" w:space="0" w:color="000000"/>
              <w:bottom w:val="single" w:sz="8" w:space="0" w:color="000000"/>
              <w:right w:val="single" w:sz="8" w:space="0" w:color="000000"/>
            </w:tcBorders>
            <w:shd w:val="clear" w:color="auto" w:fill="0000FF"/>
            <w:tcMar>
              <w:top w:w="15" w:type="dxa"/>
              <w:left w:w="95" w:type="dxa"/>
              <w:bottom w:w="0" w:type="dxa"/>
              <w:right w:w="95" w:type="dxa"/>
            </w:tcMar>
            <w:vAlign w:val="center"/>
            <w:hideMark/>
          </w:tcPr>
          <w:p w14:paraId="218836D2" w14:textId="77777777" w:rsidR="00C066BD" w:rsidRPr="000C3767" w:rsidRDefault="00C066BD" w:rsidP="00C066BD">
            <w:pPr>
              <w:jc w:val="center"/>
              <w:rPr>
                <w:b/>
                <w:bCs/>
              </w:rPr>
            </w:pPr>
            <w:r w:rsidRPr="000C3767">
              <w:rPr>
                <w:b/>
                <w:bCs/>
              </w:rPr>
              <w:t>Blue</w:t>
            </w:r>
          </w:p>
        </w:tc>
        <w:tc>
          <w:tcPr>
            <w:tcW w:w="1617" w:type="dxa"/>
            <w:tcBorders>
              <w:top w:val="single" w:sz="8" w:space="0" w:color="000000"/>
              <w:left w:val="single" w:sz="8" w:space="0" w:color="000000"/>
              <w:bottom w:val="single" w:sz="8" w:space="0" w:color="000000"/>
              <w:right w:val="single" w:sz="8" w:space="0" w:color="000000"/>
            </w:tcBorders>
            <w:shd w:val="clear" w:color="auto" w:fill="0000FF"/>
            <w:tcMar>
              <w:top w:w="15" w:type="dxa"/>
              <w:left w:w="95" w:type="dxa"/>
              <w:bottom w:w="0" w:type="dxa"/>
              <w:right w:w="95" w:type="dxa"/>
            </w:tcMar>
            <w:vAlign w:val="center"/>
            <w:hideMark/>
          </w:tcPr>
          <w:p w14:paraId="01ABD60F" w14:textId="77777777" w:rsidR="00C066BD" w:rsidRPr="000C3767" w:rsidRDefault="00C066BD" w:rsidP="00C066BD">
            <w:pPr>
              <w:jc w:val="center"/>
              <w:rPr>
                <w:b/>
                <w:bCs/>
              </w:rPr>
            </w:pPr>
            <w:r w:rsidRPr="000C3767">
              <w:rPr>
                <w:b/>
                <w:bCs/>
              </w:rPr>
              <w:t>Blue</w:t>
            </w:r>
          </w:p>
        </w:tc>
      </w:tr>
      <w:tr w:rsidR="00C066BD" w:rsidRPr="000C3767" w14:paraId="7C4FE9AB" w14:textId="77777777" w:rsidTr="00C066BD">
        <w:trPr>
          <w:cantSplit/>
          <w:trHeight w:val="1151"/>
          <w:tblHeader/>
        </w:trPr>
        <w:tc>
          <w:tcPr>
            <w:tcW w:w="1658"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7C0381D5" w14:textId="77777777" w:rsidR="00C066BD" w:rsidRDefault="00C066BD" w:rsidP="00C066BD">
            <w:pPr>
              <w:jc w:val="center"/>
              <w:rPr>
                <w:b/>
                <w:bCs/>
              </w:rPr>
            </w:pPr>
            <w:r w:rsidRPr="000C3767">
              <w:rPr>
                <w:b/>
                <w:bCs/>
              </w:rPr>
              <w:t>High</w:t>
            </w:r>
          </w:p>
          <w:p w14:paraId="2D98C4B0" w14:textId="77777777" w:rsidR="00C066BD" w:rsidRPr="000C3767" w:rsidRDefault="00C066BD" w:rsidP="00C066BD">
            <w:pPr>
              <w:jc w:val="center"/>
            </w:pPr>
            <w:r w:rsidRPr="007D0D79">
              <w:t>55.0% to 69.9%</w:t>
            </w:r>
            <w:r w:rsidRPr="00B24477">
              <w:t xml:space="preserve"> in Current Year</w:t>
            </w:r>
          </w:p>
        </w:tc>
        <w:tc>
          <w:tcPr>
            <w:tcW w:w="1617" w:type="dxa"/>
            <w:tcBorders>
              <w:top w:val="single" w:sz="8" w:space="0" w:color="000000"/>
              <w:left w:val="single" w:sz="8" w:space="0" w:color="000000"/>
              <w:bottom w:val="single" w:sz="8" w:space="0" w:color="000000"/>
              <w:right w:val="single" w:sz="8" w:space="0" w:color="000000"/>
            </w:tcBorders>
            <w:shd w:val="clear" w:color="auto" w:fill="FFA500"/>
            <w:tcMar>
              <w:top w:w="15" w:type="dxa"/>
              <w:left w:w="95" w:type="dxa"/>
              <w:bottom w:w="0" w:type="dxa"/>
              <w:right w:w="95" w:type="dxa"/>
            </w:tcMar>
            <w:vAlign w:val="center"/>
            <w:hideMark/>
          </w:tcPr>
          <w:p w14:paraId="58BE5499" w14:textId="77777777" w:rsidR="00C066BD" w:rsidRPr="000C3767" w:rsidRDefault="00C066BD" w:rsidP="00C066BD">
            <w:pPr>
              <w:jc w:val="center"/>
              <w:rPr>
                <w:b/>
                <w:bCs/>
              </w:rPr>
            </w:pPr>
            <w:r w:rsidRPr="000C3767">
              <w:rPr>
                <w:b/>
                <w:bCs/>
              </w:rPr>
              <w:t>Orange</w:t>
            </w:r>
          </w:p>
        </w:tc>
        <w:tc>
          <w:tcPr>
            <w:tcW w:w="1395" w:type="dxa"/>
            <w:tcBorders>
              <w:top w:val="single" w:sz="8" w:space="0" w:color="000000"/>
              <w:left w:val="single" w:sz="8" w:space="0" w:color="000000"/>
              <w:bottom w:val="single" w:sz="8" w:space="0" w:color="000000"/>
              <w:right w:val="single" w:sz="8" w:space="0" w:color="000000"/>
            </w:tcBorders>
            <w:shd w:val="clear" w:color="auto" w:fill="FFFF00"/>
            <w:tcMar>
              <w:top w:w="15" w:type="dxa"/>
              <w:left w:w="95" w:type="dxa"/>
              <w:bottom w:w="0" w:type="dxa"/>
              <w:right w:w="95" w:type="dxa"/>
            </w:tcMar>
            <w:vAlign w:val="center"/>
            <w:hideMark/>
          </w:tcPr>
          <w:p w14:paraId="18C0686C" w14:textId="77777777" w:rsidR="00C066BD" w:rsidRPr="000C3767" w:rsidRDefault="00C066BD" w:rsidP="00C066BD">
            <w:pPr>
              <w:jc w:val="center"/>
              <w:rPr>
                <w:b/>
                <w:bCs/>
              </w:rPr>
            </w:pPr>
            <w:r w:rsidRPr="000C3767">
              <w:rPr>
                <w:b/>
                <w:bCs/>
              </w:rPr>
              <w:t>Yellow</w:t>
            </w:r>
          </w:p>
        </w:tc>
        <w:tc>
          <w:tcPr>
            <w:tcW w:w="1530" w:type="dxa"/>
            <w:tcBorders>
              <w:top w:val="single" w:sz="8" w:space="0" w:color="000000"/>
              <w:left w:val="single" w:sz="8" w:space="0" w:color="000000"/>
              <w:bottom w:val="single" w:sz="8" w:space="0" w:color="000000"/>
              <w:right w:val="single" w:sz="8" w:space="0" w:color="000000"/>
            </w:tcBorders>
            <w:shd w:val="clear" w:color="auto" w:fill="006500"/>
            <w:tcMar>
              <w:top w:w="15" w:type="dxa"/>
              <w:left w:w="95" w:type="dxa"/>
              <w:bottom w:w="0" w:type="dxa"/>
              <w:right w:w="95" w:type="dxa"/>
            </w:tcMar>
            <w:vAlign w:val="center"/>
            <w:hideMark/>
          </w:tcPr>
          <w:p w14:paraId="2872ADDC" w14:textId="77777777" w:rsidR="00C066BD" w:rsidRPr="000C3767" w:rsidRDefault="00C066BD" w:rsidP="00C066BD">
            <w:pPr>
              <w:jc w:val="center"/>
              <w:rPr>
                <w:b/>
                <w:bCs/>
              </w:rPr>
            </w:pPr>
            <w:r w:rsidRPr="000C3767">
              <w:rPr>
                <w:b/>
                <w:bCs/>
              </w:rPr>
              <w:t>Green</w:t>
            </w:r>
          </w:p>
        </w:tc>
        <w:tc>
          <w:tcPr>
            <w:tcW w:w="1440" w:type="dxa"/>
            <w:tcBorders>
              <w:top w:val="single" w:sz="8" w:space="0" w:color="000000"/>
              <w:left w:val="single" w:sz="8" w:space="0" w:color="000000"/>
              <w:bottom w:val="single" w:sz="8" w:space="0" w:color="000000"/>
              <w:right w:val="single" w:sz="8" w:space="0" w:color="000000"/>
            </w:tcBorders>
            <w:shd w:val="clear" w:color="auto" w:fill="006500"/>
            <w:tcMar>
              <w:top w:w="15" w:type="dxa"/>
              <w:left w:w="95" w:type="dxa"/>
              <w:bottom w:w="0" w:type="dxa"/>
              <w:right w:w="95" w:type="dxa"/>
            </w:tcMar>
            <w:vAlign w:val="center"/>
            <w:hideMark/>
          </w:tcPr>
          <w:p w14:paraId="5284945B" w14:textId="77777777" w:rsidR="00C066BD" w:rsidRPr="000C3767" w:rsidRDefault="00C066BD" w:rsidP="00C066BD">
            <w:pPr>
              <w:jc w:val="center"/>
              <w:rPr>
                <w:b/>
                <w:bCs/>
              </w:rPr>
            </w:pPr>
            <w:r w:rsidRPr="000C3767">
              <w:rPr>
                <w:b/>
                <w:bCs/>
              </w:rPr>
              <w:t>Green</w:t>
            </w:r>
          </w:p>
        </w:tc>
        <w:tc>
          <w:tcPr>
            <w:tcW w:w="1617" w:type="dxa"/>
            <w:tcBorders>
              <w:top w:val="single" w:sz="8" w:space="0" w:color="000000"/>
              <w:left w:val="single" w:sz="8" w:space="0" w:color="000000"/>
              <w:bottom w:val="single" w:sz="8" w:space="0" w:color="000000"/>
              <w:right w:val="single" w:sz="8" w:space="0" w:color="000000"/>
            </w:tcBorders>
            <w:shd w:val="clear" w:color="auto" w:fill="0000FF"/>
            <w:tcMar>
              <w:top w:w="15" w:type="dxa"/>
              <w:left w:w="95" w:type="dxa"/>
              <w:bottom w:w="0" w:type="dxa"/>
              <w:right w:w="95" w:type="dxa"/>
            </w:tcMar>
            <w:vAlign w:val="center"/>
            <w:hideMark/>
          </w:tcPr>
          <w:p w14:paraId="433C532E" w14:textId="77777777" w:rsidR="00C066BD" w:rsidRPr="000C3767" w:rsidRDefault="00C066BD" w:rsidP="00C066BD">
            <w:pPr>
              <w:jc w:val="center"/>
              <w:rPr>
                <w:b/>
                <w:bCs/>
              </w:rPr>
            </w:pPr>
            <w:r w:rsidRPr="000C3767">
              <w:rPr>
                <w:b/>
                <w:bCs/>
              </w:rPr>
              <w:t>Blue</w:t>
            </w:r>
          </w:p>
        </w:tc>
      </w:tr>
      <w:tr w:rsidR="00C066BD" w:rsidRPr="000C3767" w14:paraId="1E083923" w14:textId="77777777" w:rsidTr="00C066BD">
        <w:trPr>
          <w:cantSplit/>
          <w:trHeight w:val="1151"/>
          <w:tblHeader/>
        </w:trPr>
        <w:tc>
          <w:tcPr>
            <w:tcW w:w="1658"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20C43CC9" w14:textId="77777777" w:rsidR="00C066BD" w:rsidRDefault="00C066BD" w:rsidP="00C066BD">
            <w:pPr>
              <w:jc w:val="center"/>
              <w:rPr>
                <w:b/>
                <w:bCs/>
              </w:rPr>
            </w:pPr>
            <w:r w:rsidRPr="000C3767">
              <w:rPr>
                <w:b/>
                <w:bCs/>
              </w:rPr>
              <w:t>Medium</w:t>
            </w:r>
          </w:p>
          <w:p w14:paraId="235CA1A5" w14:textId="77777777" w:rsidR="00C066BD" w:rsidRPr="000C3767" w:rsidRDefault="00C066BD" w:rsidP="00C066BD">
            <w:pPr>
              <w:jc w:val="center"/>
            </w:pPr>
            <w:r w:rsidRPr="007D0D79">
              <w:t>35.0% to 54.9%</w:t>
            </w:r>
            <w:r w:rsidRPr="00B24477">
              <w:t xml:space="preserve"> in Current Year</w:t>
            </w:r>
          </w:p>
        </w:tc>
        <w:tc>
          <w:tcPr>
            <w:tcW w:w="1617" w:type="dxa"/>
            <w:tcBorders>
              <w:top w:val="single" w:sz="8" w:space="0" w:color="000000"/>
              <w:left w:val="single" w:sz="8" w:space="0" w:color="000000"/>
              <w:bottom w:val="single" w:sz="8" w:space="0" w:color="000000"/>
              <w:right w:val="single" w:sz="8" w:space="0" w:color="000000"/>
            </w:tcBorders>
            <w:shd w:val="clear" w:color="auto" w:fill="FFA500"/>
            <w:tcMar>
              <w:top w:w="15" w:type="dxa"/>
              <w:left w:w="95" w:type="dxa"/>
              <w:bottom w:w="0" w:type="dxa"/>
              <w:right w:w="95" w:type="dxa"/>
            </w:tcMar>
            <w:vAlign w:val="center"/>
            <w:hideMark/>
          </w:tcPr>
          <w:p w14:paraId="33B1FA61" w14:textId="77777777" w:rsidR="00C066BD" w:rsidRPr="000C3767" w:rsidRDefault="00C066BD" w:rsidP="00C066BD">
            <w:pPr>
              <w:jc w:val="center"/>
              <w:rPr>
                <w:b/>
                <w:bCs/>
              </w:rPr>
            </w:pPr>
            <w:r w:rsidRPr="000C3767">
              <w:rPr>
                <w:b/>
                <w:bCs/>
              </w:rPr>
              <w:t>Orange</w:t>
            </w:r>
          </w:p>
        </w:tc>
        <w:tc>
          <w:tcPr>
            <w:tcW w:w="1395" w:type="dxa"/>
            <w:tcBorders>
              <w:top w:val="single" w:sz="8" w:space="0" w:color="000000"/>
              <w:left w:val="single" w:sz="8" w:space="0" w:color="000000"/>
              <w:bottom w:val="single" w:sz="8" w:space="0" w:color="000000"/>
              <w:right w:val="single" w:sz="8" w:space="0" w:color="000000"/>
            </w:tcBorders>
            <w:shd w:val="clear" w:color="auto" w:fill="FFA500"/>
            <w:tcMar>
              <w:top w:w="15" w:type="dxa"/>
              <w:left w:w="95" w:type="dxa"/>
              <w:bottom w:w="0" w:type="dxa"/>
              <w:right w:w="95" w:type="dxa"/>
            </w:tcMar>
            <w:vAlign w:val="center"/>
            <w:hideMark/>
          </w:tcPr>
          <w:p w14:paraId="4DDF20FF" w14:textId="77777777" w:rsidR="00C066BD" w:rsidRPr="000C3767" w:rsidRDefault="00C066BD" w:rsidP="00C066BD">
            <w:pPr>
              <w:jc w:val="center"/>
              <w:rPr>
                <w:b/>
                <w:bCs/>
              </w:rPr>
            </w:pPr>
            <w:r w:rsidRPr="000C3767">
              <w:rPr>
                <w:b/>
                <w:bCs/>
              </w:rPr>
              <w:t>Orange</w:t>
            </w:r>
          </w:p>
        </w:tc>
        <w:tc>
          <w:tcPr>
            <w:tcW w:w="1530" w:type="dxa"/>
            <w:tcBorders>
              <w:top w:val="single" w:sz="8" w:space="0" w:color="000000"/>
              <w:left w:val="single" w:sz="8" w:space="0" w:color="000000"/>
              <w:bottom w:val="single" w:sz="8" w:space="0" w:color="000000"/>
              <w:right w:val="single" w:sz="8" w:space="0" w:color="000000"/>
            </w:tcBorders>
            <w:shd w:val="clear" w:color="auto" w:fill="FFFF00"/>
            <w:tcMar>
              <w:top w:w="15" w:type="dxa"/>
              <w:left w:w="95" w:type="dxa"/>
              <w:bottom w:w="0" w:type="dxa"/>
              <w:right w:w="95" w:type="dxa"/>
            </w:tcMar>
            <w:vAlign w:val="center"/>
            <w:hideMark/>
          </w:tcPr>
          <w:p w14:paraId="0401B49A" w14:textId="77777777" w:rsidR="00C066BD" w:rsidRPr="000C3767" w:rsidRDefault="00C066BD" w:rsidP="00C066BD">
            <w:pPr>
              <w:jc w:val="center"/>
              <w:rPr>
                <w:b/>
                <w:bCs/>
              </w:rPr>
            </w:pPr>
            <w:r w:rsidRPr="000C3767">
              <w:rPr>
                <w:b/>
                <w:bCs/>
              </w:rPr>
              <w:t>Yellow</w:t>
            </w:r>
          </w:p>
        </w:tc>
        <w:tc>
          <w:tcPr>
            <w:tcW w:w="1440" w:type="dxa"/>
            <w:tcBorders>
              <w:top w:val="single" w:sz="8" w:space="0" w:color="000000"/>
              <w:left w:val="single" w:sz="8" w:space="0" w:color="000000"/>
              <w:bottom w:val="single" w:sz="8" w:space="0" w:color="000000"/>
              <w:right w:val="single" w:sz="8" w:space="0" w:color="000000"/>
            </w:tcBorders>
            <w:shd w:val="clear" w:color="auto" w:fill="006500"/>
            <w:tcMar>
              <w:top w:w="15" w:type="dxa"/>
              <w:left w:w="95" w:type="dxa"/>
              <w:bottom w:w="0" w:type="dxa"/>
              <w:right w:w="95" w:type="dxa"/>
            </w:tcMar>
            <w:vAlign w:val="center"/>
            <w:hideMark/>
          </w:tcPr>
          <w:p w14:paraId="507A22E1" w14:textId="77777777" w:rsidR="00C066BD" w:rsidRPr="000C3767" w:rsidRDefault="00C066BD" w:rsidP="00C066BD">
            <w:pPr>
              <w:jc w:val="center"/>
              <w:rPr>
                <w:b/>
                <w:bCs/>
              </w:rPr>
            </w:pPr>
            <w:r w:rsidRPr="000C3767">
              <w:rPr>
                <w:b/>
                <w:bCs/>
              </w:rPr>
              <w:t>Green</w:t>
            </w:r>
          </w:p>
        </w:tc>
        <w:tc>
          <w:tcPr>
            <w:tcW w:w="1617" w:type="dxa"/>
            <w:tcBorders>
              <w:top w:val="single" w:sz="8" w:space="0" w:color="000000"/>
              <w:left w:val="single" w:sz="8" w:space="0" w:color="000000"/>
              <w:bottom w:val="single" w:sz="8" w:space="0" w:color="000000"/>
              <w:right w:val="single" w:sz="8" w:space="0" w:color="000000"/>
            </w:tcBorders>
            <w:shd w:val="clear" w:color="auto" w:fill="006500"/>
            <w:tcMar>
              <w:top w:w="15" w:type="dxa"/>
              <w:left w:w="95" w:type="dxa"/>
              <w:bottom w:w="0" w:type="dxa"/>
              <w:right w:w="95" w:type="dxa"/>
            </w:tcMar>
            <w:vAlign w:val="center"/>
            <w:hideMark/>
          </w:tcPr>
          <w:p w14:paraId="7898EEA5" w14:textId="77777777" w:rsidR="00C066BD" w:rsidRPr="000C3767" w:rsidRDefault="00C066BD" w:rsidP="00C066BD">
            <w:pPr>
              <w:jc w:val="center"/>
              <w:rPr>
                <w:b/>
                <w:bCs/>
              </w:rPr>
            </w:pPr>
            <w:r w:rsidRPr="000C3767">
              <w:rPr>
                <w:b/>
                <w:bCs/>
              </w:rPr>
              <w:t>Green</w:t>
            </w:r>
          </w:p>
        </w:tc>
      </w:tr>
      <w:tr w:rsidR="00C066BD" w:rsidRPr="000C3767" w14:paraId="2848A85C" w14:textId="77777777" w:rsidTr="00C066BD">
        <w:trPr>
          <w:cantSplit/>
          <w:trHeight w:val="1193"/>
          <w:tblHeader/>
        </w:trPr>
        <w:tc>
          <w:tcPr>
            <w:tcW w:w="1658"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3C84BDAB" w14:textId="77777777" w:rsidR="00C066BD" w:rsidRDefault="00C066BD" w:rsidP="00C066BD">
            <w:pPr>
              <w:jc w:val="center"/>
              <w:rPr>
                <w:b/>
                <w:bCs/>
              </w:rPr>
            </w:pPr>
            <w:r w:rsidRPr="000C3767">
              <w:rPr>
                <w:b/>
                <w:bCs/>
              </w:rPr>
              <w:t>Low</w:t>
            </w:r>
          </w:p>
          <w:p w14:paraId="4B6D2DAD" w14:textId="77777777" w:rsidR="00C066BD" w:rsidRPr="000C3767" w:rsidRDefault="00C066BD" w:rsidP="00C066BD">
            <w:pPr>
              <w:jc w:val="center"/>
            </w:pPr>
            <w:r w:rsidRPr="007D0D79">
              <w:t>10.0% to 34.9%</w:t>
            </w:r>
            <w:r w:rsidRPr="00B24477">
              <w:t xml:space="preserve"> in Current Year</w:t>
            </w:r>
          </w:p>
        </w:tc>
        <w:tc>
          <w:tcPr>
            <w:tcW w:w="1617" w:type="dxa"/>
            <w:tcBorders>
              <w:top w:val="single" w:sz="8" w:space="0" w:color="000000"/>
              <w:left w:val="single" w:sz="8" w:space="0" w:color="000000"/>
              <w:bottom w:val="single" w:sz="8" w:space="0" w:color="000000"/>
              <w:right w:val="single" w:sz="8" w:space="0" w:color="000000"/>
            </w:tcBorders>
            <w:shd w:val="clear" w:color="auto" w:fill="A20000"/>
            <w:tcMar>
              <w:top w:w="15" w:type="dxa"/>
              <w:left w:w="95" w:type="dxa"/>
              <w:bottom w:w="0" w:type="dxa"/>
              <w:right w:w="95" w:type="dxa"/>
            </w:tcMar>
            <w:vAlign w:val="center"/>
            <w:hideMark/>
          </w:tcPr>
          <w:p w14:paraId="367E168C" w14:textId="77777777" w:rsidR="00C066BD" w:rsidRPr="000C3767" w:rsidRDefault="00C066BD" w:rsidP="00C066BD">
            <w:pPr>
              <w:jc w:val="center"/>
              <w:rPr>
                <w:b/>
                <w:bCs/>
              </w:rPr>
            </w:pPr>
            <w:r w:rsidRPr="000C3767">
              <w:rPr>
                <w:b/>
                <w:bCs/>
              </w:rPr>
              <w:t>Red</w:t>
            </w:r>
          </w:p>
        </w:tc>
        <w:tc>
          <w:tcPr>
            <w:tcW w:w="1395" w:type="dxa"/>
            <w:tcBorders>
              <w:top w:val="single" w:sz="8" w:space="0" w:color="000000"/>
              <w:left w:val="single" w:sz="8" w:space="0" w:color="000000"/>
              <w:bottom w:val="single" w:sz="8" w:space="0" w:color="000000"/>
              <w:right w:val="single" w:sz="8" w:space="0" w:color="000000"/>
            </w:tcBorders>
            <w:shd w:val="clear" w:color="auto" w:fill="FFA500"/>
            <w:tcMar>
              <w:top w:w="15" w:type="dxa"/>
              <w:left w:w="95" w:type="dxa"/>
              <w:bottom w:w="0" w:type="dxa"/>
              <w:right w:w="95" w:type="dxa"/>
            </w:tcMar>
            <w:vAlign w:val="center"/>
            <w:hideMark/>
          </w:tcPr>
          <w:p w14:paraId="1E33C464" w14:textId="77777777" w:rsidR="00C066BD" w:rsidRPr="000C3767" w:rsidRDefault="00C066BD" w:rsidP="00C066BD">
            <w:pPr>
              <w:jc w:val="center"/>
              <w:rPr>
                <w:b/>
                <w:bCs/>
              </w:rPr>
            </w:pPr>
            <w:r w:rsidRPr="000C3767">
              <w:rPr>
                <w:b/>
                <w:bCs/>
              </w:rPr>
              <w:t>Orange</w:t>
            </w:r>
          </w:p>
        </w:tc>
        <w:tc>
          <w:tcPr>
            <w:tcW w:w="1530" w:type="dxa"/>
            <w:tcBorders>
              <w:top w:val="single" w:sz="8" w:space="0" w:color="000000"/>
              <w:left w:val="single" w:sz="8" w:space="0" w:color="000000"/>
              <w:bottom w:val="single" w:sz="8" w:space="0" w:color="000000"/>
              <w:right w:val="single" w:sz="8" w:space="0" w:color="000000"/>
            </w:tcBorders>
            <w:shd w:val="clear" w:color="auto" w:fill="FFA500"/>
            <w:tcMar>
              <w:top w:w="15" w:type="dxa"/>
              <w:left w:w="95" w:type="dxa"/>
              <w:bottom w:w="0" w:type="dxa"/>
              <w:right w:w="95" w:type="dxa"/>
            </w:tcMar>
            <w:vAlign w:val="center"/>
            <w:hideMark/>
          </w:tcPr>
          <w:p w14:paraId="4301E767" w14:textId="77777777" w:rsidR="00C066BD" w:rsidRPr="000C3767" w:rsidRDefault="00C066BD" w:rsidP="00C066BD">
            <w:pPr>
              <w:jc w:val="center"/>
              <w:rPr>
                <w:b/>
                <w:bCs/>
              </w:rPr>
            </w:pPr>
            <w:r w:rsidRPr="000C3767">
              <w:rPr>
                <w:b/>
                <w:bCs/>
              </w:rPr>
              <w:t>Orange</w:t>
            </w:r>
          </w:p>
        </w:tc>
        <w:tc>
          <w:tcPr>
            <w:tcW w:w="14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95" w:type="dxa"/>
              <w:bottom w:w="0" w:type="dxa"/>
              <w:right w:w="95" w:type="dxa"/>
            </w:tcMar>
            <w:vAlign w:val="center"/>
            <w:hideMark/>
          </w:tcPr>
          <w:p w14:paraId="3B17214D" w14:textId="77777777" w:rsidR="00C066BD" w:rsidRPr="000C3767" w:rsidRDefault="00C066BD" w:rsidP="00C066BD">
            <w:pPr>
              <w:jc w:val="center"/>
              <w:rPr>
                <w:b/>
                <w:bCs/>
              </w:rPr>
            </w:pPr>
            <w:r w:rsidRPr="000C3767">
              <w:rPr>
                <w:b/>
                <w:bCs/>
              </w:rPr>
              <w:t>Yellow</w:t>
            </w:r>
          </w:p>
        </w:tc>
        <w:tc>
          <w:tcPr>
            <w:tcW w:w="1617" w:type="dxa"/>
            <w:tcBorders>
              <w:top w:val="single" w:sz="8" w:space="0" w:color="000000"/>
              <w:left w:val="single" w:sz="8" w:space="0" w:color="000000"/>
              <w:bottom w:val="single" w:sz="8" w:space="0" w:color="000000"/>
              <w:right w:val="single" w:sz="8" w:space="0" w:color="000000"/>
            </w:tcBorders>
            <w:shd w:val="clear" w:color="auto" w:fill="FFFF00"/>
            <w:tcMar>
              <w:top w:w="15" w:type="dxa"/>
              <w:left w:w="95" w:type="dxa"/>
              <w:bottom w:w="0" w:type="dxa"/>
              <w:right w:w="95" w:type="dxa"/>
            </w:tcMar>
            <w:vAlign w:val="center"/>
            <w:hideMark/>
          </w:tcPr>
          <w:p w14:paraId="01655A5F" w14:textId="77777777" w:rsidR="00C066BD" w:rsidRPr="000C3767" w:rsidRDefault="00C066BD" w:rsidP="00C066BD">
            <w:pPr>
              <w:jc w:val="center"/>
              <w:rPr>
                <w:b/>
                <w:bCs/>
              </w:rPr>
            </w:pPr>
            <w:r w:rsidRPr="000C3767">
              <w:rPr>
                <w:b/>
                <w:bCs/>
              </w:rPr>
              <w:t>Yellow</w:t>
            </w:r>
          </w:p>
        </w:tc>
      </w:tr>
      <w:tr w:rsidR="00C066BD" w:rsidRPr="000C3767" w14:paraId="1E66B830" w14:textId="77777777" w:rsidTr="00C066BD">
        <w:trPr>
          <w:cantSplit/>
          <w:trHeight w:val="1145"/>
          <w:tblHeader/>
        </w:trPr>
        <w:tc>
          <w:tcPr>
            <w:tcW w:w="1658"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066F8D98" w14:textId="77777777" w:rsidR="00C066BD" w:rsidRDefault="00C066BD" w:rsidP="00C066BD">
            <w:pPr>
              <w:jc w:val="center"/>
              <w:rPr>
                <w:b/>
                <w:bCs/>
              </w:rPr>
            </w:pPr>
            <w:r w:rsidRPr="000C3767">
              <w:rPr>
                <w:b/>
                <w:bCs/>
              </w:rPr>
              <w:t>Very Low</w:t>
            </w:r>
          </w:p>
          <w:p w14:paraId="0097B9BB" w14:textId="77777777" w:rsidR="00C066BD" w:rsidRPr="000C3767" w:rsidRDefault="00C066BD" w:rsidP="00C066BD">
            <w:pPr>
              <w:jc w:val="center"/>
            </w:pPr>
            <w:r w:rsidRPr="00B24477">
              <w:t>9.9% or less in Current Year</w:t>
            </w:r>
          </w:p>
        </w:tc>
        <w:tc>
          <w:tcPr>
            <w:tcW w:w="1617" w:type="dxa"/>
            <w:tcBorders>
              <w:top w:val="single" w:sz="8" w:space="0" w:color="000000"/>
              <w:left w:val="single" w:sz="8" w:space="0" w:color="000000"/>
              <w:bottom w:val="single" w:sz="8" w:space="0" w:color="000000"/>
              <w:right w:val="single" w:sz="8" w:space="0" w:color="000000"/>
            </w:tcBorders>
            <w:shd w:val="clear" w:color="auto" w:fill="A20000"/>
            <w:tcMar>
              <w:top w:w="15" w:type="dxa"/>
              <w:left w:w="95" w:type="dxa"/>
              <w:bottom w:w="0" w:type="dxa"/>
              <w:right w:w="95" w:type="dxa"/>
            </w:tcMar>
            <w:vAlign w:val="center"/>
            <w:hideMark/>
          </w:tcPr>
          <w:p w14:paraId="57BCEAED" w14:textId="77777777" w:rsidR="00C066BD" w:rsidRPr="000C3767" w:rsidRDefault="00C066BD" w:rsidP="00C066BD">
            <w:pPr>
              <w:jc w:val="center"/>
              <w:rPr>
                <w:b/>
                <w:bCs/>
              </w:rPr>
            </w:pPr>
            <w:r w:rsidRPr="000C3767">
              <w:rPr>
                <w:b/>
                <w:bCs/>
              </w:rPr>
              <w:t>Red</w:t>
            </w:r>
          </w:p>
        </w:tc>
        <w:tc>
          <w:tcPr>
            <w:tcW w:w="1395" w:type="dxa"/>
            <w:tcBorders>
              <w:top w:val="single" w:sz="8" w:space="0" w:color="000000"/>
              <w:left w:val="single" w:sz="8" w:space="0" w:color="000000"/>
              <w:bottom w:val="single" w:sz="8" w:space="0" w:color="000000"/>
              <w:right w:val="single" w:sz="8" w:space="0" w:color="000000"/>
            </w:tcBorders>
            <w:shd w:val="clear" w:color="auto" w:fill="A20000"/>
            <w:tcMar>
              <w:top w:w="15" w:type="dxa"/>
              <w:left w:w="95" w:type="dxa"/>
              <w:bottom w:w="0" w:type="dxa"/>
              <w:right w:w="95" w:type="dxa"/>
            </w:tcMar>
            <w:vAlign w:val="center"/>
            <w:hideMark/>
          </w:tcPr>
          <w:p w14:paraId="058D59D6" w14:textId="77777777" w:rsidR="00C066BD" w:rsidRPr="000C3767" w:rsidRDefault="00C066BD" w:rsidP="00C066BD">
            <w:pPr>
              <w:jc w:val="center"/>
              <w:rPr>
                <w:b/>
                <w:bCs/>
              </w:rPr>
            </w:pPr>
            <w:r w:rsidRPr="000C3767">
              <w:rPr>
                <w:b/>
                <w:bCs/>
              </w:rPr>
              <w:t>Red</w:t>
            </w:r>
          </w:p>
        </w:tc>
        <w:tc>
          <w:tcPr>
            <w:tcW w:w="1530" w:type="dxa"/>
            <w:tcBorders>
              <w:top w:val="single" w:sz="8" w:space="0" w:color="000000"/>
              <w:left w:val="single" w:sz="8" w:space="0" w:color="000000"/>
              <w:bottom w:val="single" w:sz="8" w:space="0" w:color="000000"/>
              <w:right w:val="single" w:sz="8" w:space="0" w:color="000000"/>
            </w:tcBorders>
            <w:shd w:val="clear" w:color="auto" w:fill="A20000"/>
            <w:tcMar>
              <w:top w:w="15" w:type="dxa"/>
              <w:left w:w="95" w:type="dxa"/>
              <w:bottom w:w="0" w:type="dxa"/>
              <w:right w:w="95" w:type="dxa"/>
            </w:tcMar>
            <w:vAlign w:val="center"/>
            <w:hideMark/>
          </w:tcPr>
          <w:p w14:paraId="1ABC11E7" w14:textId="77777777" w:rsidR="00C066BD" w:rsidRPr="000C3767" w:rsidRDefault="00C066BD" w:rsidP="00C066BD">
            <w:pPr>
              <w:jc w:val="center"/>
              <w:rPr>
                <w:b/>
                <w:bCs/>
              </w:rPr>
            </w:pPr>
            <w:r w:rsidRPr="000C3767">
              <w:rPr>
                <w:b/>
                <w:bCs/>
              </w:rPr>
              <w:t>Red</w:t>
            </w:r>
          </w:p>
        </w:tc>
        <w:tc>
          <w:tcPr>
            <w:tcW w:w="1440" w:type="dxa"/>
            <w:tcBorders>
              <w:top w:val="single" w:sz="8" w:space="0" w:color="000000"/>
              <w:left w:val="single" w:sz="8" w:space="0" w:color="000000"/>
              <w:bottom w:val="single" w:sz="8" w:space="0" w:color="000000"/>
              <w:right w:val="single" w:sz="8" w:space="0" w:color="000000"/>
            </w:tcBorders>
            <w:shd w:val="clear" w:color="auto" w:fill="FFA500"/>
            <w:tcMar>
              <w:top w:w="15" w:type="dxa"/>
              <w:left w:w="95" w:type="dxa"/>
              <w:bottom w:w="0" w:type="dxa"/>
              <w:right w:w="95" w:type="dxa"/>
            </w:tcMar>
            <w:vAlign w:val="center"/>
            <w:hideMark/>
          </w:tcPr>
          <w:p w14:paraId="3C07965F" w14:textId="77777777" w:rsidR="00C066BD" w:rsidRPr="000C3767" w:rsidRDefault="00C066BD" w:rsidP="00C066BD">
            <w:pPr>
              <w:jc w:val="center"/>
              <w:rPr>
                <w:b/>
                <w:bCs/>
              </w:rPr>
            </w:pPr>
            <w:r w:rsidRPr="000C3767">
              <w:rPr>
                <w:b/>
                <w:bCs/>
              </w:rPr>
              <w:t>Orange</w:t>
            </w:r>
          </w:p>
        </w:tc>
        <w:tc>
          <w:tcPr>
            <w:tcW w:w="1617" w:type="dxa"/>
            <w:tcBorders>
              <w:top w:val="single" w:sz="8" w:space="0" w:color="000000"/>
              <w:left w:val="single" w:sz="8" w:space="0" w:color="000000"/>
              <w:bottom w:val="single" w:sz="8" w:space="0" w:color="000000"/>
              <w:right w:val="single" w:sz="8" w:space="0" w:color="000000"/>
            </w:tcBorders>
            <w:shd w:val="clear" w:color="auto" w:fill="FFFF00"/>
            <w:tcMar>
              <w:top w:w="15" w:type="dxa"/>
              <w:left w:w="95" w:type="dxa"/>
              <w:bottom w:w="0" w:type="dxa"/>
              <w:right w:w="95" w:type="dxa"/>
            </w:tcMar>
            <w:vAlign w:val="center"/>
            <w:hideMark/>
          </w:tcPr>
          <w:p w14:paraId="0A2090FC" w14:textId="77777777" w:rsidR="00C066BD" w:rsidRPr="000C3767" w:rsidRDefault="00C066BD" w:rsidP="00C066BD">
            <w:pPr>
              <w:jc w:val="center"/>
              <w:rPr>
                <w:b/>
                <w:bCs/>
              </w:rPr>
            </w:pPr>
            <w:r w:rsidRPr="000C3767">
              <w:rPr>
                <w:b/>
                <w:bCs/>
              </w:rPr>
              <w:t>Yellow</w:t>
            </w:r>
          </w:p>
        </w:tc>
      </w:tr>
    </w:tbl>
    <w:p w14:paraId="035B377F" w14:textId="77777777" w:rsidR="00C066BD" w:rsidRDefault="00C066BD" w:rsidP="0073372A">
      <w:r w:rsidRPr="0073372A">
        <w:t xml:space="preserve"> </w:t>
      </w:r>
    </w:p>
    <w:p w14:paraId="115FDA9E" w14:textId="34F3ADB1" w:rsidR="0073372A" w:rsidRPr="0073372A" w:rsidRDefault="0073372A" w:rsidP="0073372A">
      <w:r w:rsidRPr="0073372A">
        <w:t xml:space="preserve">To calculate CCI Status for the 2024 Dashboard, a rate is determined using a numerator and denominator: </w:t>
      </w:r>
    </w:p>
    <w:p w14:paraId="2552A90E" w14:textId="77777777" w:rsidR="0073372A" w:rsidRPr="0073372A" w:rsidRDefault="0073372A" w:rsidP="00D00DB0">
      <w:pPr>
        <w:numPr>
          <w:ilvl w:val="0"/>
          <w:numId w:val="10"/>
        </w:numPr>
      </w:pPr>
      <w:r w:rsidRPr="0073372A">
        <w:t xml:space="preserve">The numerator is the Number of Students Who Graduated “Prepared” or the total number of students in the </w:t>
      </w:r>
      <w:r w:rsidRPr="0073372A">
        <w:rPr>
          <w:b/>
          <w:bCs/>
        </w:rPr>
        <w:t>Class of 2024</w:t>
      </w:r>
      <w:r w:rsidRPr="0073372A">
        <w:t xml:space="preserve"> who graduated in four years and met </w:t>
      </w:r>
      <w:r w:rsidRPr="0073372A">
        <w:lastRenderedPageBreak/>
        <w:t>the “Prepared” criteria; plus;</w:t>
      </w:r>
      <w:r w:rsidRPr="0073372A">
        <w:rPr>
          <w:i/>
          <w:iCs/>
        </w:rPr>
        <w:t xml:space="preserve"> </w:t>
      </w:r>
      <w:r w:rsidRPr="0073372A">
        <w:t xml:space="preserve">total number of students in the </w:t>
      </w:r>
      <w:r w:rsidRPr="0073372A">
        <w:rPr>
          <w:b/>
          <w:bCs/>
        </w:rPr>
        <w:t>Class of 2023</w:t>
      </w:r>
      <w:r w:rsidRPr="0073372A">
        <w:t xml:space="preserve"> who graduated in five years and met the “Prepared” criteria </w:t>
      </w:r>
    </w:p>
    <w:p w14:paraId="39F1E177" w14:textId="1D3239E2" w:rsidR="009D4A71" w:rsidRDefault="0073372A" w:rsidP="00D00DB0">
      <w:pPr>
        <w:numPr>
          <w:ilvl w:val="0"/>
          <w:numId w:val="10"/>
        </w:numPr>
      </w:pPr>
      <w:r w:rsidRPr="0073372A">
        <w:t>The denominator is the total number of students in the 2023–24 four-year graduation rate and “Prepared” students in the five-year graduation rate</w:t>
      </w:r>
    </w:p>
    <w:p w14:paraId="0F635BBD" w14:textId="72A607CC" w:rsidR="009D4A71" w:rsidRPr="00453460" w:rsidRDefault="00E42D94" w:rsidP="00453460">
      <w:pPr>
        <w:pStyle w:val="Heading3"/>
        <w:pBdr>
          <w:bottom w:val="single" w:sz="12" w:space="2" w:color="015B8E"/>
        </w:pBdr>
        <w:rPr>
          <w:sz w:val="32"/>
          <w:szCs w:val="32"/>
        </w:rPr>
      </w:pPr>
      <w:r>
        <w:rPr>
          <w:sz w:val="32"/>
          <w:szCs w:val="32"/>
        </w:rPr>
        <w:t>Five-by-Five Table</w:t>
      </w:r>
    </w:p>
    <w:p w14:paraId="71C31C67" w14:textId="68A99FDF" w:rsidR="009D4A71" w:rsidRPr="006C4677" w:rsidRDefault="00910B35" w:rsidP="009D4A71">
      <w:r>
        <w:t xml:space="preserve">To determine a performance level or color for CCI, and all other indicators on the Dashboard, a five-by-five table is used. </w:t>
      </w:r>
      <w:r w:rsidR="00A853FD">
        <w:t>Below is the five-by-five table used for determining performance for the CCI:</w:t>
      </w:r>
    </w:p>
    <w:p w14:paraId="0905F087" w14:textId="3CDFECAA" w:rsidR="00013EBB" w:rsidRPr="00CC774B" w:rsidRDefault="00013EBB" w:rsidP="000C3767">
      <w:pPr>
        <w:rPr>
          <w:b/>
          <w:bCs/>
        </w:rPr>
      </w:pPr>
      <w:r w:rsidRPr="00CC774B">
        <w:rPr>
          <w:b/>
          <w:bCs/>
        </w:rPr>
        <w:t>Five-By-Five</w:t>
      </w:r>
      <w:r w:rsidR="00CC774B" w:rsidRPr="00CC774B">
        <w:rPr>
          <w:b/>
          <w:bCs/>
        </w:rPr>
        <w:t xml:space="preserve"> Colored Tables</w:t>
      </w:r>
    </w:p>
    <w:p w14:paraId="1E707232" w14:textId="0335A02C" w:rsidR="00741378" w:rsidRPr="00453460" w:rsidRDefault="000C3767" w:rsidP="00741378">
      <w:pPr>
        <w:pStyle w:val="Heading3"/>
        <w:pBdr>
          <w:bottom w:val="single" w:sz="12" w:space="2" w:color="015B8E"/>
        </w:pBdr>
        <w:rPr>
          <w:sz w:val="32"/>
          <w:szCs w:val="32"/>
        </w:rPr>
      </w:pPr>
      <w:r w:rsidRPr="006C4677">
        <w:t xml:space="preserve"> </w:t>
      </w:r>
      <w:r w:rsidR="00741378">
        <w:rPr>
          <w:sz w:val="32"/>
          <w:szCs w:val="32"/>
        </w:rPr>
        <w:t>Three-by-Five Table</w:t>
      </w:r>
    </w:p>
    <w:p w14:paraId="5810E2E8" w14:textId="2D900CB4" w:rsidR="00741378" w:rsidRDefault="004D35ED" w:rsidP="00C066BD">
      <w:r w:rsidRPr="004D35ED">
        <w:t>To limit large swings in the Change data that can be triggered by just a few students, the State Board of Education approved the application of a three-by-five colored table when the student population size is less than 150. </w:t>
      </w:r>
      <w:r w:rsidR="00741378">
        <w:t xml:space="preserve">Below is the </w:t>
      </w:r>
      <w:r>
        <w:t>three</w:t>
      </w:r>
      <w:r w:rsidR="00741378">
        <w:t>-by-five table used for determining performance for the CCI:</w:t>
      </w:r>
    </w:p>
    <w:p w14:paraId="3D1503F1" w14:textId="057AEE34" w:rsidR="00CC774B" w:rsidRPr="00CC774B" w:rsidRDefault="00CC774B" w:rsidP="00393590">
      <w:pPr>
        <w:spacing w:before="240"/>
        <w:rPr>
          <w:b/>
          <w:bCs/>
        </w:rPr>
      </w:pPr>
      <w:r>
        <w:rPr>
          <w:b/>
          <w:bCs/>
        </w:rPr>
        <w:t>Three</w:t>
      </w:r>
      <w:r w:rsidRPr="00CC774B">
        <w:rPr>
          <w:b/>
          <w:bCs/>
        </w:rPr>
        <w:t>-By-Five Colored Tables</w:t>
      </w:r>
    </w:p>
    <w:tbl>
      <w:tblPr>
        <w:tblW w:w="9260" w:type="dxa"/>
        <w:tblCellMar>
          <w:left w:w="0" w:type="dxa"/>
          <w:right w:w="0" w:type="dxa"/>
        </w:tblCellMar>
        <w:tblLook w:val="04A0" w:firstRow="1" w:lastRow="0" w:firstColumn="1" w:lastColumn="0" w:noHBand="0" w:noVBand="1"/>
      </w:tblPr>
      <w:tblGrid>
        <w:gridCol w:w="1700"/>
        <w:gridCol w:w="2250"/>
        <w:gridCol w:w="2790"/>
        <w:gridCol w:w="2520"/>
      </w:tblGrid>
      <w:tr w:rsidR="00673ED9" w:rsidRPr="00673ED9" w14:paraId="5B42B615" w14:textId="77777777" w:rsidTr="00D86DD9">
        <w:trPr>
          <w:cantSplit/>
          <w:trHeight w:val="1717"/>
          <w:tblHeader/>
        </w:trPr>
        <w:tc>
          <w:tcPr>
            <w:tcW w:w="170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0DA266CC" w14:textId="77777777" w:rsidR="00673ED9" w:rsidRPr="00673ED9" w:rsidRDefault="00673ED9" w:rsidP="0085785E">
            <w:pPr>
              <w:jc w:val="center"/>
            </w:pPr>
            <w:r w:rsidRPr="00673ED9">
              <w:rPr>
                <w:b/>
                <w:bCs/>
              </w:rPr>
              <w:lastRenderedPageBreak/>
              <w:t>Performance Level</w:t>
            </w:r>
          </w:p>
        </w:tc>
        <w:tc>
          <w:tcPr>
            <w:tcW w:w="225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7584E125" w14:textId="77777777" w:rsidR="00673ED9" w:rsidRDefault="00673ED9" w:rsidP="00857C64">
            <w:pPr>
              <w:jc w:val="center"/>
              <w:rPr>
                <w:b/>
                <w:bCs/>
              </w:rPr>
            </w:pPr>
            <w:r w:rsidRPr="00673ED9">
              <w:rPr>
                <w:b/>
                <w:bCs/>
              </w:rPr>
              <w:t>Declined</w:t>
            </w:r>
          </w:p>
          <w:p w14:paraId="2A4E6293" w14:textId="62D2BC3E" w:rsidR="00857C64" w:rsidRPr="00673ED9" w:rsidRDefault="00857C64" w:rsidP="00857C64">
            <w:pPr>
              <w:jc w:val="center"/>
            </w:pPr>
            <w:r w:rsidRPr="00CE7531">
              <w:rPr>
                <w:b/>
                <w:bCs/>
              </w:rPr>
              <w:t xml:space="preserve">from Prior Year (by 2.0% </w:t>
            </w:r>
            <w:r>
              <w:rPr>
                <w:b/>
                <w:bCs/>
              </w:rPr>
              <w:t>or more</w:t>
            </w:r>
            <w:r w:rsidRPr="00CE7531">
              <w:rPr>
                <w:b/>
                <w:bCs/>
              </w:rPr>
              <w:t>)</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026B6025" w14:textId="77777777" w:rsidR="00673ED9" w:rsidRDefault="00673ED9" w:rsidP="00857C64">
            <w:pPr>
              <w:jc w:val="center"/>
              <w:rPr>
                <w:b/>
                <w:bCs/>
              </w:rPr>
            </w:pPr>
            <w:r w:rsidRPr="00673ED9">
              <w:rPr>
                <w:b/>
                <w:bCs/>
              </w:rPr>
              <w:t>Maintained</w:t>
            </w:r>
          </w:p>
          <w:p w14:paraId="1C28594D" w14:textId="6C540A16" w:rsidR="00857C64" w:rsidRPr="00673ED9" w:rsidRDefault="00857C64" w:rsidP="00857C64">
            <w:pPr>
              <w:jc w:val="center"/>
            </w:pPr>
            <w:r w:rsidRPr="00CE7531">
              <w:rPr>
                <w:b/>
                <w:bCs/>
              </w:rPr>
              <w:t>from Prior Year (declined or increased by 1.9% or less)</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4DAC3667" w14:textId="77777777" w:rsidR="00673ED9" w:rsidRDefault="00673ED9" w:rsidP="00857C64">
            <w:pPr>
              <w:jc w:val="center"/>
              <w:rPr>
                <w:b/>
                <w:bCs/>
              </w:rPr>
            </w:pPr>
            <w:r w:rsidRPr="00673ED9">
              <w:rPr>
                <w:b/>
                <w:bCs/>
              </w:rPr>
              <w:t>Increased</w:t>
            </w:r>
          </w:p>
          <w:p w14:paraId="52F6A5C7" w14:textId="47056031" w:rsidR="00857C64" w:rsidRPr="00673ED9" w:rsidRDefault="00857C64" w:rsidP="00857C64">
            <w:pPr>
              <w:jc w:val="center"/>
            </w:pPr>
            <w:r w:rsidRPr="009C097F">
              <w:rPr>
                <w:b/>
                <w:bCs/>
              </w:rPr>
              <w:t>from Prior Year</w:t>
            </w:r>
            <w:r>
              <w:rPr>
                <w:b/>
                <w:bCs/>
              </w:rPr>
              <w:t xml:space="preserve"> </w:t>
            </w:r>
            <w:r w:rsidRPr="009C097F">
              <w:rPr>
                <w:b/>
                <w:bCs/>
              </w:rPr>
              <w:t xml:space="preserve">(by 2.0% </w:t>
            </w:r>
            <w:r>
              <w:rPr>
                <w:b/>
                <w:bCs/>
              </w:rPr>
              <w:t>or more</w:t>
            </w:r>
            <w:r w:rsidRPr="009C097F">
              <w:rPr>
                <w:b/>
                <w:bCs/>
              </w:rPr>
              <w:t>)</w:t>
            </w:r>
          </w:p>
        </w:tc>
      </w:tr>
      <w:tr w:rsidR="00857C64" w:rsidRPr="00673ED9" w14:paraId="618D8454" w14:textId="77777777" w:rsidTr="00D86DD9">
        <w:trPr>
          <w:cantSplit/>
          <w:trHeight w:val="1151"/>
          <w:tblHeader/>
        </w:trPr>
        <w:tc>
          <w:tcPr>
            <w:tcW w:w="170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3D9A55DD" w14:textId="77777777" w:rsidR="00857C64" w:rsidRDefault="00857C64" w:rsidP="00857C64">
            <w:pPr>
              <w:jc w:val="center"/>
              <w:rPr>
                <w:b/>
                <w:bCs/>
              </w:rPr>
            </w:pPr>
            <w:r w:rsidRPr="000C3767">
              <w:rPr>
                <w:b/>
                <w:bCs/>
              </w:rPr>
              <w:t>Very High</w:t>
            </w:r>
          </w:p>
          <w:p w14:paraId="295027F6" w14:textId="64DCE69C" w:rsidR="00857C64" w:rsidRPr="00673ED9" w:rsidRDefault="00857C64" w:rsidP="00857C64">
            <w:pPr>
              <w:jc w:val="center"/>
            </w:pPr>
            <w:r w:rsidRPr="00714409">
              <w:t>70.0% or greater</w:t>
            </w:r>
            <w:r>
              <w:t xml:space="preserve"> </w:t>
            </w:r>
            <w:r w:rsidRPr="00B24477">
              <w:t>in Current Year</w:t>
            </w:r>
          </w:p>
        </w:tc>
        <w:tc>
          <w:tcPr>
            <w:tcW w:w="2250" w:type="dxa"/>
            <w:tcBorders>
              <w:top w:val="single" w:sz="8" w:space="0" w:color="000000"/>
              <w:left w:val="single" w:sz="8" w:space="0" w:color="000000"/>
              <w:bottom w:val="single" w:sz="8" w:space="0" w:color="000000"/>
              <w:right w:val="single" w:sz="8" w:space="0" w:color="000000"/>
            </w:tcBorders>
            <w:shd w:val="clear" w:color="auto" w:fill="006500"/>
            <w:tcMar>
              <w:top w:w="15" w:type="dxa"/>
              <w:left w:w="95" w:type="dxa"/>
              <w:bottom w:w="0" w:type="dxa"/>
              <w:right w:w="95" w:type="dxa"/>
            </w:tcMar>
            <w:vAlign w:val="center"/>
            <w:hideMark/>
          </w:tcPr>
          <w:p w14:paraId="0319C42A" w14:textId="77777777" w:rsidR="00857C64" w:rsidRPr="00673ED9" w:rsidRDefault="00857C64" w:rsidP="00857C64">
            <w:pPr>
              <w:jc w:val="center"/>
              <w:rPr>
                <w:b/>
                <w:bCs/>
              </w:rPr>
            </w:pPr>
            <w:r w:rsidRPr="00673ED9">
              <w:rPr>
                <w:b/>
                <w:bCs/>
              </w:rPr>
              <w:t>Green</w:t>
            </w:r>
          </w:p>
        </w:tc>
        <w:tc>
          <w:tcPr>
            <w:tcW w:w="2790" w:type="dxa"/>
            <w:tcBorders>
              <w:top w:val="single" w:sz="8" w:space="0" w:color="000000"/>
              <w:left w:val="single" w:sz="8" w:space="0" w:color="000000"/>
              <w:bottom w:val="single" w:sz="8" w:space="0" w:color="000000"/>
              <w:right w:val="single" w:sz="8" w:space="0" w:color="000000"/>
            </w:tcBorders>
            <w:shd w:val="clear" w:color="auto" w:fill="0000FF"/>
            <w:tcMar>
              <w:top w:w="15" w:type="dxa"/>
              <w:left w:w="95" w:type="dxa"/>
              <w:bottom w:w="0" w:type="dxa"/>
              <w:right w:w="95" w:type="dxa"/>
            </w:tcMar>
            <w:vAlign w:val="center"/>
            <w:hideMark/>
          </w:tcPr>
          <w:p w14:paraId="0E8730CA" w14:textId="77777777" w:rsidR="00857C64" w:rsidRPr="00673ED9" w:rsidRDefault="00857C64" w:rsidP="00857C64">
            <w:pPr>
              <w:jc w:val="center"/>
              <w:rPr>
                <w:b/>
                <w:bCs/>
              </w:rPr>
            </w:pPr>
            <w:r w:rsidRPr="00673ED9">
              <w:rPr>
                <w:b/>
                <w:bCs/>
              </w:rPr>
              <w:t>Blue</w:t>
            </w:r>
          </w:p>
        </w:tc>
        <w:tc>
          <w:tcPr>
            <w:tcW w:w="2520" w:type="dxa"/>
            <w:tcBorders>
              <w:top w:val="single" w:sz="8" w:space="0" w:color="000000"/>
              <w:left w:val="single" w:sz="8" w:space="0" w:color="000000"/>
              <w:bottom w:val="single" w:sz="8" w:space="0" w:color="000000"/>
              <w:right w:val="single" w:sz="8" w:space="0" w:color="000000"/>
            </w:tcBorders>
            <w:shd w:val="clear" w:color="auto" w:fill="0000FF"/>
            <w:tcMar>
              <w:top w:w="15" w:type="dxa"/>
              <w:left w:w="95" w:type="dxa"/>
              <w:bottom w:w="0" w:type="dxa"/>
              <w:right w:w="95" w:type="dxa"/>
            </w:tcMar>
            <w:vAlign w:val="center"/>
            <w:hideMark/>
          </w:tcPr>
          <w:p w14:paraId="73676B55" w14:textId="77777777" w:rsidR="00857C64" w:rsidRPr="00673ED9" w:rsidRDefault="00857C64" w:rsidP="00857C64">
            <w:pPr>
              <w:jc w:val="center"/>
              <w:rPr>
                <w:b/>
                <w:bCs/>
              </w:rPr>
            </w:pPr>
            <w:r w:rsidRPr="00673ED9">
              <w:rPr>
                <w:b/>
                <w:bCs/>
              </w:rPr>
              <w:t>Blue</w:t>
            </w:r>
          </w:p>
        </w:tc>
      </w:tr>
      <w:tr w:rsidR="00857C64" w:rsidRPr="00673ED9" w14:paraId="7DFBB5D7" w14:textId="77777777" w:rsidTr="00D86DD9">
        <w:trPr>
          <w:cantSplit/>
          <w:trHeight w:val="1151"/>
          <w:tblHeader/>
        </w:trPr>
        <w:tc>
          <w:tcPr>
            <w:tcW w:w="170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3BEA1B52" w14:textId="77777777" w:rsidR="00857C64" w:rsidRDefault="00857C64" w:rsidP="00857C64">
            <w:pPr>
              <w:jc w:val="center"/>
              <w:rPr>
                <w:b/>
                <w:bCs/>
              </w:rPr>
            </w:pPr>
            <w:r w:rsidRPr="000C3767">
              <w:rPr>
                <w:b/>
                <w:bCs/>
              </w:rPr>
              <w:t>High</w:t>
            </w:r>
          </w:p>
          <w:p w14:paraId="0D1A6C73" w14:textId="1F26DDBA" w:rsidR="00857C64" w:rsidRPr="00673ED9" w:rsidRDefault="00857C64" w:rsidP="00857C64">
            <w:pPr>
              <w:jc w:val="center"/>
            </w:pPr>
            <w:r w:rsidRPr="007D0D79">
              <w:t>55.0% to 69.9%</w:t>
            </w:r>
            <w:r w:rsidRPr="00B24477">
              <w:t xml:space="preserve"> in Current Year</w:t>
            </w:r>
          </w:p>
        </w:tc>
        <w:tc>
          <w:tcPr>
            <w:tcW w:w="2250" w:type="dxa"/>
            <w:tcBorders>
              <w:top w:val="single" w:sz="8" w:space="0" w:color="000000"/>
              <w:left w:val="single" w:sz="8" w:space="0" w:color="000000"/>
              <w:bottom w:val="single" w:sz="8" w:space="0" w:color="000000"/>
              <w:right w:val="single" w:sz="8" w:space="0" w:color="000000"/>
            </w:tcBorders>
            <w:shd w:val="clear" w:color="auto" w:fill="FFFF00"/>
            <w:tcMar>
              <w:top w:w="15" w:type="dxa"/>
              <w:left w:w="95" w:type="dxa"/>
              <w:bottom w:w="0" w:type="dxa"/>
              <w:right w:w="95" w:type="dxa"/>
            </w:tcMar>
            <w:vAlign w:val="center"/>
            <w:hideMark/>
          </w:tcPr>
          <w:p w14:paraId="49BF3AC3" w14:textId="77777777" w:rsidR="00857C64" w:rsidRPr="00673ED9" w:rsidRDefault="00857C64" w:rsidP="00857C64">
            <w:pPr>
              <w:jc w:val="center"/>
              <w:rPr>
                <w:b/>
                <w:bCs/>
              </w:rPr>
            </w:pPr>
            <w:r w:rsidRPr="00673ED9">
              <w:rPr>
                <w:b/>
                <w:bCs/>
              </w:rPr>
              <w:t>Yellow</w:t>
            </w:r>
          </w:p>
        </w:tc>
        <w:tc>
          <w:tcPr>
            <w:tcW w:w="2790" w:type="dxa"/>
            <w:tcBorders>
              <w:top w:val="single" w:sz="8" w:space="0" w:color="000000"/>
              <w:left w:val="single" w:sz="8" w:space="0" w:color="000000"/>
              <w:bottom w:val="single" w:sz="8" w:space="0" w:color="000000"/>
              <w:right w:val="single" w:sz="8" w:space="0" w:color="000000"/>
            </w:tcBorders>
            <w:shd w:val="clear" w:color="auto" w:fill="006500"/>
            <w:tcMar>
              <w:top w:w="15" w:type="dxa"/>
              <w:left w:w="95" w:type="dxa"/>
              <w:bottom w:w="0" w:type="dxa"/>
              <w:right w:w="95" w:type="dxa"/>
            </w:tcMar>
            <w:vAlign w:val="center"/>
            <w:hideMark/>
          </w:tcPr>
          <w:p w14:paraId="483E3384" w14:textId="77777777" w:rsidR="00857C64" w:rsidRPr="00673ED9" w:rsidRDefault="00857C64" w:rsidP="00857C64">
            <w:pPr>
              <w:jc w:val="center"/>
              <w:rPr>
                <w:b/>
                <w:bCs/>
              </w:rPr>
            </w:pPr>
            <w:r w:rsidRPr="00673ED9">
              <w:rPr>
                <w:b/>
                <w:bCs/>
              </w:rPr>
              <w:t>Green</w:t>
            </w:r>
          </w:p>
        </w:tc>
        <w:tc>
          <w:tcPr>
            <w:tcW w:w="2520" w:type="dxa"/>
            <w:tcBorders>
              <w:top w:val="single" w:sz="8" w:space="0" w:color="000000"/>
              <w:left w:val="single" w:sz="8" w:space="0" w:color="000000"/>
              <w:bottom w:val="single" w:sz="8" w:space="0" w:color="000000"/>
              <w:right w:val="single" w:sz="8" w:space="0" w:color="000000"/>
            </w:tcBorders>
            <w:shd w:val="clear" w:color="auto" w:fill="006500"/>
            <w:tcMar>
              <w:top w:w="15" w:type="dxa"/>
              <w:left w:w="95" w:type="dxa"/>
              <w:bottom w:w="0" w:type="dxa"/>
              <w:right w:w="95" w:type="dxa"/>
            </w:tcMar>
            <w:vAlign w:val="center"/>
            <w:hideMark/>
          </w:tcPr>
          <w:p w14:paraId="154B1F47" w14:textId="77777777" w:rsidR="00857C64" w:rsidRPr="00673ED9" w:rsidRDefault="00857C64" w:rsidP="00857C64">
            <w:pPr>
              <w:jc w:val="center"/>
              <w:rPr>
                <w:b/>
                <w:bCs/>
              </w:rPr>
            </w:pPr>
            <w:r w:rsidRPr="00673ED9">
              <w:rPr>
                <w:b/>
                <w:bCs/>
              </w:rPr>
              <w:t>Green</w:t>
            </w:r>
          </w:p>
        </w:tc>
      </w:tr>
      <w:tr w:rsidR="00857C64" w:rsidRPr="00673ED9" w14:paraId="3E1900AD" w14:textId="77777777" w:rsidTr="00D86DD9">
        <w:trPr>
          <w:cantSplit/>
          <w:trHeight w:val="1151"/>
          <w:tblHeader/>
        </w:trPr>
        <w:tc>
          <w:tcPr>
            <w:tcW w:w="170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08EB82CB" w14:textId="77777777" w:rsidR="00857C64" w:rsidRDefault="00857C64" w:rsidP="00857C64">
            <w:pPr>
              <w:jc w:val="center"/>
              <w:rPr>
                <w:b/>
                <w:bCs/>
              </w:rPr>
            </w:pPr>
            <w:r w:rsidRPr="000C3767">
              <w:rPr>
                <w:b/>
                <w:bCs/>
              </w:rPr>
              <w:t>Medium</w:t>
            </w:r>
          </w:p>
          <w:p w14:paraId="3C7BEB26" w14:textId="4E05582C" w:rsidR="00857C64" w:rsidRPr="00673ED9" w:rsidRDefault="00857C64" w:rsidP="00857C64">
            <w:pPr>
              <w:jc w:val="center"/>
            </w:pPr>
            <w:r w:rsidRPr="007D0D79">
              <w:t>35.0% to 54.9%</w:t>
            </w:r>
            <w:r w:rsidRPr="00B24477">
              <w:t xml:space="preserve"> in Current Year</w:t>
            </w:r>
          </w:p>
        </w:tc>
        <w:tc>
          <w:tcPr>
            <w:tcW w:w="2250" w:type="dxa"/>
            <w:tcBorders>
              <w:top w:val="single" w:sz="8" w:space="0" w:color="000000"/>
              <w:left w:val="single" w:sz="8" w:space="0" w:color="000000"/>
              <w:bottom w:val="single" w:sz="8" w:space="0" w:color="000000"/>
              <w:right w:val="single" w:sz="8" w:space="0" w:color="000000"/>
            </w:tcBorders>
            <w:shd w:val="clear" w:color="auto" w:fill="FFA500"/>
            <w:tcMar>
              <w:top w:w="15" w:type="dxa"/>
              <w:left w:w="95" w:type="dxa"/>
              <w:bottom w:w="0" w:type="dxa"/>
              <w:right w:w="95" w:type="dxa"/>
            </w:tcMar>
            <w:vAlign w:val="center"/>
            <w:hideMark/>
          </w:tcPr>
          <w:p w14:paraId="78F8D5F6" w14:textId="77777777" w:rsidR="00857C64" w:rsidRPr="00673ED9" w:rsidRDefault="00857C64" w:rsidP="00857C64">
            <w:pPr>
              <w:jc w:val="center"/>
              <w:rPr>
                <w:b/>
                <w:bCs/>
              </w:rPr>
            </w:pPr>
            <w:r w:rsidRPr="00673ED9">
              <w:rPr>
                <w:b/>
                <w:bCs/>
              </w:rPr>
              <w:t>Orange</w:t>
            </w:r>
          </w:p>
        </w:tc>
        <w:tc>
          <w:tcPr>
            <w:tcW w:w="2790" w:type="dxa"/>
            <w:tcBorders>
              <w:top w:val="single" w:sz="8" w:space="0" w:color="000000"/>
              <w:left w:val="single" w:sz="8" w:space="0" w:color="000000"/>
              <w:bottom w:val="single" w:sz="8" w:space="0" w:color="000000"/>
              <w:right w:val="single" w:sz="8" w:space="0" w:color="000000"/>
            </w:tcBorders>
            <w:shd w:val="clear" w:color="auto" w:fill="FFFF00"/>
            <w:tcMar>
              <w:top w:w="15" w:type="dxa"/>
              <w:left w:w="95" w:type="dxa"/>
              <w:bottom w:w="0" w:type="dxa"/>
              <w:right w:w="95" w:type="dxa"/>
            </w:tcMar>
            <w:vAlign w:val="center"/>
            <w:hideMark/>
          </w:tcPr>
          <w:p w14:paraId="7D35314E" w14:textId="77777777" w:rsidR="00857C64" w:rsidRPr="00673ED9" w:rsidRDefault="00857C64" w:rsidP="00857C64">
            <w:pPr>
              <w:jc w:val="center"/>
              <w:rPr>
                <w:b/>
                <w:bCs/>
              </w:rPr>
            </w:pPr>
            <w:r w:rsidRPr="00673ED9">
              <w:rPr>
                <w:b/>
                <w:bCs/>
              </w:rPr>
              <w:t>Yellow</w:t>
            </w:r>
          </w:p>
        </w:tc>
        <w:tc>
          <w:tcPr>
            <w:tcW w:w="2520" w:type="dxa"/>
            <w:tcBorders>
              <w:top w:val="single" w:sz="8" w:space="0" w:color="000000"/>
              <w:left w:val="single" w:sz="8" w:space="0" w:color="000000"/>
              <w:bottom w:val="single" w:sz="8" w:space="0" w:color="000000"/>
              <w:right w:val="single" w:sz="8" w:space="0" w:color="000000"/>
            </w:tcBorders>
            <w:shd w:val="clear" w:color="auto" w:fill="006500"/>
            <w:tcMar>
              <w:top w:w="15" w:type="dxa"/>
              <w:left w:w="95" w:type="dxa"/>
              <w:bottom w:w="0" w:type="dxa"/>
              <w:right w:w="95" w:type="dxa"/>
            </w:tcMar>
            <w:vAlign w:val="center"/>
            <w:hideMark/>
          </w:tcPr>
          <w:p w14:paraId="7CB16FC0" w14:textId="77777777" w:rsidR="00857C64" w:rsidRPr="00673ED9" w:rsidRDefault="00857C64" w:rsidP="00857C64">
            <w:pPr>
              <w:jc w:val="center"/>
              <w:rPr>
                <w:b/>
                <w:bCs/>
              </w:rPr>
            </w:pPr>
            <w:r w:rsidRPr="00673ED9">
              <w:rPr>
                <w:b/>
                <w:bCs/>
              </w:rPr>
              <w:t>Green</w:t>
            </w:r>
          </w:p>
        </w:tc>
      </w:tr>
      <w:tr w:rsidR="00857C64" w:rsidRPr="00673ED9" w14:paraId="17FA4887" w14:textId="77777777" w:rsidTr="00D86DD9">
        <w:trPr>
          <w:cantSplit/>
          <w:trHeight w:val="1193"/>
          <w:tblHeader/>
        </w:trPr>
        <w:tc>
          <w:tcPr>
            <w:tcW w:w="170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3193E529" w14:textId="77777777" w:rsidR="00857C64" w:rsidRDefault="00857C64" w:rsidP="00857C64">
            <w:pPr>
              <w:jc w:val="center"/>
              <w:rPr>
                <w:b/>
                <w:bCs/>
              </w:rPr>
            </w:pPr>
            <w:r w:rsidRPr="000C3767">
              <w:rPr>
                <w:b/>
                <w:bCs/>
              </w:rPr>
              <w:t>Low</w:t>
            </w:r>
          </w:p>
          <w:p w14:paraId="603BC44A" w14:textId="11CB1EE1" w:rsidR="00857C64" w:rsidRPr="00673ED9" w:rsidRDefault="00857C64" w:rsidP="00857C64">
            <w:pPr>
              <w:jc w:val="center"/>
            </w:pPr>
            <w:r w:rsidRPr="007D0D79">
              <w:t>10.0% to 34.9%</w:t>
            </w:r>
            <w:r w:rsidRPr="00B24477">
              <w:t xml:space="preserve"> in Current Year</w:t>
            </w:r>
          </w:p>
        </w:tc>
        <w:tc>
          <w:tcPr>
            <w:tcW w:w="2250" w:type="dxa"/>
            <w:tcBorders>
              <w:top w:val="single" w:sz="8" w:space="0" w:color="000000"/>
              <w:left w:val="single" w:sz="8" w:space="0" w:color="000000"/>
              <w:bottom w:val="single" w:sz="8" w:space="0" w:color="000000"/>
              <w:right w:val="single" w:sz="8" w:space="0" w:color="000000"/>
            </w:tcBorders>
            <w:shd w:val="clear" w:color="auto" w:fill="FFA500"/>
            <w:tcMar>
              <w:top w:w="15" w:type="dxa"/>
              <w:left w:w="95" w:type="dxa"/>
              <w:bottom w:w="0" w:type="dxa"/>
              <w:right w:w="95" w:type="dxa"/>
            </w:tcMar>
            <w:vAlign w:val="center"/>
            <w:hideMark/>
          </w:tcPr>
          <w:p w14:paraId="6FE623BF" w14:textId="77777777" w:rsidR="00857C64" w:rsidRPr="00673ED9" w:rsidRDefault="00857C64" w:rsidP="00857C64">
            <w:pPr>
              <w:jc w:val="center"/>
              <w:rPr>
                <w:b/>
                <w:bCs/>
              </w:rPr>
            </w:pPr>
            <w:r w:rsidRPr="00673ED9">
              <w:rPr>
                <w:b/>
                <w:bCs/>
              </w:rPr>
              <w:t>Orange</w:t>
            </w:r>
          </w:p>
        </w:tc>
        <w:tc>
          <w:tcPr>
            <w:tcW w:w="2790" w:type="dxa"/>
            <w:tcBorders>
              <w:top w:val="single" w:sz="8" w:space="0" w:color="000000"/>
              <w:left w:val="single" w:sz="8" w:space="0" w:color="000000"/>
              <w:bottom w:val="single" w:sz="8" w:space="0" w:color="000000"/>
              <w:right w:val="single" w:sz="8" w:space="0" w:color="000000"/>
            </w:tcBorders>
            <w:shd w:val="clear" w:color="auto" w:fill="FFA500"/>
            <w:tcMar>
              <w:top w:w="15" w:type="dxa"/>
              <w:left w:w="95" w:type="dxa"/>
              <w:bottom w:w="0" w:type="dxa"/>
              <w:right w:w="95" w:type="dxa"/>
            </w:tcMar>
            <w:vAlign w:val="center"/>
            <w:hideMark/>
          </w:tcPr>
          <w:p w14:paraId="6AF6408F" w14:textId="77777777" w:rsidR="00857C64" w:rsidRPr="00673ED9" w:rsidRDefault="00857C64" w:rsidP="00857C64">
            <w:pPr>
              <w:jc w:val="center"/>
              <w:rPr>
                <w:b/>
                <w:bCs/>
              </w:rPr>
            </w:pPr>
            <w:r w:rsidRPr="00673ED9">
              <w:rPr>
                <w:b/>
                <w:bCs/>
              </w:rPr>
              <w:t>Orange</w:t>
            </w:r>
          </w:p>
        </w:tc>
        <w:tc>
          <w:tcPr>
            <w:tcW w:w="25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95" w:type="dxa"/>
              <w:bottom w:w="0" w:type="dxa"/>
              <w:right w:w="95" w:type="dxa"/>
            </w:tcMar>
            <w:vAlign w:val="center"/>
            <w:hideMark/>
          </w:tcPr>
          <w:p w14:paraId="041796A1" w14:textId="77777777" w:rsidR="00857C64" w:rsidRPr="00673ED9" w:rsidRDefault="00857C64" w:rsidP="00857C64">
            <w:pPr>
              <w:jc w:val="center"/>
              <w:rPr>
                <w:b/>
                <w:bCs/>
              </w:rPr>
            </w:pPr>
            <w:r w:rsidRPr="00673ED9">
              <w:rPr>
                <w:b/>
                <w:bCs/>
              </w:rPr>
              <w:t>Yellow</w:t>
            </w:r>
          </w:p>
        </w:tc>
      </w:tr>
      <w:tr w:rsidR="00857C64" w:rsidRPr="00673ED9" w14:paraId="1D1EB65B" w14:textId="77777777" w:rsidTr="00D86DD9">
        <w:trPr>
          <w:cantSplit/>
          <w:trHeight w:val="1145"/>
          <w:tblHeader/>
        </w:trPr>
        <w:tc>
          <w:tcPr>
            <w:tcW w:w="170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2DFBC216" w14:textId="77777777" w:rsidR="00857C64" w:rsidRDefault="00857C64" w:rsidP="00857C64">
            <w:pPr>
              <w:jc w:val="center"/>
              <w:rPr>
                <w:b/>
                <w:bCs/>
              </w:rPr>
            </w:pPr>
            <w:r w:rsidRPr="000C3767">
              <w:rPr>
                <w:b/>
                <w:bCs/>
              </w:rPr>
              <w:t>Very Low</w:t>
            </w:r>
          </w:p>
          <w:p w14:paraId="77BD12B2" w14:textId="2E518CA7" w:rsidR="00857C64" w:rsidRPr="00673ED9" w:rsidRDefault="00857C64" w:rsidP="00857C64">
            <w:pPr>
              <w:jc w:val="center"/>
            </w:pPr>
            <w:r w:rsidRPr="00B24477">
              <w:t>9.9% or less in Current Year</w:t>
            </w:r>
          </w:p>
        </w:tc>
        <w:tc>
          <w:tcPr>
            <w:tcW w:w="2250" w:type="dxa"/>
            <w:tcBorders>
              <w:top w:val="single" w:sz="8" w:space="0" w:color="000000"/>
              <w:left w:val="single" w:sz="8" w:space="0" w:color="000000"/>
              <w:bottom w:val="single" w:sz="8" w:space="0" w:color="000000"/>
              <w:right w:val="single" w:sz="8" w:space="0" w:color="000000"/>
            </w:tcBorders>
            <w:shd w:val="clear" w:color="auto" w:fill="A20000"/>
            <w:tcMar>
              <w:top w:w="15" w:type="dxa"/>
              <w:left w:w="95" w:type="dxa"/>
              <w:bottom w:w="0" w:type="dxa"/>
              <w:right w:w="95" w:type="dxa"/>
            </w:tcMar>
            <w:vAlign w:val="center"/>
            <w:hideMark/>
          </w:tcPr>
          <w:p w14:paraId="2B832496" w14:textId="77777777" w:rsidR="00857C64" w:rsidRPr="00673ED9" w:rsidRDefault="00857C64" w:rsidP="00857C64">
            <w:pPr>
              <w:jc w:val="center"/>
              <w:rPr>
                <w:b/>
                <w:bCs/>
              </w:rPr>
            </w:pPr>
            <w:r w:rsidRPr="00673ED9">
              <w:rPr>
                <w:b/>
                <w:bCs/>
              </w:rPr>
              <w:t>Red</w:t>
            </w:r>
          </w:p>
        </w:tc>
        <w:tc>
          <w:tcPr>
            <w:tcW w:w="2790" w:type="dxa"/>
            <w:tcBorders>
              <w:top w:val="single" w:sz="8" w:space="0" w:color="000000"/>
              <w:left w:val="single" w:sz="8" w:space="0" w:color="000000"/>
              <w:bottom w:val="single" w:sz="8" w:space="0" w:color="000000"/>
              <w:right w:val="single" w:sz="8" w:space="0" w:color="000000"/>
            </w:tcBorders>
            <w:shd w:val="clear" w:color="auto" w:fill="A20000"/>
            <w:tcMar>
              <w:top w:w="15" w:type="dxa"/>
              <w:left w:w="95" w:type="dxa"/>
              <w:bottom w:w="0" w:type="dxa"/>
              <w:right w:w="95" w:type="dxa"/>
            </w:tcMar>
            <w:vAlign w:val="center"/>
            <w:hideMark/>
          </w:tcPr>
          <w:p w14:paraId="611F53F3" w14:textId="77777777" w:rsidR="00857C64" w:rsidRPr="00673ED9" w:rsidRDefault="00857C64" w:rsidP="00857C64">
            <w:pPr>
              <w:jc w:val="center"/>
              <w:rPr>
                <w:b/>
                <w:bCs/>
              </w:rPr>
            </w:pPr>
            <w:r w:rsidRPr="00673ED9">
              <w:rPr>
                <w:b/>
                <w:bCs/>
              </w:rPr>
              <w:t>Red</w:t>
            </w:r>
          </w:p>
        </w:tc>
        <w:tc>
          <w:tcPr>
            <w:tcW w:w="2520" w:type="dxa"/>
            <w:tcBorders>
              <w:top w:val="single" w:sz="8" w:space="0" w:color="000000"/>
              <w:left w:val="single" w:sz="8" w:space="0" w:color="000000"/>
              <w:bottom w:val="single" w:sz="8" w:space="0" w:color="000000"/>
              <w:right w:val="single" w:sz="8" w:space="0" w:color="000000"/>
            </w:tcBorders>
            <w:shd w:val="clear" w:color="auto" w:fill="FFA500"/>
            <w:tcMar>
              <w:top w:w="15" w:type="dxa"/>
              <w:left w:w="95" w:type="dxa"/>
              <w:bottom w:w="0" w:type="dxa"/>
              <w:right w:w="95" w:type="dxa"/>
            </w:tcMar>
            <w:vAlign w:val="center"/>
            <w:hideMark/>
          </w:tcPr>
          <w:p w14:paraId="09E479BB" w14:textId="77777777" w:rsidR="00857C64" w:rsidRPr="00673ED9" w:rsidRDefault="00857C64" w:rsidP="00857C64">
            <w:pPr>
              <w:jc w:val="center"/>
              <w:rPr>
                <w:b/>
                <w:bCs/>
              </w:rPr>
            </w:pPr>
            <w:r w:rsidRPr="00673ED9">
              <w:rPr>
                <w:b/>
                <w:bCs/>
              </w:rPr>
              <w:t>Orange</w:t>
            </w:r>
          </w:p>
        </w:tc>
      </w:tr>
    </w:tbl>
    <w:p w14:paraId="60652AAB" w14:textId="491F0D0B" w:rsidR="0045439B" w:rsidRPr="00857A2C" w:rsidRDefault="0063226A" w:rsidP="00857A2C">
      <w:pPr>
        <w:pStyle w:val="Heading3"/>
        <w:pBdr>
          <w:bottom w:val="single" w:sz="12" w:space="2" w:color="015B8E"/>
        </w:pBdr>
      </w:pPr>
      <w:r w:rsidRPr="00857A2C">
        <w:t>Verify Your CCI Data</w:t>
      </w:r>
      <w:r w:rsidR="0045439B" w:rsidRPr="00857A2C">
        <w:t>?</w:t>
      </w:r>
    </w:p>
    <w:p w14:paraId="1F36F3FE" w14:textId="0213BE3D" w:rsidR="0063226A" w:rsidRPr="0063226A" w:rsidRDefault="0063226A" w:rsidP="0063226A">
      <w:r w:rsidRPr="0063226A">
        <w:t xml:space="preserve">LEAs can validate the CCI data that are submitted prior to the close of the California Longitudinal Pupil Achievement Data System (CALPADS) certification window by reviewing: </w:t>
      </w:r>
    </w:p>
    <w:p w14:paraId="1A3B1AF0" w14:textId="77777777" w:rsidR="0063226A" w:rsidRPr="0063226A" w:rsidRDefault="0063226A" w:rsidP="00D00DB0">
      <w:pPr>
        <w:numPr>
          <w:ilvl w:val="1"/>
          <w:numId w:val="8"/>
        </w:numPr>
      </w:pPr>
      <w:r w:rsidRPr="0063226A">
        <w:rPr>
          <w:i/>
          <w:iCs/>
        </w:rPr>
        <w:t xml:space="preserve">CALPADS Reports 3.19 and 3.20 for Career Technical Education (or CTE) Pathway completers </w:t>
      </w:r>
    </w:p>
    <w:p w14:paraId="68851D7C" w14:textId="77777777" w:rsidR="0063226A" w:rsidRPr="0063226A" w:rsidRDefault="0063226A" w:rsidP="00D00DB0">
      <w:pPr>
        <w:numPr>
          <w:ilvl w:val="1"/>
          <w:numId w:val="8"/>
        </w:numPr>
      </w:pPr>
      <w:r w:rsidRPr="0063226A">
        <w:rPr>
          <w:i/>
          <w:iCs/>
        </w:rPr>
        <w:t>CALPADS Reports 3.10 and 3.11 for College Credit and Leadership/Military Science</w:t>
      </w:r>
    </w:p>
    <w:p w14:paraId="55C91602" w14:textId="77777777" w:rsidR="0063226A" w:rsidRPr="0063226A" w:rsidRDefault="0063226A" w:rsidP="00D00DB0">
      <w:pPr>
        <w:numPr>
          <w:ilvl w:val="1"/>
          <w:numId w:val="8"/>
        </w:numPr>
      </w:pPr>
      <w:r w:rsidRPr="0063226A">
        <w:rPr>
          <w:i/>
          <w:iCs/>
        </w:rPr>
        <w:lastRenderedPageBreak/>
        <w:t xml:space="preserve">And finally, Reports 15.1 and 15.2 for the following measures: </w:t>
      </w:r>
    </w:p>
    <w:p w14:paraId="1E5E1D26" w14:textId="77777777" w:rsidR="0063226A" w:rsidRPr="0063226A" w:rsidRDefault="0063226A" w:rsidP="00D00DB0">
      <w:pPr>
        <w:numPr>
          <w:ilvl w:val="2"/>
          <w:numId w:val="8"/>
        </w:numPr>
      </w:pPr>
      <w:r w:rsidRPr="0063226A">
        <w:t xml:space="preserve">Met UC/CSU Requirements </w:t>
      </w:r>
    </w:p>
    <w:p w14:paraId="1B910D27" w14:textId="77777777" w:rsidR="0063226A" w:rsidRPr="0063226A" w:rsidRDefault="0063226A" w:rsidP="00D00DB0">
      <w:pPr>
        <w:numPr>
          <w:ilvl w:val="2"/>
          <w:numId w:val="8"/>
        </w:numPr>
      </w:pPr>
      <w:r w:rsidRPr="0063226A">
        <w:t>State Seal of Biliteracy</w:t>
      </w:r>
    </w:p>
    <w:p w14:paraId="26B25C8C" w14:textId="77777777" w:rsidR="0063226A" w:rsidRPr="0063226A" w:rsidRDefault="0063226A" w:rsidP="00D00DB0">
      <w:pPr>
        <w:numPr>
          <w:ilvl w:val="2"/>
          <w:numId w:val="8"/>
        </w:numPr>
      </w:pPr>
      <w:r w:rsidRPr="0063226A">
        <w:t>Pre-Apprenticeships</w:t>
      </w:r>
    </w:p>
    <w:p w14:paraId="2395365C" w14:textId="77777777" w:rsidR="0063226A" w:rsidRPr="0063226A" w:rsidRDefault="0063226A" w:rsidP="00D00DB0">
      <w:pPr>
        <w:numPr>
          <w:ilvl w:val="2"/>
          <w:numId w:val="8"/>
        </w:numPr>
      </w:pPr>
      <w:r w:rsidRPr="0063226A">
        <w:t>State or Federal Job Program and</w:t>
      </w:r>
    </w:p>
    <w:p w14:paraId="2E53368C" w14:textId="77777777" w:rsidR="0063226A" w:rsidRPr="0063226A" w:rsidRDefault="0063226A" w:rsidP="00D00DB0">
      <w:pPr>
        <w:numPr>
          <w:ilvl w:val="2"/>
          <w:numId w:val="8"/>
        </w:numPr>
      </w:pPr>
      <w:r w:rsidRPr="0063226A">
        <w:t>Transition Work-based Experience/Transition Classroom-based Work Exploration</w:t>
      </w:r>
    </w:p>
    <w:p w14:paraId="7E4EF81D" w14:textId="4D426EC2" w:rsidR="005463F0" w:rsidRDefault="005463F0" w:rsidP="0063226A">
      <w:pPr>
        <w:rPr>
          <w:rStyle w:val="Hyperlink"/>
        </w:rPr>
      </w:pPr>
      <w:r w:rsidRPr="00453895">
        <w:rPr>
          <w:rFonts w:eastAsia="Calibri" w:cs="Arial"/>
          <w:szCs w:val="24"/>
        </w:rPr>
        <w:t>Connecting CALPADS to the Dashboard</w:t>
      </w:r>
      <w:r w:rsidRPr="00583582">
        <w:rPr>
          <w:rFonts w:eastAsia="Calibri" w:cs="Arial"/>
          <w:szCs w:val="24"/>
        </w:rPr>
        <w:t xml:space="preserve"> is available at </w:t>
      </w:r>
      <w:hyperlink r:id="rId15" w:tooltip="Connecting CALPADS to the Dashboard " w:history="1">
        <w:r w:rsidRPr="007E0F7C">
          <w:rPr>
            <w:rStyle w:val="Hyperlink"/>
          </w:rPr>
          <w:t>https://www.cde.ca.gov/ta/ac/cm/documents/caldashhandbook24.docx</w:t>
        </w:r>
      </w:hyperlink>
    </w:p>
    <w:p w14:paraId="13091B1E" w14:textId="7FBFDB5A" w:rsidR="0063226A" w:rsidRPr="0063226A" w:rsidRDefault="0063226A" w:rsidP="0063226A">
      <w:r w:rsidRPr="0063226A">
        <w:t>Keep in mind that the remaining CCI measures are collected outside of CALPADS, from test vendors. They are:</w:t>
      </w:r>
    </w:p>
    <w:p w14:paraId="5F620CE9" w14:textId="77777777" w:rsidR="0063226A" w:rsidRPr="0063226A" w:rsidRDefault="0063226A" w:rsidP="00D00DB0">
      <w:pPr>
        <w:numPr>
          <w:ilvl w:val="0"/>
          <w:numId w:val="9"/>
        </w:numPr>
      </w:pPr>
      <w:r w:rsidRPr="0063226A">
        <w:t>Advanced Placement Exams: collected from The College Board</w:t>
      </w:r>
    </w:p>
    <w:p w14:paraId="4F963DA1" w14:textId="77777777" w:rsidR="0063226A" w:rsidRPr="0063226A" w:rsidRDefault="0063226A" w:rsidP="00D00DB0">
      <w:pPr>
        <w:numPr>
          <w:ilvl w:val="0"/>
          <w:numId w:val="9"/>
        </w:numPr>
      </w:pPr>
      <w:r w:rsidRPr="0063226A">
        <w:t>IB Exams: collected from IB</w:t>
      </w:r>
    </w:p>
    <w:p w14:paraId="51C73469" w14:textId="77777777" w:rsidR="0063226A" w:rsidRPr="0063226A" w:rsidRDefault="0063226A" w:rsidP="00D00DB0">
      <w:pPr>
        <w:numPr>
          <w:ilvl w:val="0"/>
          <w:numId w:val="9"/>
        </w:numPr>
      </w:pPr>
      <w:r w:rsidRPr="0063226A">
        <w:t>Smarter Balanced Summative Assessments: collected from the testing vendor, ETS</w:t>
      </w:r>
    </w:p>
    <w:p w14:paraId="36D103A8" w14:textId="77777777" w:rsidR="009D4A71" w:rsidRPr="0053781B" w:rsidRDefault="009D4A71" w:rsidP="0053781B">
      <w:pPr>
        <w:pStyle w:val="Heading3"/>
        <w:pBdr>
          <w:bottom w:val="single" w:sz="12" w:space="2" w:color="015B8E"/>
        </w:pBdr>
      </w:pPr>
      <w:r w:rsidRPr="0053781B">
        <w:t>Where Can You Find the Additional Report for Your School?</w:t>
      </w:r>
    </w:p>
    <w:p w14:paraId="0B861243" w14:textId="77777777" w:rsidR="009D4A71" w:rsidRPr="00BE3F3F" w:rsidRDefault="009D4A71" w:rsidP="009D4A71">
      <w:r w:rsidRPr="00BE3F3F">
        <w:t xml:space="preserve">The CCI measures will be reported in Additional Reports as it has in past years. </w:t>
      </w:r>
    </w:p>
    <w:p w14:paraId="317739BB" w14:textId="04723596" w:rsidR="009D4A71" w:rsidRPr="00BE3F3F" w:rsidRDefault="009D4A71" w:rsidP="00D00DB0">
      <w:pPr>
        <w:pStyle w:val="ListParagraph"/>
        <w:numPr>
          <w:ilvl w:val="0"/>
          <w:numId w:val="2"/>
        </w:numPr>
      </w:pPr>
      <w:r w:rsidRPr="00BE3F3F">
        <w:t>This report will be coming in Spring 202</w:t>
      </w:r>
      <w:r w:rsidR="007D1142">
        <w:t>5</w:t>
      </w:r>
      <w:r w:rsidRPr="00BE3F3F">
        <w:t>!</w:t>
      </w:r>
    </w:p>
    <w:p w14:paraId="35C5CB9B" w14:textId="7DEC2D3F" w:rsidR="00FD74CB" w:rsidRDefault="009D4A71" w:rsidP="00D00DB0">
      <w:pPr>
        <w:pStyle w:val="ListParagraph"/>
        <w:numPr>
          <w:ilvl w:val="0"/>
          <w:numId w:val="2"/>
        </w:numPr>
      </w:pPr>
      <w:r w:rsidRPr="00BE3F3F">
        <w:t xml:space="preserve">College/Career Additional Report is available on CDE School Dashboard Additional Reports web page at </w:t>
      </w:r>
      <w:hyperlink r:id="rId16" w:tooltip="CDE School Dashboard Additional Reports" w:history="1">
        <w:r w:rsidRPr="00E4064A">
          <w:rPr>
            <w:rStyle w:val="Hyperlink"/>
          </w:rPr>
          <w:t>https://www.cde.ca.gov/ta/ac/cm/dbadditionalrpts.asp</w:t>
        </w:r>
      </w:hyperlink>
      <w:r w:rsidRPr="00BE3F3F">
        <w:t>.</w:t>
      </w:r>
    </w:p>
    <w:p w14:paraId="39773656" w14:textId="77777777" w:rsidR="00FD74CB" w:rsidRDefault="00FD74CB" w:rsidP="00FD74CB"/>
    <w:p w14:paraId="421FB1A4" w14:textId="15FD822A" w:rsidR="005542CF" w:rsidRPr="00FD74CB" w:rsidRDefault="005542CF" w:rsidP="00FD74CB">
      <w:pPr>
        <w:pStyle w:val="Heading2"/>
        <w:pageBreakBefore w:val="0"/>
        <w:pBdr>
          <w:left w:val="single" w:sz="48" w:space="4" w:color="074A6D"/>
        </w:pBdr>
        <w:shd w:val="clear" w:color="auto" w:fill="EFF2F5"/>
        <w:spacing w:before="360"/>
        <w:rPr>
          <w:bCs/>
          <w:color w:val="000000"/>
          <w:sz w:val="36"/>
          <w:szCs w:val="36"/>
        </w:rPr>
      </w:pPr>
      <w:r w:rsidRPr="00FD74CB">
        <w:rPr>
          <w:bCs/>
          <w:color w:val="000000"/>
          <w:sz w:val="36"/>
          <w:szCs w:val="36"/>
        </w:rPr>
        <w:t>Frequently Asked Questions</w:t>
      </w:r>
    </w:p>
    <w:p w14:paraId="47990E68" w14:textId="77777777" w:rsidR="005542CF" w:rsidRPr="00817143" w:rsidRDefault="005542CF" w:rsidP="00817143">
      <w:pPr>
        <w:pStyle w:val="Heading3"/>
        <w:pBdr>
          <w:bottom w:val="single" w:sz="12" w:space="2" w:color="015B8E"/>
        </w:pBdr>
      </w:pPr>
      <w:r w:rsidRPr="00817143">
        <w:t>What Years of Data are Used for the CCI?</w:t>
      </w:r>
    </w:p>
    <w:p w14:paraId="55CA93EE" w14:textId="77777777" w:rsidR="005542CF" w:rsidRDefault="005542CF" w:rsidP="005542CF">
      <w:r w:rsidRPr="00393F7C">
        <w:t>Up to five years of data are used. Therefore, if a student graduated in four years, then we use the last four years of data to identify what a student accomplished. If the student graduated in five years, then the last five years of data are used.</w:t>
      </w:r>
    </w:p>
    <w:p w14:paraId="5799FDBB" w14:textId="77777777" w:rsidR="005542CF" w:rsidRPr="00817143" w:rsidRDefault="005542CF" w:rsidP="00817143">
      <w:pPr>
        <w:pStyle w:val="Heading3"/>
        <w:pBdr>
          <w:bottom w:val="single" w:sz="12" w:space="2" w:color="015B8E"/>
        </w:pBdr>
      </w:pPr>
      <w:r w:rsidRPr="00817143">
        <w:lastRenderedPageBreak/>
        <w:t>Do Dashboard Alternative School Status (DASS) have a separate One-Year Graduation Rates</w:t>
      </w:r>
    </w:p>
    <w:p w14:paraId="49A7DAD4" w14:textId="77777777" w:rsidR="005542CF" w:rsidRPr="00973464" w:rsidRDefault="005542CF" w:rsidP="005542CF">
      <w:r w:rsidRPr="00973464">
        <w:t xml:space="preserve">Due to the US Department of Education’s denial of California’s waiver to continue using modified methods for accountability, the DASS one-year graduation rate can no longer be used. </w:t>
      </w:r>
    </w:p>
    <w:p w14:paraId="4782E66F" w14:textId="77777777" w:rsidR="005542CF" w:rsidRDefault="005542CF" w:rsidP="005542CF">
      <w:r w:rsidRPr="00973464">
        <w:t>Beginning with the 2022 Dashboard, the combined four-and five-year graduation rate is now used for the Graduation Rate Indicator and therefore, this is also used as the denominator for the CCI for all schools, including DASS. </w:t>
      </w:r>
    </w:p>
    <w:p w14:paraId="03CF0DFD" w14:textId="77777777" w:rsidR="005542CF" w:rsidRPr="001E5883" w:rsidRDefault="005542CF" w:rsidP="001E5883">
      <w:pPr>
        <w:pStyle w:val="Heading3"/>
        <w:pBdr>
          <w:bottom w:val="single" w:sz="12" w:space="2" w:color="015B8E"/>
        </w:pBdr>
      </w:pPr>
      <w:r w:rsidRPr="001E5883">
        <w:t>How is College Credit counted in the CCI?</w:t>
      </w:r>
    </w:p>
    <w:p w14:paraId="39585856" w14:textId="77777777" w:rsidR="005542CF" w:rsidRDefault="005542CF" w:rsidP="005542CF">
      <w:r w:rsidRPr="00973464">
        <w:t xml:space="preserve">If the college course is offered within your course </w:t>
      </w:r>
      <w:proofErr w:type="gramStart"/>
      <w:r w:rsidRPr="00973464">
        <w:t>catalog</w:t>
      </w:r>
      <w:proofErr w:type="gramEnd"/>
      <w:r w:rsidRPr="00973464">
        <w:t xml:space="preserve"> then that would be included in CCI but if a student takes a college course independently that is not included in your course catalog, that would not count as college credit for the CCI.</w:t>
      </w:r>
    </w:p>
    <w:p w14:paraId="0D41A247" w14:textId="77777777" w:rsidR="005542CF" w:rsidRPr="001E5883" w:rsidRDefault="005542CF" w:rsidP="001E5883">
      <w:pPr>
        <w:pStyle w:val="Heading3"/>
        <w:pBdr>
          <w:bottom w:val="single" w:sz="12" w:space="2" w:color="015B8E"/>
        </w:pBdr>
      </w:pPr>
      <w:r w:rsidRPr="001E5883">
        <w:t>Can we double count CTE pathway and college credit courses?</w:t>
      </w:r>
    </w:p>
    <w:p w14:paraId="29FB38C3" w14:textId="77777777" w:rsidR="005542CF" w:rsidRDefault="005542CF" w:rsidP="005542CF">
      <w:r w:rsidRPr="00AE235A">
        <w:t>Any CTE college courses used to meet CTE pathway criteria do not also count for the college credit criteria of the CCI. CDE does not allow LEAs and schools to double count students in two CCI measures.</w:t>
      </w:r>
    </w:p>
    <w:p w14:paraId="656423E0" w14:textId="7B0EB3C0" w:rsidR="00C7739C" w:rsidRPr="0053781B" w:rsidRDefault="001F585A" w:rsidP="0053781B">
      <w:pPr>
        <w:pStyle w:val="Heading3"/>
        <w:pBdr>
          <w:bottom w:val="single" w:sz="12" w:space="2" w:color="015B8E"/>
        </w:pBdr>
      </w:pPr>
      <w:r>
        <w:t xml:space="preserve">Can the </w:t>
      </w:r>
      <w:r w:rsidR="00C7739C" w:rsidRPr="0053781B">
        <w:t xml:space="preserve">DASS </w:t>
      </w:r>
      <w:r w:rsidR="0068038C">
        <w:t>One-Year Graduation Rate</w:t>
      </w:r>
      <w:r>
        <w:t xml:space="preserve"> be used to calculate the CCI?</w:t>
      </w:r>
    </w:p>
    <w:p w14:paraId="54ED46A7" w14:textId="77777777" w:rsidR="002C7136" w:rsidRDefault="002C7136" w:rsidP="002C7136">
      <w:r w:rsidRPr="002C7136">
        <w:t xml:space="preserve">Due to the US Department of Education’s denial of California’s waiver to continue using modified methods for accountability, the DASS one-year graduation rate can no longer be used. </w:t>
      </w:r>
    </w:p>
    <w:p w14:paraId="43864A6E" w14:textId="390B9AF8" w:rsidR="000E5B82" w:rsidRDefault="000E5B82" w:rsidP="000E5B82">
      <w:pPr>
        <w:pStyle w:val="Heading3"/>
        <w:pBdr>
          <w:bottom w:val="single" w:sz="12" w:space="2" w:color="015B8E"/>
        </w:pBdr>
      </w:pPr>
      <w:r w:rsidRPr="000E5B82">
        <w:t>How is College Credit counted in the CCI?</w:t>
      </w:r>
    </w:p>
    <w:p w14:paraId="23B50E12" w14:textId="77777777" w:rsidR="000E5B82" w:rsidRPr="000E5B82" w:rsidRDefault="000E5B82" w:rsidP="000E5B82">
      <w:r w:rsidRPr="000E5B82">
        <w:t xml:space="preserve">If the college course is offered within your course catalog, and </w:t>
      </w:r>
      <w:proofErr w:type="gramStart"/>
      <w:r w:rsidRPr="000E5B82">
        <w:t>entered into</w:t>
      </w:r>
      <w:proofErr w:type="gramEnd"/>
      <w:r w:rsidRPr="000E5B82">
        <w:t xml:space="preserve"> CALPADS as a College Credit Course, then that would be included in CCI. If a student takes a college course independently and on their own, and it is a course that is not included in your course catalog or CALPADS, that </w:t>
      </w:r>
      <w:proofErr w:type="gramStart"/>
      <w:r w:rsidRPr="000E5B82">
        <w:t>would</w:t>
      </w:r>
      <w:proofErr w:type="gramEnd"/>
      <w:r w:rsidRPr="000E5B82">
        <w:t xml:space="preserve"> not count as college credit for the CCI. </w:t>
      </w:r>
    </w:p>
    <w:p w14:paraId="4F608250" w14:textId="0474CB27" w:rsidR="000E5B82" w:rsidRDefault="00942DA2" w:rsidP="00442B9B">
      <w:pPr>
        <w:pStyle w:val="Heading3"/>
        <w:pBdr>
          <w:bottom w:val="single" w:sz="12" w:space="2" w:color="015B8E"/>
        </w:pBdr>
      </w:pPr>
      <w:r>
        <w:t xml:space="preserve">Can </w:t>
      </w:r>
      <w:r w:rsidR="00442B9B" w:rsidRPr="00442B9B">
        <w:t>CTE Pathways that simultaneously offer college credit</w:t>
      </w:r>
      <w:r>
        <w:t xml:space="preserve"> be used for the CCI?</w:t>
      </w:r>
    </w:p>
    <w:p w14:paraId="60B30958" w14:textId="77777777" w:rsidR="00942DA2" w:rsidRPr="00942DA2" w:rsidRDefault="00942DA2" w:rsidP="00942DA2">
      <w:proofErr w:type="gramStart"/>
      <w:r w:rsidRPr="00942DA2">
        <w:t>In order to</w:t>
      </w:r>
      <w:proofErr w:type="gramEnd"/>
      <w:r w:rsidRPr="00942DA2">
        <w:t xml:space="preserve"> be prepared on the CCI through the completion of a CTE Pathway, an LEA/school must show that a student has completed both a pathway, as well as meet Smarter Balanced assessment criteria or take an additional college credit course.</w:t>
      </w:r>
    </w:p>
    <w:p w14:paraId="4D66BF31" w14:textId="46A0A24A" w:rsidR="00442B9B" w:rsidRDefault="00942DA2" w:rsidP="00442B9B">
      <w:r w:rsidRPr="00942DA2">
        <w:lastRenderedPageBreak/>
        <w:t xml:space="preserve">CTE college courses used to meet CTE pathway criteria cannot also count for the college credit criteria of the CCI. </w:t>
      </w:r>
    </w:p>
    <w:p w14:paraId="6B99A2A5" w14:textId="2D3E59E2" w:rsidR="005479BA" w:rsidRPr="000D1B86" w:rsidRDefault="005479BA" w:rsidP="005479BA">
      <w:pPr>
        <w:pStyle w:val="Heading3"/>
        <w:pBdr>
          <w:bottom w:val="single" w:sz="12" w:space="2" w:color="015B8E"/>
        </w:pBdr>
        <w:rPr>
          <w:sz w:val="32"/>
          <w:szCs w:val="32"/>
        </w:rPr>
      </w:pPr>
      <w:r w:rsidRPr="000D1B86">
        <w:rPr>
          <w:sz w:val="32"/>
          <w:szCs w:val="32"/>
        </w:rPr>
        <w:t xml:space="preserve">Additional Help with the </w:t>
      </w:r>
      <w:r>
        <w:rPr>
          <w:sz w:val="32"/>
          <w:szCs w:val="32"/>
        </w:rPr>
        <w:t>CCI?</w:t>
      </w:r>
    </w:p>
    <w:p w14:paraId="00017474" w14:textId="5A2A00CA" w:rsidR="005479BA" w:rsidRDefault="005479BA" w:rsidP="00D00DB0">
      <w:pPr>
        <w:numPr>
          <w:ilvl w:val="0"/>
          <w:numId w:val="11"/>
        </w:numPr>
      </w:pPr>
      <w:r w:rsidRPr="00777AB2">
        <w:t xml:space="preserve">The CDE </w:t>
      </w:r>
      <w:r w:rsidR="0080568B">
        <w:t>College/Career</w:t>
      </w:r>
      <w:r w:rsidRPr="00777AB2">
        <w:t xml:space="preserve"> Indicator web page: </w:t>
      </w:r>
      <w:hyperlink r:id="rId17" w:tooltip="CDE College/Career Indicator" w:history="1">
        <w:r w:rsidR="0080568B" w:rsidRPr="005D231D">
          <w:rPr>
            <w:rStyle w:val="Hyperlink"/>
          </w:rPr>
          <w:t>https://www.cde.ca.gov/ta/ac/cm/dashboardccr.asp</w:t>
        </w:r>
      </w:hyperlink>
      <w:r w:rsidR="0080568B">
        <w:t xml:space="preserve"> </w:t>
      </w:r>
    </w:p>
    <w:p w14:paraId="52DD37D1" w14:textId="0F44FD08" w:rsidR="005479BA" w:rsidRPr="00777AB2" w:rsidRDefault="005479BA" w:rsidP="00D00DB0">
      <w:pPr>
        <w:numPr>
          <w:ilvl w:val="0"/>
          <w:numId w:val="11"/>
        </w:numPr>
      </w:pPr>
      <w:r>
        <w:t>CA School Dashboard Technical Guide:</w:t>
      </w:r>
      <w:r>
        <w:br/>
      </w:r>
      <w:hyperlink r:id="rId18" w:tooltip="CA School Dashboard Technical Guide" w:history="1">
        <w:r w:rsidRPr="00023765">
          <w:rPr>
            <w:rStyle w:val="Hyperlink"/>
          </w:rPr>
          <w:t>https://www.cde.ca.gov/ta/ac/cm/dashboardguide24.asp</w:t>
        </w:r>
      </w:hyperlink>
      <w:r>
        <w:t xml:space="preserve"> </w:t>
      </w:r>
    </w:p>
    <w:p w14:paraId="0BB3372E" w14:textId="03D89A50" w:rsidR="005479BA" w:rsidRDefault="005479BA" w:rsidP="00D00DB0">
      <w:pPr>
        <w:numPr>
          <w:ilvl w:val="0"/>
          <w:numId w:val="12"/>
        </w:numPr>
      </w:pPr>
      <w:r w:rsidRPr="00777AB2">
        <w:t xml:space="preserve">The CDE School Dashboard Additional Reports web page: </w:t>
      </w:r>
      <w:hyperlink r:id="rId19" w:tgtFrame="_blank" w:tooltip="CDE School Dashboard Additional Reports " w:history="1">
        <w:r w:rsidRPr="00777AB2">
          <w:rPr>
            <w:rStyle w:val="Hyperlink"/>
          </w:rPr>
          <w:t>https://www6.cde.ca.gov/californiamodel/</w:t>
        </w:r>
      </w:hyperlink>
      <w:r w:rsidRPr="00777AB2">
        <w:rPr>
          <w:u w:val="single"/>
        </w:rPr>
        <w:t> </w:t>
      </w:r>
      <w:r w:rsidRPr="00777AB2">
        <w:t> </w:t>
      </w:r>
    </w:p>
    <w:p w14:paraId="19945BFC" w14:textId="77777777" w:rsidR="005479BA" w:rsidRPr="00442B9B" w:rsidRDefault="005479BA" w:rsidP="00442B9B"/>
    <w:p w14:paraId="20675CE1" w14:textId="667EBC5D" w:rsidR="00DB00E6" w:rsidRPr="00BE07D1" w:rsidRDefault="00DB00E6" w:rsidP="00BE07D1">
      <w:pPr>
        <w:pStyle w:val="Heading2"/>
        <w:pageBreakBefore w:val="0"/>
        <w:pBdr>
          <w:left w:val="single" w:sz="48" w:space="4" w:color="074A6D"/>
        </w:pBdr>
        <w:shd w:val="clear" w:color="auto" w:fill="EFF2F5"/>
        <w:spacing w:before="360"/>
        <w:rPr>
          <w:bCs/>
          <w:color w:val="000000"/>
          <w:sz w:val="36"/>
          <w:szCs w:val="36"/>
        </w:rPr>
      </w:pPr>
      <w:r w:rsidRPr="00BE07D1">
        <w:rPr>
          <w:bCs/>
          <w:color w:val="000000"/>
          <w:sz w:val="36"/>
          <w:szCs w:val="36"/>
        </w:rPr>
        <w:t>General Rules About the Dashboard</w:t>
      </w:r>
    </w:p>
    <w:p w14:paraId="78038C76" w14:textId="77777777" w:rsidR="00475F3B" w:rsidRPr="000D1B86" w:rsidRDefault="00475F3B" w:rsidP="00475F3B">
      <w:pPr>
        <w:pStyle w:val="Heading3"/>
        <w:pBdr>
          <w:bottom w:val="single" w:sz="12" w:space="2" w:color="015B8E"/>
        </w:pBdr>
        <w:rPr>
          <w:sz w:val="32"/>
          <w:szCs w:val="32"/>
        </w:rPr>
      </w:pPr>
      <w:r w:rsidRPr="000D1B86">
        <w:rPr>
          <w:sz w:val="32"/>
          <w:szCs w:val="32"/>
        </w:rPr>
        <w:t xml:space="preserve">A Rule About Charter Schools </w:t>
      </w:r>
    </w:p>
    <w:p w14:paraId="3B308F7E" w14:textId="77777777" w:rsidR="00475F3B" w:rsidRDefault="00475F3B" w:rsidP="00475F3B">
      <w:r w:rsidRPr="00947382">
        <w:t>Because charter schools are treated as LEAs under the Local Control Funding Formula (LCFF), their data are not included in their authorizer’s Dashboard report.</w:t>
      </w:r>
    </w:p>
    <w:p w14:paraId="50FD9BBB" w14:textId="77777777" w:rsidR="00475F3B" w:rsidRPr="00475F3B" w:rsidRDefault="00475F3B" w:rsidP="00475F3B">
      <w:pPr>
        <w:pStyle w:val="Heading3"/>
        <w:pBdr>
          <w:bottom w:val="single" w:sz="12" w:space="2" w:color="015B8E"/>
        </w:pBdr>
        <w:rPr>
          <w:sz w:val="32"/>
          <w:szCs w:val="32"/>
        </w:rPr>
      </w:pPr>
      <w:r w:rsidRPr="00475F3B">
        <w:rPr>
          <w:sz w:val="32"/>
          <w:szCs w:val="32"/>
        </w:rPr>
        <w:t>Dashboard for 30 or More Students </w:t>
      </w:r>
    </w:p>
    <w:p w14:paraId="2C4C2F4C" w14:textId="77777777" w:rsidR="00475F3B" w:rsidRDefault="00475F3B" w:rsidP="00D00DB0">
      <w:pPr>
        <w:pStyle w:val="paragraph"/>
        <w:numPr>
          <w:ilvl w:val="0"/>
          <w:numId w:val="13"/>
        </w:numPr>
        <w:tabs>
          <w:tab w:val="clear" w:pos="720"/>
          <w:tab w:val="num" w:pos="360"/>
        </w:tabs>
        <w:spacing w:before="0" w:beforeAutospacing="0" w:after="0" w:afterAutospacing="0"/>
        <w:ind w:firstLine="0"/>
        <w:textAlignment w:val="baseline"/>
        <w:rPr>
          <w:rFonts w:ascii="Arial" w:hAnsi="Arial" w:cs="Arial"/>
        </w:rPr>
      </w:pPr>
      <w:r>
        <w:rPr>
          <w:rStyle w:val="normaltextrun"/>
          <w:rFonts w:ascii="Arial" w:hAnsi="Arial" w:cs="Arial"/>
        </w:rPr>
        <w:t>Performance Level (color) gauge graphic displayed</w:t>
      </w:r>
      <w:r>
        <w:rPr>
          <w:rStyle w:val="eop"/>
          <w:rFonts w:ascii="Arial" w:hAnsi="Arial" w:cs="Arial"/>
        </w:rPr>
        <w:t> </w:t>
      </w:r>
    </w:p>
    <w:p w14:paraId="01BF52B3" w14:textId="77777777" w:rsidR="00475F3B" w:rsidRDefault="00475F3B" w:rsidP="00D00DB0">
      <w:pPr>
        <w:pStyle w:val="paragraph"/>
        <w:numPr>
          <w:ilvl w:val="0"/>
          <w:numId w:val="14"/>
        </w:numPr>
        <w:tabs>
          <w:tab w:val="clear" w:pos="720"/>
          <w:tab w:val="num" w:pos="360"/>
        </w:tabs>
        <w:spacing w:before="0" w:beforeAutospacing="0" w:after="0" w:afterAutospacing="0"/>
        <w:ind w:firstLine="0"/>
        <w:textAlignment w:val="baseline"/>
        <w:rPr>
          <w:rFonts w:ascii="Arial" w:hAnsi="Arial" w:cs="Arial"/>
        </w:rPr>
      </w:pPr>
      <w:r>
        <w:rPr>
          <w:rStyle w:val="normaltextrun"/>
          <w:rFonts w:ascii="Arial" w:hAnsi="Arial" w:cs="Arial"/>
        </w:rPr>
        <w:t>Status and Change reported</w:t>
      </w:r>
      <w:r>
        <w:rPr>
          <w:rStyle w:val="eop"/>
          <w:rFonts w:ascii="Arial" w:hAnsi="Arial" w:cs="Arial"/>
        </w:rPr>
        <w:t> </w:t>
      </w:r>
    </w:p>
    <w:p w14:paraId="23D45992" w14:textId="77777777" w:rsidR="00475F3B" w:rsidRDefault="00475F3B" w:rsidP="00D00DB0">
      <w:pPr>
        <w:pStyle w:val="paragraph"/>
        <w:numPr>
          <w:ilvl w:val="0"/>
          <w:numId w:val="15"/>
        </w:numPr>
        <w:tabs>
          <w:tab w:val="clear" w:pos="720"/>
          <w:tab w:val="num" w:pos="360"/>
        </w:tabs>
        <w:spacing w:before="0" w:beforeAutospacing="0" w:after="0" w:afterAutospacing="0"/>
        <w:ind w:firstLine="0"/>
        <w:textAlignment w:val="baseline"/>
        <w:rPr>
          <w:rStyle w:val="eop"/>
          <w:rFonts w:ascii="Arial" w:hAnsi="Arial" w:cs="Arial"/>
        </w:rPr>
      </w:pPr>
      <w:r>
        <w:rPr>
          <w:rStyle w:val="normaltextrun"/>
          <w:rFonts w:ascii="Arial" w:hAnsi="Arial" w:cs="Arial"/>
        </w:rPr>
        <w:t>Held accountable for support determinations</w:t>
      </w:r>
      <w:r>
        <w:rPr>
          <w:rStyle w:val="eop"/>
          <w:rFonts w:ascii="Arial" w:hAnsi="Arial" w:cs="Arial"/>
        </w:rPr>
        <w:t> </w:t>
      </w:r>
    </w:p>
    <w:p w14:paraId="247D06E4" w14:textId="77777777" w:rsidR="00475F3B" w:rsidRPr="00475F3B" w:rsidRDefault="00475F3B" w:rsidP="00475F3B">
      <w:pPr>
        <w:pStyle w:val="Heading3"/>
        <w:pBdr>
          <w:bottom w:val="single" w:sz="12" w:space="2" w:color="015B8E"/>
        </w:pBdr>
        <w:rPr>
          <w:sz w:val="32"/>
          <w:szCs w:val="32"/>
        </w:rPr>
      </w:pPr>
      <w:r w:rsidRPr="00475F3B">
        <w:rPr>
          <w:sz w:val="32"/>
          <w:szCs w:val="32"/>
        </w:rPr>
        <w:t>Dashboard for 11 to 29 Students </w:t>
      </w:r>
    </w:p>
    <w:p w14:paraId="6B7E22EE" w14:textId="77777777" w:rsidR="00475F3B" w:rsidRDefault="00475F3B" w:rsidP="00D00DB0">
      <w:pPr>
        <w:pStyle w:val="paragraph"/>
        <w:numPr>
          <w:ilvl w:val="0"/>
          <w:numId w:val="16"/>
        </w:numPr>
        <w:spacing w:before="0" w:beforeAutospacing="0" w:after="0" w:afterAutospacing="0"/>
        <w:ind w:left="1080" w:firstLine="0"/>
        <w:textAlignment w:val="baseline"/>
        <w:rPr>
          <w:rFonts w:ascii="Arial" w:hAnsi="Arial" w:cs="Arial"/>
        </w:rPr>
      </w:pPr>
      <w:r>
        <w:rPr>
          <w:rStyle w:val="normaltextrun"/>
          <w:rFonts w:ascii="Arial" w:hAnsi="Arial" w:cs="Arial"/>
        </w:rPr>
        <w:t>Performance Level (color) graphic greyed out</w:t>
      </w:r>
      <w:r>
        <w:rPr>
          <w:rStyle w:val="eop"/>
          <w:rFonts w:ascii="Arial" w:hAnsi="Arial" w:cs="Arial"/>
        </w:rPr>
        <w:t> </w:t>
      </w:r>
    </w:p>
    <w:p w14:paraId="610EF6F3" w14:textId="77777777" w:rsidR="00475F3B" w:rsidRDefault="00475F3B" w:rsidP="00D00DB0">
      <w:pPr>
        <w:pStyle w:val="paragraph"/>
        <w:numPr>
          <w:ilvl w:val="0"/>
          <w:numId w:val="17"/>
        </w:numPr>
        <w:spacing w:before="0" w:beforeAutospacing="0" w:after="0" w:afterAutospacing="0"/>
        <w:ind w:left="1080" w:firstLine="0"/>
        <w:textAlignment w:val="baseline"/>
        <w:rPr>
          <w:rFonts w:ascii="Arial" w:hAnsi="Arial" w:cs="Arial"/>
        </w:rPr>
      </w:pPr>
      <w:r>
        <w:rPr>
          <w:rStyle w:val="normaltextrun"/>
          <w:rFonts w:ascii="Arial" w:hAnsi="Arial" w:cs="Arial"/>
        </w:rPr>
        <w:t>Status and Change reported</w:t>
      </w:r>
      <w:r>
        <w:rPr>
          <w:rStyle w:val="eop"/>
          <w:rFonts w:ascii="Arial" w:hAnsi="Arial" w:cs="Arial"/>
        </w:rPr>
        <w:t> </w:t>
      </w:r>
    </w:p>
    <w:p w14:paraId="1624B719" w14:textId="77777777" w:rsidR="00475F3B" w:rsidRDefault="00475F3B" w:rsidP="00D00DB0">
      <w:pPr>
        <w:pStyle w:val="paragraph"/>
        <w:numPr>
          <w:ilvl w:val="0"/>
          <w:numId w:val="18"/>
        </w:numPr>
        <w:spacing w:before="0" w:beforeAutospacing="0" w:after="0" w:afterAutospacing="0"/>
        <w:ind w:left="1080" w:firstLine="0"/>
        <w:textAlignment w:val="baseline"/>
        <w:rPr>
          <w:rFonts w:ascii="Arial" w:hAnsi="Arial" w:cs="Arial"/>
        </w:rPr>
      </w:pPr>
      <w:r>
        <w:rPr>
          <w:rStyle w:val="normaltextrun"/>
          <w:rFonts w:ascii="Arial" w:hAnsi="Arial" w:cs="Arial"/>
        </w:rPr>
        <w:t>Not held accountable for support determinations</w:t>
      </w:r>
      <w:r>
        <w:rPr>
          <w:rStyle w:val="eop"/>
          <w:rFonts w:ascii="Arial" w:hAnsi="Arial" w:cs="Arial"/>
        </w:rPr>
        <w:t> </w:t>
      </w:r>
    </w:p>
    <w:p w14:paraId="1991065D" w14:textId="77777777" w:rsidR="00475F3B" w:rsidRPr="00475F3B" w:rsidRDefault="00475F3B" w:rsidP="00475F3B">
      <w:pPr>
        <w:pStyle w:val="Heading3"/>
        <w:pBdr>
          <w:bottom w:val="single" w:sz="12" w:space="2" w:color="015B8E"/>
        </w:pBdr>
        <w:rPr>
          <w:sz w:val="32"/>
          <w:szCs w:val="32"/>
        </w:rPr>
      </w:pPr>
      <w:r w:rsidRPr="00475F3B">
        <w:rPr>
          <w:sz w:val="32"/>
          <w:szCs w:val="32"/>
        </w:rPr>
        <w:t>Dashboard for Fewer than 11 Students </w:t>
      </w:r>
    </w:p>
    <w:p w14:paraId="6BADCDD0" w14:textId="77777777" w:rsidR="00475F3B" w:rsidRDefault="00475F3B" w:rsidP="00D00DB0">
      <w:pPr>
        <w:pStyle w:val="paragraph"/>
        <w:numPr>
          <w:ilvl w:val="0"/>
          <w:numId w:val="19"/>
        </w:numPr>
        <w:spacing w:before="0" w:beforeAutospacing="0" w:after="0" w:afterAutospacing="0"/>
        <w:ind w:left="1080" w:firstLine="0"/>
        <w:textAlignment w:val="baseline"/>
        <w:rPr>
          <w:rFonts w:ascii="Arial" w:hAnsi="Arial" w:cs="Arial"/>
        </w:rPr>
      </w:pPr>
      <w:r>
        <w:rPr>
          <w:rStyle w:val="normaltextrun"/>
          <w:rFonts w:ascii="Arial" w:hAnsi="Arial" w:cs="Arial"/>
        </w:rPr>
        <w:t>Performance Level (color) graphic greyed out</w:t>
      </w:r>
      <w:r>
        <w:rPr>
          <w:rStyle w:val="eop"/>
          <w:rFonts w:ascii="Arial" w:hAnsi="Arial" w:cs="Arial"/>
        </w:rPr>
        <w:t> </w:t>
      </w:r>
    </w:p>
    <w:p w14:paraId="05BD8EF7" w14:textId="77777777" w:rsidR="00475F3B" w:rsidRDefault="00475F3B" w:rsidP="00D00DB0">
      <w:pPr>
        <w:pStyle w:val="paragraph"/>
        <w:numPr>
          <w:ilvl w:val="0"/>
          <w:numId w:val="20"/>
        </w:numPr>
        <w:spacing w:before="0" w:beforeAutospacing="0" w:after="0" w:afterAutospacing="0"/>
        <w:ind w:left="1080" w:firstLine="0"/>
        <w:textAlignment w:val="baseline"/>
        <w:rPr>
          <w:rFonts w:ascii="Arial" w:hAnsi="Arial" w:cs="Arial"/>
        </w:rPr>
      </w:pPr>
      <w:r>
        <w:rPr>
          <w:rStyle w:val="normaltextrun"/>
          <w:rFonts w:ascii="Arial" w:hAnsi="Arial" w:cs="Arial"/>
        </w:rPr>
        <w:t>Status and Change not reported</w:t>
      </w:r>
      <w:r>
        <w:rPr>
          <w:rStyle w:val="eop"/>
          <w:rFonts w:ascii="Arial" w:hAnsi="Arial" w:cs="Arial"/>
        </w:rPr>
        <w:t> </w:t>
      </w:r>
    </w:p>
    <w:p w14:paraId="54224A82" w14:textId="77777777" w:rsidR="00475F3B" w:rsidRDefault="00475F3B" w:rsidP="00D00DB0">
      <w:pPr>
        <w:pStyle w:val="paragraph"/>
        <w:numPr>
          <w:ilvl w:val="0"/>
          <w:numId w:val="21"/>
        </w:numPr>
        <w:spacing w:before="0" w:beforeAutospacing="0" w:after="0" w:afterAutospacing="0"/>
        <w:ind w:left="1080" w:firstLine="0"/>
        <w:textAlignment w:val="baseline"/>
        <w:rPr>
          <w:rFonts w:ascii="Arial" w:hAnsi="Arial" w:cs="Arial"/>
        </w:rPr>
      </w:pPr>
      <w:r>
        <w:rPr>
          <w:rStyle w:val="normaltextrun"/>
          <w:rFonts w:ascii="Arial" w:hAnsi="Arial" w:cs="Arial"/>
        </w:rPr>
        <w:t>Not held accountable for support determinations</w:t>
      </w:r>
      <w:r>
        <w:rPr>
          <w:rStyle w:val="eop"/>
          <w:rFonts w:ascii="Arial" w:hAnsi="Arial" w:cs="Arial"/>
        </w:rPr>
        <w:t> </w:t>
      </w:r>
    </w:p>
    <w:p w14:paraId="175045AC" w14:textId="16536C0A" w:rsidR="004E7631" w:rsidRPr="000F4638" w:rsidRDefault="004E7631" w:rsidP="000F4638">
      <w:pPr>
        <w:pStyle w:val="Heading3"/>
        <w:pBdr>
          <w:bottom w:val="single" w:sz="12" w:space="2" w:color="015B8E"/>
        </w:pBdr>
        <w:rPr>
          <w:sz w:val="32"/>
          <w:szCs w:val="32"/>
        </w:rPr>
      </w:pPr>
      <w:r w:rsidRPr="000F4638">
        <w:rPr>
          <w:sz w:val="32"/>
          <w:szCs w:val="32"/>
        </w:rPr>
        <w:lastRenderedPageBreak/>
        <w:t>N-</w:t>
      </w:r>
      <w:r w:rsidR="00C82259" w:rsidRPr="000F4638">
        <w:rPr>
          <w:sz w:val="32"/>
          <w:szCs w:val="32"/>
        </w:rPr>
        <w:t>S</w:t>
      </w:r>
      <w:r w:rsidRPr="000F4638">
        <w:rPr>
          <w:sz w:val="32"/>
          <w:szCs w:val="32"/>
        </w:rPr>
        <w:t xml:space="preserve">ize Exceptions </w:t>
      </w:r>
    </w:p>
    <w:p w14:paraId="7D8D92F9" w14:textId="570FBD0B" w:rsidR="004E7631" w:rsidRPr="00BE3F3F" w:rsidRDefault="0046005E" w:rsidP="00B25315">
      <w:r w:rsidRPr="00BE3F3F">
        <w:t>The N-</w:t>
      </w:r>
      <w:r w:rsidR="00C82259" w:rsidRPr="00BE3F3F">
        <w:t>S</w:t>
      </w:r>
      <w:r w:rsidRPr="00BE3F3F">
        <w:t xml:space="preserve">ize Exception applies to </w:t>
      </w:r>
      <w:r w:rsidR="00FE7A7F" w:rsidRPr="00BE3F3F">
        <w:rPr>
          <w:b/>
          <w:bCs/>
        </w:rPr>
        <w:t>F</w:t>
      </w:r>
      <w:r w:rsidRPr="00BE3F3F">
        <w:rPr>
          <w:b/>
          <w:bCs/>
        </w:rPr>
        <w:t xml:space="preserve">oster </w:t>
      </w:r>
      <w:r w:rsidR="00FE7A7F" w:rsidRPr="00BE3F3F">
        <w:rPr>
          <w:b/>
          <w:bCs/>
        </w:rPr>
        <w:t>Y</w:t>
      </w:r>
      <w:r w:rsidRPr="00BE3F3F">
        <w:rPr>
          <w:b/>
          <w:bCs/>
        </w:rPr>
        <w:t>outh</w:t>
      </w:r>
      <w:r w:rsidR="000E048E">
        <w:rPr>
          <w:b/>
          <w:bCs/>
        </w:rPr>
        <w:t>,</w:t>
      </w:r>
      <w:r w:rsidRPr="00BE3F3F">
        <w:rPr>
          <w:b/>
          <w:bCs/>
        </w:rPr>
        <w:t xml:space="preserve"> </w:t>
      </w:r>
      <w:r w:rsidR="00FE7A7F" w:rsidRPr="00BE3F3F">
        <w:rPr>
          <w:b/>
          <w:bCs/>
        </w:rPr>
        <w:t>H</w:t>
      </w:r>
      <w:r w:rsidRPr="00BE3F3F">
        <w:rPr>
          <w:b/>
          <w:bCs/>
        </w:rPr>
        <w:t>omeless</w:t>
      </w:r>
      <w:r w:rsidR="000E048E">
        <w:rPr>
          <w:b/>
          <w:bCs/>
        </w:rPr>
        <w:t>, and Long-Term English Learner</w:t>
      </w:r>
      <w:r w:rsidR="0011768E">
        <w:rPr>
          <w:b/>
          <w:bCs/>
        </w:rPr>
        <w:t xml:space="preserve"> (LTEL)</w:t>
      </w:r>
      <w:r w:rsidR="00086D3A" w:rsidRPr="00BE3F3F">
        <w:rPr>
          <w:b/>
          <w:bCs/>
        </w:rPr>
        <w:t xml:space="preserve"> student</w:t>
      </w:r>
      <w:r w:rsidR="00FE7A7F" w:rsidRPr="00BE3F3F">
        <w:rPr>
          <w:b/>
          <w:bCs/>
        </w:rPr>
        <w:t xml:space="preserve"> group</w:t>
      </w:r>
      <w:r w:rsidR="00086D3A" w:rsidRPr="00BE3F3F">
        <w:rPr>
          <w:b/>
          <w:bCs/>
        </w:rPr>
        <w:t>s</w:t>
      </w:r>
      <w:r w:rsidRPr="00BE3F3F">
        <w:t xml:space="preserve">. </w:t>
      </w:r>
      <w:r w:rsidR="004E7631" w:rsidRPr="00BE3F3F">
        <w:t xml:space="preserve">Foster Youth and Homeless student group </w:t>
      </w:r>
      <w:r w:rsidRPr="00BE3F3F">
        <w:t>N</w:t>
      </w:r>
      <w:r w:rsidR="004E7631" w:rsidRPr="00BE3F3F">
        <w:t>-size thresholds are different at LEA and school levels</w:t>
      </w:r>
      <w:r w:rsidRPr="00BE3F3F">
        <w:t>.</w:t>
      </w:r>
    </w:p>
    <w:p w14:paraId="3B4C6334" w14:textId="3B0880FF" w:rsidR="004E7631" w:rsidRPr="00BE3F3F" w:rsidRDefault="004E7631" w:rsidP="00E263F1">
      <w:pPr>
        <w:pStyle w:val="ListParagraph"/>
      </w:pPr>
      <w:r w:rsidRPr="00BE3F3F">
        <w:t xml:space="preserve">LEA-level: N-size must </w:t>
      </w:r>
      <w:proofErr w:type="gramStart"/>
      <w:r w:rsidRPr="00BE3F3F">
        <w:t>be</w:t>
      </w:r>
      <w:proofErr w:type="gramEnd"/>
      <w:r w:rsidRPr="00BE3F3F">
        <w:t xml:space="preserve"> 15 or more students in the denominator to be reported on the Dashboard </w:t>
      </w:r>
      <w:r w:rsidR="00097645" w:rsidRPr="00BE3F3F">
        <w:t>and held accountable</w:t>
      </w:r>
      <w:r w:rsidRPr="00BE3F3F">
        <w:t xml:space="preserve">. </w:t>
      </w:r>
    </w:p>
    <w:p w14:paraId="502B87F9" w14:textId="4499C707" w:rsidR="004E7631" w:rsidRPr="00BE3F3F" w:rsidRDefault="004E7631" w:rsidP="00E263F1">
      <w:pPr>
        <w:pStyle w:val="ListParagraph"/>
      </w:pPr>
      <w:r w:rsidRPr="00BE3F3F">
        <w:t xml:space="preserve">School-level: N-size must be 30 or more students in the denominator to be </w:t>
      </w:r>
      <w:r w:rsidR="00882837" w:rsidRPr="00BE3F3F">
        <w:t xml:space="preserve">reported on the Dashboard </w:t>
      </w:r>
      <w:r w:rsidR="00D73D8E" w:rsidRPr="00BE3F3F">
        <w:t>and held accountable</w:t>
      </w:r>
      <w:r w:rsidR="00882837" w:rsidRPr="00BE3F3F">
        <w:t>.</w:t>
      </w:r>
    </w:p>
    <w:p w14:paraId="7C98B1CF" w14:textId="717FE1E9" w:rsidR="00B71570" w:rsidRPr="00BE3F3F" w:rsidRDefault="004E7631" w:rsidP="00B25315">
      <w:r w:rsidRPr="00BE3F3F">
        <w:t xml:space="preserve">For this exception, </w:t>
      </w:r>
      <w:r w:rsidRPr="00BE3F3F">
        <w:rPr>
          <w:b/>
          <w:bCs/>
        </w:rPr>
        <w:t>charter schools</w:t>
      </w:r>
      <w:r w:rsidRPr="00BE3F3F">
        <w:t xml:space="preserve"> are treated as schools (not LEAs). Therefore, charter schools will need 30 or more students in the denominator for Foster Youth</w:t>
      </w:r>
      <w:r w:rsidR="000F4638">
        <w:t xml:space="preserve">, </w:t>
      </w:r>
      <w:r w:rsidRPr="00BE3F3F">
        <w:t>Homeless</w:t>
      </w:r>
      <w:r w:rsidR="00930A6C">
        <w:t xml:space="preserve"> and LTEL</w:t>
      </w:r>
      <w:r w:rsidRPr="00BE3F3F">
        <w:t xml:space="preserve"> student groups</w:t>
      </w:r>
      <w:r w:rsidR="00315FB7" w:rsidRPr="00BE3F3F">
        <w:t xml:space="preserve"> to be held accountable</w:t>
      </w:r>
      <w:r w:rsidRPr="00BE3F3F">
        <w:t>.</w:t>
      </w:r>
    </w:p>
    <w:p w14:paraId="03FB6A19" w14:textId="77777777" w:rsidR="00EC7489" w:rsidRPr="00930A6C" w:rsidRDefault="00EC7489" w:rsidP="00930A6C">
      <w:pPr>
        <w:pStyle w:val="Heading3"/>
        <w:pBdr>
          <w:bottom w:val="single" w:sz="12" w:space="2" w:color="015B8E"/>
        </w:pBdr>
        <w:rPr>
          <w:sz w:val="32"/>
          <w:szCs w:val="32"/>
        </w:rPr>
      </w:pPr>
      <w:r w:rsidRPr="00930A6C">
        <w:rPr>
          <w:sz w:val="32"/>
          <w:szCs w:val="32"/>
        </w:rPr>
        <w:t xml:space="preserve">District of Special Education Accountability (DSEA) </w:t>
      </w:r>
    </w:p>
    <w:p w14:paraId="5F21F6F4" w14:textId="77777777" w:rsidR="00EC7489" w:rsidRPr="00BE3F3F" w:rsidRDefault="00EC7489" w:rsidP="009A3763">
      <w:pPr>
        <w:spacing w:line="240" w:lineRule="auto"/>
        <w:rPr>
          <w:rFonts w:eastAsia="Times New Roman" w:cs="Arial"/>
          <w:szCs w:val="24"/>
        </w:rPr>
      </w:pPr>
      <w:r w:rsidRPr="00BE3F3F">
        <w:rPr>
          <w:rFonts w:eastAsia="Times New Roman" w:cs="Arial"/>
          <w:szCs w:val="24"/>
        </w:rPr>
        <w:t xml:space="preserve">The District of Special Education Accountability (DSEA) rule is applied to all available state indicators for Students with Disabilities (SWDs) who receive special education services at another district or county office of education. These students will be “sent back” to the district of residence or DSEA and included in the DSEA’s Dashboard. </w:t>
      </w:r>
    </w:p>
    <w:p w14:paraId="238960A8" w14:textId="3595A085" w:rsidR="00EC7489" w:rsidRPr="00BE3F3F" w:rsidRDefault="00EC7489" w:rsidP="009A3763">
      <w:pPr>
        <w:spacing w:line="240" w:lineRule="auto"/>
      </w:pPr>
      <w:r w:rsidRPr="00BE3F3F">
        <w:rPr>
          <w:rFonts w:eastAsia="Times New Roman" w:cs="Arial"/>
          <w:szCs w:val="24"/>
        </w:rPr>
        <w:t xml:space="preserve">For example, the district where the student geographically resides is held accountable for the student’s graduation outcomes and that data is included in the district of residence’s Graduation Rate Indicator.  </w:t>
      </w:r>
    </w:p>
    <w:p w14:paraId="09ED6C41" w14:textId="483BE1C0" w:rsidR="00EC7489" w:rsidRDefault="00EC7489" w:rsidP="009A3763">
      <w:pPr>
        <w:spacing w:line="240" w:lineRule="auto"/>
        <w:rPr>
          <w:rFonts w:eastAsia="Times New Roman" w:cs="Arial"/>
          <w:szCs w:val="24"/>
        </w:rPr>
      </w:pPr>
      <w:r w:rsidRPr="00BE3F3F">
        <w:rPr>
          <w:rFonts w:eastAsia="Times New Roman" w:cs="Arial"/>
          <w:szCs w:val="24"/>
        </w:rPr>
        <w:t xml:space="preserve">Please note that this rule applies to LEAs only. All schools, including charter schools, are held accountable for all SWDs.  </w:t>
      </w:r>
    </w:p>
    <w:p w14:paraId="2B1EE115" w14:textId="52F4B089" w:rsidR="00162812" w:rsidRDefault="00162812" w:rsidP="00162812">
      <w:pPr>
        <w:rPr>
          <w:rStyle w:val="Hyperlink"/>
          <w:rFonts w:eastAsiaTheme="minorEastAsia" w:cs="Arial"/>
          <w:szCs w:val="24"/>
        </w:rPr>
      </w:pPr>
      <w:r w:rsidRPr="00C40B22">
        <w:t>For further information on the DSEA rule, refer to District of Special</w:t>
      </w:r>
      <w:r>
        <w:t xml:space="preserve"> </w:t>
      </w:r>
      <w:r w:rsidRPr="00C40B22">
        <w:t xml:space="preserve">Education Accountability </w:t>
      </w:r>
      <w:r>
        <w:t xml:space="preserve">Rule </w:t>
      </w:r>
      <w:r w:rsidRPr="00C40B22">
        <w:t>for</w:t>
      </w:r>
      <w:r>
        <w:t xml:space="preserve"> </w:t>
      </w:r>
      <w:r w:rsidRPr="00C40B22">
        <w:t>Students with Disabilities Flyer</w:t>
      </w:r>
      <w:r>
        <w:t xml:space="preserve"> on the CDE website at</w:t>
      </w:r>
      <w:r w:rsidRPr="00C40B22">
        <w:t xml:space="preserve"> </w:t>
      </w:r>
      <w:hyperlink r:id="rId20" w:tooltip="District of Special Education Accountability Rule for Students with Disabilities Flyer " w:history="1">
        <w:r w:rsidR="008A6407" w:rsidRPr="008A6407">
          <w:rPr>
            <w:rStyle w:val="Hyperlink"/>
          </w:rPr>
          <w:t>https://www.cde.ca.gov/ta/ac/cm/documents/districtresidencerule24.pdf</w:t>
        </w:r>
      </w:hyperlink>
    </w:p>
    <w:p w14:paraId="6A4C889A" w14:textId="77777777" w:rsidR="008B2523" w:rsidRPr="000D1B86" w:rsidRDefault="008B2523" w:rsidP="008B2523">
      <w:pPr>
        <w:pStyle w:val="Heading3"/>
        <w:pBdr>
          <w:bottom w:val="single" w:sz="12" w:space="2" w:color="015B8E"/>
        </w:pBdr>
        <w:rPr>
          <w:sz w:val="32"/>
          <w:szCs w:val="32"/>
        </w:rPr>
      </w:pPr>
      <w:r w:rsidRPr="000D1B86">
        <w:rPr>
          <w:sz w:val="32"/>
          <w:szCs w:val="32"/>
        </w:rPr>
        <w:t>Contacting Us</w:t>
      </w:r>
    </w:p>
    <w:p w14:paraId="15215A82" w14:textId="47B4C32B" w:rsidR="008B2523" w:rsidRPr="00FF34EF" w:rsidRDefault="008B2523" w:rsidP="008B2523">
      <w:pPr>
        <w:rPr>
          <w:rFonts w:cs="Arial"/>
        </w:rPr>
      </w:pPr>
      <w:r w:rsidRPr="00FF34EF">
        <w:t>Email the Analysis, Measurement, and Accountability Reporting Division at</w:t>
      </w:r>
      <w:r>
        <w:t xml:space="preserve"> </w:t>
      </w:r>
      <w:hyperlink r:id="rId21" w:tooltip="Analysis, Measurement, and Accountability Reporting Division " w:history="1">
        <w:r w:rsidRPr="00BF3B70">
          <w:rPr>
            <w:rStyle w:val="Hyperlink"/>
            <w:rFonts w:cs="Arial"/>
          </w:rPr>
          <w:t>dashboard@cde.ca.gov</w:t>
        </w:r>
      </w:hyperlink>
      <w:r w:rsidRPr="00FF34EF">
        <w:rPr>
          <w:rFonts w:cs="Arial"/>
        </w:rPr>
        <w:t>.</w:t>
      </w:r>
    </w:p>
    <w:p w14:paraId="3B99E98B" w14:textId="2C775C65" w:rsidR="008B2523" w:rsidRDefault="008B2523" w:rsidP="008B2523">
      <w:r w:rsidRPr="00FF34EF">
        <w:t xml:space="preserve">Follow us on </w:t>
      </w:r>
      <w:r w:rsidRPr="008D5C74">
        <w:t xml:space="preserve">X (formerly Twitter): </w:t>
      </w:r>
      <w:hyperlink r:id="rId22" w:tgtFrame="_blank" w:tooltip="X (formerly Twitter)" w:history="1">
        <w:r w:rsidRPr="008D5C74">
          <w:rPr>
            <w:rStyle w:val="Hyperlink"/>
          </w:rPr>
          <w:t>@CDEDashboard</w:t>
        </w:r>
      </w:hyperlink>
    </w:p>
    <w:sectPr w:rsidR="008B2523" w:rsidSect="005E2B1E">
      <w:headerReference w:type="default" r:id="rId23"/>
      <w:footerReference w:type="default" r:id="rId2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4D5F5" w14:textId="77777777" w:rsidR="003B3E52" w:rsidRDefault="003B3E52" w:rsidP="00B25315">
      <w:r>
        <w:separator/>
      </w:r>
    </w:p>
    <w:p w14:paraId="63110147" w14:textId="77777777" w:rsidR="003B3E52" w:rsidRDefault="003B3E52" w:rsidP="00B25315"/>
  </w:endnote>
  <w:endnote w:type="continuationSeparator" w:id="0">
    <w:p w14:paraId="05801CF3" w14:textId="77777777" w:rsidR="003B3E52" w:rsidRDefault="003B3E52" w:rsidP="00B25315">
      <w:r>
        <w:continuationSeparator/>
      </w:r>
    </w:p>
    <w:p w14:paraId="1EE33E97" w14:textId="77777777" w:rsidR="003B3E52" w:rsidRDefault="003B3E52" w:rsidP="00B25315"/>
  </w:endnote>
  <w:endnote w:type="continuationNotice" w:id="1">
    <w:p w14:paraId="00C050B4" w14:textId="77777777" w:rsidR="003B3E52" w:rsidRDefault="003B3E52" w:rsidP="00B25315"/>
    <w:p w14:paraId="6CE4C628" w14:textId="77777777" w:rsidR="003B3E52" w:rsidRDefault="003B3E52" w:rsidP="00B253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710BA" w14:textId="6D8C390E" w:rsidR="0081093B" w:rsidRPr="002D2C77" w:rsidRDefault="6C190428" w:rsidP="002D2C77">
    <w:pPr>
      <w:pStyle w:val="Footer"/>
    </w:pPr>
    <w:r>
      <w:t xml:space="preserve">2024 Dashboard Fall Webinar Series: </w:t>
    </w:r>
    <w:r w:rsidR="003F1902">
      <w:t>CCI</w:t>
    </w:r>
    <w:r w:rsidR="003F1902">
      <w:tab/>
    </w:r>
    <w:r w:rsidR="002D2C77">
      <w:tab/>
    </w:r>
    <w:r>
      <w:t xml:space="preserve">Page </w:t>
    </w:r>
    <w:r w:rsidR="002D2C77" w:rsidRPr="6C190428">
      <w:rPr>
        <w:b/>
        <w:bCs/>
      </w:rPr>
      <w:fldChar w:fldCharType="begin"/>
    </w:r>
    <w:r w:rsidR="002D2C77" w:rsidRPr="6C190428">
      <w:rPr>
        <w:b/>
        <w:bCs/>
      </w:rPr>
      <w:instrText xml:space="preserve"> PAGE  \* Arabic  \* MERGEFORMAT </w:instrText>
    </w:r>
    <w:r w:rsidR="002D2C77" w:rsidRPr="6C190428">
      <w:rPr>
        <w:b/>
        <w:bCs/>
      </w:rPr>
      <w:fldChar w:fldCharType="separate"/>
    </w:r>
    <w:r w:rsidRPr="6C190428">
      <w:rPr>
        <w:b/>
        <w:bCs/>
      </w:rPr>
      <w:t>1</w:t>
    </w:r>
    <w:r w:rsidR="002D2C77" w:rsidRPr="6C190428">
      <w:rPr>
        <w:b/>
        <w:bCs/>
      </w:rPr>
      <w:fldChar w:fldCharType="end"/>
    </w:r>
    <w:r>
      <w:t xml:space="preserve"> of </w:t>
    </w:r>
    <w:r w:rsidR="002D2C77" w:rsidRPr="6C190428">
      <w:rPr>
        <w:b/>
        <w:bCs/>
      </w:rPr>
      <w:fldChar w:fldCharType="begin"/>
    </w:r>
    <w:r w:rsidR="002D2C77" w:rsidRPr="6C190428">
      <w:rPr>
        <w:b/>
        <w:bCs/>
      </w:rPr>
      <w:instrText xml:space="preserve"> NUMPAGES  \* Arabic  \* MERGEFORMAT </w:instrText>
    </w:r>
    <w:r w:rsidR="002D2C77" w:rsidRPr="6C190428">
      <w:rPr>
        <w:b/>
        <w:bCs/>
      </w:rPr>
      <w:fldChar w:fldCharType="separate"/>
    </w:r>
    <w:r w:rsidRPr="6C190428">
      <w:rPr>
        <w:b/>
        <w:bCs/>
      </w:rPr>
      <w:t>8</w:t>
    </w:r>
    <w:r w:rsidR="002D2C77" w:rsidRPr="6C190428">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8EF90" w14:textId="77777777" w:rsidR="003B3E52" w:rsidRDefault="003B3E52" w:rsidP="00B25315">
      <w:r>
        <w:separator/>
      </w:r>
    </w:p>
    <w:p w14:paraId="77AB20EE" w14:textId="77777777" w:rsidR="003B3E52" w:rsidRDefault="003B3E52" w:rsidP="00B25315"/>
  </w:footnote>
  <w:footnote w:type="continuationSeparator" w:id="0">
    <w:p w14:paraId="5F37A282" w14:textId="77777777" w:rsidR="003B3E52" w:rsidRDefault="003B3E52" w:rsidP="00B25315">
      <w:r>
        <w:continuationSeparator/>
      </w:r>
    </w:p>
    <w:p w14:paraId="7462423F" w14:textId="77777777" w:rsidR="003B3E52" w:rsidRDefault="003B3E52" w:rsidP="00B25315"/>
  </w:footnote>
  <w:footnote w:type="continuationNotice" w:id="1">
    <w:p w14:paraId="6CC3F261" w14:textId="77777777" w:rsidR="003B3E52" w:rsidRDefault="003B3E52" w:rsidP="00B25315"/>
    <w:p w14:paraId="343662A8" w14:textId="77777777" w:rsidR="003B3E52" w:rsidRDefault="003B3E52" w:rsidP="00B253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C190428" w14:paraId="6022CD5A" w14:textId="77777777" w:rsidTr="6C190428">
      <w:trPr>
        <w:trHeight w:val="300"/>
      </w:trPr>
      <w:tc>
        <w:tcPr>
          <w:tcW w:w="3120" w:type="dxa"/>
        </w:tcPr>
        <w:p w14:paraId="263EE4CB" w14:textId="0136558F" w:rsidR="6C190428" w:rsidRDefault="6C190428" w:rsidP="6C190428">
          <w:pPr>
            <w:pStyle w:val="Header"/>
            <w:ind w:left="-115"/>
          </w:pPr>
        </w:p>
      </w:tc>
      <w:tc>
        <w:tcPr>
          <w:tcW w:w="3120" w:type="dxa"/>
        </w:tcPr>
        <w:p w14:paraId="56C10FAB" w14:textId="6BCB497E" w:rsidR="6C190428" w:rsidRDefault="6C190428" w:rsidP="6C190428">
          <w:pPr>
            <w:pStyle w:val="Header"/>
            <w:jc w:val="center"/>
          </w:pPr>
        </w:p>
      </w:tc>
      <w:tc>
        <w:tcPr>
          <w:tcW w:w="3120" w:type="dxa"/>
        </w:tcPr>
        <w:p w14:paraId="2AFB520A" w14:textId="48F2CA4C" w:rsidR="6C190428" w:rsidRDefault="6C190428" w:rsidP="6C190428">
          <w:pPr>
            <w:pStyle w:val="Header"/>
            <w:ind w:right="-115"/>
            <w:jc w:val="right"/>
          </w:pPr>
        </w:p>
      </w:tc>
    </w:tr>
  </w:tbl>
  <w:p w14:paraId="68EAFC0A" w14:textId="096EB78A" w:rsidR="6C190428" w:rsidRDefault="6C190428" w:rsidP="6C1904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7CC5A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6082E"/>
    <w:multiLevelType w:val="multilevel"/>
    <w:tmpl w:val="063EE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94368A"/>
    <w:multiLevelType w:val="hybridMultilevel"/>
    <w:tmpl w:val="1D4EA68E"/>
    <w:lvl w:ilvl="0" w:tplc="2528D1FC">
      <w:start w:val="1"/>
      <w:numFmt w:val="bullet"/>
      <w:lvlText w:val="•"/>
      <w:lvlJc w:val="left"/>
      <w:pPr>
        <w:tabs>
          <w:tab w:val="num" w:pos="720"/>
        </w:tabs>
        <w:ind w:left="720" w:hanging="360"/>
      </w:pPr>
      <w:rPr>
        <w:rFonts w:ascii="Arial" w:hAnsi="Arial" w:hint="default"/>
      </w:rPr>
    </w:lvl>
    <w:lvl w:ilvl="1" w:tplc="5B009CF0">
      <w:start w:val="1"/>
      <w:numFmt w:val="bullet"/>
      <w:lvlText w:val="•"/>
      <w:lvlJc w:val="left"/>
      <w:pPr>
        <w:tabs>
          <w:tab w:val="num" w:pos="1440"/>
        </w:tabs>
        <w:ind w:left="1440" w:hanging="360"/>
      </w:pPr>
      <w:rPr>
        <w:rFonts w:ascii="Arial" w:hAnsi="Arial" w:hint="default"/>
      </w:rPr>
    </w:lvl>
    <w:lvl w:ilvl="2" w:tplc="30A46C1E" w:tentative="1">
      <w:start w:val="1"/>
      <w:numFmt w:val="bullet"/>
      <w:lvlText w:val="•"/>
      <w:lvlJc w:val="left"/>
      <w:pPr>
        <w:tabs>
          <w:tab w:val="num" w:pos="2160"/>
        </w:tabs>
        <w:ind w:left="2160" w:hanging="360"/>
      </w:pPr>
      <w:rPr>
        <w:rFonts w:ascii="Arial" w:hAnsi="Arial" w:hint="default"/>
      </w:rPr>
    </w:lvl>
    <w:lvl w:ilvl="3" w:tplc="20EA17C4" w:tentative="1">
      <w:start w:val="1"/>
      <w:numFmt w:val="bullet"/>
      <w:lvlText w:val="•"/>
      <w:lvlJc w:val="left"/>
      <w:pPr>
        <w:tabs>
          <w:tab w:val="num" w:pos="2880"/>
        </w:tabs>
        <w:ind w:left="2880" w:hanging="360"/>
      </w:pPr>
      <w:rPr>
        <w:rFonts w:ascii="Arial" w:hAnsi="Arial" w:hint="default"/>
      </w:rPr>
    </w:lvl>
    <w:lvl w:ilvl="4" w:tplc="02A4AFE8" w:tentative="1">
      <w:start w:val="1"/>
      <w:numFmt w:val="bullet"/>
      <w:lvlText w:val="•"/>
      <w:lvlJc w:val="left"/>
      <w:pPr>
        <w:tabs>
          <w:tab w:val="num" w:pos="3600"/>
        </w:tabs>
        <w:ind w:left="3600" w:hanging="360"/>
      </w:pPr>
      <w:rPr>
        <w:rFonts w:ascii="Arial" w:hAnsi="Arial" w:hint="default"/>
      </w:rPr>
    </w:lvl>
    <w:lvl w:ilvl="5" w:tplc="C39CC6A4" w:tentative="1">
      <w:start w:val="1"/>
      <w:numFmt w:val="bullet"/>
      <w:lvlText w:val="•"/>
      <w:lvlJc w:val="left"/>
      <w:pPr>
        <w:tabs>
          <w:tab w:val="num" w:pos="4320"/>
        </w:tabs>
        <w:ind w:left="4320" w:hanging="360"/>
      </w:pPr>
      <w:rPr>
        <w:rFonts w:ascii="Arial" w:hAnsi="Arial" w:hint="default"/>
      </w:rPr>
    </w:lvl>
    <w:lvl w:ilvl="6" w:tplc="197E509A" w:tentative="1">
      <w:start w:val="1"/>
      <w:numFmt w:val="bullet"/>
      <w:lvlText w:val="•"/>
      <w:lvlJc w:val="left"/>
      <w:pPr>
        <w:tabs>
          <w:tab w:val="num" w:pos="5040"/>
        </w:tabs>
        <w:ind w:left="5040" w:hanging="360"/>
      </w:pPr>
      <w:rPr>
        <w:rFonts w:ascii="Arial" w:hAnsi="Arial" w:hint="default"/>
      </w:rPr>
    </w:lvl>
    <w:lvl w:ilvl="7" w:tplc="B7D884A6" w:tentative="1">
      <w:start w:val="1"/>
      <w:numFmt w:val="bullet"/>
      <w:lvlText w:val="•"/>
      <w:lvlJc w:val="left"/>
      <w:pPr>
        <w:tabs>
          <w:tab w:val="num" w:pos="5760"/>
        </w:tabs>
        <w:ind w:left="5760" w:hanging="360"/>
      </w:pPr>
      <w:rPr>
        <w:rFonts w:ascii="Arial" w:hAnsi="Arial" w:hint="default"/>
      </w:rPr>
    </w:lvl>
    <w:lvl w:ilvl="8" w:tplc="6E76423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C74455"/>
    <w:multiLevelType w:val="multilevel"/>
    <w:tmpl w:val="8830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E95427"/>
    <w:multiLevelType w:val="multilevel"/>
    <w:tmpl w:val="440AC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312673"/>
    <w:multiLevelType w:val="hybridMultilevel"/>
    <w:tmpl w:val="879610CE"/>
    <w:lvl w:ilvl="0" w:tplc="269CAE00">
      <w:start w:val="1"/>
      <w:numFmt w:val="bullet"/>
      <w:lvlText w:val=""/>
      <w:lvlJc w:val="left"/>
      <w:pPr>
        <w:tabs>
          <w:tab w:val="num" w:pos="720"/>
        </w:tabs>
        <w:ind w:left="720" w:hanging="360"/>
      </w:pPr>
      <w:rPr>
        <w:rFonts w:ascii="Symbol" w:hAnsi="Symbol" w:hint="default"/>
      </w:rPr>
    </w:lvl>
    <w:lvl w:ilvl="1" w:tplc="C2524068" w:tentative="1">
      <w:start w:val="1"/>
      <w:numFmt w:val="bullet"/>
      <w:lvlText w:val=""/>
      <w:lvlJc w:val="left"/>
      <w:pPr>
        <w:tabs>
          <w:tab w:val="num" w:pos="1440"/>
        </w:tabs>
        <w:ind w:left="1440" w:hanging="360"/>
      </w:pPr>
      <w:rPr>
        <w:rFonts w:ascii="Symbol" w:hAnsi="Symbol" w:hint="default"/>
      </w:rPr>
    </w:lvl>
    <w:lvl w:ilvl="2" w:tplc="3766A45C" w:tentative="1">
      <w:start w:val="1"/>
      <w:numFmt w:val="bullet"/>
      <w:lvlText w:val=""/>
      <w:lvlJc w:val="left"/>
      <w:pPr>
        <w:tabs>
          <w:tab w:val="num" w:pos="2160"/>
        </w:tabs>
        <w:ind w:left="2160" w:hanging="360"/>
      </w:pPr>
      <w:rPr>
        <w:rFonts w:ascii="Symbol" w:hAnsi="Symbol" w:hint="default"/>
      </w:rPr>
    </w:lvl>
    <w:lvl w:ilvl="3" w:tplc="F2FE87B6" w:tentative="1">
      <w:start w:val="1"/>
      <w:numFmt w:val="bullet"/>
      <w:lvlText w:val=""/>
      <w:lvlJc w:val="left"/>
      <w:pPr>
        <w:tabs>
          <w:tab w:val="num" w:pos="2880"/>
        </w:tabs>
        <w:ind w:left="2880" w:hanging="360"/>
      </w:pPr>
      <w:rPr>
        <w:rFonts w:ascii="Symbol" w:hAnsi="Symbol" w:hint="default"/>
      </w:rPr>
    </w:lvl>
    <w:lvl w:ilvl="4" w:tplc="DC66BB58" w:tentative="1">
      <w:start w:val="1"/>
      <w:numFmt w:val="bullet"/>
      <w:lvlText w:val=""/>
      <w:lvlJc w:val="left"/>
      <w:pPr>
        <w:tabs>
          <w:tab w:val="num" w:pos="3600"/>
        </w:tabs>
        <w:ind w:left="3600" w:hanging="360"/>
      </w:pPr>
      <w:rPr>
        <w:rFonts w:ascii="Symbol" w:hAnsi="Symbol" w:hint="default"/>
      </w:rPr>
    </w:lvl>
    <w:lvl w:ilvl="5" w:tplc="A43C41F4" w:tentative="1">
      <w:start w:val="1"/>
      <w:numFmt w:val="bullet"/>
      <w:lvlText w:val=""/>
      <w:lvlJc w:val="left"/>
      <w:pPr>
        <w:tabs>
          <w:tab w:val="num" w:pos="4320"/>
        </w:tabs>
        <w:ind w:left="4320" w:hanging="360"/>
      </w:pPr>
      <w:rPr>
        <w:rFonts w:ascii="Symbol" w:hAnsi="Symbol" w:hint="default"/>
      </w:rPr>
    </w:lvl>
    <w:lvl w:ilvl="6" w:tplc="A574D89E" w:tentative="1">
      <w:start w:val="1"/>
      <w:numFmt w:val="bullet"/>
      <w:lvlText w:val=""/>
      <w:lvlJc w:val="left"/>
      <w:pPr>
        <w:tabs>
          <w:tab w:val="num" w:pos="5040"/>
        </w:tabs>
        <w:ind w:left="5040" w:hanging="360"/>
      </w:pPr>
      <w:rPr>
        <w:rFonts w:ascii="Symbol" w:hAnsi="Symbol" w:hint="default"/>
      </w:rPr>
    </w:lvl>
    <w:lvl w:ilvl="7" w:tplc="E042E4A0" w:tentative="1">
      <w:start w:val="1"/>
      <w:numFmt w:val="bullet"/>
      <w:lvlText w:val=""/>
      <w:lvlJc w:val="left"/>
      <w:pPr>
        <w:tabs>
          <w:tab w:val="num" w:pos="5760"/>
        </w:tabs>
        <w:ind w:left="5760" w:hanging="360"/>
      </w:pPr>
      <w:rPr>
        <w:rFonts w:ascii="Symbol" w:hAnsi="Symbol" w:hint="default"/>
      </w:rPr>
    </w:lvl>
    <w:lvl w:ilvl="8" w:tplc="6DEEA87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1C44B93"/>
    <w:multiLevelType w:val="hybridMultilevel"/>
    <w:tmpl w:val="20F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413306"/>
    <w:multiLevelType w:val="hybridMultilevel"/>
    <w:tmpl w:val="8F068144"/>
    <w:lvl w:ilvl="0" w:tplc="53AC7934">
      <w:start w:val="1"/>
      <w:numFmt w:val="bullet"/>
      <w:pStyle w:val="ListParagraph"/>
      <w:lvlText w:val=""/>
      <w:lvlJc w:val="left"/>
      <w:pPr>
        <w:ind w:left="720" w:hanging="360"/>
      </w:pPr>
      <w:rPr>
        <w:rFonts w:ascii="Symbol" w:hAnsi="Symbol" w:cs="Symbol" w:hint="default"/>
        <w:color w:val="auto"/>
      </w:rPr>
    </w:lvl>
    <w:lvl w:ilvl="1" w:tplc="FFFFFFFF">
      <w:start w:val="1"/>
      <w:numFmt w:val="bullet"/>
      <w:lvlText w:val="–"/>
      <w:lvlJc w:val="left"/>
      <w:pPr>
        <w:ind w:left="1440" w:hanging="360"/>
      </w:pPr>
      <w:rPr>
        <w:rFonts w:ascii="Calibri" w:hAnsi="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9003C0A"/>
    <w:multiLevelType w:val="hybridMultilevel"/>
    <w:tmpl w:val="3AEE4E20"/>
    <w:lvl w:ilvl="0" w:tplc="79D8DA84">
      <w:start w:val="1"/>
      <w:numFmt w:val="bullet"/>
      <w:lvlText w:val="•"/>
      <w:lvlJc w:val="left"/>
      <w:pPr>
        <w:tabs>
          <w:tab w:val="num" w:pos="720"/>
        </w:tabs>
        <w:ind w:left="720" w:hanging="360"/>
      </w:pPr>
      <w:rPr>
        <w:rFonts w:ascii="Arial" w:hAnsi="Arial" w:hint="default"/>
      </w:rPr>
    </w:lvl>
    <w:lvl w:ilvl="1" w:tplc="992EEFE6">
      <w:start w:val="1"/>
      <w:numFmt w:val="bullet"/>
      <w:lvlText w:val="•"/>
      <w:lvlJc w:val="left"/>
      <w:pPr>
        <w:tabs>
          <w:tab w:val="num" w:pos="1440"/>
        </w:tabs>
        <w:ind w:left="1440" w:hanging="360"/>
      </w:pPr>
      <w:rPr>
        <w:rFonts w:ascii="Arial" w:hAnsi="Arial" w:hint="default"/>
      </w:rPr>
    </w:lvl>
    <w:lvl w:ilvl="2" w:tplc="149A9D04">
      <w:numFmt w:val="bullet"/>
      <w:lvlText w:val=""/>
      <w:lvlJc w:val="left"/>
      <w:pPr>
        <w:tabs>
          <w:tab w:val="num" w:pos="2160"/>
        </w:tabs>
        <w:ind w:left="2160" w:hanging="360"/>
      </w:pPr>
      <w:rPr>
        <w:rFonts w:ascii="Symbol" w:hAnsi="Symbol" w:hint="default"/>
      </w:rPr>
    </w:lvl>
    <w:lvl w:ilvl="3" w:tplc="2390C7DE" w:tentative="1">
      <w:start w:val="1"/>
      <w:numFmt w:val="bullet"/>
      <w:lvlText w:val="•"/>
      <w:lvlJc w:val="left"/>
      <w:pPr>
        <w:tabs>
          <w:tab w:val="num" w:pos="2880"/>
        </w:tabs>
        <w:ind w:left="2880" w:hanging="360"/>
      </w:pPr>
      <w:rPr>
        <w:rFonts w:ascii="Arial" w:hAnsi="Arial" w:hint="default"/>
      </w:rPr>
    </w:lvl>
    <w:lvl w:ilvl="4" w:tplc="2EFE46C2" w:tentative="1">
      <w:start w:val="1"/>
      <w:numFmt w:val="bullet"/>
      <w:lvlText w:val="•"/>
      <w:lvlJc w:val="left"/>
      <w:pPr>
        <w:tabs>
          <w:tab w:val="num" w:pos="3600"/>
        </w:tabs>
        <w:ind w:left="3600" w:hanging="360"/>
      </w:pPr>
      <w:rPr>
        <w:rFonts w:ascii="Arial" w:hAnsi="Arial" w:hint="default"/>
      </w:rPr>
    </w:lvl>
    <w:lvl w:ilvl="5" w:tplc="D7B00A88" w:tentative="1">
      <w:start w:val="1"/>
      <w:numFmt w:val="bullet"/>
      <w:lvlText w:val="•"/>
      <w:lvlJc w:val="left"/>
      <w:pPr>
        <w:tabs>
          <w:tab w:val="num" w:pos="4320"/>
        </w:tabs>
        <w:ind w:left="4320" w:hanging="360"/>
      </w:pPr>
      <w:rPr>
        <w:rFonts w:ascii="Arial" w:hAnsi="Arial" w:hint="default"/>
      </w:rPr>
    </w:lvl>
    <w:lvl w:ilvl="6" w:tplc="82E29604" w:tentative="1">
      <w:start w:val="1"/>
      <w:numFmt w:val="bullet"/>
      <w:lvlText w:val="•"/>
      <w:lvlJc w:val="left"/>
      <w:pPr>
        <w:tabs>
          <w:tab w:val="num" w:pos="5040"/>
        </w:tabs>
        <w:ind w:left="5040" w:hanging="360"/>
      </w:pPr>
      <w:rPr>
        <w:rFonts w:ascii="Arial" w:hAnsi="Arial" w:hint="default"/>
      </w:rPr>
    </w:lvl>
    <w:lvl w:ilvl="7" w:tplc="A98E5B12" w:tentative="1">
      <w:start w:val="1"/>
      <w:numFmt w:val="bullet"/>
      <w:lvlText w:val="•"/>
      <w:lvlJc w:val="left"/>
      <w:pPr>
        <w:tabs>
          <w:tab w:val="num" w:pos="5760"/>
        </w:tabs>
        <w:ind w:left="5760" w:hanging="360"/>
      </w:pPr>
      <w:rPr>
        <w:rFonts w:ascii="Arial" w:hAnsi="Arial" w:hint="default"/>
      </w:rPr>
    </w:lvl>
    <w:lvl w:ilvl="8" w:tplc="4ACAAA9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2F4E86"/>
    <w:multiLevelType w:val="multilevel"/>
    <w:tmpl w:val="6CB25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5E5F2D"/>
    <w:multiLevelType w:val="multilevel"/>
    <w:tmpl w:val="0F00A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6F7136"/>
    <w:multiLevelType w:val="multilevel"/>
    <w:tmpl w:val="E5A46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1D7AE2"/>
    <w:multiLevelType w:val="multilevel"/>
    <w:tmpl w:val="026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A87D68"/>
    <w:multiLevelType w:val="hybridMultilevel"/>
    <w:tmpl w:val="A3047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F55E9E"/>
    <w:multiLevelType w:val="multilevel"/>
    <w:tmpl w:val="32E25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2E1870"/>
    <w:multiLevelType w:val="hybridMultilevel"/>
    <w:tmpl w:val="834A2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2A4A12"/>
    <w:multiLevelType w:val="multilevel"/>
    <w:tmpl w:val="CA50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7D2BE3"/>
    <w:multiLevelType w:val="multilevel"/>
    <w:tmpl w:val="B704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90A5F88"/>
    <w:multiLevelType w:val="multilevel"/>
    <w:tmpl w:val="43DA7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D662EAF"/>
    <w:multiLevelType w:val="multilevel"/>
    <w:tmpl w:val="70C22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4C8649F"/>
    <w:multiLevelType w:val="hybridMultilevel"/>
    <w:tmpl w:val="E47E542C"/>
    <w:lvl w:ilvl="0" w:tplc="9F38A788">
      <w:start w:val="1"/>
      <w:numFmt w:val="bullet"/>
      <w:lvlText w:val="•"/>
      <w:lvlJc w:val="left"/>
      <w:pPr>
        <w:tabs>
          <w:tab w:val="num" w:pos="720"/>
        </w:tabs>
        <w:ind w:left="720" w:hanging="360"/>
      </w:pPr>
      <w:rPr>
        <w:rFonts w:ascii="Arial" w:hAnsi="Arial" w:hint="default"/>
      </w:rPr>
    </w:lvl>
    <w:lvl w:ilvl="1" w:tplc="9E222C5E" w:tentative="1">
      <w:start w:val="1"/>
      <w:numFmt w:val="bullet"/>
      <w:lvlText w:val="•"/>
      <w:lvlJc w:val="left"/>
      <w:pPr>
        <w:tabs>
          <w:tab w:val="num" w:pos="1440"/>
        </w:tabs>
        <w:ind w:left="1440" w:hanging="360"/>
      </w:pPr>
      <w:rPr>
        <w:rFonts w:ascii="Arial" w:hAnsi="Arial" w:hint="default"/>
      </w:rPr>
    </w:lvl>
    <w:lvl w:ilvl="2" w:tplc="5700EC3E" w:tentative="1">
      <w:start w:val="1"/>
      <w:numFmt w:val="bullet"/>
      <w:lvlText w:val="•"/>
      <w:lvlJc w:val="left"/>
      <w:pPr>
        <w:tabs>
          <w:tab w:val="num" w:pos="2160"/>
        </w:tabs>
        <w:ind w:left="2160" w:hanging="360"/>
      </w:pPr>
      <w:rPr>
        <w:rFonts w:ascii="Arial" w:hAnsi="Arial" w:hint="default"/>
      </w:rPr>
    </w:lvl>
    <w:lvl w:ilvl="3" w:tplc="C87A9844" w:tentative="1">
      <w:start w:val="1"/>
      <w:numFmt w:val="bullet"/>
      <w:lvlText w:val="•"/>
      <w:lvlJc w:val="left"/>
      <w:pPr>
        <w:tabs>
          <w:tab w:val="num" w:pos="2880"/>
        </w:tabs>
        <w:ind w:left="2880" w:hanging="360"/>
      </w:pPr>
      <w:rPr>
        <w:rFonts w:ascii="Arial" w:hAnsi="Arial" w:hint="default"/>
      </w:rPr>
    </w:lvl>
    <w:lvl w:ilvl="4" w:tplc="FF74D382" w:tentative="1">
      <w:start w:val="1"/>
      <w:numFmt w:val="bullet"/>
      <w:lvlText w:val="•"/>
      <w:lvlJc w:val="left"/>
      <w:pPr>
        <w:tabs>
          <w:tab w:val="num" w:pos="3600"/>
        </w:tabs>
        <w:ind w:left="3600" w:hanging="360"/>
      </w:pPr>
      <w:rPr>
        <w:rFonts w:ascii="Arial" w:hAnsi="Arial" w:hint="default"/>
      </w:rPr>
    </w:lvl>
    <w:lvl w:ilvl="5" w:tplc="BA18C1DE" w:tentative="1">
      <w:start w:val="1"/>
      <w:numFmt w:val="bullet"/>
      <w:lvlText w:val="•"/>
      <w:lvlJc w:val="left"/>
      <w:pPr>
        <w:tabs>
          <w:tab w:val="num" w:pos="4320"/>
        </w:tabs>
        <w:ind w:left="4320" w:hanging="360"/>
      </w:pPr>
      <w:rPr>
        <w:rFonts w:ascii="Arial" w:hAnsi="Arial" w:hint="default"/>
      </w:rPr>
    </w:lvl>
    <w:lvl w:ilvl="6" w:tplc="FD56800E" w:tentative="1">
      <w:start w:val="1"/>
      <w:numFmt w:val="bullet"/>
      <w:lvlText w:val="•"/>
      <w:lvlJc w:val="left"/>
      <w:pPr>
        <w:tabs>
          <w:tab w:val="num" w:pos="5040"/>
        </w:tabs>
        <w:ind w:left="5040" w:hanging="360"/>
      </w:pPr>
      <w:rPr>
        <w:rFonts w:ascii="Arial" w:hAnsi="Arial" w:hint="default"/>
      </w:rPr>
    </w:lvl>
    <w:lvl w:ilvl="7" w:tplc="3BF45FF8" w:tentative="1">
      <w:start w:val="1"/>
      <w:numFmt w:val="bullet"/>
      <w:lvlText w:val="•"/>
      <w:lvlJc w:val="left"/>
      <w:pPr>
        <w:tabs>
          <w:tab w:val="num" w:pos="5760"/>
        </w:tabs>
        <w:ind w:left="5760" w:hanging="360"/>
      </w:pPr>
      <w:rPr>
        <w:rFonts w:ascii="Arial" w:hAnsi="Arial" w:hint="default"/>
      </w:rPr>
    </w:lvl>
    <w:lvl w:ilvl="8" w:tplc="24E0EF16" w:tentative="1">
      <w:start w:val="1"/>
      <w:numFmt w:val="bullet"/>
      <w:lvlText w:val="•"/>
      <w:lvlJc w:val="left"/>
      <w:pPr>
        <w:tabs>
          <w:tab w:val="num" w:pos="6480"/>
        </w:tabs>
        <w:ind w:left="6480" w:hanging="360"/>
      </w:pPr>
      <w:rPr>
        <w:rFonts w:ascii="Arial" w:hAnsi="Arial" w:hint="default"/>
      </w:rPr>
    </w:lvl>
  </w:abstractNum>
  <w:num w:numId="1" w16cid:durableId="1322923620">
    <w:abstractNumId w:val="0"/>
  </w:num>
  <w:num w:numId="2" w16cid:durableId="544414416">
    <w:abstractNumId w:val="15"/>
  </w:num>
  <w:num w:numId="3" w16cid:durableId="1746144799">
    <w:abstractNumId w:val="2"/>
  </w:num>
  <w:num w:numId="4" w16cid:durableId="427041977">
    <w:abstractNumId w:val="7"/>
  </w:num>
  <w:num w:numId="5" w16cid:durableId="1214925091">
    <w:abstractNumId w:val="12"/>
  </w:num>
  <w:num w:numId="6" w16cid:durableId="1094399647">
    <w:abstractNumId w:val="13"/>
  </w:num>
  <w:num w:numId="7" w16cid:durableId="2012102157">
    <w:abstractNumId w:val="6"/>
  </w:num>
  <w:num w:numId="8" w16cid:durableId="115756943">
    <w:abstractNumId w:val="8"/>
  </w:num>
  <w:num w:numId="9" w16cid:durableId="1242328657">
    <w:abstractNumId w:val="5"/>
  </w:num>
  <w:num w:numId="10" w16cid:durableId="1343825303">
    <w:abstractNumId w:val="20"/>
  </w:num>
  <w:num w:numId="11" w16cid:durableId="1403718711">
    <w:abstractNumId w:val="14"/>
  </w:num>
  <w:num w:numId="12" w16cid:durableId="560604777">
    <w:abstractNumId w:val="16"/>
  </w:num>
  <w:num w:numId="13" w16cid:durableId="1550727791">
    <w:abstractNumId w:val="1"/>
  </w:num>
  <w:num w:numId="14" w16cid:durableId="806313081">
    <w:abstractNumId w:val="10"/>
  </w:num>
  <w:num w:numId="15" w16cid:durableId="2079865474">
    <w:abstractNumId w:val="3"/>
  </w:num>
  <w:num w:numId="16" w16cid:durableId="828517682">
    <w:abstractNumId w:val="4"/>
  </w:num>
  <w:num w:numId="17" w16cid:durableId="1987199327">
    <w:abstractNumId w:val="17"/>
  </w:num>
  <w:num w:numId="18" w16cid:durableId="735738498">
    <w:abstractNumId w:val="9"/>
  </w:num>
  <w:num w:numId="19" w16cid:durableId="1470593350">
    <w:abstractNumId w:val="19"/>
  </w:num>
  <w:num w:numId="20" w16cid:durableId="1740440050">
    <w:abstractNumId w:val="18"/>
  </w:num>
  <w:num w:numId="21" w16cid:durableId="1870600100">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2FE"/>
    <w:rsid w:val="00000CA5"/>
    <w:rsid w:val="000028EF"/>
    <w:rsid w:val="00004BB9"/>
    <w:rsid w:val="0000606F"/>
    <w:rsid w:val="00012FF7"/>
    <w:rsid w:val="00013EBB"/>
    <w:rsid w:val="0001672E"/>
    <w:rsid w:val="000178B1"/>
    <w:rsid w:val="000229B3"/>
    <w:rsid w:val="00024575"/>
    <w:rsid w:val="00026C5C"/>
    <w:rsid w:val="00031164"/>
    <w:rsid w:val="00032157"/>
    <w:rsid w:val="00032765"/>
    <w:rsid w:val="00033038"/>
    <w:rsid w:val="00033626"/>
    <w:rsid w:val="00035272"/>
    <w:rsid w:val="00036AC4"/>
    <w:rsid w:val="000402CC"/>
    <w:rsid w:val="000404A0"/>
    <w:rsid w:val="000407AD"/>
    <w:rsid w:val="000417FB"/>
    <w:rsid w:val="000429D6"/>
    <w:rsid w:val="0004669F"/>
    <w:rsid w:val="00050124"/>
    <w:rsid w:val="00050F46"/>
    <w:rsid w:val="000524A8"/>
    <w:rsid w:val="000537A4"/>
    <w:rsid w:val="00057AC5"/>
    <w:rsid w:val="00057C65"/>
    <w:rsid w:val="00060067"/>
    <w:rsid w:val="00062C26"/>
    <w:rsid w:val="0006426D"/>
    <w:rsid w:val="000652CB"/>
    <w:rsid w:val="00065D84"/>
    <w:rsid w:val="0006654B"/>
    <w:rsid w:val="00071A0A"/>
    <w:rsid w:val="00072F87"/>
    <w:rsid w:val="000744CF"/>
    <w:rsid w:val="00074D5C"/>
    <w:rsid w:val="00075665"/>
    <w:rsid w:val="00080836"/>
    <w:rsid w:val="00080B69"/>
    <w:rsid w:val="00080D6A"/>
    <w:rsid w:val="0008648B"/>
    <w:rsid w:val="00086B20"/>
    <w:rsid w:val="00086D3A"/>
    <w:rsid w:val="00087E2A"/>
    <w:rsid w:val="00090488"/>
    <w:rsid w:val="000914AE"/>
    <w:rsid w:val="000926D0"/>
    <w:rsid w:val="00094B6C"/>
    <w:rsid w:val="00094B79"/>
    <w:rsid w:val="000956B0"/>
    <w:rsid w:val="0009650B"/>
    <w:rsid w:val="00096E7E"/>
    <w:rsid w:val="00097645"/>
    <w:rsid w:val="00097D45"/>
    <w:rsid w:val="000A2059"/>
    <w:rsid w:val="000A330D"/>
    <w:rsid w:val="000A4298"/>
    <w:rsid w:val="000B22B2"/>
    <w:rsid w:val="000B50C1"/>
    <w:rsid w:val="000B579E"/>
    <w:rsid w:val="000C3767"/>
    <w:rsid w:val="000C3D70"/>
    <w:rsid w:val="000C6DDD"/>
    <w:rsid w:val="000C70D1"/>
    <w:rsid w:val="000D19EA"/>
    <w:rsid w:val="000D361D"/>
    <w:rsid w:val="000D4B51"/>
    <w:rsid w:val="000D4BF3"/>
    <w:rsid w:val="000D551C"/>
    <w:rsid w:val="000D5C67"/>
    <w:rsid w:val="000D71FC"/>
    <w:rsid w:val="000E048E"/>
    <w:rsid w:val="000E3D27"/>
    <w:rsid w:val="000E48F4"/>
    <w:rsid w:val="000E4906"/>
    <w:rsid w:val="000E55ED"/>
    <w:rsid w:val="000E5B82"/>
    <w:rsid w:val="000F0CCC"/>
    <w:rsid w:val="000F31C3"/>
    <w:rsid w:val="000F4048"/>
    <w:rsid w:val="000F4191"/>
    <w:rsid w:val="000F45FA"/>
    <w:rsid w:val="000F4638"/>
    <w:rsid w:val="000F46BA"/>
    <w:rsid w:val="000F6AA1"/>
    <w:rsid w:val="000F713D"/>
    <w:rsid w:val="000F7E06"/>
    <w:rsid w:val="00102224"/>
    <w:rsid w:val="001053A1"/>
    <w:rsid w:val="00106A0F"/>
    <w:rsid w:val="00106BDB"/>
    <w:rsid w:val="00106E24"/>
    <w:rsid w:val="00107623"/>
    <w:rsid w:val="001077EA"/>
    <w:rsid w:val="00110B9A"/>
    <w:rsid w:val="00113849"/>
    <w:rsid w:val="0011768E"/>
    <w:rsid w:val="001215F6"/>
    <w:rsid w:val="001232FE"/>
    <w:rsid w:val="00123A93"/>
    <w:rsid w:val="00124834"/>
    <w:rsid w:val="001276CC"/>
    <w:rsid w:val="00132C3F"/>
    <w:rsid w:val="001334A7"/>
    <w:rsid w:val="00133584"/>
    <w:rsid w:val="0013567D"/>
    <w:rsid w:val="00135D67"/>
    <w:rsid w:val="00137B9C"/>
    <w:rsid w:val="00140BCB"/>
    <w:rsid w:val="00141418"/>
    <w:rsid w:val="00143C86"/>
    <w:rsid w:val="00145E14"/>
    <w:rsid w:val="001513B4"/>
    <w:rsid w:val="00152CB9"/>
    <w:rsid w:val="001532DB"/>
    <w:rsid w:val="001533C9"/>
    <w:rsid w:val="001567FA"/>
    <w:rsid w:val="001569C7"/>
    <w:rsid w:val="00160793"/>
    <w:rsid w:val="0016201F"/>
    <w:rsid w:val="001622B4"/>
    <w:rsid w:val="001623AE"/>
    <w:rsid w:val="00162812"/>
    <w:rsid w:val="001647E3"/>
    <w:rsid w:val="00170BE2"/>
    <w:rsid w:val="00170D97"/>
    <w:rsid w:val="0017405D"/>
    <w:rsid w:val="00174787"/>
    <w:rsid w:val="001750B3"/>
    <w:rsid w:val="0017687E"/>
    <w:rsid w:val="00176DB6"/>
    <w:rsid w:val="001805BB"/>
    <w:rsid w:val="00181A4E"/>
    <w:rsid w:val="001834F1"/>
    <w:rsid w:val="00183C35"/>
    <w:rsid w:val="00184B2B"/>
    <w:rsid w:val="00185C0B"/>
    <w:rsid w:val="00185FBE"/>
    <w:rsid w:val="001905EF"/>
    <w:rsid w:val="001920F7"/>
    <w:rsid w:val="001936A2"/>
    <w:rsid w:val="00195998"/>
    <w:rsid w:val="001A0448"/>
    <w:rsid w:val="001A0AA3"/>
    <w:rsid w:val="001A2B96"/>
    <w:rsid w:val="001A5C85"/>
    <w:rsid w:val="001A6E4E"/>
    <w:rsid w:val="001B0F5C"/>
    <w:rsid w:val="001B1246"/>
    <w:rsid w:val="001B2FFC"/>
    <w:rsid w:val="001C182F"/>
    <w:rsid w:val="001C2589"/>
    <w:rsid w:val="001C3FC2"/>
    <w:rsid w:val="001C46C5"/>
    <w:rsid w:val="001D0BE1"/>
    <w:rsid w:val="001D1879"/>
    <w:rsid w:val="001D20C9"/>
    <w:rsid w:val="001D7F32"/>
    <w:rsid w:val="001E15EF"/>
    <w:rsid w:val="001E1B2D"/>
    <w:rsid w:val="001E1D78"/>
    <w:rsid w:val="001E4666"/>
    <w:rsid w:val="001E4765"/>
    <w:rsid w:val="001E4CB9"/>
    <w:rsid w:val="001E4EE7"/>
    <w:rsid w:val="001E5883"/>
    <w:rsid w:val="001E6B28"/>
    <w:rsid w:val="001F2A41"/>
    <w:rsid w:val="001F2C54"/>
    <w:rsid w:val="001F41B8"/>
    <w:rsid w:val="001F585A"/>
    <w:rsid w:val="001F710D"/>
    <w:rsid w:val="00200A1C"/>
    <w:rsid w:val="00200E72"/>
    <w:rsid w:val="002015FE"/>
    <w:rsid w:val="002026A5"/>
    <w:rsid w:val="00205973"/>
    <w:rsid w:val="00205BE6"/>
    <w:rsid w:val="0020752B"/>
    <w:rsid w:val="002105F6"/>
    <w:rsid w:val="00210857"/>
    <w:rsid w:val="00211D0A"/>
    <w:rsid w:val="002120D5"/>
    <w:rsid w:val="00213809"/>
    <w:rsid w:val="002208B7"/>
    <w:rsid w:val="00222D56"/>
    <w:rsid w:val="00223045"/>
    <w:rsid w:val="00226AAE"/>
    <w:rsid w:val="002356C6"/>
    <w:rsid w:val="002357F8"/>
    <w:rsid w:val="00235BF9"/>
    <w:rsid w:val="00237B39"/>
    <w:rsid w:val="00237BD5"/>
    <w:rsid w:val="002451EE"/>
    <w:rsid w:val="00246289"/>
    <w:rsid w:val="0024653C"/>
    <w:rsid w:val="0025148A"/>
    <w:rsid w:val="00251645"/>
    <w:rsid w:val="0025214B"/>
    <w:rsid w:val="00252656"/>
    <w:rsid w:val="0025463D"/>
    <w:rsid w:val="0025472D"/>
    <w:rsid w:val="0025502A"/>
    <w:rsid w:val="00256256"/>
    <w:rsid w:val="0025723F"/>
    <w:rsid w:val="00257681"/>
    <w:rsid w:val="00257CCE"/>
    <w:rsid w:val="00262ABA"/>
    <w:rsid w:val="00262FC1"/>
    <w:rsid w:val="00270446"/>
    <w:rsid w:val="00272D19"/>
    <w:rsid w:val="002771C5"/>
    <w:rsid w:val="0028227B"/>
    <w:rsid w:val="00286AD7"/>
    <w:rsid w:val="00290689"/>
    <w:rsid w:val="0029179E"/>
    <w:rsid w:val="00292468"/>
    <w:rsid w:val="00292CB6"/>
    <w:rsid w:val="00293852"/>
    <w:rsid w:val="002954CC"/>
    <w:rsid w:val="00297DA5"/>
    <w:rsid w:val="002A2120"/>
    <w:rsid w:val="002A3085"/>
    <w:rsid w:val="002B0C4E"/>
    <w:rsid w:val="002B1AD8"/>
    <w:rsid w:val="002B3070"/>
    <w:rsid w:val="002B47C4"/>
    <w:rsid w:val="002B6272"/>
    <w:rsid w:val="002B62D7"/>
    <w:rsid w:val="002B7076"/>
    <w:rsid w:val="002C0428"/>
    <w:rsid w:val="002C1A79"/>
    <w:rsid w:val="002C1B11"/>
    <w:rsid w:val="002C1B54"/>
    <w:rsid w:val="002C3160"/>
    <w:rsid w:val="002C5CF5"/>
    <w:rsid w:val="002C6EE4"/>
    <w:rsid w:val="002C7136"/>
    <w:rsid w:val="002D0FCE"/>
    <w:rsid w:val="002D2A25"/>
    <w:rsid w:val="002D2C77"/>
    <w:rsid w:val="002D34B1"/>
    <w:rsid w:val="002D555F"/>
    <w:rsid w:val="002E03E7"/>
    <w:rsid w:val="002E1E6E"/>
    <w:rsid w:val="002E45ED"/>
    <w:rsid w:val="002E5374"/>
    <w:rsid w:val="002E7084"/>
    <w:rsid w:val="002E7627"/>
    <w:rsid w:val="002F027E"/>
    <w:rsid w:val="002F0D26"/>
    <w:rsid w:val="002F3338"/>
    <w:rsid w:val="002F4BCB"/>
    <w:rsid w:val="002F64F1"/>
    <w:rsid w:val="00301FF9"/>
    <w:rsid w:val="003037BC"/>
    <w:rsid w:val="0030660F"/>
    <w:rsid w:val="00307788"/>
    <w:rsid w:val="00314DFA"/>
    <w:rsid w:val="00314F91"/>
    <w:rsid w:val="00315FB7"/>
    <w:rsid w:val="00317C1A"/>
    <w:rsid w:val="0032091C"/>
    <w:rsid w:val="00320AA6"/>
    <w:rsid w:val="003215D6"/>
    <w:rsid w:val="003218B6"/>
    <w:rsid w:val="0032334A"/>
    <w:rsid w:val="003233DD"/>
    <w:rsid w:val="00323F3B"/>
    <w:rsid w:val="00324020"/>
    <w:rsid w:val="003271E3"/>
    <w:rsid w:val="0033141A"/>
    <w:rsid w:val="0033261B"/>
    <w:rsid w:val="00332D47"/>
    <w:rsid w:val="003332DD"/>
    <w:rsid w:val="00333358"/>
    <w:rsid w:val="00334EB3"/>
    <w:rsid w:val="00344DE5"/>
    <w:rsid w:val="003463BE"/>
    <w:rsid w:val="00347E86"/>
    <w:rsid w:val="00351193"/>
    <w:rsid w:val="00351337"/>
    <w:rsid w:val="00351827"/>
    <w:rsid w:val="00356063"/>
    <w:rsid w:val="0036035F"/>
    <w:rsid w:val="0036049B"/>
    <w:rsid w:val="003624E6"/>
    <w:rsid w:val="00362FC3"/>
    <w:rsid w:val="003632F0"/>
    <w:rsid w:val="00365629"/>
    <w:rsid w:val="0036767C"/>
    <w:rsid w:val="0037133F"/>
    <w:rsid w:val="00372640"/>
    <w:rsid w:val="0037318F"/>
    <w:rsid w:val="00374FAE"/>
    <w:rsid w:val="003802DF"/>
    <w:rsid w:val="003829AD"/>
    <w:rsid w:val="00383526"/>
    <w:rsid w:val="0038386C"/>
    <w:rsid w:val="00384497"/>
    <w:rsid w:val="0038468E"/>
    <w:rsid w:val="00386529"/>
    <w:rsid w:val="00393590"/>
    <w:rsid w:val="00393F7C"/>
    <w:rsid w:val="00395DB0"/>
    <w:rsid w:val="00396310"/>
    <w:rsid w:val="003A3686"/>
    <w:rsid w:val="003A4BEF"/>
    <w:rsid w:val="003A7B79"/>
    <w:rsid w:val="003B1A29"/>
    <w:rsid w:val="003B235C"/>
    <w:rsid w:val="003B3E52"/>
    <w:rsid w:val="003B4D9A"/>
    <w:rsid w:val="003B5FA4"/>
    <w:rsid w:val="003B6A77"/>
    <w:rsid w:val="003B6E8F"/>
    <w:rsid w:val="003C09FE"/>
    <w:rsid w:val="003C3D23"/>
    <w:rsid w:val="003C3EC1"/>
    <w:rsid w:val="003D0F70"/>
    <w:rsid w:val="003D1DEF"/>
    <w:rsid w:val="003D2E5B"/>
    <w:rsid w:val="003D3D03"/>
    <w:rsid w:val="003E18F1"/>
    <w:rsid w:val="003E4A61"/>
    <w:rsid w:val="003E575C"/>
    <w:rsid w:val="003E6F13"/>
    <w:rsid w:val="003E7E75"/>
    <w:rsid w:val="003F1902"/>
    <w:rsid w:val="003F1FBD"/>
    <w:rsid w:val="003F2157"/>
    <w:rsid w:val="003F2AF3"/>
    <w:rsid w:val="003F3F54"/>
    <w:rsid w:val="003F4700"/>
    <w:rsid w:val="003F6080"/>
    <w:rsid w:val="00401B6F"/>
    <w:rsid w:val="004058B4"/>
    <w:rsid w:val="00407CD4"/>
    <w:rsid w:val="004103C1"/>
    <w:rsid w:val="004105BA"/>
    <w:rsid w:val="00410EF8"/>
    <w:rsid w:val="004114C2"/>
    <w:rsid w:val="0041313B"/>
    <w:rsid w:val="004204B3"/>
    <w:rsid w:val="00421418"/>
    <w:rsid w:val="00421850"/>
    <w:rsid w:val="00421F22"/>
    <w:rsid w:val="004239CC"/>
    <w:rsid w:val="004253AA"/>
    <w:rsid w:val="004303D3"/>
    <w:rsid w:val="00432C60"/>
    <w:rsid w:val="00440CB6"/>
    <w:rsid w:val="00441D5C"/>
    <w:rsid w:val="00442B9B"/>
    <w:rsid w:val="00442D63"/>
    <w:rsid w:val="00443B38"/>
    <w:rsid w:val="00444213"/>
    <w:rsid w:val="0044746C"/>
    <w:rsid w:val="0044780E"/>
    <w:rsid w:val="00451B27"/>
    <w:rsid w:val="00452C22"/>
    <w:rsid w:val="00453460"/>
    <w:rsid w:val="00453A92"/>
    <w:rsid w:val="0045431A"/>
    <w:rsid w:val="0045439B"/>
    <w:rsid w:val="00455686"/>
    <w:rsid w:val="0046005E"/>
    <w:rsid w:val="004615BB"/>
    <w:rsid w:val="00462B67"/>
    <w:rsid w:val="00463DE5"/>
    <w:rsid w:val="0046743E"/>
    <w:rsid w:val="00473649"/>
    <w:rsid w:val="00473A21"/>
    <w:rsid w:val="00473EB0"/>
    <w:rsid w:val="00475F3B"/>
    <w:rsid w:val="00476408"/>
    <w:rsid w:val="0048034E"/>
    <w:rsid w:val="00480A58"/>
    <w:rsid w:val="00486978"/>
    <w:rsid w:val="00494040"/>
    <w:rsid w:val="00494105"/>
    <w:rsid w:val="00494137"/>
    <w:rsid w:val="0049436B"/>
    <w:rsid w:val="004946B1"/>
    <w:rsid w:val="00494E95"/>
    <w:rsid w:val="00496868"/>
    <w:rsid w:val="004A06D1"/>
    <w:rsid w:val="004A1269"/>
    <w:rsid w:val="004A377D"/>
    <w:rsid w:val="004A5B4C"/>
    <w:rsid w:val="004A7C68"/>
    <w:rsid w:val="004B1AC2"/>
    <w:rsid w:val="004B4F0D"/>
    <w:rsid w:val="004B775F"/>
    <w:rsid w:val="004C14F8"/>
    <w:rsid w:val="004C22E0"/>
    <w:rsid w:val="004C4310"/>
    <w:rsid w:val="004C49E2"/>
    <w:rsid w:val="004C554E"/>
    <w:rsid w:val="004C5A16"/>
    <w:rsid w:val="004C619A"/>
    <w:rsid w:val="004C6ED8"/>
    <w:rsid w:val="004C72DD"/>
    <w:rsid w:val="004D0107"/>
    <w:rsid w:val="004D35ED"/>
    <w:rsid w:val="004D4083"/>
    <w:rsid w:val="004D480E"/>
    <w:rsid w:val="004D4EE2"/>
    <w:rsid w:val="004D599D"/>
    <w:rsid w:val="004D6B81"/>
    <w:rsid w:val="004D6BC7"/>
    <w:rsid w:val="004D755E"/>
    <w:rsid w:val="004E021B"/>
    <w:rsid w:val="004E0BBA"/>
    <w:rsid w:val="004E3B2C"/>
    <w:rsid w:val="004E4581"/>
    <w:rsid w:val="004E5108"/>
    <w:rsid w:val="004E67A2"/>
    <w:rsid w:val="004E6C35"/>
    <w:rsid w:val="004E70EA"/>
    <w:rsid w:val="004E7631"/>
    <w:rsid w:val="004E76CB"/>
    <w:rsid w:val="004E7C4C"/>
    <w:rsid w:val="004F244C"/>
    <w:rsid w:val="004F29EE"/>
    <w:rsid w:val="004F2D2A"/>
    <w:rsid w:val="004F3D87"/>
    <w:rsid w:val="004F42FB"/>
    <w:rsid w:val="004F4D1B"/>
    <w:rsid w:val="004F5EF0"/>
    <w:rsid w:val="004F64FE"/>
    <w:rsid w:val="004F7BE4"/>
    <w:rsid w:val="005019CB"/>
    <w:rsid w:val="00502B96"/>
    <w:rsid w:val="005043EE"/>
    <w:rsid w:val="00505DD1"/>
    <w:rsid w:val="00510CF5"/>
    <w:rsid w:val="00513772"/>
    <w:rsid w:val="00514940"/>
    <w:rsid w:val="005156C3"/>
    <w:rsid w:val="00517B51"/>
    <w:rsid w:val="00521C2B"/>
    <w:rsid w:val="005248C7"/>
    <w:rsid w:val="00525EB7"/>
    <w:rsid w:val="0053064F"/>
    <w:rsid w:val="00531D42"/>
    <w:rsid w:val="00534722"/>
    <w:rsid w:val="00535F05"/>
    <w:rsid w:val="0053781B"/>
    <w:rsid w:val="005406E5"/>
    <w:rsid w:val="00541FED"/>
    <w:rsid w:val="005428BA"/>
    <w:rsid w:val="005463F0"/>
    <w:rsid w:val="005479BA"/>
    <w:rsid w:val="005509AC"/>
    <w:rsid w:val="00551D40"/>
    <w:rsid w:val="00553EC0"/>
    <w:rsid w:val="005542CF"/>
    <w:rsid w:val="00554445"/>
    <w:rsid w:val="00555EBF"/>
    <w:rsid w:val="00561A79"/>
    <w:rsid w:val="00561E2C"/>
    <w:rsid w:val="0056448C"/>
    <w:rsid w:val="00564F3D"/>
    <w:rsid w:val="00571425"/>
    <w:rsid w:val="0057159A"/>
    <w:rsid w:val="0057642F"/>
    <w:rsid w:val="005849F5"/>
    <w:rsid w:val="005856C3"/>
    <w:rsid w:val="00586393"/>
    <w:rsid w:val="005869B1"/>
    <w:rsid w:val="00590D12"/>
    <w:rsid w:val="00593BC6"/>
    <w:rsid w:val="005950B9"/>
    <w:rsid w:val="005A03AA"/>
    <w:rsid w:val="005A1E37"/>
    <w:rsid w:val="005A2DCF"/>
    <w:rsid w:val="005A3759"/>
    <w:rsid w:val="005A6E3E"/>
    <w:rsid w:val="005B1C62"/>
    <w:rsid w:val="005B25EB"/>
    <w:rsid w:val="005B29CD"/>
    <w:rsid w:val="005B4A8F"/>
    <w:rsid w:val="005B4C22"/>
    <w:rsid w:val="005B507D"/>
    <w:rsid w:val="005B58F3"/>
    <w:rsid w:val="005B6752"/>
    <w:rsid w:val="005C4128"/>
    <w:rsid w:val="005C7ADA"/>
    <w:rsid w:val="005C7FED"/>
    <w:rsid w:val="005D05F7"/>
    <w:rsid w:val="005D2B1A"/>
    <w:rsid w:val="005D7843"/>
    <w:rsid w:val="005E2B1E"/>
    <w:rsid w:val="005E2B3F"/>
    <w:rsid w:val="005E3BF9"/>
    <w:rsid w:val="005E7249"/>
    <w:rsid w:val="005F03EB"/>
    <w:rsid w:val="005F124C"/>
    <w:rsid w:val="005F1A38"/>
    <w:rsid w:val="005F4FE9"/>
    <w:rsid w:val="005F5AAC"/>
    <w:rsid w:val="005F6589"/>
    <w:rsid w:val="005F7A9F"/>
    <w:rsid w:val="0060199D"/>
    <w:rsid w:val="006029E2"/>
    <w:rsid w:val="00603175"/>
    <w:rsid w:val="00605948"/>
    <w:rsid w:val="00606169"/>
    <w:rsid w:val="006069B4"/>
    <w:rsid w:val="006078FC"/>
    <w:rsid w:val="00612B0B"/>
    <w:rsid w:val="00612FB8"/>
    <w:rsid w:val="00613E70"/>
    <w:rsid w:val="006241B8"/>
    <w:rsid w:val="00626451"/>
    <w:rsid w:val="0063226A"/>
    <w:rsid w:val="0063480D"/>
    <w:rsid w:val="006349E2"/>
    <w:rsid w:val="00635158"/>
    <w:rsid w:val="00635660"/>
    <w:rsid w:val="00636AAD"/>
    <w:rsid w:val="00640438"/>
    <w:rsid w:val="006405D8"/>
    <w:rsid w:val="0064180D"/>
    <w:rsid w:val="006424FF"/>
    <w:rsid w:val="006430F0"/>
    <w:rsid w:val="0064357E"/>
    <w:rsid w:val="00646D93"/>
    <w:rsid w:val="0064737B"/>
    <w:rsid w:val="00651834"/>
    <w:rsid w:val="00651CB0"/>
    <w:rsid w:val="00652A86"/>
    <w:rsid w:val="006547F8"/>
    <w:rsid w:val="00657492"/>
    <w:rsid w:val="00657926"/>
    <w:rsid w:val="00662C73"/>
    <w:rsid w:val="0066601F"/>
    <w:rsid w:val="0066621F"/>
    <w:rsid w:val="0066735D"/>
    <w:rsid w:val="006729C3"/>
    <w:rsid w:val="006733D1"/>
    <w:rsid w:val="00673ED9"/>
    <w:rsid w:val="00674250"/>
    <w:rsid w:val="0067570E"/>
    <w:rsid w:val="00677F99"/>
    <w:rsid w:val="0068038C"/>
    <w:rsid w:val="00680960"/>
    <w:rsid w:val="006820A0"/>
    <w:rsid w:val="006924C4"/>
    <w:rsid w:val="006935D3"/>
    <w:rsid w:val="00693776"/>
    <w:rsid w:val="00693C49"/>
    <w:rsid w:val="00695D0F"/>
    <w:rsid w:val="006979C3"/>
    <w:rsid w:val="00697A0F"/>
    <w:rsid w:val="006A2A11"/>
    <w:rsid w:val="006A58B7"/>
    <w:rsid w:val="006B0144"/>
    <w:rsid w:val="006B17E5"/>
    <w:rsid w:val="006B5A39"/>
    <w:rsid w:val="006B627F"/>
    <w:rsid w:val="006B73C7"/>
    <w:rsid w:val="006C1225"/>
    <w:rsid w:val="006C147C"/>
    <w:rsid w:val="006C1AAB"/>
    <w:rsid w:val="006C28EC"/>
    <w:rsid w:val="006C2CB6"/>
    <w:rsid w:val="006C4152"/>
    <w:rsid w:val="006C4677"/>
    <w:rsid w:val="006C63B2"/>
    <w:rsid w:val="006C682B"/>
    <w:rsid w:val="006C73FD"/>
    <w:rsid w:val="006D2DAD"/>
    <w:rsid w:val="006D4557"/>
    <w:rsid w:val="006D521D"/>
    <w:rsid w:val="006D5482"/>
    <w:rsid w:val="006E000C"/>
    <w:rsid w:val="006E1B8B"/>
    <w:rsid w:val="006E5851"/>
    <w:rsid w:val="006F5209"/>
    <w:rsid w:val="006F5299"/>
    <w:rsid w:val="006F58CD"/>
    <w:rsid w:val="006F725C"/>
    <w:rsid w:val="006F7B74"/>
    <w:rsid w:val="0070093C"/>
    <w:rsid w:val="00703C7D"/>
    <w:rsid w:val="007042BF"/>
    <w:rsid w:val="00706DEC"/>
    <w:rsid w:val="00712931"/>
    <w:rsid w:val="00713CF2"/>
    <w:rsid w:val="007143EB"/>
    <w:rsid w:val="00714409"/>
    <w:rsid w:val="007146FA"/>
    <w:rsid w:val="00716148"/>
    <w:rsid w:val="00716564"/>
    <w:rsid w:val="00717F3B"/>
    <w:rsid w:val="00727B23"/>
    <w:rsid w:val="00730796"/>
    <w:rsid w:val="00730B5B"/>
    <w:rsid w:val="0073372A"/>
    <w:rsid w:val="00733B72"/>
    <w:rsid w:val="00736DE5"/>
    <w:rsid w:val="00741378"/>
    <w:rsid w:val="00747E88"/>
    <w:rsid w:val="00750D59"/>
    <w:rsid w:val="00753B5C"/>
    <w:rsid w:val="00753CD0"/>
    <w:rsid w:val="00754A70"/>
    <w:rsid w:val="00755422"/>
    <w:rsid w:val="00756617"/>
    <w:rsid w:val="00756AF3"/>
    <w:rsid w:val="00756C82"/>
    <w:rsid w:val="007636D1"/>
    <w:rsid w:val="007639C2"/>
    <w:rsid w:val="00764CDE"/>
    <w:rsid w:val="00774A3B"/>
    <w:rsid w:val="007752B9"/>
    <w:rsid w:val="007753A0"/>
    <w:rsid w:val="00775654"/>
    <w:rsid w:val="00775A69"/>
    <w:rsid w:val="00776A5B"/>
    <w:rsid w:val="00781115"/>
    <w:rsid w:val="00783D4A"/>
    <w:rsid w:val="007840B8"/>
    <w:rsid w:val="00786A1B"/>
    <w:rsid w:val="00787065"/>
    <w:rsid w:val="00787D83"/>
    <w:rsid w:val="007902F7"/>
    <w:rsid w:val="007920AA"/>
    <w:rsid w:val="00792631"/>
    <w:rsid w:val="00792F78"/>
    <w:rsid w:val="007936F6"/>
    <w:rsid w:val="007940FE"/>
    <w:rsid w:val="00796AF8"/>
    <w:rsid w:val="007A3407"/>
    <w:rsid w:val="007A4102"/>
    <w:rsid w:val="007A45CB"/>
    <w:rsid w:val="007A4FCE"/>
    <w:rsid w:val="007A6347"/>
    <w:rsid w:val="007A7FBE"/>
    <w:rsid w:val="007B02A8"/>
    <w:rsid w:val="007B10F7"/>
    <w:rsid w:val="007B113B"/>
    <w:rsid w:val="007B4121"/>
    <w:rsid w:val="007B56E3"/>
    <w:rsid w:val="007B5D99"/>
    <w:rsid w:val="007B6415"/>
    <w:rsid w:val="007B64E3"/>
    <w:rsid w:val="007C2CC4"/>
    <w:rsid w:val="007C43D3"/>
    <w:rsid w:val="007C7000"/>
    <w:rsid w:val="007D0D79"/>
    <w:rsid w:val="007D1142"/>
    <w:rsid w:val="007D6D36"/>
    <w:rsid w:val="007D7AFB"/>
    <w:rsid w:val="007D7C95"/>
    <w:rsid w:val="007E001E"/>
    <w:rsid w:val="007E0828"/>
    <w:rsid w:val="007E084F"/>
    <w:rsid w:val="007E1691"/>
    <w:rsid w:val="007E2AD2"/>
    <w:rsid w:val="007E2D36"/>
    <w:rsid w:val="007E5BB4"/>
    <w:rsid w:val="007E6022"/>
    <w:rsid w:val="007F0960"/>
    <w:rsid w:val="007F2C97"/>
    <w:rsid w:val="007F42CA"/>
    <w:rsid w:val="007F455B"/>
    <w:rsid w:val="00801A19"/>
    <w:rsid w:val="008022EF"/>
    <w:rsid w:val="008027AE"/>
    <w:rsid w:val="0080568B"/>
    <w:rsid w:val="0080595C"/>
    <w:rsid w:val="0081093B"/>
    <w:rsid w:val="0081121D"/>
    <w:rsid w:val="00811255"/>
    <w:rsid w:val="00812A80"/>
    <w:rsid w:val="00812D97"/>
    <w:rsid w:val="00815372"/>
    <w:rsid w:val="00815F5E"/>
    <w:rsid w:val="00817143"/>
    <w:rsid w:val="008210BF"/>
    <w:rsid w:val="008217EC"/>
    <w:rsid w:val="00821B42"/>
    <w:rsid w:val="008242B4"/>
    <w:rsid w:val="00826CE4"/>
    <w:rsid w:val="00826E59"/>
    <w:rsid w:val="008278D8"/>
    <w:rsid w:val="0083072E"/>
    <w:rsid w:val="00832123"/>
    <w:rsid w:val="00832F20"/>
    <w:rsid w:val="00833408"/>
    <w:rsid w:val="0083345B"/>
    <w:rsid w:val="00833EE4"/>
    <w:rsid w:val="008348A3"/>
    <w:rsid w:val="00835A54"/>
    <w:rsid w:val="00840F1E"/>
    <w:rsid w:val="008419FA"/>
    <w:rsid w:val="00844B60"/>
    <w:rsid w:val="00844D7E"/>
    <w:rsid w:val="00846C90"/>
    <w:rsid w:val="008517F6"/>
    <w:rsid w:val="00852D31"/>
    <w:rsid w:val="00854AED"/>
    <w:rsid w:val="008567F5"/>
    <w:rsid w:val="00856F29"/>
    <w:rsid w:val="00857386"/>
    <w:rsid w:val="0085785E"/>
    <w:rsid w:val="00857A2C"/>
    <w:rsid w:val="00857C64"/>
    <w:rsid w:val="00861BFA"/>
    <w:rsid w:val="00863671"/>
    <w:rsid w:val="008646E2"/>
    <w:rsid w:val="0086512D"/>
    <w:rsid w:val="00865516"/>
    <w:rsid w:val="008659BC"/>
    <w:rsid w:val="00866829"/>
    <w:rsid w:val="008675CC"/>
    <w:rsid w:val="00872270"/>
    <w:rsid w:val="008723A2"/>
    <w:rsid w:val="008738F1"/>
    <w:rsid w:val="00876678"/>
    <w:rsid w:val="0088042B"/>
    <w:rsid w:val="00882837"/>
    <w:rsid w:val="00883956"/>
    <w:rsid w:val="008847B2"/>
    <w:rsid w:val="0088489A"/>
    <w:rsid w:val="008864BF"/>
    <w:rsid w:val="0088798D"/>
    <w:rsid w:val="00887C40"/>
    <w:rsid w:val="00887E0F"/>
    <w:rsid w:val="00893CB8"/>
    <w:rsid w:val="0089710D"/>
    <w:rsid w:val="00897BFA"/>
    <w:rsid w:val="008A279D"/>
    <w:rsid w:val="008A2A1C"/>
    <w:rsid w:val="008A6407"/>
    <w:rsid w:val="008A70D8"/>
    <w:rsid w:val="008B150B"/>
    <w:rsid w:val="008B2523"/>
    <w:rsid w:val="008B2AE4"/>
    <w:rsid w:val="008B3EAA"/>
    <w:rsid w:val="008C03D0"/>
    <w:rsid w:val="008C23C1"/>
    <w:rsid w:val="008C2DD5"/>
    <w:rsid w:val="008C5E74"/>
    <w:rsid w:val="008D4D7E"/>
    <w:rsid w:val="008D5678"/>
    <w:rsid w:val="008D61A1"/>
    <w:rsid w:val="008E10AE"/>
    <w:rsid w:val="008E149E"/>
    <w:rsid w:val="008E3B7B"/>
    <w:rsid w:val="008E48E5"/>
    <w:rsid w:val="008E674B"/>
    <w:rsid w:val="008F2390"/>
    <w:rsid w:val="008F37B5"/>
    <w:rsid w:val="008F50B8"/>
    <w:rsid w:val="008F5B08"/>
    <w:rsid w:val="008F74C5"/>
    <w:rsid w:val="008F7B22"/>
    <w:rsid w:val="00900A5E"/>
    <w:rsid w:val="00901A83"/>
    <w:rsid w:val="00901AC8"/>
    <w:rsid w:val="009043D5"/>
    <w:rsid w:val="00906278"/>
    <w:rsid w:val="00907A6B"/>
    <w:rsid w:val="00907F25"/>
    <w:rsid w:val="00910B35"/>
    <w:rsid w:val="00911EB6"/>
    <w:rsid w:val="009129C0"/>
    <w:rsid w:val="00913BEF"/>
    <w:rsid w:val="00914FC9"/>
    <w:rsid w:val="00915C43"/>
    <w:rsid w:val="009161C5"/>
    <w:rsid w:val="00917152"/>
    <w:rsid w:val="00920554"/>
    <w:rsid w:val="009208AD"/>
    <w:rsid w:val="0092237B"/>
    <w:rsid w:val="00922CE1"/>
    <w:rsid w:val="00922E71"/>
    <w:rsid w:val="009252BB"/>
    <w:rsid w:val="009259BF"/>
    <w:rsid w:val="009265F9"/>
    <w:rsid w:val="00930A6C"/>
    <w:rsid w:val="00933D84"/>
    <w:rsid w:val="00933FD7"/>
    <w:rsid w:val="00942283"/>
    <w:rsid w:val="009422E5"/>
    <w:rsid w:val="00942DA2"/>
    <w:rsid w:val="009434F3"/>
    <w:rsid w:val="00944DCC"/>
    <w:rsid w:val="00947382"/>
    <w:rsid w:val="00947F2D"/>
    <w:rsid w:val="0095223C"/>
    <w:rsid w:val="0095383E"/>
    <w:rsid w:val="009556F2"/>
    <w:rsid w:val="009559FF"/>
    <w:rsid w:val="00955FD3"/>
    <w:rsid w:val="00960915"/>
    <w:rsid w:val="00960D3B"/>
    <w:rsid w:val="00963005"/>
    <w:rsid w:val="00963A6E"/>
    <w:rsid w:val="0097002E"/>
    <w:rsid w:val="00973464"/>
    <w:rsid w:val="00975385"/>
    <w:rsid w:val="00980816"/>
    <w:rsid w:val="009846C5"/>
    <w:rsid w:val="00990130"/>
    <w:rsid w:val="009927F8"/>
    <w:rsid w:val="00992C11"/>
    <w:rsid w:val="00994439"/>
    <w:rsid w:val="009A0278"/>
    <w:rsid w:val="009A0D97"/>
    <w:rsid w:val="009A328D"/>
    <w:rsid w:val="009A3763"/>
    <w:rsid w:val="009A3E11"/>
    <w:rsid w:val="009A6BC3"/>
    <w:rsid w:val="009A79C8"/>
    <w:rsid w:val="009A7FAE"/>
    <w:rsid w:val="009B09C5"/>
    <w:rsid w:val="009B29ED"/>
    <w:rsid w:val="009B2BE1"/>
    <w:rsid w:val="009B603B"/>
    <w:rsid w:val="009B6072"/>
    <w:rsid w:val="009C097F"/>
    <w:rsid w:val="009C2B33"/>
    <w:rsid w:val="009C3ACF"/>
    <w:rsid w:val="009C4EAC"/>
    <w:rsid w:val="009C4F5A"/>
    <w:rsid w:val="009C7080"/>
    <w:rsid w:val="009C7529"/>
    <w:rsid w:val="009D4A71"/>
    <w:rsid w:val="009D57A9"/>
    <w:rsid w:val="009E33FF"/>
    <w:rsid w:val="009E59FC"/>
    <w:rsid w:val="009E6790"/>
    <w:rsid w:val="009E7BC8"/>
    <w:rsid w:val="009F1029"/>
    <w:rsid w:val="009F283B"/>
    <w:rsid w:val="009F2DEF"/>
    <w:rsid w:val="009F4766"/>
    <w:rsid w:val="00A0058E"/>
    <w:rsid w:val="00A01BD6"/>
    <w:rsid w:val="00A02542"/>
    <w:rsid w:val="00A03387"/>
    <w:rsid w:val="00A11672"/>
    <w:rsid w:val="00A1562F"/>
    <w:rsid w:val="00A15C08"/>
    <w:rsid w:val="00A231C5"/>
    <w:rsid w:val="00A23509"/>
    <w:rsid w:val="00A24AFF"/>
    <w:rsid w:val="00A27ABD"/>
    <w:rsid w:val="00A30298"/>
    <w:rsid w:val="00A306DA"/>
    <w:rsid w:val="00A308D4"/>
    <w:rsid w:val="00A3183F"/>
    <w:rsid w:val="00A368D7"/>
    <w:rsid w:val="00A36A84"/>
    <w:rsid w:val="00A3761B"/>
    <w:rsid w:val="00A4129F"/>
    <w:rsid w:val="00A4475E"/>
    <w:rsid w:val="00A45ECE"/>
    <w:rsid w:val="00A464CF"/>
    <w:rsid w:val="00A50B25"/>
    <w:rsid w:val="00A5121A"/>
    <w:rsid w:val="00A514E7"/>
    <w:rsid w:val="00A51576"/>
    <w:rsid w:val="00A53557"/>
    <w:rsid w:val="00A53841"/>
    <w:rsid w:val="00A53AD5"/>
    <w:rsid w:val="00A53E3A"/>
    <w:rsid w:val="00A55422"/>
    <w:rsid w:val="00A55E73"/>
    <w:rsid w:val="00A56BB8"/>
    <w:rsid w:val="00A613F4"/>
    <w:rsid w:val="00A651EE"/>
    <w:rsid w:val="00A66A2A"/>
    <w:rsid w:val="00A70140"/>
    <w:rsid w:val="00A7020A"/>
    <w:rsid w:val="00A74F3B"/>
    <w:rsid w:val="00A77272"/>
    <w:rsid w:val="00A77756"/>
    <w:rsid w:val="00A77CD1"/>
    <w:rsid w:val="00A82B94"/>
    <w:rsid w:val="00A8487A"/>
    <w:rsid w:val="00A853FD"/>
    <w:rsid w:val="00A85513"/>
    <w:rsid w:val="00A867B6"/>
    <w:rsid w:val="00A93A04"/>
    <w:rsid w:val="00A93C47"/>
    <w:rsid w:val="00A9435B"/>
    <w:rsid w:val="00AA1DDE"/>
    <w:rsid w:val="00AA1FF9"/>
    <w:rsid w:val="00AA2C02"/>
    <w:rsid w:val="00AA31A4"/>
    <w:rsid w:val="00AA3D80"/>
    <w:rsid w:val="00AA4AC4"/>
    <w:rsid w:val="00AA4EF0"/>
    <w:rsid w:val="00AA77D6"/>
    <w:rsid w:val="00AB08A3"/>
    <w:rsid w:val="00AB14DA"/>
    <w:rsid w:val="00AB1C29"/>
    <w:rsid w:val="00AB7327"/>
    <w:rsid w:val="00AB7336"/>
    <w:rsid w:val="00AB7CE8"/>
    <w:rsid w:val="00AC18C7"/>
    <w:rsid w:val="00AC2183"/>
    <w:rsid w:val="00AC5543"/>
    <w:rsid w:val="00AC73FB"/>
    <w:rsid w:val="00AD0F8F"/>
    <w:rsid w:val="00AD199A"/>
    <w:rsid w:val="00AD2FCA"/>
    <w:rsid w:val="00AD4D10"/>
    <w:rsid w:val="00AD50CB"/>
    <w:rsid w:val="00AD729E"/>
    <w:rsid w:val="00AE235A"/>
    <w:rsid w:val="00AE262C"/>
    <w:rsid w:val="00AE3698"/>
    <w:rsid w:val="00AE3BF9"/>
    <w:rsid w:val="00AE64D6"/>
    <w:rsid w:val="00AF4A09"/>
    <w:rsid w:val="00AF585B"/>
    <w:rsid w:val="00AF6CA4"/>
    <w:rsid w:val="00B007B8"/>
    <w:rsid w:val="00B052B2"/>
    <w:rsid w:val="00B10D04"/>
    <w:rsid w:val="00B10DA5"/>
    <w:rsid w:val="00B1255E"/>
    <w:rsid w:val="00B20C4B"/>
    <w:rsid w:val="00B20FA9"/>
    <w:rsid w:val="00B24477"/>
    <w:rsid w:val="00B25315"/>
    <w:rsid w:val="00B25DF1"/>
    <w:rsid w:val="00B26B38"/>
    <w:rsid w:val="00B32D39"/>
    <w:rsid w:val="00B336D7"/>
    <w:rsid w:val="00B34038"/>
    <w:rsid w:val="00B36568"/>
    <w:rsid w:val="00B369C2"/>
    <w:rsid w:val="00B40220"/>
    <w:rsid w:val="00B41D33"/>
    <w:rsid w:val="00B41E58"/>
    <w:rsid w:val="00B421B2"/>
    <w:rsid w:val="00B45969"/>
    <w:rsid w:val="00B46F5C"/>
    <w:rsid w:val="00B479C4"/>
    <w:rsid w:val="00B52E44"/>
    <w:rsid w:val="00B54E1C"/>
    <w:rsid w:val="00B5508C"/>
    <w:rsid w:val="00B55993"/>
    <w:rsid w:val="00B55BA9"/>
    <w:rsid w:val="00B57E33"/>
    <w:rsid w:val="00B60936"/>
    <w:rsid w:val="00B60B54"/>
    <w:rsid w:val="00B60EB9"/>
    <w:rsid w:val="00B61616"/>
    <w:rsid w:val="00B61E8A"/>
    <w:rsid w:val="00B62B28"/>
    <w:rsid w:val="00B630FD"/>
    <w:rsid w:val="00B711F2"/>
    <w:rsid w:val="00B71570"/>
    <w:rsid w:val="00B741BA"/>
    <w:rsid w:val="00B75135"/>
    <w:rsid w:val="00B756F2"/>
    <w:rsid w:val="00B769DD"/>
    <w:rsid w:val="00B82551"/>
    <w:rsid w:val="00B84511"/>
    <w:rsid w:val="00B867AF"/>
    <w:rsid w:val="00B8713B"/>
    <w:rsid w:val="00B8770E"/>
    <w:rsid w:val="00B91E06"/>
    <w:rsid w:val="00B92549"/>
    <w:rsid w:val="00B9266E"/>
    <w:rsid w:val="00B92916"/>
    <w:rsid w:val="00B9702E"/>
    <w:rsid w:val="00B97630"/>
    <w:rsid w:val="00BA0ED5"/>
    <w:rsid w:val="00BA4352"/>
    <w:rsid w:val="00BA62AF"/>
    <w:rsid w:val="00BA6D77"/>
    <w:rsid w:val="00BB02BD"/>
    <w:rsid w:val="00BB1616"/>
    <w:rsid w:val="00BB33F7"/>
    <w:rsid w:val="00BB4345"/>
    <w:rsid w:val="00BB43A9"/>
    <w:rsid w:val="00BB4590"/>
    <w:rsid w:val="00BB4FD2"/>
    <w:rsid w:val="00BC0277"/>
    <w:rsid w:val="00BC0E9C"/>
    <w:rsid w:val="00BC277D"/>
    <w:rsid w:val="00BC7587"/>
    <w:rsid w:val="00BD047F"/>
    <w:rsid w:val="00BD4C45"/>
    <w:rsid w:val="00BD657B"/>
    <w:rsid w:val="00BE07D1"/>
    <w:rsid w:val="00BE387E"/>
    <w:rsid w:val="00BE3F3F"/>
    <w:rsid w:val="00BE5285"/>
    <w:rsid w:val="00BE5A20"/>
    <w:rsid w:val="00BE67B8"/>
    <w:rsid w:val="00BE7E1D"/>
    <w:rsid w:val="00BF041B"/>
    <w:rsid w:val="00BF0B8E"/>
    <w:rsid w:val="00BF0D11"/>
    <w:rsid w:val="00BF26E9"/>
    <w:rsid w:val="00BF4E6D"/>
    <w:rsid w:val="00BF76BA"/>
    <w:rsid w:val="00BF8412"/>
    <w:rsid w:val="00C03D15"/>
    <w:rsid w:val="00C046C8"/>
    <w:rsid w:val="00C061C2"/>
    <w:rsid w:val="00C066BD"/>
    <w:rsid w:val="00C06EEE"/>
    <w:rsid w:val="00C07FF4"/>
    <w:rsid w:val="00C1012D"/>
    <w:rsid w:val="00C12B8D"/>
    <w:rsid w:val="00C13DF8"/>
    <w:rsid w:val="00C16969"/>
    <w:rsid w:val="00C17050"/>
    <w:rsid w:val="00C22D3E"/>
    <w:rsid w:val="00C23A6D"/>
    <w:rsid w:val="00C257AD"/>
    <w:rsid w:val="00C26FD3"/>
    <w:rsid w:val="00C30A07"/>
    <w:rsid w:val="00C351FF"/>
    <w:rsid w:val="00C35D1F"/>
    <w:rsid w:val="00C378DA"/>
    <w:rsid w:val="00C4028F"/>
    <w:rsid w:val="00C40B22"/>
    <w:rsid w:val="00C44D71"/>
    <w:rsid w:val="00C47031"/>
    <w:rsid w:val="00C47A03"/>
    <w:rsid w:val="00C47A35"/>
    <w:rsid w:val="00C50DA5"/>
    <w:rsid w:val="00C51C9A"/>
    <w:rsid w:val="00C535BC"/>
    <w:rsid w:val="00C57A45"/>
    <w:rsid w:val="00C57F9F"/>
    <w:rsid w:val="00C60848"/>
    <w:rsid w:val="00C60D12"/>
    <w:rsid w:val="00C60F84"/>
    <w:rsid w:val="00C617E1"/>
    <w:rsid w:val="00C6192C"/>
    <w:rsid w:val="00C61E84"/>
    <w:rsid w:val="00C63F03"/>
    <w:rsid w:val="00C65385"/>
    <w:rsid w:val="00C65EF7"/>
    <w:rsid w:val="00C661C0"/>
    <w:rsid w:val="00C676A3"/>
    <w:rsid w:val="00C70A7F"/>
    <w:rsid w:val="00C74A98"/>
    <w:rsid w:val="00C7739C"/>
    <w:rsid w:val="00C82259"/>
    <w:rsid w:val="00C826C3"/>
    <w:rsid w:val="00C84CA5"/>
    <w:rsid w:val="00C857E6"/>
    <w:rsid w:val="00C92EF6"/>
    <w:rsid w:val="00C93021"/>
    <w:rsid w:val="00C941EF"/>
    <w:rsid w:val="00C94F51"/>
    <w:rsid w:val="00C97DF8"/>
    <w:rsid w:val="00CA20BE"/>
    <w:rsid w:val="00CA2EB8"/>
    <w:rsid w:val="00CA4B6E"/>
    <w:rsid w:val="00CA68E3"/>
    <w:rsid w:val="00CB128F"/>
    <w:rsid w:val="00CB3314"/>
    <w:rsid w:val="00CB3371"/>
    <w:rsid w:val="00CB3E4F"/>
    <w:rsid w:val="00CB769C"/>
    <w:rsid w:val="00CC4233"/>
    <w:rsid w:val="00CC774B"/>
    <w:rsid w:val="00CC7E83"/>
    <w:rsid w:val="00CD112C"/>
    <w:rsid w:val="00CD1887"/>
    <w:rsid w:val="00CD635F"/>
    <w:rsid w:val="00CD7CDC"/>
    <w:rsid w:val="00CE1F73"/>
    <w:rsid w:val="00CE3CAA"/>
    <w:rsid w:val="00CE7531"/>
    <w:rsid w:val="00CF1781"/>
    <w:rsid w:val="00CF523E"/>
    <w:rsid w:val="00CF6456"/>
    <w:rsid w:val="00D00A5E"/>
    <w:rsid w:val="00D00DB0"/>
    <w:rsid w:val="00D015C6"/>
    <w:rsid w:val="00D02BF5"/>
    <w:rsid w:val="00D03566"/>
    <w:rsid w:val="00D03AF9"/>
    <w:rsid w:val="00D0618A"/>
    <w:rsid w:val="00D13C89"/>
    <w:rsid w:val="00D15079"/>
    <w:rsid w:val="00D158C6"/>
    <w:rsid w:val="00D1640A"/>
    <w:rsid w:val="00D210F8"/>
    <w:rsid w:val="00D24AFE"/>
    <w:rsid w:val="00D27090"/>
    <w:rsid w:val="00D30289"/>
    <w:rsid w:val="00D30374"/>
    <w:rsid w:val="00D30894"/>
    <w:rsid w:val="00D31651"/>
    <w:rsid w:val="00D3208F"/>
    <w:rsid w:val="00D33270"/>
    <w:rsid w:val="00D33819"/>
    <w:rsid w:val="00D342D7"/>
    <w:rsid w:val="00D34D34"/>
    <w:rsid w:val="00D40F90"/>
    <w:rsid w:val="00D4110D"/>
    <w:rsid w:val="00D4262E"/>
    <w:rsid w:val="00D4352C"/>
    <w:rsid w:val="00D43BBC"/>
    <w:rsid w:val="00D45430"/>
    <w:rsid w:val="00D45ECE"/>
    <w:rsid w:val="00D46CAF"/>
    <w:rsid w:val="00D47B49"/>
    <w:rsid w:val="00D502D8"/>
    <w:rsid w:val="00D52BE4"/>
    <w:rsid w:val="00D5345D"/>
    <w:rsid w:val="00D60837"/>
    <w:rsid w:val="00D61BF3"/>
    <w:rsid w:val="00D61DDE"/>
    <w:rsid w:val="00D63A60"/>
    <w:rsid w:val="00D66FBF"/>
    <w:rsid w:val="00D67C81"/>
    <w:rsid w:val="00D73D8E"/>
    <w:rsid w:val="00D74127"/>
    <w:rsid w:val="00D74F32"/>
    <w:rsid w:val="00D764DE"/>
    <w:rsid w:val="00D806FE"/>
    <w:rsid w:val="00D82E2E"/>
    <w:rsid w:val="00D8315F"/>
    <w:rsid w:val="00D866A8"/>
    <w:rsid w:val="00D86DD9"/>
    <w:rsid w:val="00D906EC"/>
    <w:rsid w:val="00D9262C"/>
    <w:rsid w:val="00D931BE"/>
    <w:rsid w:val="00D93B78"/>
    <w:rsid w:val="00D93E02"/>
    <w:rsid w:val="00D95042"/>
    <w:rsid w:val="00D95B73"/>
    <w:rsid w:val="00D969CF"/>
    <w:rsid w:val="00D978D5"/>
    <w:rsid w:val="00DA0AEC"/>
    <w:rsid w:val="00DA1118"/>
    <w:rsid w:val="00DA3E76"/>
    <w:rsid w:val="00DA4981"/>
    <w:rsid w:val="00DA4DC3"/>
    <w:rsid w:val="00DA4F40"/>
    <w:rsid w:val="00DB00E6"/>
    <w:rsid w:val="00DB272B"/>
    <w:rsid w:val="00DB3B41"/>
    <w:rsid w:val="00DB53F4"/>
    <w:rsid w:val="00DB770F"/>
    <w:rsid w:val="00DC31B4"/>
    <w:rsid w:val="00DC4DD6"/>
    <w:rsid w:val="00DD0903"/>
    <w:rsid w:val="00DD314A"/>
    <w:rsid w:val="00DD6209"/>
    <w:rsid w:val="00DE0479"/>
    <w:rsid w:val="00DE5111"/>
    <w:rsid w:val="00DE5DFC"/>
    <w:rsid w:val="00DE7880"/>
    <w:rsid w:val="00DF13F0"/>
    <w:rsid w:val="00DF6177"/>
    <w:rsid w:val="00E0041D"/>
    <w:rsid w:val="00E00BA4"/>
    <w:rsid w:val="00E03529"/>
    <w:rsid w:val="00E1494A"/>
    <w:rsid w:val="00E15F3F"/>
    <w:rsid w:val="00E16823"/>
    <w:rsid w:val="00E16FEE"/>
    <w:rsid w:val="00E25333"/>
    <w:rsid w:val="00E253A9"/>
    <w:rsid w:val="00E2591E"/>
    <w:rsid w:val="00E263F1"/>
    <w:rsid w:val="00E310BA"/>
    <w:rsid w:val="00E324BE"/>
    <w:rsid w:val="00E341A6"/>
    <w:rsid w:val="00E35ED9"/>
    <w:rsid w:val="00E4064A"/>
    <w:rsid w:val="00E41BA4"/>
    <w:rsid w:val="00E41CC3"/>
    <w:rsid w:val="00E42D94"/>
    <w:rsid w:val="00E43E07"/>
    <w:rsid w:val="00E444F5"/>
    <w:rsid w:val="00E46823"/>
    <w:rsid w:val="00E47594"/>
    <w:rsid w:val="00E50050"/>
    <w:rsid w:val="00E52389"/>
    <w:rsid w:val="00E52528"/>
    <w:rsid w:val="00E55205"/>
    <w:rsid w:val="00E61A39"/>
    <w:rsid w:val="00E631A7"/>
    <w:rsid w:val="00E716BB"/>
    <w:rsid w:val="00E71B49"/>
    <w:rsid w:val="00E72D8B"/>
    <w:rsid w:val="00E741F9"/>
    <w:rsid w:val="00E7437D"/>
    <w:rsid w:val="00E77010"/>
    <w:rsid w:val="00E800D5"/>
    <w:rsid w:val="00E818E4"/>
    <w:rsid w:val="00E83625"/>
    <w:rsid w:val="00E84CFD"/>
    <w:rsid w:val="00E878DA"/>
    <w:rsid w:val="00E93C59"/>
    <w:rsid w:val="00E96254"/>
    <w:rsid w:val="00E962E1"/>
    <w:rsid w:val="00EA24C5"/>
    <w:rsid w:val="00EA3952"/>
    <w:rsid w:val="00EA418C"/>
    <w:rsid w:val="00EA5384"/>
    <w:rsid w:val="00EA59FF"/>
    <w:rsid w:val="00EB1260"/>
    <w:rsid w:val="00EB1D75"/>
    <w:rsid w:val="00EB2175"/>
    <w:rsid w:val="00EB39A7"/>
    <w:rsid w:val="00EB411A"/>
    <w:rsid w:val="00EB4D77"/>
    <w:rsid w:val="00EB66D1"/>
    <w:rsid w:val="00EB6E2D"/>
    <w:rsid w:val="00EB7E51"/>
    <w:rsid w:val="00EC48FA"/>
    <w:rsid w:val="00EC5254"/>
    <w:rsid w:val="00EC7489"/>
    <w:rsid w:val="00ED1674"/>
    <w:rsid w:val="00ED2994"/>
    <w:rsid w:val="00ED4108"/>
    <w:rsid w:val="00ED48C9"/>
    <w:rsid w:val="00ED77B6"/>
    <w:rsid w:val="00ED78BB"/>
    <w:rsid w:val="00EE0345"/>
    <w:rsid w:val="00EE06D7"/>
    <w:rsid w:val="00EE2781"/>
    <w:rsid w:val="00EE49F8"/>
    <w:rsid w:val="00EE5783"/>
    <w:rsid w:val="00EE7FE0"/>
    <w:rsid w:val="00EF1898"/>
    <w:rsid w:val="00EF30FA"/>
    <w:rsid w:val="00EF4839"/>
    <w:rsid w:val="00EF5FCA"/>
    <w:rsid w:val="00EF625C"/>
    <w:rsid w:val="00F001FA"/>
    <w:rsid w:val="00F01097"/>
    <w:rsid w:val="00F02060"/>
    <w:rsid w:val="00F04441"/>
    <w:rsid w:val="00F0494A"/>
    <w:rsid w:val="00F054DA"/>
    <w:rsid w:val="00F100F4"/>
    <w:rsid w:val="00F11866"/>
    <w:rsid w:val="00F11AC7"/>
    <w:rsid w:val="00F12765"/>
    <w:rsid w:val="00F12895"/>
    <w:rsid w:val="00F12DEE"/>
    <w:rsid w:val="00F13D5B"/>
    <w:rsid w:val="00F17B2C"/>
    <w:rsid w:val="00F210B3"/>
    <w:rsid w:val="00F228E4"/>
    <w:rsid w:val="00F22A0D"/>
    <w:rsid w:val="00F25EA3"/>
    <w:rsid w:val="00F263D0"/>
    <w:rsid w:val="00F276F5"/>
    <w:rsid w:val="00F30810"/>
    <w:rsid w:val="00F31AAF"/>
    <w:rsid w:val="00F34237"/>
    <w:rsid w:val="00F35D63"/>
    <w:rsid w:val="00F36A52"/>
    <w:rsid w:val="00F401D6"/>
    <w:rsid w:val="00F417B4"/>
    <w:rsid w:val="00F4298A"/>
    <w:rsid w:val="00F42A41"/>
    <w:rsid w:val="00F42D1D"/>
    <w:rsid w:val="00F435F5"/>
    <w:rsid w:val="00F441AE"/>
    <w:rsid w:val="00F4771B"/>
    <w:rsid w:val="00F52249"/>
    <w:rsid w:val="00F548E8"/>
    <w:rsid w:val="00F54974"/>
    <w:rsid w:val="00F54ADF"/>
    <w:rsid w:val="00F56969"/>
    <w:rsid w:val="00F57829"/>
    <w:rsid w:val="00F610F6"/>
    <w:rsid w:val="00F643B7"/>
    <w:rsid w:val="00F6448D"/>
    <w:rsid w:val="00F64E37"/>
    <w:rsid w:val="00F661E3"/>
    <w:rsid w:val="00F66929"/>
    <w:rsid w:val="00F701C6"/>
    <w:rsid w:val="00F84751"/>
    <w:rsid w:val="00F84812"/>
    <w:rsid w:val="00F87DF0"/>
    <w:rsid w:val="00F90392"/>
    <w:rsid w:val="00F9348F"/>
    <w:rsid w:val="00F95A84"/>
    <w:rsid w:val="00F95B9E"/>
    <w:rsid w:val="00FA028D"/>
    <w:rsid w:val="00FA0D1C"/>
    <w:rsid w:val="00FA2CC4"/>
    <w:rsid w:val="00FA43D9"/>
    <w:rsid w:val="00FA550A"/>
    <w:rsid w:val="00FA6233"/>
    <w:rsid w:val="00FA6D13"/>
    <w:rsid w:val="00FA7A90"/>
    <w:rsid w:val="00FB1632"/>
    <w:rsid w:val="00FB5120"/>
    <w:rsid w:val="00FC0D29"/>
    <w:rsid w:val="00FC25A4"/>
    <w:rsid w:val="00FC25E9"/>
    <w:rsid w:val="00FC2BC8"/>
    <w:rsid w:val="00FC4279"/>
    <w:rsid w:val="00FD1B7A"/>
    <w:rsid w:val="00FD350C"/>
    <w:rsid w:val="00FD4A85"/>
    <w:rsid w:val="00FD4C1E"/>
    <w:rsid w:val="00FD72CA"/>
    <w:rsid w:val="00FD74CB"/>
    <w:rsid w:val="00FE1077"/>
    <w:rsid w:val="00FE2817"/>
    <w:rsid w:val="00FE7A7F"/>
    <w:rsid w:val="00FF0063"/>
    <w:rsid w:val="00FF0667"/>
    <w:rsid w:val="00FF195D"/>
    <w:rsid w:val="00FF2741"/>
    <w:rsid w:val="00FF34EF"/>
    <w:rsid w:val="00FF6E73"/>
    <w:rsid w:val="00FF72B4"/>
    <w:rsid w:val="0121DE02"/>
    <w:rsid w:val="01F84AB3"/>
    <w:rsid w:val="020DE640"/>
    <w:rsid w:val="0277D784"/>
    <w:rsid w:val="02FBB4E6"/>
    <w:rsid w:val="02FD4A12"/>
    <w:rsid w:val="037DE908"/>
    <w:rsid w:val="03EF66DA"/>
    <w:rsid w:val="04BD925D"/>
    <w:rsid w:val="0660E0A4"/>
    <w:rsid w:val="06AC3A85"/>
    <w:rsid w:val="076D4833"/>
    <w:rsid w:val="08CB0858"/>
    <w:rsid w:val="0AFD4A2A"/>
    <w:rsid w:val="0B1AB310"/>
    <w:rsid w:val="0B51D7B2"/>
    <w:rsid w:val="0BBD1AB3"/>
    <w:rsid w:val="0C2CB487"/>
    <w:rsid w:val="0D96F197"/>
    <w:rsid w:val="0DFF8A2A"/>
    <w:rsid w:val="0E0AAD90"/>
    <w:rsid w:val="0E5564DB"/>
    <w:rsid w:val="0EF343E8"/>
    <w:rsid w:val="0EF4746D"/>
    <w:rsid w:val="11591616"/>
    <w:rsid w:val="1228A501"/>
    <w:rsid w:val="12F5708E"/>
    <w:rsid w:val="13361F5E"/>
    <w:rsid w:val="145182FE"/>
    <w:rsid w:val="16D1D3B9"/>
    <w:rsid w:val="172B9BEC"/>
    <w:rsid w:val="17C11005"/>
    <w:rsid w:val="17D2AD3B"/>
    <w:rsid w:val="182BFE81"/>
    <w:rsid w:val="18678DFF"/>
    <w:rsid w:val="19528890"/>
    <w:rsid w:val="19C3E614"/>
    <w:rsid w:val="1A20D670"/>
    <w:rsid w:val="1B0EC1FD"/>
    <w:rsid w:val="1C364437"/>
    <w:rsid w:val="1C3B9C05"/>
    <w:rsid w:val="1DD15C0F"/>
    <w:rsid w:val="2140E916"/>
    <w:rsid w:val="226DE9EC"/>
    <w:rsid w:val="2532674D"/>
    <w:rsid w:val="258F57A9"/>
    <w:rsid w:val="275A8184"/>
    <w:rsid w:val="280FA864"/>
    <w:rsid w:val="28F97B3B"/>
    <w:rsid w:val="293FDD48"/>
    <w:rsid w:val="29C8EB11"/>
    <w:rsid w:val="2A3D3F4E"/>
    <w:rsid w:val="2A65F06B"/>
    <w:rsid w:val="2A74C2F8"/>
    <w:rsid w:val="2CA7A22A"/>
    <w:rsid w:val="2D5CC9E9"/>
    <w:rsid w:val="2DAED62B"/>
    <w:rsid w:val="2F3BFB6B"/>
    <w:rsid w:val="31A77AE2"/>
    <w:rsid w:val="3454964E"/>
    <w:rsid w:val="35D21DC5"/>
    <w:rsid w:val="36703BF8"/>
    <w:rsid w:val="378F2E05"/>
    <w:rsid w:val="37CE3BEA"/>
    <w:rsid w:val="384A12DC"/>
    <w:rsid w:val="38D3CDE9"/>
    <w:rsid w:val="397A47C0"/>
    <w:rsid w:val="3C403A9E"/>
    <w:rsid w:val="3C5788D7"/>
    <w:rsid w:val="3CA3489B"/>
    <w:rsid w:val="3DBF9697"/>
    <w:rsid w:val="3F6CB40E"/>
    <w:rsid w:val="4091472A"/>
    <w:rsid w:val="40EFC0B2"/>
    <w:rsid w:val="424E8629"/>
    <w:rsid w:val="4563B04B"/>
    <w:rsid w:val="47DECDC6"/>
    <w:rsid w:val="48ACDF45"/>
    <w:rsid w:val="48B2124E"/>
    <w:rsid w:val="493B50B4"/>
    <w:rsid w:val="49580FC6"/>
    <w:rsid w:val="49CCABA5"/>
    <w:rsid w:val="4D1B0118"/>
    <w:rsid w:val="4E0ED9D7"/>
    <w:rsid w:val="4F1C1AD4"/>
    <w:rsid w:val="4F6F3466"/>
    <w:rsid w:val="4F8405AA"/>
    <w:rsid w:val="5100EC32"/>
    <w:rsid w:val="526146C1"/>
    <w:rsid w:val="528E1172"/>
    <w:rsid w:val="534D4EFF"/>
    <w:rsid w:val="54F938DC"/>
    <w:rsid w:val="54F990E9"/>
    <w:rsid w:val="550826D8"/>
    <w:rsid w:val="58BBF5B7"/>
    <w:rsid w:val="59A90B16"/>
    <w:rsid w:val="59FC05EA"/>
    <w:rsid w:val="5B77D33B"/>
    <w:rsid w:val="5C1DBE52"/>
    <w:rsid w:val="5CB78C83"/>
    <w:rsid w:val="5FB85A49"/>
    <w:rsid w:val="5FEDB5B8"/>
    <w:rsid w:val="67EF29B3"/>
    <w:rsid w:val="680B60F2"/>
    <w:rsid w:val="68BF641F"/>
    <w:rsid w:val="6A88F269"/>
    <w:rsid w:val="6B182017"/>
    <w:rsid w:val="6C190428"/>
    <w:rsid w:val="6D8EDA8A"/>
    <w:rsid w:val="709053DB"/>
    <w:rsid w:val="713C21AC"/>
    <w:rsid w:val="7233A5B9"/>
    <w:rsid w:val="7294DDF2"/>
    <w:rsid w:val="737FBDB1"/>
    <w:rsid w:val="743FA681"/>
    <w:rsid w:val="74530239"/>
    <w:rsid w:val="7483319D"/>
    <w:rsid w:val="74C0215F"/>
    <w:rsid w:val="75D4007F"/>
    <w:rsid w:val="7648AA10"/>
    <w:rsid w:val="765A6E17"/>
    <w:rsid w:val="7671D00C"/>
    <w:rsid w:val="76B16721"/>
    <w:rsid w:val="784BA6F0"/>
    <w:rsid w:val="7E29AEB6"/>
    <w:rsid w:val="7E759D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F70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74B"/>
    <w:rPr>
      <w:rFonts w:ascii="Arial" w:hAnsi="Arial"/>
      <w:sz w:val="24"/>
    </w:rPr>
  </w:style>
  <w:style w:type="paragraph" w:styleId="Heading1">
    <w:name w:val="heading 1"/>
    <w:basedOn w:val="Normal"/>
    <w:next w:val="Normal"/>
    <w:link w:val="Heading1Char"/>
    <w:autoRedefine/>
    <w:uiPriority w:val="9"/>
    <w:qFormat/>
    <w:rsid w:val="00E631A7"/>
    <w:pPr>
      <w:keepNext/>
      <w:keepLines/>
      <w:pBdr>
        <w:bottom w:val="single" w:sz="36" w:space="3" w:color="7030A0" w:themeColor="accent1"/>
      </w:pBdr>
      <w:spacing w:after="0" w:line="240" w:lineRule="auto"/>
      <w:jc w:val="center"/>
      <w:outlineLvl w:val="0"/>
    </w:pPr>
    <w:rPr>
      <w:rFonts w:eastAsiaTheme="majorEastAsia" w:cs="Arial"/>
      <w:b/>
      <w:bCs/>
      <w:sz w:val="52"/>
      <w:szCs w:val="52"/>
    </w:rPr>
  </w:style>
  <w:style w:type="paragraph" w:styleId="Heading2">
    <w:name w:val="heading 2"/>
    <w:basedOn w:val="Normal"/>
    <w:next w:val="Normal"/>
    <w:link w:val="Heading2Char"/>
    <w:autoRedefine/>
    <w:uiPriority w:val="9"/>
    <w:unhideWhenUsed/>
    <w:qFormat/>
    <w:rsid w:val="006E1B8B"/>
    <w:pPr>
      <w:pageBreakBefore/>
      <w:pBdr>
        <w:left w:val="single" w:sz="48" w:space="4" w:color="7030A0" w:themeColor="accent6"/>
      </w:pBdr>
      <w:shd w:val="clear" w:color="auto" w:fill="F8F4FB" w:themeFill="accent4"/>
      <w:spacing w:before="120" w:after="240" w:line="240" w:lineRule="auto"/>
      <w:outlineLvl w:val="1"/>
    </w:pPr>
    <w:rPr>
      <w:rFonts w:eastAsia="Times New Roman" w:cs="Arial"/>
      <w:b/>
      <w:sz w:val="40"/>
      <w:szCs w:val="40"/>
    </w:rPr>
  </w:style>
  <w:style w:type="paragraph" w:styleId="Heading3">
    <w:name w:val="heading 3"/>
    <w:basedOn w:val="Normal"/>
    <w:next w:val="Normal"/>
    <w:link w:val="Heading3Char"/>
    <w:uiPriority w:val="9"/>
    <w:unhideWhenUsed/>
    <w:qFormat/>
    <w:rsid w:val="001B2FFC"/>
    <w:pPr>
      <w:keepNext/>
      <w:keepLines/>
      <w:pBdr>
        <w:bottom w:val="single" w:sz="12" w:space="2" w:color="7030A0" w:themeColor="accent6"/>
      </w:pBdr>
      <w:spacing w:before="360" w:after="120" w:line="240" w:lineRule="auto"/>
      <w:outlineLvl w:val="2"/>
    </w:pPr>
    <w:rPr>
      <w:rFonts w:eastAsia="Times New Roman" w:cs="Arial"/>
      <w:b/>
      <w:bCs/>
      <w:color w:val="000000"/>
      <w:sz w:val="28"/>
      <w:szCs w:val="24"/>
    </w:rPr>
  </w:style>
  <w:style w:type="paragraph" w:styleId="Heading4">
    <w:name w:val="heading 4"/>
    <w:basedOn w:val="Normal"/>
    <w:next w:val="Normal"/>
    <w:link w:val="Heading4Char"/>
    <w:uiPriority w:val="9"/>
    <w:unhideWhenUsed/>
    <w:qFormat/>
    <w:rsid w:val="00FE1077"/>
    <w:pPr>
      <w:keepNext/>
      <w:keepLines/>
      <w:spacing w:before="240" w:after="60"/>
      <w:outlineLvl w:val="3"/>
    </w:pPr>
    <w:rPr>
      <w:rFonts w:eastAsiaTheme="majorEastAsia" w:cstheme="majorBidi"/>
      <w:b/>
      <w:iCs/>
      <w:sz w:val="28"/>
      <w:szCs w:val="24"/>
    </w:rPr>
  </w:style>
  <w:style w:type="paragraph" w:styleId="Heading5">
    <w:name w:val="heading 5"/>
    <w:basedOn w:val="Normal"/>
    <w:next w:val="Normal"/>
    <w:link w:val="Heading5Char"/>
    <w:uiPriority w:val="9"/>
    <w:unhideWhenUsed/>
    <w:qFormat/>
    <w:rsid w:val="00FE1077"/>
    <w:pPr>
      <w:keepNext/>
      <w:keepLines/>
      <w:spacing w:before="40" w:after="0"/>
      <w:outlineLvl w:val="4"/>
    </w:pPr>
    <w:rPr>
      <w:rFonts w:asciiTheme="majorHAnsi" w:eastAsiaTheme="majorEastAsia" w:hAnsiTheme="majorHAnsi" w:cstheme="majorBidi"/>
      <w:color w:val="53247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0D4B51"/>
    <w:pPr>
      <w:pBdr>
        <w:left w:val="single" w:sz="48" w:space="4" w:color="A42251"/>
      </w:pBdr>
      <w:spacing w:after="0" w:line="240" w:lineRule="auto"/>
      <w:contextualSpacing/>
    </w:pPr>
    <w:rPr>
      <w:rFonts w:ascii="Franklin Gothic Demi Cond" w:eastAsiaTheme="majorEastAsia" w:hAnsi="Franklin Gothic Demi Cond" w:cstheme="majorBidi"/>
      <w:spacing w:val="-10"/>
      <w:kern w:val="28"/>
      <w:sz w:val="48"/>
      <w:szCs w:val="56"/>
    </w:rPr>
  </w:style>
  <w:style w:type="character" w:customStyle="1" w:styleId="TitleChar">
    <w:name w:val="Title Char"/>
    <w:basedOn w:val="DefaultParagraphFont"/>
    <w:link w:val="Title"/>
    <w:uiPriority w:val="10"/>
    <w:rsid w:val="000D4B51"/>
    <w:rPr>
      <w:rFonts w:ascii="Franklin Gothic Demi Cond" w:eastAsiaTheme="majorEastAsia" w:hAnsi="Franklin Gothic Demi Cond" w:cstheme="majorBidi"/>
      <w:spacing w:val="-10"/>
      <w:kern w:val="28"/>
      <w:sz w:val="48"/>
      <w:szCs w:val="56"/>
    </w:rPr>
  </w:style>
  <w:style w:type="paragraph" w:styleId="ListParagraph">
    <w:name w:val="List Paragraph"/>
    <w:basedOn w:val="Normal"/>
    <w:link w:val="ListParagraphChar"/>
    <w:uiPriority w:val="34"/>
    <w:qFormat/>
    <w:rsid w:val="00E263F1"/>
    <w:pPr>
      <w:numPr>
        <w:numId w:val="4"/>
      </w:numPr>
      <w:adjustRightInd w:val="0"/>
      <w:spacing w:before="160" w:after="120" w:line="245" w:lineRule="auto"/>
      <w:ind w:right="302"/>
    </w:pPr>
  </w:style>
  <w:style w:type="character" w:styleId="Hyperlink">
    <w:name w:val="Hyperlink"/>
    <w:basedOn w:val="DefaultParagraphFont"/>
    <w:uiPriority w:val="99"/>
    <w:unhideWhenUsed/>
    <w:rsid w:val="00F87DF0"/>
    <w:rPr>
      <w:color w:val="0000FF"/>
      <w:u w:val="single"/>
    </w:rPr>
  </w:style>
  <w:style w:type="table" w:styleId="TableGrid">
    <w:name w:val="Table Grid"/>
    <w:basedOn w:val="TableNormal"/>
    <w:uiPriority w:val="39"/>
    <w:rsid w:val="007E6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7A3407"/>
    <w:pPr>
      <w:numPr>
        <w:ilvl w:val="1"/>
      </w:numPr>
      <w:ind w:left="288"/>
    </w:pPr>
    <w:rPr>
      <w:rFonts w:eastAsiaTheme="minorEastAsia"/>
      <w:b/>
      <w:color w:val="4B5358"/>
      <w:spacing w:val="15"/>
    </w:rPr>
  </w:style>
  <w:style w:type="character" w:customStyle="1" w:styleId="SubtitleChar">
    <w:name w:val="Subtitle Char"/>
    <w:basedOn w:val="DefaultParagraphFont"/>
    <w:link w:val="Subtitle"/>
    <w:uiPriority w:val="11"/>
    <w:rsid w:val="007A3407"/>
    <w:rPr>
      <w:rFonts w:ascii="Arial" w:eastAsiaTheme="minorEastAsia" w:hAnsi="Arial"/>
      <w:b/>
      <w:color w:val="4B5358"/>
      <w:spacing w:val="15"/>
      <w:sz w:val="24"/>
    </w:rPr>
  </w:style>
  <w:style w:type="character" w:customStyle="1" w:styleId="Heading1Char">
    <w:name w:val="Heading 1 Char"/>
    <w:basedOn w:val="DefaultParagraphFont"/>
    <w:link w:val="Heading1"/>
    <w:uiPriority w:val="9"/>
    <w:rsid w:val="00E631A7"/>
    <w:rPr>
      <w:rFonts w:ascii="Arial" w:eastAsiaTheme="majorEastAsia" w:hAnsi="Arial" w:cs="Arial"/>
      <w:b/>
      <w:bCs/>
      <w:sz w:val="52"/>
      <w:szCs w:val="52"/>
    </w:rPr>
  </w:style>
  <w:style w:type="character" w:customStyle="1" w:styleId="Heading2Char">
    <w:name w:val="Heading 2 Char"/>
    <w:basedOn w:val="DefaultParagraphFont"/>
    <w:link w:val="Heading2"/>
    <w:uiPriority w:val="9"/>
    <w:rsid w:val="006E1B8B"/>
    <w:rPr>
      <w:rFonts w:ascii="Arial" w:eastAsia="Times New Roman" w:hAnsi="Arial" w:cs="Arial"/>
      <w:b/>
      <w:sz w:val="40"/>
      <w:szCs w:val="40"/>
      <w:shd w:val="clear" w:color="auto" w:fill="F8F4FB" w:themeFill="accent4"/>
    </w:rPr>
  </w:style>
  <w:style w:type="paragraph" w:styleId="IntenseQuote">
    <w:name w:val="Intense Quote"/>
    <w:basedOn w:val="Normal"/>
    <w:next w:val="Normal"/>
    <w:link w:val="IntenseQuoteChar"/>
    <w:uiPriority w:val="30"/>
    <w:qFormat/>
    <w:rsid w:val="007A3407"/>
    <w:pPr>
      <w:pBdr>
        <w:top w:val="single" w:sz="4" w:space="10" w:color="104547"/>
        <w:bottom w:val="single" w:sz="4" w:space="10" w:color="104547"/>
      </w:pBdr>
      <w:spacing w:before="360" w:after="360"/>
      <w:ind w:left="720" w:right="720"/>
      <w:jc w:val="center"/>
    </w:pPr>
    <w:rPr>
      <w:b/>
      <w:iCs/>
      <w:color w:val="104547"/>
    </w:rPr>
  </w:style>
  <w:style w:type="character" w:customStyle="1" w:styleId="IntenseQuoteChar">
    <w:name w:val="Intense Quote Char"/>
    <w:basedOn w:val="DefaultParagraphFont"/>
    <w:link w:val="IntenseQuote"/>
    <w:uiPriority w:val="30"/>
    <w:rsid w:val="007A3407"/>
    <w:rPr>
      <w:rFonts w:ascii="Arial" w:hAnsi="Arial"/>
      <w:b/>
      <w:iCs/>
      <w:color w:val="104547"/>
      <w:sz w:val="24"/>
    </w:rPr>
  </w:style>
  <w:style w:type="character" w:customStyle="1" w:styleId="UnresolvedMention1">
    <w:name w:val="Unresolved Mention1"/>
    <w:basedOn w:val="DefaultParagraphFont"/>
    <w:uiPriority w:val="99"/>
    <w:semiHidden/>
    <w:unhideWhenUsed/>
    <w:rsid w:val="00344DE5"/>
    <w:rPr>
      <w:color w:val="605E5C"/>
      <w:shd w:val="clear" w:color="auto" w:fill="E1DFDD"/>
    </w:rPr>
  </w:style>
  <w:style w:type="paragraph" w:styleId="NormalWeb">
    <w:name w:val="Normal (Web)"/>
    <w:basedOn w:val="Normal"/>
    <w:uiPriority w:val="99"/>
    <w:semiHidden/>
    <w:unhideWhenUsed/>
    <w:rsid w:val="00B711F2"/>
    <w:pPr>
      <w:spacing w:before="100" w:beforeAutospacing="1" w:after="100" w:afterAutospacing="1" w:line="240" w:lineRule="auto"/>
    </w:pPr>
    <w:rPr>
      <w:rFonts w:ascii="Times New Roman" w:eastAsia="Times New Roman" w:hAnsi="Times New Roman" w:cs="Times New Roman"/>
      <w:szCs w:val="24"/>
    </w:rPr>
  </w:style>
  <w:style w:type="paragraph" w:styleId="Header">
    <w:name w:val="header"/>
    <w:basedOn w:val="Normal"/>
    <w:link w:val="HeaderChar"/>
    <w:uiPriority w:val="99"/>
    <w:unhideWhenUsed/>
    <w:rsid w:val="00323F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F3B"/>
    <w:rPr>
      <w:rFonts w:ascii="Arial" w:hAnsi="Arial"/>
      <w:sz w:val="24"/>
    </w:rPr>
  </w:style>
  <w:style w:type="paragraph" w:styleId="Footer">
    <w:name w:val="footer"/>
    <w:basedOn w:val="Normal"/>
    <w:link w:val="FooterChar"/>
    <w:uiPriority w:val="99"/>
    <w:unhideWhenUsed/>
    <w:rsid w:val="00323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F3B"/>
    <w:rPr>
      <w:rFonts w:ascii="Arial" w:hAnsi="Arial"/>
      <w:sz w:val="24"/>
    </w:rPr>
  </w:style>
  <w:style w:type="character" w:customStyle="1" w:styleId="UnresolvedMention2">
    <w:name w:val="Unresolved Mention2"/>
    <w:basedOn w:val="DefaultParagraphFont"/>
    <w:uiPriority w:val="99"/>
    <w:semiHidden/>
    <w:unhideWhenUsed/>
    <w:rsid w:val="00494E95"/>
    <w:rPr>
      <w:color w:val="605E5C"/>
      <w:shd w:val="clear" w:color="auto" w:fill="E1DFDD"/>
    </w:rPr>
  </w:style>
  <w:style w:type="character" w:customStyle="1" w:styleId="Heading3Char">
    <w:name w:val="Heading 3 Char"/>
    <w:basedOn w:val="DefaultParagraphFont"/>
    <w:link w:val="Heading3"/>
    <w:uiPriority w:val="9"/>
    <w:rsid w:val="001B2FFC"/>
    <w:rPr>
      <w:rFonts w:ascii="Arial" w:eastAsia="Times New Roman" w:hAnsi="Arial" w:cs="Arial"/>
      <w:b/>
      <w:bCs/>
      <w:color w:val="000000"/>
      <w:sz w:val="28"/>
      <w:szCs w:val="24"/>
    </w:rPr>
  </w:style>
  <w:style w:type="character" w:customStyle="1" w:styleId="UnresolvedMention3">
    <w:name w:val="Unresolved Mention3"/>
    <w:basedOn w:val="DefaultParagraphFont"/>
    <w:uiPriority w:val="99"/>
    <w:semiHidden/>
    <w:unhideWhenUsed/>
    <w:rsid w:val="00C257AD"/>
    <w:rPr>
      <w:color w:val="605E5C"/>
      <w:shd w:val="clear" w:color="auto" w:fill="E1DFDD"/>
    </w:rPr>
  </w:style>
  <w:style w:type="character" w:styleId="CommentReference">
    <w:name w:val="annotation reference"/>
    <w:basedOn w:val="DefaultParagraphFont"/>
    <w:uiPriority w:val="99"/>
    <w:semiHidden/>
    <w:unhideWhenUsed/>
    <w:rsid w:val="004946B1"/>
    <w:rPr>
      <w:sz w:val="16"/>
      <w:szCs w:val="16"/>
    </w:rPr>
  </w:style>
  <w:style w:type="paragraph" w:styleId="CommentText">
    <w:name w:val="annotation text"/>
    <w:basedOn w:val="Normal"/>
    <w:link w:val="CommentTextChar"/>
    <w:uiPriority w:val="99"/>
    <w:unhideWhenUsed/>
    <w:rsid w:val="004946B1"/>
    <w:pPr>
      <w:spacing w:line="240" w:lineRule="auto"/>
    </w:pPr>
    <w:rPr>
      <w:sz w:val="20"/>
      <w:szCs w:val="20"/>
    </w:rPr>
  </w:style>
  <w:style w:type="character" w:customStyle="1" w:styleId="CommentTextChar">
    <w:name w:val="Comment Text Char"/>
    <w:basedOn w:val="DefaultParagraphFont"/>
    <w:link w:val="CommentText"/>
    <w:uiPriority w:val="99"/>
    <w:rsid w:val="004946B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946B1"/>
    <w:rPr>
      <w:b/>
      <w:bCs/>
    </w:rPr>
  </w:style>
  <w:style w:type="character" w:customStyle="1" w:styleId="CommentSubjectChar">
    <w:name w:val="Comment Subject Char"/>
    <w:basedOn w:val="CommentTextChar"/>
    <w:link w:val="CommentSubject"/>
    <w:uiPriority w:val="99"/>
    <w:semiHidden/>
    <w:rsid w:val="004946B1"/>
    <w:rPr>
      <w:rFonts w:ascii="Arial" w:hAnsi="Arial"/>
      <w:b/>
      <w:bCs/>
      <w:sz w:val="20"/>
      <w:szCs w:val="20"/>
    </w:rPr>
  </w:style>
  <w:style w:type="paragraph" w:styleId="BalloonText">
    <w:name w:val="Balloon Text"/>
    <w:basedOn w:val="Normal"/>
    <w:link w:val="BalloonTextChar"/>
    <w:uiPriority w:val="99"/>
    <w:semiHidden/>
    <w:unhideWhenUsed/>
    <w:rsid w:val="004946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6B1"/>
    <w:rPr>
      <w:rFonts w:ascii="Segoe UI" w:hAnsi="Segoe UI" w:cs="Segoe UI"/>
      <w:sz w:val="18"/>
      <w:szCs w:val="18"/>
    </w:rPr>
  </w:style>
  <w:style w:type="character" w:styleId="FollowedHyperlink">
    <w:name w:val="FollowedHyperlink"/>
    <w:basedOn w:val="DefaultParagraphFont"/>
    <w:uiPriority w:val="99"/>
    <w:semiHidden/>
    <w:unhideWhenUsed/>
    <w:rsid w:val="00E800D5"/>
    <w:rPr>
      <w:color w:val="954F72" w:themeColor="followedHyperlink"/>
      <w:u w:val="single"/>
    </w:rPr>
  </w:style>
  <w:style w:type="character" w:customStyle="1" w:styleId="UnresolvedMention4">
    <w:name w:val="Unresolved Mention4"/>
    <w:basedOn w:val="DefaultParagraphFont"/>
    <w:uiPriority w:val="99"/>
    <w:semiHidden/>
    <w:unhideWhenUsed/>
    <w:rsid w:val="004E4581"/>
    <w:rPr>
      <w:color w:val="605E5C"/>
      <w:shd w:val="clear" w:color="auto" w:fill="E1DFDD"/>
    </w:rPr>
  </w:style>
  <w:style w:type="character" w:customStyle="1" w:styleId="Heading4Char">
    <w:name w:val="Heading 4 Char"/>
    <w:basedOn w:val="DefaultParagraphFont"/>
    <w:link w:val="Heading4"/>
    <w:uiPriority w:val="9"/>
    <w:rsid w:val="00FE1077"/>
    <w:rPr>
      <w:rFonts w:ascii="Arial" w:eastAsiaTheme="majorEastAsia" w:hAnsi="Arial" w:cstheme="majorBidi"/>
      <w:b/>
      <w:iCs/>
      <w:sz w:val="28"/>
      <w:szCs w:val="24"/>
    </w:rPr>
  </w:style>
  <w:style w:type="paragraph" w:styleId="NoSpacing">
    <w:name w:val="No Spacing"/>
    <w:uiPriority w:val="1"/>
    <w:qFormat/>
    <w:rsid w:val="00B55993"/>
    <w:pPr>
      <w:spacing w:after="0" w:line="240" w:lineRule="auto"/>
    </w:pPr>
    <w:rPr>
      <w:rFonts w:ascii="Arial" w:hAnsi="Arial"/>
      <w:sz w:val="24"/>
    </w:rPr>
  </w:style>
  <w:style w:type="character" w:customStyle="1" w:styleId="UnresolvedMention5">
    <w:name w:val="Unresolved Mention5"/>
    <w:basedOn w:val="DefaultParagraphFont"/>
    <w:uiPriority w:val="99"/>
    <w:semiHidden/>
    <w:unhideWhenUsed/>
    <w:rsid w:val="000429D6"/>
    <w:rPr>
      <w:color w:val="605E5C"/>
      <w:shd w:val="clear" w:color="auto" w:fill="E1DFDD"/>
    </w:rPr>
  </w:style>
  <w:style w:type="character" w:customStyle="1" w:styleId="docs-title-input-label-inner">
    <w:name w:val="docs-title-input-label-inner"/>
    <w:basedOn w:val="DefaultParagraphFont"/>
    <w:rsid w:val="0029179E"/>
  </w:style>
  <w:style w:type="character" w:styleId="UnresolvedMention">
    <w:name w:val="Unresolved Mention"/>
    <w:basedOn w:val="DefaultParagraphFont"/>
    <w:uiPriority w:val="99"/>
    <w:semiHidden/>
    <w:unhideWhenUsed/>
    <w:rsid w:val="00071A0A"/>
    <w:rPr>
      <w:color w:val="605E5C"/>
      <w:shd w:val="clear" w:color="auto" w:fill="E1DFDD"/>
    </w:rPr>
  </w:style>
  <w:style w:type="character" w:styleId="Strong">
    <w:name w:val="Strong"/>
    <w:basedOn w:val="DefaultParagraphFont"/>
    <w:uiPriority w:val="22"/>
    <w:qFormat/>
    <w:rsid w:val="004D6B81"/>
    <w:rPr>
      <w:rFonts w:ascii="Arial" w:hAnsi="Arial"/>
      <w:b/>
      <w:bCs/>
      <w:color w:val="auto"/>
      <w:sz w:val="24"/>
    </w:rPr>
  </w:style>
  <w:style w:type="character" w:customStyle="1" w:styleId="normaltextrun">
    <w:name w:val="normaltextrun"/>
    <w:basedOn w:val="DefaultParagraphFont"/>
    <w:rsid w:val="00D74F32"/>
  </w:style>
  <w:style w:type="character" w:customStyle="1" w:styleId="ListParagraphChar">
    <w:name w:val="List Paragraph Char"/>
    <w:basedOn w:val="DefaultParagraphFont"/>
    <w:link w:val="ListParagraph"/>
    <w:uiPriority w:val="34"/>
    <w:locked/>
    <w:rsid w:val="00E263F1"/>
    <w:rPr>
      <w:rFonts w:ascii="Arial" w:hAnsi="Arial"/>
      <w:sz w:val="24"/>
    </w:rPr>
  </w:style>
  <w:style w:type="paragraph" w:styleId="ListBullet">
    <w:name w:val="List Bullet"/>
    <w:basedOn w:val="Normal"/>
    <w:uiPriority w:val="99"/>
    <w:semiHidden/>
    <w:unhideWhenUsed/>
    <w:rsid w:val="00BE67B8"/>
    <w:pPr>
      <w:widowControl w:val="0"/>
      <w:numPr>
        <w:numId w:val="1"/>
      </w:numPr>
      <w:spacing w:after="200" w:line="276" w:lineRule="auto"/>
      <w:contextualSpacing/>
    </w:pPr>
  </w:style>
  <w:style w:type="character" w:customStyle="1" w:styleId="linknotation">
    <w:name w:val="linknotation"/>
    <w:basedOn w:val="DefaultParagraphFont"/>
    <w:rsid w:val="002C6EE4"/>
  </w:style>
  <w:style w:type="paragraph" w:styleId="BodyText">
    <w:name w:val="Body Text"/>
    <w:basedOn w:val="Normal"/>
    <w:link w:val="BodyTextChar"/>
    <w:uiPriority w:val="1"/>
    <w:qFormat/>
    <w:rsid w:val="009A6BC3"/>
    <w:pPr>
      <w:widowControl w:val="0"/>
      <w:autoSpaceDE w:val="0"/>
      <w:autoSpaceDN w:val="0"/>
      <w:spacing w:after="0" w:line="240" w:lineRule="auto"/>
    </w:pPr>
    <w:rPr>
      <w:rFonts w:eastAsia="Arial" w:cs="Arial"/>
      <w:szCs w:val="24"/>
    </w:rPr>
  </w:style>
  <w:style w:type="character" w:customStyle="1" w:styleId="BodyTextChar">
    <w:name w:val="Body Text Char"/>
    <w:basedOn w:val="DefaultParagraphFont"/>
    <w:link w:val="BodyText"/>
    <w:uiPriority w:val="1"/>
    <w:rsid w:val="009A6BC3"/>
    <w:rPr>
      <w:rFonts w:ascii="Arial" w:eastAsia="Arial" w:hAnsi="Arial" w:cs="Arial"/>
      <w:sz w:val="24"/>
      <w:szCs w:val="24"/>
    </w:rPr>
  </w:style>
  <w:style w:type="table" w:styleId="PlainTable4">
    <w:name w:val="Plain Table 4"/>
    <w:basedOn w:val="TableNormal"/>
    <w:uiPriority w:val="44"/>
    <w:rsid w:val="000028E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D0DB" w:themeFill="background1" w:themeFillShade="F2"/>
      </w:tcPr>
    </w:tblStylePr>
    <w:tblStylePr w:type="band1Horz">
      <w:tblPr/>
      <w:tcPr>
        <w:shd w:val="clear" w:color="auto" w:fill="C8D0DB" w:themeFill="background1" w:themeFillShade="F2"/>
      </w:tcPr>
    </w:tblStylePr>
  </w:style>
  <w:style w:type="character" w:styleId="BookTitle">
    <w:name w:val="Book Title"/>
    <w:basedOn w:val="DefaultParagraphFont"/>
    <w:uiPriority w:val="33"/>
    <w:rsid w:val="004D6B81"/>
    <w:rPr>
      <w:b/>
      <w:bCs/>
      <w:i/>
      <w:iCs/>
      <w:spacing w:val="5"/>
    </w:rPr>
  </w:style>
  <w:style w:type="character" w:customStyle="1" w:styleId="Heading5Char">
    <w:name w:val="Heading 5 Char"/>
    <w:basedOn w:val="DefaultParagraphFont"/>
    <w:link w:val="Heading5"/>
    <w:uiPriority w:val="9"/>
    <w:rsid w:val="00FE1077"/>
    <w:rPr>
      <w:rFonts w:asciiTheme="majorHAnsi" w:eastAsiaTheme="majorEastAsia" w:hAnsiTheme="majorHAnsi" w:cstheme="majorBidi"/>
      <w:color w:val="532477" w:themeColor="accent1" w:themeShade="BF"/>
      <w:sz w:val="24"/>
    </w:rPr>
  </w:style>
  <w:style w:type="table" w:styleId="GridTable4-Accent6">
    <w:name w:val="Grid Table 4 Accent 6"/>
    <w:basedOn w:val="TableNormal"/>
    <w:uiPriority w:val="49"/>
    <w:rsid w:val="007E5BB4"/>
    <w:pPr>
      <w:spacing w:after="0" w:line="240" w:lineRule="auto"/>
    </w:pPr>
    <w:tblPr>
      <w:tblStyleRowBandSize w:val="1"/>
      <w:tblStyleColBandSize w:val="1"/>
      <w:tblBorders>
        <w:top w:val="single" w:sz="4" w:space="0" w:color="AB73D5" w:themeColor="accent6" w:themeTint="99"/>
        <w:left w:val="single" w:sz="4" w:space="0" w:color="AB73D5" w:themeColor="accent6" w:themeTint="99"/>
        <w:bottom w:val="single" w:sz="4" w:space="0" w:color="AB73D5" w:themeColor="accent6" w:themeTint="99"/>
        <w:right w:val="single" w:sz="4" w:space="0" w:color="AB73D5" w:themeColor="accent6" w:themeTint="99"/>
        <w:insideH w:val="single" w:sz="4" w:space="0" w:color="AB73D5" w:themeColor="accent6" w:themeTint="99"/>
        <w:insideV w:val="single" w:sz="4" w:space="0" w:color="AB73D5" w:themeColor="accent6" w:themeTint="99"/>
      </w:tblBorders>
    </w:tblPr>
    <w:tblStylePr w:type="firstRow">
      <w:rPr>
        <w:b/>
        <w:bCs/>
        <w:color w:val="D6DCE4" w:themeColor="background1"/>
      </w:rPr>
      <w:tblPr/>
      <w:tcPr>
        <w:tcBorders>
          <w:top w:val="single" w:sz="4" w:space="0" w:color="7030A0" w:themeColor="accent6"/>
          <w:left w:val="single" w:sz="4" w:space="0" w:color="7030A0" w:themeColor="accent6"/>
          <w:bottom w:val="single" w:sz="4" w:space="0" w:color="7030A0" w:themeColor="accent6"/>
          <w:right w:val="single" w:sz="4" w:space="0" w:color="7030A0" w:themeColor="accent6"/>
          <w:insideH w:val="nil"/>
          <w:insideV w:val="nil"/>
        </w:tcBorders>
        <w:shd w:val="clear" w:color="auto" w:fill="7030A0" w:themeFill="accent6"/>
      </w:tcPr>
    </w:tblStylePr>
    <w:tblStylePr w:type="lastRow">
      <w:rPr>
        <w:b/>
        <w:bCs/>
      </w:rPr>
      <w:tblPr/>
      <w:tcPr>
        <w:tcBorders>
          <w:top w:val="double" w:sz="4" w:space="0" w:color="7030A0" w:themeColor="accent6"/>
        </w:tcBorders>
      </w:tcPr>
    </w:tblStylePr>
    <w:tblStylePr w:type="firstCol">
      <w:rPr>
        <w:b/>
        <w:bCs/>
      </w:rPr>
    </w:tblStylePr>
    <w:tblStylePr w:type="lastCol">
      <w:rPr>
        <w:b/>
        <w:bCs/>
      </w:rPr>
    </w:tblStylePr>
    <w:tblStylePr w:type="band1Vert">
      <w:tblPr/>
      <w:tcPr>
        <w:shd w:val="clear" w:color="auto" w:fill="E2D0F1" w:themeFill="accent6" w:themeFillTint="33"/>
      </w:tcPr>
    </w:tblStylePr>
    <w:tblStylePr w:type="band1Horz">
      <w:tblPr/>
      <w:tcPr>
        <w:shd w:val="clear" w:color="auto" w:fill="E2D0F1" w:themeFill="accent6" w:themeFillTint="33"/>
      </w:tcPr>
    </w:tblStylePr>
  </w:style>
  <w:style w:type="character" w:customStyle="1" w:styleId="eop">
    <w:name w:val="eop"/>
    <w:basedOn w:val="DefaultParagraphFont"/>
    <w:rsid w:val="00783D4A"/>
  </w:style>
  <w:style w:type="paragraph" w:styleId="Revision">
    <w:name w:val="Revision"/>
    <w:hidden/>
    <w:uiPriority w:val="99"/>
    <w:semiHidden/>
    <w:rsid w:val="00EE7FE0"/>
    <w:pPr>
      <w:spacing w:after="0" w:line="240" w:lineRule="auto"/>
    </w:pPr>
    <w:rPr>
      <w:rFonts w:ascii="Arial" w:hAnsi="Arial"/>
      <w:sz w:val="24"/>
    </w:rPr>
  </w:style>
  <w:style w:type="paragraph" w:customStyle="1" w:styleId="paragraph">
    <w:name w:val="paragraph"/>
    <w:basedOn w:val="Normal"/>
    <w:rsid w:val="00372640"/>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77229">
      <w:bodyDiv w:val="1"/>
      <w:marLeft w:val="0"/>
      <w:marRight w:val="0"/>
      <w:marTop w:val="0"/>
      <w:marBottom w:val="0"/>
      <w:divBdr>
        <w:top w:val="none" w:sz="0" w:space="0" w:color="auto"/>
        <w:left w:val="none" w:sz="0" w:space="0" w:color="auto"/>
        <w:bottom w:val="none" w:sz="0" w:space="0" w:color="auto"/>
        <w:right w:val="none" w:sz="0" w:space="0" w:color="auto"/>
      </w:divBdr>
      <w:divsChild>
        <w:div w:id="79643485">
          <w:marLeft w:val="994"/>
          <w:marRight w:val="0"/>
          <w:marTop w:val="0"/>
          <w:marBottom w:val="0"/>
          <w:divBdr>
            <w:top w:val="none" w:sz="0" w:space="0" w:color="auto"/>
            <w:left w:val="none" w:sz="0" w:space="0" w:color="auto"/>
            <w:bottom w:val="none" w:sz="0" w:space="0" w:color="auto"/>
            <w:right w:val="none" w:sz="0" w:space="0" w:color="auto"/>
          </w:divBdr>
        </w:div>
        <w:div w:id="91556207">
          <w:marLeft w:val="994"/>
          <w:marRight w:val="0"/>
          <w:marTop w:val="0"/>
          <w:marBottom w:val="0"/>
          <w:divBdr>
            <w:top w:val="none" w:sz="0" w:space="0" w:color="auto"/>
            <w:left w:val="none" w:sz="0" w:space="0" w:color="auto"/>
            <w:bottom w:val="none" w:sz="0" w:space="0" w:color="auto"/>
            <w:right w:val="none" w:sz="0" w:space="0" w:color="auto"/>
          </w:divBdr>
        </w:div>
        <w:div w:id="438066025">
          <w:marLeft w:val="274"/>
          <w:marRight w:val="0"/>
          <w:marTop w:val="0"/>
          <w:marBottom w:val="0"/>
          <w:divBdr>
            <w:top w:val="none" w:sz="0" w:space="0" w:color="auto"/>
            <w:left w:val="none" w:sz="0" w:space="0" w:color="auto"/>
            <w:bottom w:val="none" w:sz="0" w:space="0" w:color="auto"/>
            <w:right w:val="none" w:sz="0" w:space="0" w:color="auto"/>
          </w:divBdr>
        </w:div>
        <w:div w:id="1646356917">
          <w:marLeft w:val="994"/>
          <w:marRight w:val="0"/>
          <w:marTop w:val="0"/>
          <w:marBottom w:val="0"/>
          <w:divBdr>
            <w:top w:val="none" w:sz="0" w:space="0" w:color="auto"/>
            <w:left w:val="none" w:sz="0" w:space="0" w:color="auto"/>
            <w:bottom w:val="none" w:sz="0" w:space="0" w:color="auto"/>
            <w:right w:val="none" w:sz="0" w:space="0" w:color="auto"/>
          </w:divBdr>
        </w:div>
      </w:divsChild>
    </w:div>
    <w:div w:id="39480297">
      <w:bodyDiv w:val="1"/>
      <w:marLeft w:val="0"/>
      <w:marRight w:val="0"/>
      <w:marTop w:val="0"/>
      <w:marBottom w:val="0"/>
      <w:divBdr>
        <w:top w:val="none" w:sz="0" w:space="0" w:color="auto"/>
        <w:left w:val="none" w:sz="0" w:space="0" w:color="auto"/>
        <w:bottom w:val="none" w:sz="0" w:space="0" w:color="auto"/>
        <w:right w:val="none" w:sz="0" w:space="0" w:color="auto"/>
      </w:divBdr>
    </w:div>
    <w:div w:id="44332190">
      <w:bodyDiv w:val="1"/>
      <w:marLeft w:val="0"/>
      <w:marRight w:val="0"/>
      <w:marTop w:val="0"/>
      <w:marBottom w:val="0"/>
      <w:divBdr>
        <w:top w:val="none" w:sz="0" w:space="0" w:color="auto"/>
        <w:left w:val="none" w:sz="0" w:space="0" w:color="auto"/>
        <w:bottom w:val="none" w:sz="0" w:space="0" w:color="auto"/>
        <w:right w:val="none" w:sz="0" w:space="0" w:color="auto"/>
      </w:divBdr>
    </w:div>
    <w:div w:id="70009319">
      <w:bodyDiv w:val="1"/>
      <w:marLeft w:val="0"/>
      <w:marRight w:val="0"/>
      <w:marTop w:val="0"/>
      <w:marBottom w:val="0"/>
      <w:divBdr>
        <w:top w:val="none" w:sz="0" w:space="0" w:color="auto"/>
        <w:left w:val="none" w:sz="0" w:space="0" w:color="auto"/>
        <w:bottom w:val="none" w:sz="0" w:space="0" w:color="auto"/>
        <w:right w:val="none" w:sz="0" w:space="0" w:color="auto"/>
      </w:divBdr>
      <w:divsChild>
        <w:div w:id="83498481">
          <w:marLeft w:val="274"/>
          <w:marRight w:val="0"/>
          <w:marTop w:val="0"/>
          <w:marBottom w:val="0"/>
          <w:divBdr>
            <w:top w:val="none" w:sz="0" w:space="0" w:color="auto"/>
            <w:left w:val="none" w:sz="0" w:space="0" w:color="auto"/>
            <w:bottom w:val="none" w:sz="0" w:space="0" w:color="auto"/>
            <w:right w:val="none" w:sz="0" w:space="0" w:color="auto"/>
          </w:divBdr>
        </w:div>
        <w:div w:id="234095453">
          <w:marLeft w:val="274"/>
          <w:marRight w:val="0"/>
          <w:marTop w:val="0"/>
          <w:marBottom w:val="0"/>
          <w:divBdr>
            <w:top w:val="none" w:sz="0" w:space="0" w:color="auto"/>
            <w:left w:val="none" w:sz="0" w:space="0" w:color="auto"/>
            <w:bottom w:val="none" w:sz="0" w:space="0" w:color="auto"/>
            <w:right w:val="none" w:sz="0" w:space="0" w:color="auto"/>
          </w:divBdr>
        </w:div>
        <w:div w:id="618418811">
          <w:marLeft w:val="274"/>
          <w:marRight w:val="0"/>
          <w:marTop w:val="0"/>
          <w:marBottom w:val="0"/>
          <w:divBdr>
            <w:top w:val="none" w:sz="0" w:space="0" w:color="auto"/>
            <w:left w:val="none" w:sz="0" w:space="0" w:color="auto"/>
            <w:bottom w:val="none" w:sz="0" w:space="0" w:color="auto"/>
            <w:right w:val="none" w:sz="0" w:space="0" w:color="auto"/>
          </w:divBdr>
        </w:div>
        <w:div w:id="792988404">
          <w:marLeft w:val="274"/>
          <w:marRight w:val="0"/>
          <w:marTop w:val="0"/>
          <w:marBottom w:val="0"/>
          <w:divBdr>
            <w:top w:val="none" w:sz="0" w:space="0" w:color="auto"/>
            <w:left w:val="none" w:sz="0" w:space="0" w:color="auto"/>
            <w:bottom w:val="none" w:sz="0" w:space="0" w:color="auto"/>
            <w:right w:val="none" w:sz="0" w:space="0" w:color="auto"/>
          </w:divBdr>
        </w:div>
        <w:div w:id="848369332">
          <w:marLeft w:val="274"/>
          <w:marRight w:val="0"/>
          <w:marTop w:val="0"/>
          <w:marBottom w:val="0"/>
          <w:divBdr>
            <w:top w:val="none" w:sz="0" w:space="0" w:color="auto"/>
            <w:left w:val="none" w:sz="0" w:space="0" w:color="auto"/>
            <w:bottom w:val="none" w:sz="0" w:space="0" w:color="auto"/>
            <w:right w:val="none" w:sz="0" w:space="0" w:color="auto"/>
          </w:divBdr>
        </w:div>
        <w:div w:id="2006128051">
          <w:marLeft w:val="274"/>
          <w:marRight w:val="0"/>
          <w:marTop w:val="0"/>
          <w:marBottom w:val="0"/>
          <w:divBdr>
            <w:top w:val="none" w:sz="0" w:space="0" w:color="auto"/>
            <w:left w:val="none" w:sz="0" w:space="0" w:color="auto"/>
            <w:bottom w:val="none" w:sz="0" w:space="0" w:color="auto"/>
            <w:right w:val="none" w:sz="0" w:space="0" w:color="auto"/>
          </w:divBdr>
        </w:div>
      </w:divsChild>
    </w:div>
    <w:div w:id="71900074">
      <w:bodyDiv w:val="1"/>
      <w:marLeft w:val="0"/>
      <w:marRight w:val="0"/>
      <w:marTop w:val="0"/>
      <w:marBottom w:val="0"/>
      <w:divBdr>
        <w:top w:val="none" w:sz="0" w:space="0" w:color="auto"/>
        <w:left w:val="none" w:sz="0" w:space="0" w:color="auto"/>
        <w:bottom w:val="none" w:sz="0" w:space="0" w:color="auto"/>
        <w:right w:val="none" w:sz="0" w:space="0" w:color="auto"/>
      </w:divBdr>
    </w:div>
    <w:div w:id="76101490">
      <w:bodyDiv w:val="1"/>
      <w:marLeft w:val="0"/>
      <w:marRight w:val="0"/>
      <w:marTop w:val="0"/>
      <w:marBottom w:val="0"/>
      <w:divBdr>
        <w:top w:val="none" w:sz="0" w:space="0" w:color="auto"/>
        <w:left w:val="none" w:sz="0" w:space="0" w:color="auto"/>
        <w:bottom w:val="none" w:sz="0" w:space="0" w:color="auto"/>
        <w:right w:val="none" w:sz="0" w:space="0" w:color="auto"/>
      </w:divBdr>
    </w:div>
    <w:div w:id="84545105">
      <w:bodyDiv w:val="1"/>
      <w:marLeft w:val="0"/>
      <w:marRight w:val="0"/>
      <w:marTop w:val="0"/>
      <w:marBottom w:val="0"/>
      <w:divBdr>
        <w:top w:val="none" w:sz="0" w:space="0" w:color="auto"/>
        <w:left w:val="none" w:sz="0" w:space="0" w:color="auto"/>
        <w:bottom w:val="none" w:sz="0" w:space="0" w:color="auto"/>
        <w:right w:val="none" w:sz="0" w:space="0" w:color="auto"/>
      </w:divBdr>
    </w:div>
    <w:div w:id="92479542">
      <w:bodyDiv w:val="1"/>
      <w:marLeft w:val="0"/>
      <w:marRight w:val="0"/>
      <w:marTop w:val="0"/>
      <w:marBottom w:val="0"/>
      <w:divBdr>
        <w:top w:val="none" w:sz="0" w:space="0" w:color="auto"/>
        <w:left w:val="none" w:sz="0" w:space="0" w:color="auto"/>
        <w:bottom w:val="none" w:sz="0" w:space="0" w:color="auto"/>
        <w:right w:val="none" w:sz="0" w:space="0" w:color="auto"/>
      </w:divBdr>
    </w:div>
    <w:div w:id="93482452">
      <w:bodyDiv w:val="1"/>
      <w:marLeft w:val="0"/>
      <w:marRight w:val="0"/>
      <w:marTop w:val="0"/>
      <w:marBottom w:val="0"/>
      <w:divBdr>
        <w:top w:val="none" w:sz="0" w:space="0" w:color="auto"/>
        <w:left w:val="none" w:sz="0" w:space="0" w:color="auto"/>
        <w:bottom w:val="none" w:sz="0" w:space="0" w:color="auto"/>
        <w:right w:val="none" w:sz="0" w:space="0" w:color="auto"/>
      </w:divBdr>
    </w:div>
    <w:div w:id="105395948">
      <w:bodyDiv w:val="1"/>
      <w:marLeft w:val="0"/>
      <w:marRight w:val="0"/>
      <w:marTop w:val="0"/>
      <w:marBottom w:val="0"/>
      <w:divBdr>
        <w:top w:val="none" w:sz="0" w:space="0" w:color="auto"/>
        <w:left w:val="none" w:sz="0" w:space="0" w:color="auto"/>
        <w:bottom w:val="none" w:sz="0" w:space="0" w:color="auto"/>
        <w:right w:val="none" w:sz="0" w:space="0" w:color="auto"/>
      </w:divBdr>
      <w:divsChild>
        <w:div w:id="103428525">
          <w:marLeft w:val="994"/>
          <w:marRight w:val="0"/>
          <w:marTop w:val="0"/>
          <w:marBottom w:val="0"/>
          <w:divBdr>
            <w:top w:val="none" w:sz="0" w:space="0" w:color="auto"/>
            <w:left w:val="none" w:sz="0" w:space="0" w:color="auto"/>
            <w:bottom w:val="none" w:sz="0" w:space="0" w:color="auto"/>
            <w:right w:val="none" w:sz="0" w:space="0" w:color="auto"/>
          </w:divBdr>
        </w:div>
        <w:div w:id="303971262">
          <w:marLeft w:val="994"/>
          <w:marRight w:val="0"/>
          <w:marTop w:val="0"/>
          <w:marBottom w:val="0"/>
          <w:divBdr>
            <w:top w:val="none" w:sz="0" w:space="0" w:color="auto"/>
            <w:left w:val="none" w:sz="0" w:space="0" w:color="auto"/>
            <w:bottom w:val="none" w:sz="0" w:space="0" w:color="auto"/>
            <w:right w:val="none" w:sz="0" w:space="0" w:color="auto"/>
          </w:divBdr>
        </w:div>
        <w:div w:id="672881106">
          <w:marLeft w:val="994"/>
          <w:marRight w:val="0"/>
          <w:marTop w:val="0"/>
          <w:marBottom w:val="0"/>
          <w:divBdr>
            <w:top w:val="none" w:sz="0" w:space="0" w:color="auto"/>
            <w:left w:val="none" w:sz="0" w:space="0" w:color="auto"/>
            <w:bottom w:val="none" w:sz="0" w:space="0" w:color="auto"/>
            <w:right w:val="none" w:sz="0" w:space="0" w:color="auto"/>
          </w:divBdr>
        </w:div>
        <w:div w:id="839350941">
          <w:marLeft w:val="274"/>
          <w:marRight w:val="0"/>
          <w:marTop w:val="0"/>
          <w:marBottom w:val="0"/>
          <w:divBdr>
            <w:top w:val="none" w:sz="0" w:space="0" w:color="auto"/>
            <w:left w:val="none" w:sz="0" w:space="0" w:color="auto"/>
            <w:bottom w:val="none" w:sz="0" w:space="0" w:color="auto"/>
            <w:right w:val="none" w:sz="0" w:space="0" w:color="auto"/>
          </w:divBdr>
        </w:div>
        <w:div w:id="991445120">
          <w:marLeft w:val="274"/>
          <w:marRight w:val="0"/>
          <w:marTop w:val="0"/>
          <w:marBottom w:val="0"/>
          <w:divBdr>
            <w:top w:val="none" w:sz="0" w:space="0" w:color="auto"/>
            <w:left w:val="none" w:sz="0" w:space="0" w:color="auto"/>
            <w:bottom w:val="none" w:sz="0" w:space="0" w:color="auto"/>
            <w:right w:val="none" w:sz="0" w:space="0" w:color="auto"/>
          </w:divBdr>
        </w:div>
        <w:div w:id="1038310975">
          <w:marLeft w:val="274"/>
          <w:marRight w:val="0"/>
          <w:marTop w:val="0"/>
          <w:marBottom w:val="0"/>
          <w:divBdr>
            <w:top w:val="none" w:sz="0" w:space="0" w:color="auto"/>
            <w:left w:val="none" w:sz="0" w:space="0" w:color="auto"/>
            <w:bottom w:val="none" w:sz="0" w:space="0" w:color="auto"/>
            <w:right w:val="none" w:sz="0" w:space="0" w:color="auto"/>
          </w:divBdr>
        </w:div>
        <w:div w:id="1282111393">
          <w:marLeft w:val="274"/>
          <w:marRight w:val="0"/>
          <w:marTop w:val="0"/>
          <w:marBottom w:val="0"/>
          <w:divBdr>
            <w:top w:val="none" w:sz="0" w:space="0" w:color="auto"/>
            <w:left w:val="none" w:sz="0" w:space="0" w:color="auto"/>
            <w:bottom w:val="none" w:sz="0" w:space="0" w:color="auto"/>
            <w:right w:val="none" w:sz="0" w:space="0" w:color="auto"/>
          </w:divBdr>
        </w:div>
        <w:div w:id="1283809495">
          <w:marLeft w:val="274"/>
          <w:marRight w:val="0"/>
          <w:marTop w:val="0"/>
          <w:marBottom w:val="0"/>
          <w:divBdr>
            <w:top w:val="none" w:sz="0" w:space="0" w:color="auto"/>
            <w:left w:val="none" w:sz="0" w:space="0" w:color="auto"/>
            <w:bottom w:val="none" w:sz="0" w:space="0" w:color="auto"/>
            <w:right w:val="none" w:sz="0" w:space="0" w:color="auto"/>
          </w:divBdr>
        </w:div>
        <w:div w:id="1363087965">
          <w:marLeft w:val="274"/>
          <w:marRight w:val="0"/>
          <w:marTop w:val="0"/>
          <w:marBottom w:val="0"/>
          <w:divBdr>
            <w:top w:val="none" w:sz="0" w:space="0" w:color="auto"/>
            <w:left w:val="none" w:sz="0" w:space="0" w:color="auto"/>
            <w:bottom w:val="none" w:sz="0" w:space="0" w:color="auto"/>
            <w:right w:val="none" w:sz="0" w:space="0" w:color="auto"/>
          </w:divBdr>
        </w:div>
        <w:div w:id="1619408532">
          <w:marLeft w:val="274"/>
          <w:marRight w:val="0"/>
          <w:marTop w:val="0"/>
          <w:marBottom w:val="0"/>
          <w:divBdr>
            <w:top w:val="none" w:sz="0" w:space="0" w:color="auto"/>
            <w:left w:val="none" w:sz="0" w:space="0" w:color="auto"/>
            <w:bottom w:val="none" w:sz="0" w:space="0" w:color="auto"/>
            <w:right w:val="none" w:sz="0" w:space="0" w:color="auto"/>
          </w:divBdr>
        </w:div>
        <w:div w:id="1773041967">
          <w:marLeft w:val="274"/>
          <w:marRight w:val="0"/>
          <w:marTop w:val="0"/>
          <w:marBottom w:val="0"/>
          <w:divBdr>
            <w:top w:val="none" w:sz="0" w:space="0" w:color="auto"/>
            <w:left w:val="none" w:sz="0" w:space="0" w:color="auto"/>
            <w:bottom w:val="none" w:sz="0" w:space="0" w:color="auto"/>
            <w:right w:val="none" w:sz="0" w:space="0" w:color="auto"/>
          </w:divBdr>
        </w:div>
        <w:div w:id="1812138977">
          <w:marLeft w:val="994"/>
          <w:marRight w:val="0"/>
          <w:marTop w:val="0"/>
          <w:marBottom w:val="0"/>
          <w:divBdr>
            <w:top w:val="none" w:sz="0" w:space="0" w:color="auto"/>
            <w:left w:val="none" w:sz="0" w:space="0" w:color="auto"/>
            <w:bottom w:val="none" w:sz="0" w:space="0" w:color="auto"/>
            <w:right w:val="none" w:sz="0" w:space="0" w:color="auto"/>
          </w:divBdr>
        </w:div>
      </w:divsChild>
    </w:div>
    <w:div w:id="129520632">
      <w:bodyDiv w:val="1"/>
      <w:marLeft w:val="0"/>
      <w:marRight w:val="0"/>
      <w:marTop w:val="0"/>
      <w:marBottom w:val="0"/>
      <w:divBdr>
        <w:top w:val="none" w:sz="0" w:space="0" w:color="auto"/>
        <w:left w:val="none" w:sz="0" w:space="0" w:color="auto"/>
        <w:bottom w:val="none" w:sz="0" w:space="0" w:color="auto"/>
        <w:right w:val="none" w:sz="0" w:space="0" w:color="auto"/>
      </w:divBdr>
    </w:div>
    <w:div w:id="153491210">
      <w:bodyDiv w:val="1"/>
      <w:marLeft w:val="0"/>
      <w:marRight w:val="0"/>
      <w:marTop w:val="0"/>
      <w:marBottom w:val="0"/>
      <w:divBdr>
        <w:top w:val="none" w:sz="0" w:space="0" w:color="auto"/>
        <w:left w:val="none" w:sz="0" w:space="0" w:color="auto"/>
        <w:bottom w:val="none" w:sz="0" w:space="0" w:color="auto"/>
        <w:right w:val="none" w:sz="0" w:space="0" w:color="auto"/>
      </w:divBdr>
    </w:div>
    <w:div w:id="187380537">
      <w:bodyDiv w:val="1"/>
      <w:marLeft w:val="0"/>
      <w:marRight w:val="0"/>
      <w:marTop w:val="0"/>
      <w:marBottom w:val="0"/>
      <w:divBdr>
        <w:top w:val="none" w:sz="0" w:space="0" w:color="auto"/>
        <w:left w:val="none" w:sz="0" w:space="0" w:color="auto"/>
        <w:bottom w:val="none" w:sz="0" w:space="0" w:color="auto"/>
        <w:right w:val="none" w:sz="0" w:space="0" w:color="auto"/>
      </w:divBdr>
    </w:div>
    <w:div w:id="193691422">
      <w:bodyDiv w:val="1"/>
      <w:marLeft w:val="0"/>
      <w:marRight w:val="0"/>
      <w:marTop w:val="0"/>
      <w:marBottom w:val="0"/>
      <w:divBdr>
        <w:top w:val="none" w:sz="0" w:space="0" w:color="auto"/>
        <w:left w:val="none" w:sz="0" w:space="0" w:color="auto"/>
        <w:bottom w:val="none" w:sz="0" w:space="0" w:color="auto"/>
        <w:right w:val="none" w:sz="0" w:space="0" w:color="auto"/>
      </w:divBdr>
      <w:divsChild>
        <w:div w:id="135345161">
          <w:marLeft w:val="547"/>
          <w:marRight w:val="0"/>
          <w:marTop w:val="240"/>
          <w:marBottom w:val="240"/>
          <w:divBdr>
            <w:top w:val="none" w:sz="0" w:space="0" w:color="auto"/>
            <w:left w:val="none" w:sz="0" w:space="0" w:color="auto"/>
            <w:bottom w:val="none" w:sz="0" w:space="0" w:color="auto"/>
            <w:right w:val="none" w:sz="0" w:space="0" w:color="auto"/>
          </w:divBdr>
        </w:div>
        <w:div w:id="402721840">
          <w:marLeft w:val="547"/>
          <w:marRight w:val="0"/>
          <w:marTop w:val="240"/>
          <w:marBottom w:val="120"/>
          <w:divBdr>
            <w:top w:val="none" w:sz="0" w:space="0" w:color="auto"/>
            <w:left w:val="none" w:sz="0" w:space="0" w:color="auto"/>
            <w:bottom w:val="none" w:sz="0" w:space="0" w:color="auto"/>
            <w:right w:val="none" w:sz="0" w:space="0" w:color="auto"/>
          </w:divBdr>
        </w:div>
        <w:div w:id="596406760">
          <w:marLeft w:val="547"/>
          <w:marRight w:val="0"/>
          <w:marTop w:val="240"/>
          <w:marBottom w:val="240"/>
          <w:divBdr>
            <w:top w:val="none" w:sz="0" w:space="0" w:color="auto"/>
            <w:left w:val="none" w:sz="0" w:space="0" w:color="auto"/>
            <w:bottom w:val="none" w:sz="0" w:space="0" w:color="auto"/>
            <w:right w:val="none" w:sz="0" w:space="0" w:color="auto"/>
          </w:divBdr>
        </w:div>
      </w:divsChild>
    </w:div>
    <w:div w:id="194194039">
      <w:bodyDiv w:val="1"/>
      <w:marLeft w:val="0"/>
      <w:marRight w:val="0"/>
      <w:marTop w:val="0"/>
      <w:marBottom w:val="0"/>
      <w:divBdr>
        <w:top w:val="none" w:sz="0" w:space="0" w:color="auto"/>
        <w:left w:val="none" w:sz="0" w:space="0" w:color="auto"/>
        <w:bottom w:val="none" w:sz="0" w:space="0" w:color="auto"/>
        <w:right w:val="none" w:sz="0" w:space="0" w:color="auto"/>
      </w:divBdr>
      <w:divsChild>
        <w:div w:id="1156647286">
          <w:marLeft w:val="720"/>
          <w:marRight w:val="0"/>
          <w:marTop w:val="240"/>
          <w:marBottom w:val="240"/>
          <w:divBdr>
            <w:top w:val="none" w:sz="0" w:space="0" w:color="auto"/>
            <w:left w:val="none" w:sz="0" w:space="0" w:color="auto"/>
            <w:bottom w:val="none" w:sz="0" w:space="0" w:color="auto"/>
            <w:right w:val="none" w:sz="0" w:space="0" w:color="auto"/>
          </w:divBdr>
        </w:div>
        <w:div w:id="1695154281">
          <w:marLeft w:val="720"/>
          <w:marRight w:val="0"/>
          <w:marTop w:val="240"/>
          <w:marBottom w:val="240"/>
          <w:divBdr>
            <w:top w:val="none" w:sz="0" w:space="0" w:color="auto"/>
            <w:left w:val="none" w:sz="0" w:space="0" w:color="auto"/>
            <w:bottom w:val="none" w:sz="0" w:space="0" w:color="auto"/>
            <w:right w:val="none" w:sz="0" w:space="0" w:color="auto"/>
          </w:divBdr>
        </w:div>
        <w:div w:id="1795978374">
          <w:marLeft w:val="720"/>
          <w:marRight w:val="0"/>
          <w:marTop w:val="240"/>
          <w:marBottom w:val="240"/>
          <w:divBdr>
            <w:top w:val="none" w:sz="0" w:space="0" w:color="auto"/>
            <w:left w:val="none" w:sz="0" w:space="0" w:color="auto"/>
            <w:bottom w:val="none" w:sz="0" w:space="0" w:color="auto"/>
            <w:right w:val="none" w:sz="0" w:space="0" w:color="auto"/>
          </w:divBdr>
        </w:div>
      </w:divsChild>
    </w:div>
    <w:div w:id="197016038">
      <w:bodyDiv w:val="1"/>
      <w:marLeft w:val="0"/>
      <w:marRight w:val="0"/>
      <w:marTop w:val="0"/>
      <w:marBottom w:val="0"/>
      <w:divBdr>
        <w:top w:val="none" w:sz="0" w:space="0" w:color="auto"/>
        <w:left w:val="none" w:sz="0" w:space="0" w:color="auto"/>
        <w:bottom w:val="none" w:sz="0" w:space="0" w:color="auto"/>
        <w:right w:val="none" w:sz="0" w:space="0" w:color="auto"/>
      </w:divBdr>
      <w:divsChild>
        <w:div w:id="426313899">
          <w:marLeft w:val="720"/>
          <w:marRight w:val="0"/>
          <w:marTop w:val="120"/>
          <w:marBottom w:val="0"/>
          <w:divBdr>
            <w:top w:val="none" w:sz="0" w:space="0" w:color="auto"/>
            <w:left w:val="none" w:sz="0" w:space="0" w:color="auto"/>
            <w:bottom w:val="none" w:sz="0" w:space="0" w:color="auto"/>
            <w:right w:val="none" w:sz="0" w:space="0" w:color="auto"/>
          </w:divBdr>
        </w:div>
      </w:divsChild>
    </w:div>
    <w:div w:id="221797068">
      <w:bodyDiv w:val="1"/>
      <w:marLeft w:val="0"/>
      <w:marRight w:val="0"/>
      <w:marTop w:val="0"/>
      <w:marBottom w:val="0"/>
      <w:divBdr>
        <w:top w:val="none" w:sz="0" w:space="0" w:color="auto"/>
        <w:left w:val="none" w:sz="0" w:space="0" w:color="auto"/>
        <w:bottom w:val="none" w:sz="0" w:space="0" w:color="auto"/>
        <w:right w:val="none" w:sz="0" w:space="0" w:color="auto"/>
      </w:divBdr>
    </w:div>
    <w:div w:id="225192237">
      <w:bodyDiv w:val="1"/>
      <w:marLeft w:val="0"/>
      <w:marRight w:val="0"/>
      <w:marTop w:val="0"/>
      <w:marBottom w:val="0"/>
      <w:divBdr>
        <w:top w:val="none" w:sz="0" w:space="0" w:color="auto"/>
        <w:left w:val="none" w:sz="0" w:space="0" w:color="auto"/>
        <w:bottom w:val="none" w:sz="0" w:space="0" w:color="auto"/>
        <w:right w:val="none" w:sz="0" w:space="0" w:color="auto"/>
      </w:divBdr>
    </w:div>
    <w:div w:id="232934910">
      <w:bodyDiv w:val="1"/>
      <w:marLeft w:val="0"/>
      <w:marRight w:val="0"/>
      <w:marTop w:val="0"/>
      <w:marBottom w:val="0"/>
      <w:divBdr>
        <w:top w:val="none" w:sz="0" w:space="0" w:color="auto"/>
        <w:left w:val="none" w:sz="0" w:space="0" w:color="auto"/>
        <w:bottom w:val="none" w:sz="0" w:space="0" w:color="auto"/>
        <w:right w:val="none" w:sz="0" w:space="0" w:color="auto"/>
      </w:divBdr>
      <w:divsChild>
        <w:div w:id="390353336">
          <w:marLeft w:val="360"/>
          <w:marRight w:val="0"/>
          <w:marTop w:val="200"/>
          <w:marBottom w:val="0"/>
          <w:divBdr>
            <w:top w:val="none" w:sz="0" w:space="0" w:color="auto"/>
            <w:left w:val="none" w:sz="0" w:space="0" w:color="auto"/>
            <w:bottom w:val="none" w:sz="0" w:space="0" w:color="auto"/>
            <w:right w:val="none" w:sz="0" w:space="0" w:color="auto"/>
          </w:divBdr>
        </w:div>
      </w:divsChild>
    </w:div>
    <w:div w:id="248853529">
      <w:bodyDiv w:val="1"/>
      <w:marLeft w:val="0"/>
      <w:marRight w:val="0"/>
      <w:marTop w:val="0"/>
      <w:marBottom w:val="0"/>
      <w:divBdr>
        <w:top w:val="none" w:sz="0" w:space="0" w:color="auto"/>
        <w:left w:val="none" w:sz="0" w:space="0" w:color="auto"/>
        <w:bottom w:val="none" w:sz="0" w:space="0" w:color="auto"/>
        <w:right w:val="none" w:sz="0" w:space="0" w:color="auto"/>
      </w:divBdr>
      <w:divsChild>
        <w:div w:id="234365074">
          <w:marLeft w:val="274"/>
          <w:marRight w:val="0"/>
          <w:marTop w:val="0"/>
          <w:marBottom w:val="0"/>
          <w:divBdr>
            <w:top w:val="none" w:sz="0" w:space="0" w:color="auto"/>
            <w:left w:val="none" w:sz="0" w:space="0" w:color="auto"/>
            <w:bottom w:val="none" w:sz="0" w:space="0" w:color="auto"/>
            <w:right w:val="none" w:sz="0" w:space="0" w:color="auto"/>
          </w:divBdr>
        </w:div>
        <w:div w:id="855845261">
          <w:marLeft w:val="274"/>
          <w:marRight w:val="0"/>
          <w:marTop w:val="0"/>
          <w:marBottom w:val="0"/>
          <w:divBdr>
            <w:top w:val="none" w:sz="0" w:space="0" w:color="auto"/>
            <w:left w:val="none" w:sz="0" w:space="0" w:color="auto"/>
            <w:bottom w:val="none" w:sz="0" w:space="0" w:color="auto"/>
            <w:right w:val="none" w:sz="0" w:space="0" w:color="auto"/>
          </w:divBdr>
        </w:div>
        <w:div w:id="1126267290">
          <w:marLeft w:val="274"/>
          <w:marRight w:val="0"/>
          <w:marTop w:val="0"/>
          <w:marBottom w:val="0"/>
          <w:divBdr>
            <w:top w:val="none" w:sz="0" w:space="0" w:color="auto"/>
            <w:left w:val="none" w:sz="0" w:space="0" w:color="auto"/>
            <w:bottom w:val="none" w:sz="0" w:space="0" w:color="auto"/>
            <w:right w:val="none" w:sz="0" w:space="0" w:color="auto"/>
          </w:divBdr>
        </w:div>
        <w:div w:id="1176771975">
          <w:marLeft w:val="274"/>
          <w:marRight w:val="0"/>
          <w:marTop w:val="0"/>
          <w:marBottom w:val="0"/>
          <w:divBdr>
            <w:top w:val="none" w:sz="0" w:space="0" w:color="auto"/>
            <w:left w:val="none" w:sz="0" w:space="0" w:color="auto"/>
            <w:bottom w:val="none" w:sz="0" w:space="0" w:color="auto"/>
            <w:right w:val="none" w:sz="0" w:space="0" w:color="auto"/>
          </w:divBdr>
        </w:div>
      </w:divsChild>
    </w:div>
    <w:div w:id="250697092">
      <w:bodyDiv w:val="1"/>
      <w:marLeft w:val="0"/>
      <w:marRight w:val="0"/>
      <w:marTop w:val="0"/>
      <w:marBottom w:val="0"/>
      <w:divBdr>
        <w:top w:val="none" w:sz="0" w:space="0" w:color="auto"/>
        <w:left w:val="none" w:sz="0" w:space="0" w:color="auto"/>
        <w:bottom w:val="none" w:sz="0" w:space="0" w:color="auto"/>
        <w:right w:val="none" w:sz="0" w:space="0" w:color="auto"/>
      </w:divBdr>
      <w:divsChild>
        <w:div w:id="1473592952">
          <w:marLeft w:val="360"/>
          <w:marRight w:val="0"/>
          <w:marTop w:val="200"/>
          <w:marBottom w:val="0"/>
          <w:divBdr>
            <w:top w:val="none" w:sz="0" w:space="0" w:color="auto"/>
            <w:left w:val="none" w:sz="0" w:space="0" w:color="auto"/>
            <w:bottom w:val="none" w:sz="0" w:space="0" w:color="auto"/>
            <w:right w:val="none" w:sz="0" w:space="0" w:color="auto"/>
          </w:divBdr>
        </w:div>
        <w:div w:id="1950357075">
          <w:marLeft w:val="360"/>
          <w:marRight w:val="0"/>
          <w:marTop w:val="200"/>
          <w:marBottom w:val="0"/>
          <w:divBdr>
            <w:top w:val="none" w:sz="0" w:space="0" w:color="auto"/>
            <w:left w:val="none" w:sz="0" w:space="0" w:color="auto"/>
            <w:bottom w:val="none" w:sz="0" w:space="0" w:color="auto"/>
            <w:right w:val="none" w:sz="0" w:space="0" w:color="auto"/>
          </w:divBdr>
        </w:div>
        <w:div w:id="2080396961">
          <w:marLeft w:val="360"/>
          <w:marRight w:val="0"/>
          <w:marTop w:val="200"/>
          <w:marBottom w:val="0"/>
          <w:divBdr>
            <w:top w:val="none" w:sz="0" w:space="0" w:color="auto"/>
            <w:left w:val="none" w:sz="0" w:space="0" w:color="auto"/>
            <w:bottom w:val="none" w:sz="0" w:space="0" w:color="auto"/>
            <w:right w:val="none" w:sz="0" w:space="0" w:color="auto"/>
          </w:divBdr>
        </w:div>
      </w:divsChild>
    </w:div>
    <w:div w:id="284045960">
      <w:bodyDiv w:val="1"/>
      <w:marLeft w:val="0"/>
      <w:marRight w:val="0"/>
      <w:marTop w:val="0"/>
      <w:marBottom w:val="0"/>
      <w:divBdr>
        <w:top w:val="none" w:sz="0" w:space="0" w:color="auto"/>
        <w:left w:val="none" w:sz="0" w:space="0" w:color="auto"/>
        <w:bottom w:val="none" w:sz="0" w:space="0" w:color="auto"/>
        <w:right w:val="none" w:sz="0" w:space="0" w:color="auto"/>
      </w:divBdr>
      <w:divsChild>
        <w:div w:id="630788481">
          <w:marLeft w:val="360"/>
          <w:marRight w:val="0"/>
          <w:marTop w:val="200"/>
          <w:marBottom w:val="0"/>
          <w:divBdr>
            <w:top w:val="none" w:sz="0" w:space="0" w:color="auto"/>
            <w:left w:val="none" w:sz="0" w:space="0" w:color="auto"/>
            <w:bottom w:val="none" w:sz="0" w:space="0" w:color="auto"/>
            <w:right w:val="none" w:sz="0" w:space="0" w:color="auto"/>
          </w:divBdr>
        </w:div>
        <w:div w:id="986082867">
          <w:marLeft w:val="360"/>
          <w:marRight w:val="0"/>
          <w:marTop w:val="200"/>
          <w:marBottom w:val="0"/>
          <w:divBdr>
            <w:top w:val="none" w:sz="0" w:space="0" w:color="auto"/>
            <w:left w:val="none" w:sz="0" w:space="0" w:color="auto"/>
            <w:bottom w:val="none" w:sz="0" w:space="0" w:color="auto"/>
            <w:right w:val="none" w:sz="0" w:space="0" w:color="auto"/>
          </w:divBdr>
        </w:div>
        <w:div w:id="1392844617">
          <w:marLeft w:val="360"/>
          <w:marRight w:val="0"/>
          <w:marTop w:val="200"/>
          <w:marBottom w:val="0"/>
          <w:divBdr>
            <w:top w:val="none" w:sz="0" w:space="0" w:color="auto"/>
            <w:left w:val="none" w:sz="0" w:space="0" w:color="auto"/>
            <w:bottom w:val="none" w:sz="0" w:space="0" w:color="auto"/>
            <w:right w:val="none" w:sz="0" w:space="0" w:color="auto"/>
          </w:divBdr>
        </w:div>
        <w:div w:id="1516925106">
          <w:marLeft w:val="360"/>
          <w:marRight w:val="0"/>
          <w:marTop w:val="200"/>
          <w:marBottom w:val="0"/>
          <w:divBdr>
            <w:top w:val="none" w:sz="0" w:space="0" w:color="auto"/>
            <w:left w:val="none" w:sz="0" w:space="0" w:color="auto"/>
            <w:bottom w:val="none" w:sz="0" w:space="0" w:color="auto"/>
            <w:right w:val="none" w:sz="0" w:space="0" w:color="auto"/>
          </w:divBdr>
        </w:div>
        <w:div w:id="1726681184">
          <w:marLeft w:val="360"/>
          <w:marRight w:val="0"/>
          <w:marTop w:val="200"/>
          <w:marBottom w:val="0"/>
          <w:divBdr>
            <w:top w:val="none" w:sz="0" w:space="0" w:color="auto"/>
            <w:left w:val="none" w:sz="0" w:space="0" w:color="auto"/>
            <w:bottom w:val="none" w:sz="0" w:space="0" w:color="auto"/>
            <w:right w:val="none" w:sz="0" w:space="0" w:color="auto"/>
          </w:divBdr>
        </w:div>
      </w:divsChild>
    </w:div>
    <w:div w:id="299766979">
      <w:bodyDiv w:val="1"/>
      <w:marLeft w:val="0"/>
      <w:marRight w:val="0"/>
      <w:marTop w:val="0"/>
      <w:marBottom w:val="0"/>
      <w:divBdr>
        <w:top w:val="none" w:sz="0" w:space="0" w:color="auto"/>
        <w:left w:val="none" w:sz="0" w:space="0" w:color="auto"/>
        <w:bottom w:val="none" w:sz="0" w:space="0" w:color="auto"/>
        <w:right w:val="none" w:sz="0" w:space="0" w:color="auto"/>
      </w:divBdr>
    </w:div>
    <w:div w:id="356851989">
      <w:bodyDiv w:val="1"/>
      <w:marLeft w:val="0"/>
      <w:marRight w:val="0"/>
      <w:marTop w:val="0"/>
      <w:marBottom w:val="0"/>
      <w:divBdr>
        <w:top w:val="none" w:sz="0" w:space="0" w:color="auto"/>
        <w:left w:val="none" w:sz="0" w:space="0" w:color="auto"/>
        <w:bottom w:val="none" w:sz="0" w:space="0" w:color="auto"/>
        <w:right w:val="none" w:sz="0" w:space="0" w:color="auto"/>
      </w:divBdr>
    </w:div>
    <w:div w:id="366175467">
      <w:bodyDiv w:val="1"/>
      <w:marLeft w:val="0"/>
      <w:marRight w:val="0"/>
      <w:marTop w:val="0"/>
      <w:marBottom w:val="0"/>
      <w:divBdr>
        <w:top w:val="none" w:sz="0" w:space="0" w:color="auto"/>
        <w:left w:val="none" w:sz="0" w:space="0" w:color="auto"/>
        <w:bottom w:val="none" w:sz="0" w:space="0" w:color="auto"/>
        <w:right w:val="none" w:sz="0" w:space="0" w:color="auto"/>
      </w:divBdr>
    </w:div>
    <w:div w:id="366957079">
      <w:bodyDiv w:val="1"/>
      <w:marLeft w:val="0"/>
      <w:marRight w:val="0"/>
      <w:marTop w:val="0"/>
      <w:marBottom w:val="0"/>
      <w:divBdr>
        <w:top w:val="none" w:sz="0" w:space="0" w:color="auto"/>
        <w:left w:val="none" w:sz="0" w:space="0" w:color="auto"/>
        <w:bottom w:val="none" w:sz="0" w:space="0" w:color="auto"/>
        <w:right w:val="none" w:sz="0" w:space="0" w:color="auto"/>
      </w:divBdr>
    </w:div>
    <w:div w:id="369232576">
      <w:bodyDiv w:val="1"/>
      <w:marLeft w:val="0"/>
      <w:marRight w:val="0"/>
      <w:marTop w:val="0"/>
      <w:marBottom w:val="0"/>
      <w:divBdr>
        <w:top w:val="none" w:sz="0" w:space="0" w:color="auto"/>
        <w:left w:val="none" w:sz="0" w:space="0" w:color="auto"/>
        <w:bottom w:val="none" w:sz="0" w:space="0" w:color="auto"/>
        <w:right w:val="none" w:sz="0" w:space="0" w:color="auto"/>
      </w:divBdr>
      <w:divsChild>
        <w:div w:id="703210854">
          <w:marLeft w:val="1181"/>
          <w:marRight w:val="0"/>
          <w:marTop w:val="0"/>
          <w:marBottom w:val="0"/>
          <w:divBdr>
            <w:top w:val="none" w:sz="0" w:space="0" w:color="auto"/>
            <w:left w:val="none" w:sz="0" w:space="0" w:color="auto"/>
            <w:bottom w:val="none" w:sz="0" w:space="0" w:color="auto"/>
            <w:right w:val="none" w:sz="0" w:space="0" w:color="auto"/>
          </w:divBdr>
        </w:div>
        <w:div w:id="1471745953">
          <w:marLeft w:val="1181"/>
          <w:marRight w:val="0"/>
          <w:marTop w:val="0"/>
          <w:marBottom w:val="0"/>
          <w:divBdr>
            <w:top w:val="none" w:sz="0" w:space="0" w:color="auto"/>
            <w:left w:val="none" w:sz="0" w:space="0" w:color="auto"/>
            <w:bottom w:val="none" w:sz="0" w:space="0" w:color="auto"/>
            <w:right w:val="none" w:sz="0" w:space="0" w:color="auto"/>
          </w:divBdr>
        </w:div>
        <w:div w:id="1851336117">
          <w:marLeft w:val="1181"/>
          <w:marRight w:val="0"/>
          <w:marTop w:val="0"/>
          <w:marBottom w:val="0"/>
          <w:divBdr>
            <w:top w:val="none" w:sz="0" w:space="0" w:color="auto"/>
            <w:left w:val="none" w:sz="0" w:space="0" w:color="auto"/>
            <w:bottom w:val="none" w:sz="0" w:space="0" w:color="auto"/>
            <w:right w:val="none" w:sz="0" w:space="0" w:color="auto"/>
          </w:divBdr>
        </w:div>
      </w:divsChild>
    </w:div>
    <w:div w:id="372771325">
      <w:bodyDiv w:val="1"/>
      <w:marLeft w:val="0"/>
      <w:marRight w:val="0"/>
      <w:marTop w:val="0"/>
      <w:marBottom w:val="0"/>
      <w:divBdr>
        <w:top w:val="none" w:sz="0" w:space="0" w:color="auto"/>
        <w:left w:val="none" w:sz="0" w:space="0" w:color="auto"/>
        <w:bottom w:val="none" w:sz="0" w:space="0" w:color="auto"/>
        <w:right w:val="none" w:sz="0" w:space="0" w:color="auto"/>
      </w:divBdr>
    </w:div>
    <w:div w:id="381944880">
      <w:bodyDiv w:val="1"/>
      <w:marLeft w:val="0"/>
      <w:marRight w:val="0"/>
      <w:marTop w:val="0"/>
      <w:marBottom w:val="0"/>
      <w:divBdr>
        <w:top w:val="none" w:sz="0" w:space="0" w:color="auto"/>
        <w:left w:val="none" w:sz="0" w:space="0" w:color="auto"/>
        <w:bottom w:val="none" w:sz="0" w:space="0" w:color="auto"/>
        <w:right w:val="none" w:sz="0" w:space="0" w:color="auto"/>
      </w:divBdr>
    </w:div>
    <w:div w:id="386028059">
      <w:bodyDiv w:val="1"/>
      <w:marLeft w:val="0"/>
      <w:marRight w:val="0"/>
      <w:marTop w:val="0"/>
      <w:marBottom w:val="0"/>
      <w:divBdr>
        <w:top w:val="none" w:sz="0" w:space="0" w:color="auto"/>
        <w:left w:val="none" w:sz="0" w:space="0" w:color="auto"/>
        <w:bottom w:val="none" w:sz="0" w:space="0" w:color="auto"/>
        <w:right w:val="none" w:sz="0" w:space="0" w:color="auto"/>
      </w:divBdr>
      <w:divsChild>
        <w:div w:id="1052001135">
          <w:marLeft w:val="720"/>
          <w:marRight w:val="0"/>
          <w:marTop w:val="120"/>
          <w:marBottom w:val="0"/>
          <w:divBdr>
            <w:top w:val="none" w:sz="0" w:space="0" w:color="auto"/>
            <w:left w:val="none" w:sz="0" w:space="0" w:color="auto"/>
            <w:bottom w:val="none" w:sz="0" w:space="0" w:color="auto"/>
            <w:right w:val="none" w:sz="0" w:space="0" w:color="auto"/>
          </w:divBdr>
        </w:div>
      </w:divsChild>
    </w:div>
    <w:div w:id="392316200">
      <w:bodyDiv w:val="1"/>
      <w:marLeft w:val="0"/>
      <w:marRight w:val="0"/>
      <w:marTop w:val="0"/>
      <w:marBottom w:val="0"/>
      <w:divBdr>
        <w:top w:val="none" w:sz="0" w:space="0" w:color="auto"/>
        <w:left w:val="none" w:sz="0" w:space="0" w:color="auto"/>
        <w:bottom w:val="none" w:sz="0" w:space="0" w:color="auto"/>
        <w:right w:val="none" w:sz="0" w:space="0" w:color="auto"/>
      </w:divBdr>
    </w:div>
    <w:div w:id="395128082">
      <w:bodyDiv w:val="1"/>
      <w:marLeft w:val="0"/>
      <w:marRight w:val="0"/>
      <w:marTop w:val="0"/>
      <w:marBottom w:val="0"/>
      <w:divBdr>
        <w:top w:val="none" w:sz="0" w:space="0" w:color="auto"/>
        <w:left w:val="none" w:sz="0" w:space="0" w:color="auto"/>
        <w:bottom w:val="none" w:sz="0" w:space="0" w:color="auto"/>
        <w:right w:val="none" w:sz="0" w:space="0" w:color="auto"/>
      </w:divBdr>
      <w:divsChild>
        <w:div w:id="157967825">
          <w:marLeft w:val="2160"/>
          <w:marRight w:val="0"/>
          <w:marTop w:val="120"/>
          <w:marBottom w:val="0"/>
          <w:divBdr>
            <w:top w:val="none" w:sz="0" w:space="0" w:color="auto"/>
            <w:left w:val="none" w:sz="0" w:space="0" w:color="auto"/>
            <w:bottom w:val="none" w:sz="0" w:space="0" w:color="auto"/>
            <w:right w:val="none" w:sz="0" w:space="0" w:color="auto"/>
          </w:divBdr>
        </w:div>
      </w:divsChild>
    </w:div>
    <w:div w:id="395977257">
      <w:bodyDiv w:val="1"/>
      <w:marLeft w:val="0"/>
      <w:marRight w:val="0"/>
      <w:marTop w:val="0"/>
      <w:marBottom w:val="0"/>
      <w:divBdr>
        <w:top w:val="none" w:sz="0" w:space="0" w:color="auto"/>
        <w:left w:val="none" w:sz="0" w:space="0" w:color="auto"/>
        <w:bottom w:val="none" w:sz="0" w:space="0" w:color="auto"/>
        <w:right w:val="none" w:sz="0" w:space="0" w:color="auto"/>
      </w:divBdr>
      <w:divsChild>
        <w:div w:id="127479538">
          <w:marLeft w:val="1800"/>
          <w:marRight w:val="0"/>
          <w:marTop w:val="240"/>
          <w:marBottom w:val="0"/>
          <w:divBdr>
            <w:top w:val="none" w:sz="0" w:space="0" w:color="auto"/>
            <w:left w:val="none" w:sz="0" w:space="0" w:color="auto"/>
            <w:bottom w:val="none" w:sz="0" w:space="0" w:color="auto"/>
            <w:right w:val="none" w:sz="0" w:space="0" w:color="auto"/>
          </w:divBdr>
        </w:div>
        <w:div w:id="299502701">
          <w:marLeft w:val="1080"/>
          <w:marRight w:val="0"/>
          <w:marTop w:val="240"/>
          <w:marBottom w:val="0"/>
          <w:divBdr>
            <w:top w:val="none" w:sz="0" w:space="0" w:color="auto"/>
            <w:left w:val="none" w:sz="0" w:space="0" w:color="auto"/>
            <w:bottom w:val="none" w:sz="0" w:space="0" w:color="auto"/>
            <w:right w:val="none" w:sz="0" w:space="0" w:color="auto"/>
          </w:divBdr>
        </w:div>
        <w:div w:id="1342928525">
          <w:marLeft w:val="360"/>
          <w:marRight w:val="0"/>
          <w:marTop w:val="240"/>
          <w:marBottom w:val="0"/>
          <w:divBdr>
            <w:top w:val="none" w:sz="0" w:space="0" w:color="auto"/>
            <w:left w:val="none" w:sz="0" w:space="0" w:color="auto"/>
            <w:bottom w:val="none" w:sz="0" w:space="0" w:color="auto"/>
            <w:right w:val="none" w:sz="0" w:space="0" w:color="auto"/>
          </w:divBdr>
        </w:div>
        <w:div w:id="1486436611">
          <w:marLeft w:val="1080"/>
          <w:marRight w:val="0"/>
          <w:marTop w:val="240"/>
          <w:marBottom w:val="0"/>
          <w:divBdr>
            <w:top w:val="none" w:sz="0" w:space="0" w:color="auto"/>
            <w:left w:val="none" w:sz="0" w:space="0" w:color="auto"/>
            <w:bottom w:val="none" w:sz="0" w:space="0" w:color="auto"/>
            <w:right w:val="none" w:sz="0" w:space="0" w:color="auto"/>
          </w:divBdr>
        </w:div>
      </w:divsChild>
    </w:div>
    <w:div w:id="404380786">
      <w:bodyDiv w:val="1"/>
      <w:marLeft w:val="0"/>
      <w:marRight w:val="0"/>
      <w:marTop w:val="0"/>
      <w:marBottom w:val="0"/>
      <w:divBdr>
        <w:top w:val="none" w:sz="0" w:space="0" w:color="auto"/>
        <w:left w:val="none" w:sz="0" w:space="0" w:color="auto"/>
        <w:bottom w:val="none" w:sz="0" w:space="0" w:color="auto"/>
        <w:right w:val="none" w:sz="0" w:space="0" w:color="auto"/>
      </w:divBdr>
    </w:div>
    <w:div w:id="420373570">
      <w:bodyDiv w:val="1"/>
      <w:marLeft w:val="0"/>
      <w:marRight w:val="0"/>
      <w:marTop w:val="0"/>
      <w:marBottom w:val="0"/>
      <w:divBdr>
        <w:top w:val="none" w:sz="0" w:space="0" w:color="auto"/>
        <w:left w:val="none" w:sz="0" w:space="0" w:color="auto"/>
        <w:bottom w:val="none" w:sz="0" w:space="0" w:color="auto"/>
        <w:right w:val="none" w:sz="0" w:space="0" w:color="auto"/>
      </w:divBdr>
      <w:divsChild>
        <w:div w:id="288828204">
          <w:marLeft w:val="994"/>
          <w:marRight w:val="0"/>
          <w:marTop w:val="0"/>
          <w:marBottom w:val="0"/>
          <w:divBdr>
            <w:top w:val="none" w:sz="0" w:space="0" w:color="auto"/>
            <w:left w:val="none" w:sz="0" w:space="0" w:color="auto"/>
            <w:bottom w:val="none" w:sz="0" w:space="0" w:color="auto"/>
            <w:right w:val="none" w:sz="0" w:space="0" w:color="auto"/>
          </w:divBdr>
        </w:div>
        <w:div w:id="331301300">
          <w:marLeft w:val="994"/>
          <w:marRight w:val="0"/>
          <w:marTop w:val="0"/>
          <w:marBottom w:val="0"/>
          <w:divBdr>
            <w:top w:val="none" w:sz="0" w:space="0" w:color="auto"/>
            <w:left w:val="none" w:sz="0" w:space="0" w:color="auto"/>
            <w:bottom w:val="none" w:sz="0" w:space="0" w:color="auto"/>
            <w:right w:val="none" w:sz="0" w:space="0" w:color="auto"/>
          </w:divBdr>
        </w:div>
        <w:div w:id="728187619">
          <w:marLeft w:val="994"/>
          <w:marRight w:val="0"/>
          <w:marTop w:val="0"/>
          <w:marBottom w:val="0"/>
          <w:divBdr>
            <w:top w:val="none" w:sz="0" w:space="0" w:color="auto"/>
            <w:left w:val="none" w:sz="0" w:space="0" w:color="auto"/>
            <w:bottom w:val="none" w:sz="0" w:space="0" w:color="auto"/>
            <w:right w:val="none" w:sz="0" w:space="0" w:color="auto"/>
          </w:divBdr>
        </w:div>
      </w:divsChild>
    </w:div>
    <w:div w:id="421755402">
      <w:bodyDiv w:val="1"/>
      <w:marLeft w:val="0"/>
      <w:marRight w:val="0"/>
      <w:marTop w:val="0"/>
      <w:marBottom w:val="0"/>
      <w:divBdr>
        <w:top w:val="none" w:sz="0" w:space="0" w:color="auto"/>
        <w:left w:val="none" w:sz="0" w:space="0" w:color="auto"/>
        <w:bottom w:val="none" w:sz="0" w:space="0" w:color="auto"/>
        <w:right w:val="none" w:sz="0" w:space="0" w:color="auto"/>
      </w:divBdr>
      <w:divsChild>
        <w:div w:id="4292343">
          <w:marLeft w:val="1138"/>
          <w:marRight w:val="0"/>
          <w:marTop w:val="0"/>
          <w:marBottom w:val="0"/>
          <w:divBdr>
            <w:top w:val="none" w:sz="0" w:space="0" w:color="auto"/>
            <w:left w:val="none" w:sz="0" w:space="0" w:color="auto"/>
            <w:bottom w:val="none" w:sz="0" w:space="0" w:color="auto"/>
            <w:right w:val="none" w:sz="0" w:space="0" w:color="auto"/>
          </w:divBdr>
        </w:div>
        <w:div w:id="161506795">
          <w:marLeft w:val="1138"/>
          <w:marRight w:val="0"/>
          <w:marTop w:val="0"/>
          <w:marBottom w:val="0"/>
          <w:divBdr>
            <w:top w:val="none" w:sz="0" w:space="0" w:color="auto"/>
            <w:left w:val="none" w:sz="0" w:space="0" w:color="auto"/>
            <w:bottom w:val="none" w:sz="0" w:space="0" w:color="auto"/>
            <w:right w:val="none" w:sz="0" w:space="0" w:color="auto"/>
          </w:divBdr>
        </w:div>
        <w:div w:id="1232351178">
          <w:marLeft w:val="1138"/>
          <w:marRight w:val="0"/>
          <w:marTop w:val="0"/>
          <w:marBottom w:val="0"/>
          <w:divBdr>
            <w:top w:val="none" w:sz="0" w:space="0" w:color="auto"/>
            <w:left w:val="none" w:sz="0" w:space="0" w:color="auto"/>
            <w:bottom w:val="none" w:sz="0" w:space="0" w:color="auto"/>
            <w:right w:val="none" w:sz="0" w:space="0" w:color="auto"/>
          </w:divBdr>
        </w:div>
      </w:divsChild>
    </w:div>
    <w:div w:id="427428646">
      <w:bodyDiv w:val="1"/>
      <w:marLeft w:val="0"/>
      <w:marRight w:val="0"/>
      <w:marTop w:val="0"/>
      <w:marBottom w:val="0"/>
      <w:divBdr>
        <w:top w:val="none" w:sz="0" w:space="0" w:color="auto"/>
        <w:left w:val="none" w:sz="0" w:space="0" w:color="auto"/>
        <w:bottom w:val="none" w:sz="0" w:space="0" w:color="auto"/>
        <w:right w:val="none" w:sz="0" w:space="0" w:color="auto"/>
      </w:divBdr>
      <w:divsChild>
        <w:div w:id="428625218">
          <w:marLeft w:val="360"/>
          <w:marRight w:val="0"/>
          <w:marTop w:val="0"/>
          <w:marBottom w:val="120"/>
          <w:divBdr>
            <w:top w:val="none" w:sz="0" w:space="0" w:color="auto"/>
            <w:left w:val="none" w:sz="0" w:space="0" w:color="auto"/>
            <w:bottom w:val="none" w:sz="0" w:space="0" w:color="auto"/>
            <w:right w:val="none" w:sz="0" w:space="0" w:color="auto"/>
          </w:divBdr>
        </w:div>
        <w:div w:id="524944778">
          <w:marLeft w:val="1080"/>
          <w:marRight w:val="0"/>
          <w:marTop w:val="0"/>
          <w:marBottom w:val="120"/>
          <w:divBdr>
            <w:top w:val="none" w:sz="0" w:space="0" w:color="auto"/>
            <w:left w:val="none" w:sz="0" w:space="0" w:color="auto"/>
            <w:bottom w:val="none" w:sz="0" w:space="0" w:color="auto"/>
            <w:right w:val="none" w:sz="0" w:space="0" w:color="auto"/>
          </w:divBdr>
        </w:div>
        <w:div w:id="1279293595">
          <w:marLeft w:val="1080"/>
          <w:marRight w:val="0"/>
          <w:marTop w:val="0"/>
          <w:marBottom w:val="120"/>
          <w:divBdr>
            <w:top w:val="none" w:sz="0" w:space="0" w:color="auto"/>
            <w:left w:val="none" w:sz="0" w:space="0" w:color="auto"/>
            <w:bottom w:val="none" w:sz="0" w:space="0" w:color="auto"/>
            <w:right w:val="none" w:sz="0" w:space="0" w:color="auto"/>
          </w:divBdr>
        </w:div>
        <w:div w:id="1559976860">
          <w:marLeft w:val="1080"/>
          <w:marRight w:val="0"/>
          <w:marTop w:val="0"/>
          <w:marBottom w:val="120"/>
          <w:divBdr>
            <w:top w:val="none" w:sz="0" w:space="0" w:color="auto"/>
            <w:left w:val="none" w:sz="0" w:space="0" w:color="auto"/>
            <w:bottom w:val="none" w:sz="0" w:space="0" w:color="auto"/>
            <w:right w:val="none" w:sz="0" w:space="0" w:color="auto"/>
          </w:divBdr>
        </w:div>
        <w:div w:id="1740328515">
          <w:marLeft w:val="360"/>
          <w:marRight w:val="0"/>
          <w:marTop w:val="0"/>
          <w:marBottom w:val="120"/>
          <w:divBdr>
            <w:top w:val="none" w:sz="0" w:space="0" w:color="auto"/>
            <w:left w:val="none" w:sz="0" w:space="0" w:color="auto"/>
            <w:bottom w:val="none" w:sz="0" w:space="0" w:color="auto"/>
            <w:right w:val="none" w:sz="0" w:space="0" w:color="auto"/>
          </w:divBdr>
        </w:div>
      </w:divsChild>
    </w:div>
    <w:div w:id="432359269">
      <w:bodyDiv w:val="1"/>
      <w:marLeft w:val="0"/>
      <w:marRight w:val="0"/>
      <w:marTop w:val="0"/>
      <w:marBottom w:val="0"/>
      <w:divBdr>
        <w:top w:val="none" w:sz="0" w:space="0" w:color="auto"/>
        <w:left w:val="none" w:sz="0" w:space="0" w:color="auto"/>
        <w:bottom w:val="none" w:sz="0" w:space="0" w:color="auto"/>
        <w:right w:val="none" w:sz="0" w:space="0" w:color="auto"/>
      </w:divBdr>
      <w:divsChild>
        <w:div w:id="586421273">
          <w:marLeft w:val="274"/>
          <w:marRight w:val="0"/>
          <w:marTop w:val="0"/>
          <w:marBottom w:val="0"/>
          <w:divBdr>
            <w:top w:val="none" w:sz="0" w:space="0" w:color="auto"/>
            <w:left w:val="none" w:sz="0" w:space="0" w:color="auto"/>
            <w:bottom w:val="none" w:sz="0" w:space="0" w:color="auto"/>
            <w:right w:val="none" w:sz="0" w:space="0" w:color="auto"/>
          </w:divBdr>
        </w:div>
        <w:div w:id="768349820">
          <w:marLeft w:val="274"/>
          <w:marRight w:val="0"/>
          <w:marTop w:val="0"/>
          <w:marBottom w:val="0"/>
          <w:divBdr>
            <w:top w:val="none" w:sz="0" w:space="0" w:color="auto"/>
            <w:left w:val="none" w:sz="0" w:space="0" w:color="auto"/>
            <w:bottom w:val="none" w:sz="0" w:space="0" w:color="auto"/>
            <w:right w:val="none" w:sz="0" w:space="0" w:color="auto"/>
          </w:divBdr>
        </w:div>
        <w:div w:id="819885646">
          <w:marLeft w:val="274"/>
          <w:marRight w:val="0"/>
          <w:marTop w:val="0"/>
          <w:marBottom w:val="0"/>
          <w:divBdr>
            <w:top w:val="none" w:sz="0" w:space="0" w:color="auto"/>
            <w:left w:val="none" w:sz="0" w:space="0" w:color="auto"/>
            <w:bottom w:val="none" w:sz="0" w:space="0" w:color="auto"/>
            <w:right w:val="none" w:sz="0" w:space="0" w:color="auto"/>
          </w:divBdr>
        </w:div>
        <w:div w:id="1483421781">
          <w:marLeft w:val="274"/>
          <w:marRight w:val="0"/>
          <w:marTop w:val="0"/>
          <w:marBottom w:val="0"/>
          <w:divBdr>
            <w:top w:val="none" w:sz="0" w:space="0" w:color="auto"/>
            <w:left w:val="none" w:sz="0" w:space="0" w:color="auto"/>
            <w:bottom w:val="none" w:sz="0" w:space="0" w:color="auto"/>
            <w:right w:val="none" w:sz="0" w:space="0" w:color="auto"/>
          </w:divBdr>
        </w:div>
      </w:divsChild>
    </w:div>
    <w:div w:id="435171596">
      <w:bodyDiv w:val="1"/>
      <w:marLeft w:val="0"/>
      <w:marRight w:val="0"/>
      <w:marTop w:val="0"/>
      <w:marBottom w:val="0"/>
      <w:divBdr>
        <w:top w:val="none" w:sz="0" w:space="0" w:color="auto"/>
        <w:left w:val="none" w:sz="0" w:space="0" w:color="auto"/>
        <w:bottom w:val="none" w:sz="0" w:space="0" w:color="auto"/>
        <w:right w:val="none" w:sz="0" w:space="0" w:color="auto"/>
      </w:divBdr>
    </w:div>
    <w:div w:id="441194446">
      <w:bodyDiv w:val="1"/>
      <w:marLeft w:val="0"/>
      <w:marRight w:val="0"/>
      <w:marTop w:val="0"/>
      <w:marBottom w:val="0"/>
      <w:divBdr>
        <w:top w:val="none" w:sz="0" w:space="0" w:color="auto"/>
        <w:left w:val="none" w:sz="0" w:space="0" w:color="auto"/>
        <w:bottom w:val="none" w:sz="0" w:space="0" w:color="auto"/>
        <w:right w:val="none" w:sz="0" w:space="0" w:color="auto"/>
      </w:divBdr>
      <w:divsChild>
        <w:div w:id="1173452405">
          <w:marLeft w:val="720"/>
          <w:marRight w:val="0"/>
          <w:marTop w:val="120"/>
          <w:marBottom w:val="0"/>
          <w:divBdr>
            <w:top w:val="none" w:sz="0" w:space="0" w:color="auto"/>
            <w:left w:val="none" w:sz="0" w:space="0" w:color="auto"/>
            <w:bottom w:val="none" w:sz="0" w:space="0" w:color="auto"/>
            <w:right w:val="none" w:sz="0" w:space="0" w:color="auto"/>
          </w:divBdr>
        </w:div>
      </w:divsChild>
    </w:div>
    <w:div w:id="478424941">
      <w:bodyDiv w:val="1"/>
      <w:marLeft w:val="0"/>
      <w:marRight w:val="0"/>
      <w:marTop w:val="0"/>
      <w:marBottom w:val="0"/>
      <w:divBdr>
        <w:top w:val="none" w:sz="0" w:space="0" w:color="auto"/>
        <w:left w:val="none" w:sz="0" w:space="0" w:color="auto"/>
        <w:bottom w:val="none" w:sz="0" w:space="0" w:color="auto"/>
        <w:right w:val="none" w:sz="0" w:space="0" w:color="auto"/>
      </w:divBdr>
    </w:div>
    <w:div w:id="496700713">
      <w:bodyDiv w:val="1"/>
      <w:marLeft w:val="0"/>
      <w:marRight w:val="0"/>
      <w:marTop w:val="0"/>
      <w:marBottom w:val="0"/>
      <w:divBdr>
        <w:top w:val="none" w:sz="0" w:space="0" w:color="auto"/>
        <w:left w:val="none" w:sz="0" w:space="0" w:color="auto"/>
        <w:bottom w:val="none" w:sz="0" w:space="0" w:color="auto"/>
        <w:right w:val="none" w:sz="0" w:space="0" w:color="auto"/>
      </w:divBdr>
    </w:div>
    <w:div w:id="507989560">
      <w:bodyDiv w:val="1"/>
      <w:marLeft w:val="0"/>
      <w:marRight w:val="0"/>
      <w:marTop w:val="0"/>
      <w:marBottom w:val="0"/>
      <w:divBdr>
        <w:top w:val="none" w:sz="0" w:space="0" w:color="auto"/>
        <w:left w:val="none" w:sz="0" w:space="0" w:color="auto"/>
        <w:bottom w:val="none" w:sz="0" w:space="0" w:color="auto"/>
        <w:right w:val="none" w:sz="0" w:space="0" w:color="auto"/>
      </w:divBdr>
    </w:div>
    <w:div w:id="511264587">
      <w:bodyDiv w:val="1"/>
      <w:marLeft w:val="0"/>
      <w:marRight w:val="0"/>
      <w:marTop w:val="0"/>
      <w:marBottom w:val="0"/>
      <w:divBdr>
        <w:top w:val="none" w:sz="0" w:space="0" w:color="auto"/>
        <w:left w:val="none" w:sz="0" w:space="0" w:color="auto"/>
        <w:bottom w:val="none" w:sz="0" w:space="0" w:color="auto"/>
        <w:right w:val="none" w:sz="0" w:space="0" w:color="auto"/>
      </w:divBdr>
    </w:div>
    <w:div w:id="525992777">
      <w:bodyDiv w:val="1"/>
      <w:marLeft w:val="0"/>
      <w:marRight w:val="0"/>
      <w:marTop w:val="0"/>
      <w:marBottom w:val="0"/>
      <w:divBdr>
        <w:top w:val="none" w:sz="0" w:space="0" w:color="auto"/>
        <w:left w:val="none" w:sz="0" w:space="0" w:color="auto"/>
        <w:bottom w:val="none" w:sz="0" w:space="0" w:color="auto"/>
        <w:right w:val="none" w:sz="0" w:space="0" w:color="auto"/>
      </w:divBdr>
      <w:divsChild>
        <w:div w:id="1185636411">
          <w:marLeft w:val="720"/>
          <w:marRight w:val="0"/>
          <w:marTop w:val="120"/>
          <w:marBottom w:val="0"/>
          <w:divBdr>
            <w:top w:val="none" w:sz="0" w:space="0" w:color="auto"/>
            <w:left w:val="none" w:sz="0" w:space="0" w:color="auto"/>
            <w:bottom w:val="none" w:sz="0" w:space="0" w:color="auto"/>
            <w:right w:val="none" w:sz="0" w:space="0" w:color="auto"/>
          </w:divBdr>
        </w:div>
        <w:div w:id="1325668975">
          <w:marLeft w:val="1440"/>
          <w:marRight w:val="0"/>
          <w:marTop w:val="120"/>
          <w:marBottom w:val="0"/>
          <w:divBdr>
            <w:top w:val="none" w:sz="0" w:space="0" w:color="auto"/>
            <w:left w:val="none" w:sz="0" w:space="0" w:color="auto"/>
            <w:bottom w:val="none" w:sz="0" w:space="0" w:color="auto"/>
            <w:right w:val="none" w:sz="0" w:space="0" w:color="auto"/>
          </w:divBdr>
        </w:div>
      </w:divsChild>
    </w:div>
    <w:div w:id="531654384">
      <w:bodyDiv w:val="1"/>
      <w:marLeft w:val="0"/>
      <w:marRight w:val="0"/>
      <w:marTop w:val="0"/>
      <w:marBottom w:val="0"/>
      <w:divBdr>
        <w:top w:val="none" w:sz="0" w:space="0" w:color="auto"/>
        <w:left w:val="none" w:sz="0" w:space="0" w:color="auto"/>
        <w:bottom w:val="none" w:sz="0" w:space="0" w:color="auto"/>
        <w:right w:val="none" w:sz="0" w:space="0" w:color="auto"/>
      </w:divBdr>
    </w:div>
    <w:div w:id="556166268">
      <w:bodyDiv w:val="1"/>
      <w:marLeft w:val="0"/>
      <w:marRight w:val="0"/>
      <w:marTop w:val="0"/>
      <w:marBottom w:val="0"/>
      <w:divBdr>
        <w:top w:val="none" w:sz="0" w:space="0" w:color="auto"/>
        <w:left w:val="none" w:sz="0" w:space="0" w:color="auto"/>
        <w:bottom w:val="none" w:sz="0" w:space="0" w:color="auto"/>
        <w:right w:val="none" w:sz="0" w:space="0" w:color="auto"/>
      </w:divBdr>
      <w:divsChild>
        <w:div w:id="767197147">
          <w:marLeft w:val="274"/>
          <w:marRight w:val="0"/>
          <w:marTop w:val="0"/>
          <w:marBottom w:val="0"/>
          <w:divBdr>
            <w:top w:val="none" w:sz="0" w:space="0" w:color="auto"/>
            <w:left w:val="none" w:sz="0" w:space="0" w:color="auto"/>
            <w:bottom w:val="none" w:sz="0" w:space="0" w:color="auto"/>
            <w:right w:val="none" w:sz="0" w:space="0" w:color="auto"/>
          </w:divBdr>
        </w:div>
      </w:divsChild>
    </w:div>
    <w:div w:id="573054756">
      <w:bodyDiv w:val="1"/>
      <w:marLeft w:val="0"/>
      <w:marRight w:val="0"/>
      <w:marTop w:val="0"/>
      <w:marBottom w:val="0"/>
      <w:divBdr>
        <w:top w:val="none" w:sz="0" w:space="0" w:color="auto"/>
        <w:left w:val="none" w:sz="0" w:space="0" w:color="auto"/>
        <w:bottom w:val="none" w:sz="0" w:space="0" w:color="auto"/>
        <w:right w:val="none" w:sz="0" w:space="0" w:color="auto"/>
      </w:divBdr>
      <w:divsChild>
        <w:div w:id="134764591">
          <w:marLeft w:val="360"/>
          <w:marRight w:val="0"/>
          <w:marTop w:val="0"/>
          <w:marBottom w:val="120"/>
          <w:divBdr>
            <w:top w:val="none" w:sz="0" w:space="0" w:color="auto"/>
            <w:left w:val="none" w:sz="0" w:space="0" w:color="auto"/>
            <w:bottom w:val="none" w:sz="0" w:space="0" w:color="auto"/>
            <w:right w:val="none" w:sz="0" w:space="0" w:color="auto"/>
          </w:divBdr>
        </w:div>
        <w:div w:id="1933850987">
          <w:marLeft w:val="360"/>
          <w:marRight w:val="0"/>
          <w:marTop w:val="0"/>
          <w:marBottom w:val="120"/>
          <w:divBdr>
            <w:top w:val="none" w:sz="0" w:space="0" w:color="auto"/>
            <w:left w:val="none" w:sz="0" w:space="0" w:color="auto"/>
            <w:bottom w:val="none" w:sz="0" w:space="0" w:color="auto"/>
            <w:right w:val="none" w:sz="0" w:space="0" w:color="auto"/>
          </w:divBdr>
        </w:div>
      </w:divsChild>
    </w:div>
    <w:div w:id="576478343">
      <w:bodyDiv w:val="1"/>
      <w:marLeft w:val="0"/>
      <w:marRight w:val="0"/>
      <w:marTop w:val="0"/>
      <w:marBottom w:val="0"/>
      <w:divBdr>
        <w:top w:val="none" w:sz="0" w:space="0" w:color="auto"/>
        <w:left w:val="none" w:sz="0" w:space="0" w:color="auto"/>
        <w:bottom w:val="none" w:sz="0" w:space="0" w:color="auto"/>
        <w:right w:val="none" w:sz="0" w:space="0" w:color="auto"/>
      </w:divBdr>
      <w:divsChild>
        <w:div w:id="7760814">
          <w:marLeft w:val="1080"/>
          <w:marRight w:val="0"/>
          <w:marTop w:val="100"/>
          <w:marBottom w:val="0"/>
          <w:divBdr>
            <w:top w:val="none" w:sz="0" w:space="0" w:color="auto"/>
            <w:left w:val="none" w:sz="0" w:space="0" w:color="auto"/>
            <w:bottom w:val="none" w:sz="0" w:space="0" w:color="auto"/>
            <w:right w:val="none" w:sz="0" w:space="0" w:color="auto"/>
          </w:divBdr>
        </w:div>
        <w:div w:id="915284979">
          <w:marLeft w:val="1080"/>
          <w:marRight w:val="0"/>
          <w:marTop w:val="100"/>
          <w:marBottom w:val="0"/>
          <w:divBdr>
            <w:top w:val="none" w:sz="0" w:space="0" w:color="auto"/>
            <w:left w:val="none" w:sz="0" w:space="0" w:color="auto"/>
            <w:bottom w:val="none" w:sz="0" w:space="0" w:color="auto"/>
            <w:right w:val="none" w:sz="0" w:space="0" w:color="auto"/>
          </w:divBdr>
        </w:div>
        <w:div w:id="1827358239">
          <w:marLeft w:val="1080"/>
          <w:marRight w:val="0"/>
          <w:marTop w:val="100"/>
          <w:marBottom w:val="0"/>
          <w:divBdr>
            <w:top w:val="none" w:sz="0" w:space="0" w:color="auto"/>
            <w:left w:val="none" w:sz="0" w:space="0" w:color="auto"/>
            <w:bottom w:val="none" w:sz="0" w:space="0" w:color="auto"/>
            <w:right w:val="none" w:sz="0" w:space="0" w:color="auto"/>
          </w:divBdr>
        </w:div>
        <w:div w:id="2067071608">
          <w:marLeft w:val="1080"/>
          <w:marRight w:val="0"/>
          <w:marTop w:val="100"/>
          <w:marBottom w:val="0"/>
          <w:divBdr>
            <w:top w:val="none" w:sz="0" w:space="0" w:color="auto"/>
            <w:left w:val="none" w:sz="0" w:space="0" w:color="auto"/>
            <w:bottom w:val="none" w:sz="0" w:space="0" w:color="auto"/>
            <w:right w:val="none" w:sz="0" w:space="0" w:color="auto"/>
          </w:divBdr>
        </w:div>
      </w:divsChild>
    </w:div>
    <w:div w:id="586423513">
      <w:bodyDiv w:val="1"/>
      <w:marLeft w:val="0"/>
      <w:marRight w:val="0"/>
      <w:marTop w:val="0"/>
      <w:marBottom w:val="0"/>
      <w:divBdr>
        <w:top w:val="none" w:sz="0" w:space="0" w:color="auto"/>
        <w:left w:val="none" w:sz="0" w:space="0" w:color="auto"/>
        <w:bottom w:val="none" w:sz="0" w:space="0" w:color="auto"/>
        <w:right w:val="none" w:sz="0" w:space="0" w:color="auto"/>
      </w:divBdr>
      <w:divsChild>
        <w:div w:id="531189623">
          <w:marLeft w:val="1440"/>
          <w:marRight w:val="0"/>
          <w:marTop w:val="120"/>
          <w:marBottom w:val="0"/>
          <w:divBdr>
            <w:top w:val="none" w:sz="0" w:space="0" w:color="auto"/>
            <w:left w:val="none" w:sz="0" w:space="0" w:color="auto"/>
            <w:bottom w:val="none" w:sz="0" w:space="0" w:color="auto"/>
            <w:right w:val="none" w:sz="0" w:space="0" w:color="auto"/>
          </w:divBdr>
        </w:div>
        <w:div w:id="1437366574">
          <w:marLeft w:val="720"/>
          <w:marRight w:val="0"/>
          <w:marTop w:val="120"/>
          <w:marBottom w:val="0"/>
          <w:divBdr>
            <w:top w:val="none" w:sz="0" w:space="0" w:color="auto"/>
            <w:left w:val="none" w:sz="0" w:space="0" w:color="auto"/>
            <w:bottom w:val="none" w:sz="0" w:space="0" w:color="auto"/>
            <w:right w:val="none" w:sz="0" w:space="0" w:color="auto"/>
          </w:divBdr>
        </w:div>
      </w:divsChild>
    </w:div>
    <w:div w:id="590699678">
      <w:bodyDiv w:val="1"/>
      <w:marLeft w:val="0"/>
      <w:marRight w:val="0"/>
      <w:marTop w:val="0"/>
      <w:marBottom w:val="0"/>
      <w:divBdr>
        <w:top w:val="none" w:sz="0" w:space="0" w:color="auto"/>
        <w:left w:val="none" w:sz="0" w:space="0" w:color="auto"/>
        <w:bottom w:val="none" w:sz="0" w:space="0" w:color="auto"/>
        <w:right w:val="none" w:sz="0" w:space="0" w:color="auto"/>
      </w:divBdr>
      <w:divsChild>
        <w:div w:id="218127067">
          <w:marLeft w:val="994"/>
          <w:marRight w:val="0"/>
          <w:marTop w:val="0"/>
          <w:marBottom w:val="0"/>
          <w:divBdr>
            <w:top w:val="none" w:sz="0" w:space="0" w:color="auto"/>
            <w:left w:val="none" w:sz="0" w:space="0" w:color="auto"/>
            <w:bottom w:val="none" w:sz="0" w:space="0" w:color="auto"/>
            <w:right w:val="none" w:sz="0" w:space="0" w:color="auto"/>
          </w:divBdr>
        </w:div>
        <w:div w:id="661616199">
          <w:marLeft w:val="994"/>
          <w:marRight w:val="0"/>
          <w:marTop w:val="0"/>
          <w:marBottom w:val="0"/>
          <w:divBdr>
            <w:top w:val="none" w:sz="0" w:space="0" w:color="auto"/>
            <w:left w:val="none" w:sz="0" w:space="0" w:color="auto"/>
            <w:bottom w:val="none" w:sz="0" w:space="0" w:color="auto"/>
            <w:right w:val="none" w:sz="0" w:space="0" w:color="auto"/>
          </w:divBdr>
        </w:div>
        <w:div w:id="745493644">
          <w:marLeft w:val="1714"/>
          <w:marRight w:val="0"/>
          <w:marTop w:val="0"/>
          <w:marBottom w:val="0"/>
          <w:divBdr>
            <w:top w:val="none" w:sz="0" w:space="0" w:color="auto"/>
            <w:left w:val="none" w:sz="0" w:space="0" w:color="auto"/>
            <w:bottom w:val="none" w:sz="0" w:space="0" w:color="auto"/>
            <w:right w:val="none" w:sz="0" w:space="0" w:color="auto"/>
          </w:divBdr>
        </w:div>
        <w:div w:id="1200631469">
          <w:marLeft w:val="1714"/>
          <w:marRight w:val="0"/>
          <w:marTop w:val="0"/>
          <w:marBottom w:val="0"/>
          <w:divBdr>
            <w:top w:val="none" w:sz="0" w:space="0" w:color="auto"/>
            <w:left w:val="none" w:sz="0" w:space="0" w:color="auto"/>
            <w:bottom w:val="none" w:sz="0" w:space="0" w:color="auto"/>
            <w:right w:val="none" w:sz="0" w:space="0" w:color="auto"/>
          </w:divBdr>
        </w:div>
        <w:div w:id="1563835278">
          <w:marLeft w:val="274"/>
          <w:marRight w:val="0"/>
          <w:marTop w:val="0"/>
          <w:marBottom w:val="0"/>
          <w:divBdr>
            <w:top w:val="none" w:sz="0" w:space="0" w:color="auto"/>
            <w:left w:val="none" w:sz="0" w:space="0" w:color="auto"/>
            <w:bottom w:val="none" w:sz="0" w:space="0" w:color="auto"/>
            <w:right w:val="none" w:sz="0" w:space="0" w:color="auto"/>
          </w:divBdr>
        </w:div>
        <w:div w:id="1729261653">
          <w:marLeft w:val="994"/>
          <w:marRight w:val="0"/>
          <w:marTop w:val="0"/>
          <w:marBottom w:val="0"/>
          <w:divBdr>
            <w:top w:val="none" w:sz="0" w:space="0" w:color="auto"/>
            <w:left w:val="none" w:sz="0" w:space="0" w:color="auto"/>
            <w:bottom w:val="none" w:sz="0" w:space="0" w:color="auto"/>
            <w:right w:val="none" w:sz="0" w:space="0" w:color="auto"/>
          </w:divBdr>
        </w:div>
        <w:div w:id="1789857767">
          <w:marLeft w:val="1714"/>
          <w:marRight w:val="0"/>
          <w:marTop w:val="0"/>
          <w:marBottom w:val="0"/>
          <w:divBdr>
            <w:top w:val="none" w:sz="0" w:space="0" w:color="auto"/>
            <w:left w:val="none" w:sz="0" w:space="0" w:color="auto"/>
            <w:bottom w:val="none" w:sz="0" w:space="0" w:color="auto"/>
            <w:right w:val="none" w:sz="0" w:space="0" w:color="auto"/>
          </w:divBdr>
        </w:div>
        <w:div w:id="1825463920">
          <w:marLeft w:val="274"/>
          <w:marRight w:val="0"/>
          <w:marTop w:val="0"/>
          <w:marBottom w:val="0"/>
          <w:divBdr>
            <w:top w:val="none" w:sz="0" w:space="0" w:color="auto"/>
            <w:left w:val="none" w:sz="0" w:space="0" w:color="auto"/>
            <w:bottom w:val="none" w:sz="0" w:space="0" w:color="auto"/>
            <w:right w:val="none" w:sz="0" w:space="0" w:color="auto"/>
          </w:divBdr>
        </w:div>
      </w:divsChild>
    </w:div>
    <w:div w:id="595869912">
      <w:bodyDiv w:val="1"/>
      <w:marLeft w:val="0"/>
      <w:marRight w:val="0"/>
      <w:marTop w:val="0"/>
      <w:marBottom w:val="0"/>
      <w:divBdr>
        <w:top w:val="none" w:sz="0" w:space="0" w:color="auto"/>
        <w:left w:val="none" w:sz="0" w:space="0" w:color="auto"/>
        <w:bottom w:val="none" w:sz="0" w:space="0" w:color="auto"/>
        <w:right w:val="none" w:sz="0" w:space="0" w:color="auto"/>
      </w:divBdr>
      <w:divsChild>
        <w:div w:id="1299796929">
          <w:marLeft w:val="360"/>
          <w:marRight w:val="0"/>
          <w:marTop w:val="200"/>
          <w:marBottom w:val="0"/>
          <w:divBdr>
            <w:top w:val="none" w:sz="0" w:space="0" w:color="auto"/>
            <w:left w:val="none" w:sz="0" w:space="0" w:color="auto"/>
            <w:bottom w:val="none" w:sz="0" w:space="0" w:color="auto"/>
            <w:right w:val="none" w:sz="0" w:space="0" w:color="auto"/>
          </w:divBdr>
        </w:div>
      </w:divsChild>
    </w:div>
    <w:div w:id="603268014">
      <w:bodyDiv w:val="1"/>
      <w:marLeft w:val="0"/>
      <w:marRight w:val="0"/>
      <w:marTop w:val="0"/>
      <w:marBottom w:val="0"/>
      <w:divBdr>
        <w:top w:val="none" w:sz="0" w:space="0" w:color="auto"/>
        <w:left w:val="none" w:sz="0" w:space="0" w:color="auto"/>
        <w:bottom w:val="none" w:sz="0" w:space="0" w:color="auto"/>
        <w:right w:val="none" w:sz="0" w:space="0" w:color="auto"/>
      </w:divBdr>
      <w:divsChild>
        <w:div w:id="647631470">
          <w:marLeft w:val="1656"/>
          <w:marRight w:val="0"/>
          <w:marTop w:val="120"/>
          <w:marBottom w:val="0"/>
          <w:divBdr>
            <w:top w:val="none" w:sz="0" w:space="0" w:color="auto"/>
            <w:left w:val="none" w:sz="0" w:space="0" w:color="auto"/>
            <w:bottom w:val="none" w:sz="0" w:space="0" w:color="auto"/>
            <w:right w:val="none" w:sz="0" w:space="0" w:color="auto"/>
          </w:divBdr>
        </w:div>
        <w:div w:id="841361969">
          <w:marLeft w:val="720"/>
          <w:marRight w:val="0"/>
          <w:marTop w:val="120"/>
          <w:marBottom w:val="0"/>
          <w:divBdr>
            <w:top w:val="none" w:sz="0" w:space="0" w:color="auto"/>
            <w:left w:val="none" w:sz="0" w:space="0" w:color="auto"/>
            <w:bottom w:val="none" w:sz="0" w:space="0" w:color="auto"/>
            <w:right w:val="none" w:sz="0" w:space="0" w:color="auto"/>
          </w:divBdr>
        </w:div>
      </w:divsChild>
    </w:div>
    <w:div w:id="641153823">
      <w:bodyDiv w:val="1"/>
      <w:marLeft w:val="0"/>
      <w:marRight w:val="0"/>
      <w:marTop w:val="0"/>
      <w:marBottom w:val="0"/>
      <w:divBdr>
        <w:top w:val="none" w:sz="0" w:space="0" w:color="auto"/>
        <w:left w:val="none" w:sz="0" w:space="0" w:color="auto"/>
        <w:bottom w:val="none" w:sz="0" w:space="0" w:color="auto"/>
        <w:right w:val="none" w:sz="0" w:space="0" w:color="auto"/>
      </w:divBdr>
      <w:divsChild>
        <w:div w:id="85735164">
          <w:marLeft w:val="360"/>
          <w:marRight w:val="0"/>
          <w:marTop w:val="200"/>
          <w:marBottom w:val="0"/>
          <w:divBdr>
            <w:top w:val="none" w:sz="0" w:space="0" w:color="auto"/>
            <w:left w:val="none" w:sz="0" w:space="0" w:color="auto"/>
            <w:bottom w:val="none" w:sz="0" w:space="0" w:color="auto"/>
            <w:right w:val="none" w:sz="0" w:space="0" w:color="auto"/>
          </w:divBdr>
        </w:div>
        <w:div w:id="164711554">
          <w:marLeft w:val="360"/>
          <w:marRight w:val="0"/>
          <w:marTop w:val="200"/>
          <w:marBottom w:val="0"/>
          <w:divBdr>
            <w:top w:val="none" w:sz="0" w:space="0" w:color="auto"/>
            <w:left w:val="none" w:sz="0" w:space="0" w:color="auto"/>
            <w:bottom w:val="none" w:sz="0" w:space="0" w:color="auto"/>
            <w:right w:val="none" w:sz="0" w:space="0" w:color="auto"/>
          </w:divBdr>
        </w:div>
        <w:div w:id="1656910280">
          <w:marLeft w:val="360"/>
          <w:marRight w:val="0"/>
          <w:marTop w:val="200"/>
          <w:marBottom w:val="0"/>
          <w:divBdr>
            <w:top w:val="none" w:sz="0" w:space="0" w:color="auto"/>
            <w:left w:val="none" w:sz="0" w:space="0" w:color="auto"/>
            <w:bottom w:val="none" w:sz="0" w:space="0" w:color="auto"/>
            <w:right w:val="none" w:sz="0" w:space="0" w:color="auto"/>
          </w:divBdr>
        </w:div>
      </w:divsChild>
    </w:div>
    <w:div w:id="653030785">
      <w:bodyDiv w:val="1"/>
      <w:marLeft w:val="0"/>
      <w:marRight w:val="0"/>
      <w:marTop w:val="0"/>
      <w:marBottom w:val="0"/>
      <w:divBdr>
        <w:top w:val="none" w:sz="0" w:space="0" w:color="auto"/>
        <w:left w:val="none" w:sz="0" w:space="0" w:color="auto"/>
        <w:bottom w:val="none" w:sz="0" w:space="0" w:color="auto"/>
        <w:right w:val="none" w:sz="0" w:space="0" w:color="auto"/>
      </w:divBdr>
      <w:divsChild>
        <w:div w:id="350423498">
          <w:marLeft w:val="360"/>
          <w:marRight w:val="0"/>
          <w:marTop w:val="0"/>
          <w:marBottom w:val="360"/>
          <w:divBdr>
            <w:top w:val="none" w:sz="0" w:space="0" w:color="auto"/>
            <w:left w:val="none" w:sz="0" w:space="0" w:color="auto"/>
            <w:bottom w:val="none" w:sz="0" w:space="0" w:color="auto"/>
            <w:right w:val="none" w:sz="0" w:space="0" w:color="auto"/>
          </w:divBdr>
        </w:div>
        <w:div w:id="604313392">
          <w:marLeft w:val="360"/>
          <w:marRight w:val="0"/>
          <w:marTop w:val="0"/>
          <w:marBottom w:val="360"/>
          <w:divBdr>
            <w:top w:val="none" w:sz="0" w:space="0" w:color="auto"/>
            <w:left w:val="none" w:sz="0" w:space="0" w:color="auto"/>
            <w:bottom w:val="none" w:sz="0" w:space="0" w:color="auto"/>
            <w:right w:val="none" w:sz="0" w:space="0" w:color="auto"/>
          </w:divBdr>
        </w:div>
        <w:div w:id="1126387862">
          <w:marLeft w:val="360"/>
          <w:marRight w:val="0"/>
          <w:marTop w:val="0"/>
          <w:marBottom w:val="360"/>
          <w:divBdr>
            <w:top w:val="none" w:sz="0" w:space="0" w:color="auto"/>
            <w:left w:val="none" w:sz="0" w:space="0" w:color="auto"/>
            <w:bottom w:val="none" w:sz="0" w:space="0" w:color="auto"/>
            <w:right w:val="none" w:sz="0" w:space="0" w:color="auto"/>
          </w:divBdr>
        </w:div>
        <w:div w:id="1854106396">
          <w:marLeft w:val="360"/>
          <w:marRight w:val="0"/>
          <w:marTop w:val="0"/>
          <w:marBottom w:val="360"/>
          <w:divBdr>
            <w:top w:val="none" w:sz="0" w:space="0" w:color="auto"/>
            <w:left w:val="none" w:sz="0" w:space="0" w:color="auto"/>
            <w:bottom w:val="none" w:sz="0" w:space="0" w:color="auto"/>
            <w:right w:val="none" w:sz="0" w:space="0" w:color="auto"/>
          </w:divBdr>
        </w:div>
      </w:divsChild>
    </w:div>
    <w:div w:id="681594398">
      <w:bodyDiv w:val="1"/>
      <w:marLeft w:val="0"/>
      <w:marRight w:val="0"/>
      <w:marTop w:val="0"/>
      <w:marBottom w:val="0"/>
      <w:divBdr>
        <w:top w:val="none" w:sz="0" w:space="0" w:color="auto"/>
        <w:left w:val="none" w:sz="0" w:space="0" w:color="auto"/>
        <w:bottom w:val="none" w:sz="0" w:space="0" w:color="auto"/>
        <w:right w:val="none" w:sz="0" w:space="0" w:color="auto"/>
      </w:divBdr>
    </w:div>
    <w:div w:id="687021565">
      <w:bodyDiv w:val="1"/>
      <w:marLeft w:val="0"/>
      <w:marRight w:val="0"/>
      <w:marTop w:val="0"/>
      <w:marBottom w:val="0"/>
      <w:divBdr>
        <w:top w:val="none" w:sz="0" w:space="0" w:color="auto"/>
        <w:left w:val="none" w:sz="0" w:space="0" w:color="auto"/>
        <w:bottom w:val="none" w:sz="0" w:space="0" w:color="auto"/>
        <w:right w:val="none" w:sz="0" w:space="0" w:color="auto"/>
      </w:divBdr>
      <w:divsChild>
        <w:div w:id="847645074">
          <w:marLeft w:val="360"/>
          <w:marRight w:val="0"/>
          <w:marTop w:val="0"/>
          <w:marBottom w:val="120"/>
          <w:divBdr>
            <w:top w:val="none" w:sz="0" w:space="0" w:color="auto"/>
            <w:left w:val="none" w:sz="0" w:space="0" w:color="auto"/>
            <w:bottom w:val="none" w:sz="0" w:space="0" w:color="auto"/>
            <w:right w:val="none" w:sz="0" w:space="0" w:color="auto"/>
          </w:divBdr>
        </w:div>
      </w:divsChild>
    </w:div>
    <w:div w:id="696583863">
      <w:bodyDiv w:val="1"/>
      <w:marLeft w:val="0"/>
      <w:marRight w:val="0"/>
      <w:marTop w:val="0"/>
      <w:marBottom w:val="0"/>
      <w:divBdr>
        <w:top w:val="none" w:sz="0" w:space="0" w:color="auto"/>
        <w:left w:val="none" w:sz="0" w:space="0" w:color="auto"/>
        <w:bottom w:val="none" w:sz="0" w:space="0" w:color="auto"/>
        <w:right w:val="none" w:sz="0" w:space="0" w:color="auto"/>
      </w:divBdr>
      <w:divsChild>
        <w:div w:id="154807230">
          <w:marLeft w:val="1080"/>
          <w:marRight w:val="0"/>
          <w:marTop w:val="240"/>
          <w:marBottom w:val="0"/>
          <w:divBdr>
            <w:top w:val="none" w:sz="0" w:space="0" w:color="auto"/>
            <w:left w:val="none" w:sz="0" w:space="0" w:color="auto"/>
            <w:bottom w:val="none" w:sz="0" w:space="0" w:color="auto"/>
            <w:right w:val="none" w:sz="0" w:space="0" w:color="auto"/>
          </w:divBdr>
        </w:div>
        <w:div w:id="365720283">
          <w:marLeft w:val="1080"/>
          <w:marRight w:val="0"/>
          <w:marTop w:val="240"/>
          <w:marBottom w:val="0"/>
          <w:divBdr>
            <w:top w:val="none" w:sz="0" w:space="0" w:color="auto"/>
            <w:left w:val="none" w:sz="0" w:space="0" w:color="auto"/>
            <w:bottom w:val="none" w:sz="0" w:space="0" w:color="auto"/>
            <w:right w:val="none" w:sz="0" w:space="0" w:color="auto"/>
          </w:divBdr>
        </w:div>
      </w:divsChild>
    </w:div>
    <w:div w:id="697201974">
      <w:bodyDiv w:val="1"/>
      <w:marLeft w:val="0"/>
      <w:marRight w:val="0"/>
      <w:marTop w:val="0"/>
      <w:marBottom w:val="0"/>
      <w:divBdr>
        <w:top w:val="none" w:sz="0" w:space="0" w:color="auto"/>
        <w:left w:val="none" w:sz="0" w:space="0" w:color="auto"/>
        <w:bottom w:val="none" w:sz="0" w:space="0" w:color="auto"/>
        <w:right w:val="none" w:sz="0" w:space="0" w:color="auto"/>
      </w:divBdr>
    </w:div>
    <w:div w:id="721635458">
      <w:bodyDiv w:val="1"/>
      <w:marLeft w:val="0"/>
      <w:marRight w:val="0"/>
      <w:marTop w:val="0"/>
      <w:marBottom w:val="0"/>
      <w:divBdr>
        <w:top w:val="none" w:sz="0" w:space="0" w:color="auto"/>
        <w:left w:val="none" w:sz="0" w:space="0" w:color="auto"/>
        <w:bottom w:val="none" w:sz="0" w:space="0" w:color="auto"/>
        <w:right w:val="none" w:sz="0" w:space="0" w:color="auto"/>
      </w:divBdr>
    </w:div>
    <w:div w:id="725566947">
      <w:bodyDiv w:val="1"/>
      <w:marLeft w:val="0"/>
      <w:marRight w:val="0"/>
      <w:marTop w:val="0"/>
      <w:marBottom w:val="0"/>
      <w:divBdr>
        <w:top w:val="none" w:sz="0" w:space="0" w:color="auto"/>
        <w:left w:val="none" w:sz="0" w:space="0" w:color="auto"/>
        <w:bottom w:val="none" w:sz="0" w:space="0" w:color="auto"/>
        <w:right w:val="none" w:sz="0" w:space="0" w:color="auto"/>
      </w:divBdr>
      <w:divsChild>
        <w:div w:id="1590767517">
          <w:marLeft w:val="576"/>
          <w:marRight w:val="0"/>
          <w:marTop w:val="0"/>
          <w:marBottom w:val="480"/>
          <w:divBdr>
            <w:top w:val="none" w:sz="0" w:space="0" w:color="auto"/>
            <w:left w:val="none" w:sz="0" w:space="0" w:color="auto"/>
            <w:bottom w:val="none" w:sz="0" w:space="0" w:color="auto"/>
            <w:right w:val="none" w:sz="0" w:space="0" w:color="auto"/>
          </w:divBdr>
        </w:div>
        <w:div w:id="1746220037">
          <w:marLeft w:val="576"/>
          <w:marRight w:val="0"/>
          <w:marTop w:val="0"/>
          <w:marBottom w:val="480"/>
          <w:divBdr>
            <w:top w:val="none" w:sz="0" w:space="0" w:color="auto"/>
            <w:left w:val="none" w:sz="0" w:space="0" w:color="auto"/>
            <w:bottom w:val="none" w:sz="0" w:space="0" w:color="auto"/>
            <w:right w:val="none" w:sz="0" w:space="0" w:color="auto"/>
          </w:divBdr>
        </w:div>
      </w:divsChild>
    </w:div>
    <w:div w:id="730269751">
      <w:bodyDiv w:val="1"/>
      <w:marLeft w:val="0"/>
      <w:marRight w:val="0"/>
      <w:marTop w:val="0"/>
      <w:marBottom w:val="0"/>
      <w:divBdr>
        <w:top w:val="none" w:sz="0" w:space="0" w:color="auto"/>
        <w:left w:val="none" w:sz="0" w:space="0" w:color="auto"/>
        <w:bottom w:val="none" w:sz="0" w:space="0" w:color="auto"/>
        <w:right w:val="none" w:sz="0" w:space="0" w:color="auto"/>
      </w:divBdr>
    </w:div>
    <w:div w:id="746850439">
      <w:bodyDiv w:val="1"/>
      <w:marLeft w:val="0"/>
      <w:marRight w:val="0"/>
      <w:marTop w:val="0"/>
      <w:marBottom w:val="0"/>
      <w:divBdr>
        <w:top w:val="none" w:sz="0" w:space="0" w:color="auto"/>
        <w:left w:val="none" w:sz="0" w:space="0" w:color="auto"/>
        <w:bottom w:val="none" w:sz="0" w:space="0" w:color="auto"/>
        <w:right w:val="none" w:sz="0" w:space="0" w:color="auto"/>
      </w:divBdr>
      <w:divsChild>
        <w:div w:id="70155667">
          <w:marLeft w:val="1080"/>
          <w:marRight w:val="0"/>
          <w:marTop w:val="100"/>
          <w:marBottom w:val="0"/>
          <w:divBdr>
            <w:top w:val="none" w:sz="0" w:space="0" w:color="auto"/>
            <w:left w:val="none" w:sz="0" w:space="0" w:color="auto"/>
            <w:bottom w:val="none" w:sz="0" w:space="0" w:color="auto"/>
            <w:right w:val="none" w:sz="0" w:space="0" w:color="auto"/>
          </w:divBdr>
        </w:div>
        <w:div w:id="1718771102">
          <w:marLeft w:val="1080"/>
          <w:marRight w:val="0"/>
          <w:marTop w:val="100"/>
          <w:marBottom w:val="0"/>
          <w:divBdr>
            <w:top w:val="none" w:sz="0" w:space="0" w:color="auto"/>
            <w:left w:val="none" w:sz="0" w:space="0" w:color="auto"/>
            <w:bottom w:val="none" w:sz="0" w:space="0" w:color="auto"/>
            <w:right w:val="none" w:sz="0" w:space="0" w:color="auto"/>
          </w:divBdr>
        </w:div>
        <w:div w:id="1817257333">
          <w:marLeft w:val="1080"/>
          <w:marRight w:val="0"/>
          <w:marTop w:val="100"/>
          <w:marBottom w:val="0"/>
          <w:divBdr>
            <w:top w:val="none" w:sz="0" w:space="0" w:color="auto"/>
            <w:left w:val="none" w:sz="0" w:space="0" w:color="auto"/>
            <w:bottom w:val="none" w:sz="0" w:space="0" w:color="auto"/>
            <w:right w:val="none" w:sz="0" w:space="0" w:color="auto"/>
          </w:divBdr>
        </w:div>
        <w:div w:id="2034384487">
          <w:marLeft w:val="1080"/>
          <w:marRight w:val="0"/>
          <w:marTop w:val="100"/>
          <w:marBottom w:val="0"/>
          <w:divBdr>
            <w:top w:val="none" w:sz="0" w:space="0" w:color="auto"/>
            <w:left w:val="none" w:sz="0" w:space="0" w:color="auto"/>
            <w:bottom w:val="none" w:sz="0" w:space="0" w:color="auto"/>
            <w:right w:val="none" w:sz="0" w:space="0" w:color="auto"/>
          </w:divBdr>
        </w:div>
      </w:divsChild>
    </w:div>
    <w:div w:id="790705148">
      <w:bodyDiv w:val="1"/>
      <w:marLeft w:val="0"/>
      <w:marRight w:val="0"/>
      <w:marTop w:val="0"/>
      <w:marBottom w:val="0"/>
      <w:divBdr>
        <w:top w:val="none" w:sz="0" w:space="0" w:color="auto"/>
        <w:left w:val="none" w:sz="0" w:space="0" w:color="auto"/>
        <w:bottom w:val="none" w:sz="0" w:space="0" w:color="auto"/>
        <w:right w:val="none" w:sz="0" w:space="0" w:color="auto"/>
      </w:divBdr>
    </w:div>
    <w:div w:id="803280797">
      <w:bodyDiv w:val="1"/>
      <w:marLeft w:val="0"/>
      <w:marRight w:val="0"/>
      <w:marTop w:val="0"/>
      <w:marBottom w:val="0"/>
      <w:divBdr>
        <w:top w:val="none" w:sz="0" w:space="0" w:color="auto"/>
        <w:left w:val="none" w:sz="0" w:space="0" w:color="auto"/>
        <w:bottom w:val="none" w:sz="0" w:space="0" w:color="auto"/>
        <w:right w:val="none" w:sz="0" w:space="0" w:color="auto"/>
      </w:divBdr>
      <w:divsChild>
        <w:div w:id="92484154">
          <w:marLeft w:val="360"/>
          <w:marRight w:val="0"/>
          <w:marTop w:val="200"/>
          <w:marBottom w:val="0"/>
          <w:divBdr>
            <w:top w:val="none" w:sz="0" w:space="0" w:color="auto"/>
            <w:left w:val="none" w:sz="0" w:space="0" w:color="auto"/>
            <w:bottom w:val="none" w:sz="0" w:space="0" w:color="auto"/>
            <w:right w:val="none" w:sz="0" w:space="0" w:color="auto"/>
          </w:divBdr>
        </w:div>
        <w:div w:id="542904821">
          <w:marLeft w:val="360"/>
          <w:marRight w:val="0"/>
          <w:marTop w:val="200"/>
          <w:marBottom w:val="0"/>
          <w:divBdr>
            <w:top w:val="none" w:sz="0" w:space="0" w:color="auto"/>
            <w:left w:val="none" w:sz="0" w:space="0" w:color="auto"/>
            <w:bottom w:val="none" w:sz="0" w:space="0" w:color="auto"/>
            <w:right w:val="none" w:sz="0" w:space="0" w:color="auto"/>
          </w:divBdr>
        </w:div>
        <w:div w:id="831219975">
          <w:marLeft w:val="1080"/>
          <w:marRight w:val="0"/>
          <w:marTop w:val="100"/>
          <w:marBottom w:val="0"/>
          <w:divBdr>
            <w:top w:val="none" w:sz="0" w:space="0" w:color="auto"/>
            <w:left w:val="none" w:sz="0" w:space="0" w:color="auto"/>
            <w:bottom w:val="none" w:sz="0" w:space="0" w:color="auto"/>
            <w:right w:val="none" w:sz="0" w:space="0" w:color="auto"/>
          </w:divBdr>
        </w:div>
        <w:div w:id="1792018183">
          <w:marLeft w:val="1080"/>
          <w:marRight w:val="0"/>
          <w:marTop w:val="100"/>
          <w:marBottom w:val="0"/>
          <w:divBdr>
            <w:top w:val="none" w:sz="0" w:space="0" w:color="auto"/>
            <w:left w:val="none" w:sz="0" w:space="0" w:color="auto"/>
            <w:bottom w:val="none" w:sz="0" w:space="0" w:color="auto"/>
            <w:right w:val="none" w:sz="0" w:space="0" w:color="auto"/>
          </w:divBdr>
        </w:div>
        <w:div w:id="2038045015">
          <w:marLeft w:val="1080"/>
          <w:marRight w:val="0"/>
          <w:marTop w:val="100"/>
          <w:marBottom w:val="0"/>
          <w:divBdr>
            <w:top w:val="none" w:sz="0" w:space="0" w:color="auto"/>
            <w:left w:val="none" w:sz="0" w:space="0" w:color="auto"/>
            <w:bottom w:val="none" w:sz="0" w:space="0" w:color="auto"/>
            <w:right w:val="none" w:sz="0" w:space="0" w:color="auto"/>
          </w:divBdr>
        </w:div>
      </w:divsChild>
    </w:div>
    <w:div w:id="804395076">
      <w:bodyDiv w:val="1"/>
      <w:marLeft w:val="0"/>
      <w:marRight w:val="0"/>
      <w:marTop w:val="0"/>
      <w:marBottom w:val="0"/>
      <w:divBdr>
        <w:top w:val="none" w:sz="0" w:space="0" w:color="auto"/>
        <w:left w:val="none" w:sz="0" w:space="0" w:color="auto"/>
        <w:bottom w:val="none" w:sz="0" w:space="0" w:color="auto"/>
        <w:right w:val="none" w:sz="0" w:space="0" w:color="auto"/>
      </w:divBdr>
      <w:divsChild>
        <w:div w:id="445858087">
          <w:marLeft w:val="274"/>
          <w:marRight w:val="0"/>
          <w:marTop w:val="0"/>
          <w:marBottom w:val="0"/>
          <w:divBdr>
            <w:top w:val="none" w:sz="0" w:space="0" w:color="auto"/>
            <w:left w:val="none" w:sz="0" w:space="0" w:color="auto"/>
            <w:bottom w:val="none" w:sz="0" w:space="0" w:color="auto"/>
            <w:right w:val="none" w:sz="0" w:space="0" w:color="auto"/>
          </w:divBdr>
        </w:div>
        <w:div w:id="525102999">
          <w:marLeft w:val="274"/>
          <w:marRight w:val="0"/>
          <w:marTop w:val="0"/>
          <w:marBottom w:val="0"/>
          <w:divBdr>
            <w:top w:val="none" w:sz="0" w:space="0" w:color="auto"/>
            <w:left w:val="none" w:sz="0" w:space="0" w:color="auto"/>
            <w:bottom w:val="none" w:sz="0" w:space="0" w:color="auto"/>
            <w:right w:val="none" w:sz="0" w:space="0" w:color="auto"/>
          </w:divBdr>
        </w:div>
        <w:div w:id="703167262">
          <w:marLeft w:val="274"/>
          <w:marRight w:val="0"/>
          <w:marTop w:val="0"/>
          <w:marBottom w:val="0"/>
          <w:divBdr>
            <w:top w:val="none" w:sz="0" w:space="0" w:color="auto"/>
            <w:left w:val="none" w:sz="0" w:space="0" w:color="auto"/>
            <w:bottom w:val="none" w:sz="0" w:space="0" w:color="auto"/>
            <w:right w:val="none" w:sz="0" w:space="0" w:color="auto"/>
          </w:divBdr>
        </w:div>
      </w:divsChild>
    </w:div>
    <w:div w:id="828592210">
      <w:bodyDiv w:val="1"/>
      <w:marLeft w:val="0"/>
      <w:marRight w:val="0"/>
      <w:marTop w:val="0"/>
      <w:marBottom w:val="0"/>
      <w:divBdr>
        <w:top w:val="none" w:sz="0" w:space="0" w:color="auto"/>
        <w:left w:val="none" w:sz="0" w:space="0" w:color="auto"/>
        <w:bottom w:val="none" w:sz="0" w:space="0" w:color="auto"/>
        <w:right w:val="none" w:sz="0" w:space="0" w:color="auto"/>
      </w:divBdr>
    </w:div>
    <w:div w:id="862128387">
      <w:bodyDiv w:val="1"/>
      <w:marLeft w:val="0"/>
      <w:marRight w:val="0"/>
      <w:marTop w:val="0"/>
      <w:marBottom w:val="0"/>
      <w:divBdr>
        <w:top w:val="none" w:sz="0" w:space="0" w:color="auto"/>
        <w:left w:val="none" w:sz="0" w:space="0" w:color="auto"/>
        <w:bottom w:val="none" w:sz="0" w:space="0" w:color="auto"/>
        <w:right w:val="none" w:sz="0" w:space="0" w:color="auto"/>
      </w:divBdr>
      <w:divsChild>
        <w:div w:id="149909496">
          <w:marLeft w:val="994"/>
          <w:marRight w:val="0"/>
          <w:marTop w:val="0"/>
          <w:marBottom w:val="0"/>
          <w:divBdr>
            <w:top w:val="none" w:sz="0" w:space="0" w:color="auto"/>
            <w:left w:val="none" w:sz="0" w:space="0" w:color="auto"/>
            <w:bottom w:val="none" w:sz="0" w:space="0" w:color="auto"/>
            <w:right w:val="none" w:sz="0" w:space="0" w:color="auto"/>
          </w:divBdr>
        </w:div>
        <w:div w:id="261306899">
          <w:marLeft w:val="994"/>
          <w:marRight w:val="0"/>
          <w:marTop w:val="0"/>
          <w:marBottom w:val="0"/>
          <w:divBdr>
            <w:top w:val="none" w:sz="0" w:space="0" w:color="auto"/>
            <w:left w:val="none" w:sz="0" w:space="0" w:color="auto"/>
            <w:bottom w:val="none" w:sz="0" w:space="0" w:color="auto"/>
            <w:right w:val="none" w:sz="0" w:space="0" w:color="auto"/>
          </w:divBdr>
        </w:div>
        <w:div w:id="348483829">
          <w:marLeft w:val="994"/>
          <w:marRight w:val="0"/>
          <w:marTop w:val="0"/>
          <w:marBottom w:val="0"/>
          <w:divBdr>
            <w:top w:val="none" w:sz="0" w:space="0" w:color="auto"/>
            <w:left w:val="none" w:sz="0" w:space="0" w:color="auto"/>
            <w:bottom w:val="none" w:sz="0" w:space="0" w:color="auto"/>
            <w:right w:val="none" w:sz="0" w:space="0" w:color="auto"/>
          </w:divBdr>
        </w:div>
        <w:div w:id="348919877">
          <w:marLeft w:val="994"/>
          <w:marRight w:val="0"/>
          <w:marTop w:val="0"/>
          <w:marBottom w:val="0"/>
          <w:divBdr>
            <w:top w:val="none" w:sz="0" w:space="0" w:color="auto"/>
            <w:left w:val="none" w:sz="0" w:space="0" w:color="auto"/>
            <w:bottom w:val="none" w:sz="0" w:space="0" w:color="auto"/>
            <w:right w:val="none" w:sz="0" w:space="0" w:color="auto"/>
          </w:divBdr>
        </w:div>
        <w:div w:id="526410488">
          <w:marLeft w:val="994"/>
          <w:marRight w:val="0"/>
          <w:marTop w:val="0"/>
          <w:marBottom w:val="0"/>
          <w:divBdr>
            <w:top w:val="none" w:sz="0" w:space="0" w:color="auto"/>
            <w:left w:val="none" w:sz="0" w:space="0" w:color="auto"/>
            <w:bottom w:val="none" w:sz="0" w:space="0" w:color="auto"/>
            <w:right w:val="none" w:sz="0" w:space="0" w:color="auto"/>
          </w:divBdr>
        </w:div>
        <w:div w:id="562133045">
          <w:marLeft w:val="274"/>
          <w:marRight w:val="0"/>
          <w:marTop w:val="0"/>
          <w:marBottom w:val="0"/>
          <w:divBdr>
            <w:top w:val="none" w:sz="0" w:space="0" w:color="auto"/>
            <w:left w:val="none" w:sz="0" w:space="0" w:color="auto"/>
            <w:bottom w:val="none" w:sz="0" w:space="0" w:color="auto"/>
            <w:right w:val="none" w:sz="0" w:space="0" w:color="auto"/>
          </w:divBdr>
        </w:div>
        <w:div w:id="658732826">
          <w:marLeft w:val="994"/>
          <w:marRight w:val="0"/>
          <w:marTop w:val="0"/>
          <w:marBottom w:val="0"/>
          <w:divBdr>
            <w:top w:val="none" w:sz="0" w:space="0" w:color="auto"/>
            <w:left w:val="none" w:sz="0" w:space="0" w:color="auto"/>
            <w:bottom w:val="none" w:sz="0" w:space="0" w:color="auto"/>
            <w:right w:val="none" w:sz="0" w:space="0" w:color="auto"/>
          </w:divBdr>
        </w:div>
        <w:div w:id="662241652">
          <w:marLeft w:val="994"/>
          <w:marRight w:val="0"/>
          <w:marTop w:val="0"/>
          <w:marBottom w:val="0"/>
          <w:divBdr>
            <w:top w:val="none" w:sz="0" w:space="0" w:color="auto"/>
            <w:left w:val="none" w:sz="0" w:space="0" w:color="auto"/>
            <w:bottom w:val="none" w:sz="0" w:space="0" w:color="auto"/>
            <w:right w:val="none" w:sz="0" w:space="0" w:color="auto"/>
          </w:divBdr>
        </w:div>
        <w:div w:id="674381780">
          <w:marLeft w:val="994"/>
          <w:marRight w:val="0"/>
          <w:marTop w:val="0"/>
          <w:marBottom w:val="0"/>
          <w:divBdr>
            <w:top w:val="none" w:sz="0" w:space="0" w:color="auto"/>
            <w:left w:val="none" w:sz="0" w:space="0" w:color="auto"/>
            <w:bottom w:val="none" w:sz="0" w:space="0" w:color="auto"/>
            <w:right w:val="none" w:sz="0" w:space="0" w:color="auto"/>
          </w:divBdr>
        </w:div>
        <w:div w:id="1139104497">
          <w:marLeft w:val="994"/>
          <w:marRight w:val="0"/>
          <w:marTop w:val="0"/>
          <w:marBottom w:val="0"/>
          <w:divBdr>
            <w:top w:val="none" w:sz="0" w:space="0" w:color="auto"/>
            <w:left w:val="none" w:sz="0" w:space="0" w:color="auto"/>
            <w:bottom w:val="none" w:sz="0" w:space="0" w:color="auto"/>
            <w:right w:val="none" w:sz="0" w:space="0" w:color="auto"/>
          </w:divBdr>
        </w:div>
        <w:div w:id="1335915035">
          <w:marLeft w:val="994"/>
          <w:marRight w:val="0"/>
          <w:marTop w:val="0"/>
          <w:marBottom w:val="0"/>
          <w:divBdr>
            <w:top w:val="none" w:sz="0" w:space="0" w:color="auto"/>
            <w:left w:val="none" w:sz="0" w:space="0" w:color="auto"/>
            <w:bottom w:val="none" w:sz="0" w:space="0" w:color="auto"/>
            <w:right w:val="none" w:sz="0" w:space="0" w:color="auto"/>
          </w:divBdr>
        </w:div>
        <w:div w:id="1381438563">
          <w:marLeft w:val="274"/>
          <w:marRight w:val="0"/>
          <w:marTop w:val="0"/>
          <w:marBottom w:val="0"/>
          <w:divBdr>
            <w:top w:val="none" w:sz="0" w:space="0" w:color="auto"/>
            <w:left w:val="none" w:sz="0" w:space="0" w:color="auto"/>
            <w:bottom w:val="none" w:sz="0" w:space="0" w:color="auto"/>
            <w:right w:val="none" w:sz="0" w:space="0" w:color="auto"/>
          </w:divBdr>
        </w:div>
        <w:div w:id="1400396915">
          <w:marLeft w:val="994"/>
          <w:marRight w:val="0"/>
          <w:marTop w:val="0"/>
          <w:marBottom w:val="0"/>
          <w:divBdr>
            <w:top w:val="none" w:sz="0" w:space="0" w:color="auto"/>
            <w:left w:val="none" w:sz="0" w:space="0" w:color="auto"/>
            <w:bottom w:val="none" w:sz="0" w:space="0" w:color="auto"/>
            <w:right w:val="none" w:sz="0" w:space="0" w:color="auto"/>
          </w:divBdr>
        </w:div>
        <w:div w:id="1732658588">
          <w:marLeft w:val="274"/>
          <w:marRight w:val="0"/>
          <w:marTop w:val="0"/>
          <w:marBottom w:val="0"/>
          <w:divBdr>
            <w:top w:val="none" w:sz="0" w:space="0" w:color="auto"/>
            <w:left w:val="none" w:sz="0" w:space="0" w:color="auto"/>
            <w:bottom w:val="none" w:sz="0" w:space="0" w:color="auto"/>
            <w:right w:val="none" w:sz="0" w:space="0" w:color="auto"/>
          </w:divBdr>
        </w:div>
        <w:div w:id="1760835932">
          <w:marLeft w:val="994"/>
          <w:marRight w:val="0"/>
          <w:marTop w:val="0"/>
          <w:marBottom w:val="0"/>
          <w:divBdr>
            <w:top w:val="none" w:sz="0" w:space="0" w:color="auto"/>
            <w:left w:val="none" w:sz="0" w:space="0" w:color="auto"/>
            <w:bottom w:val="none" w:sz="0" w:space="0" w:color="auto"/>
            <w:right w:val="none" w:sz="0" w:space="0" w:color="auto"/>
          </w:divBdr>
        </w:div>
        <w:div w:id="1983806366">
          <w:marLeft w:val="994"/>
          <w:marRight w:val="0"/>
          <w:marTop w:val="0"/>
          <w:marBottom w:val="0"/>
          <w:divBdr>
            <w:top w:val="none" w:sz="0" w:space="0" w:color="auto"/>
            <w:left w:val="none" w:sz="0" w:space="0" w:color="auto"/>
            <w:bottom w:val="none" w:sz="0" w:space="0" w:color="auto"/>
            <w:right w:val="none" w:sz="0" w:space="0" w:color="auto"/>
          </w:divBdr>
        </w:div>
        <w:div w:id="1988389717">
          <w:marLeft w:val="994"/>
          <w:marRight w:val="0"/>
          <w:marTop w:val="0"/>
          <w:marBottom w:val="0"/>
          <w:divBdr>
            <w:top w:val="none" w:sz="0" w:space="0" w:color="auto"/>
            <w:left w:val="none" w:sz="0" w:space="0" w:color="auto"/>
            <w:bottom w:val="none" w:sz="0" w:space="0" w:color="auto"/>
            <w:right w:val="none" w:sz="0" w:space="0" w:color="auto"/>
          </w:divBdr>
        </w:div>
      </w:divsChild>
    </w:div>
    <w:div w:id="866019124">
      <w:bodyDiv w:val="1"/>
      <w:marLeft w:val="0"/>
      <w:marRight w:val="0"/>
      <w:marTop w:val="0"/>
      <w:marBottom w:val="0"/>
      <w:divBdr>
        <w:top w:val="none" w:sz="0" w:space="0" w:color="auto"/>
        <w:left w:val="none" w:sz="0" w:space="0" w:color="auto"/>
        <w:bottom w:val="none" w:sz="0" w:space="0" w:color="auto"/>
        <w:right w:val="none" w:sz="0" w:space="0" w:color="auto"/>
      </w:divBdr>
      <w:divsChild>
        <w:div w:id="411127107">
          <w:marLeft w:val="1080"/>
          <w:marRight w:val="0"/>
          <w:marTop w:val="100"/>
          <w:marBottom w:val="0"/>
          <w:divBdr>
            <w:top w:val="none" w:sz="0" w:space="0" w:color="auto"/>
            <w:left w:val="none" w:sz="0" w:space="0" w:color="auto"/>
            <w:bottom w:val="none" w:sz="0" w:space="0" w:color="auto"/>
            <w:right w:val="none" w:sz="0" w:space="0" w:color="auto"/>
          </w:divBdr>
        </w:div>
        <w:div w:id="479929548">
          <w:marLeft w:val="1080"/>
          <w:marRight w:val="0"/>
          <w:marTop w:val="100"/>
          <w:marBottom w:val="0"/>
          <w:divBdr>
            <w:top w:val="none" w:sz="0" w:space="0" w:color="auto"/>
            <w:left w:val="none" w:sz="0" w:space="0" w:color="auto"/>
            <w:bottom w:val="none" w:sz="0" w:space="0" w:color="auto"/>
            <w:right w:val="none" w:sz="0" w:space="0" w:color="auto"/>
          </w:divBdr>
        </w:div>
        <w:div w:id="999385458">
          <w:marLeft w:val="1080"/>
          <w:marRight w:val="0"/>
          <w:marTop w:val="100"/>
          <w:marBottom w:val="0"/>
          <w:divBdr>
            <w:top w:val="none" w:sz="0" w:space="0" w:color="auto"/>
            <w:left w:val="none" w:sz="0" w:space="0" w:color="auto"/>
            <w:bottom w:val="none" w:sz="0" w:space="0" w:color="auto"/>
            <w:right w:val="none" w:sz="0" w:space="0" w:color="auto"/>
          </w:divBdr>
        </w:div>
        <w:div w:id="1193609264">
          <w:marLeft w:val="1080"/>
          <w:marRight w:val="0"/>
          <w:marTop w:val="100"/>
          <w:marBottom w:val="0"/>
          <w:divBdr>
            <w:top w:val="none" w:sz="0" w:space="0" w:color="auto"/>
            <w:left w:val="none" w:sz="0" w:space="0" w:color="auto"/>
            <w:bottom w:val="none" w:sz="0" w:space="0" w:color="auto"/>
            <w:right w:val="none" w:sz="0" w:space="0" w:color="auto"/>
          </w:divBdr>
        </w:div>
      </w:divsChild>
    </w:div>
    <w:div w:id="874578568">
      <w:bodyDiv w:val="1"/>
      <w:marLeft w:val="0"/>
      <w:marRight w:val="0"/>
      <w:marTop w:val="0"/>
      <w:marBottom w:val="0"/>
      <w:divBdr>
        <w:top w:val="none" w:sz="0" w:space="0" w:color="auto"/>
        <w:left w:val="none" w:sz="0" w:space="0" w:color="auto"/>
        <w:bottom w:val="none" w:sz="0" w:space="0" w:color="auto"/>
        <w:right w:val="none" w:sz="0" w:space="0" w:color="auto"/>
      </w:divBdr>
      <w:divsChild>
        <w:div w:id="790635764">
          <w:marLeft w:val="1440"/>
          <w:marRight w:val="0"/>
          <w:marTop w:val="120"/>
          <w:marBottom w:val="0"/>
          <w:divBdr>
            <w:top w:val="none" w:sz="0" w:space="0" w:color="auto"/>
            <w:left w:val="none" w:sz="0" w:space="0" w:color="auto"/>
            <w:bottom w:val="none" w:sz="0" w:space="0" w:color="auto"/>
            <w:right w:val="none" w:sz="0" w:space="0" w:color="auto"/>
          </w:divBdr>
        </w:div>
      </w:divsChild>
    </w:div>
    <w:div w:id="888343875">
      <w:bodyDiv w:val="1"/>
      <w:marLeft w:val="0"/>
      <w:marRight w:val="0"/>
      <w:marTop w:val="0"/>
      <w:marBottom w:val="0"/>
      <w:divBdr>
        <w:top w:val="none" w:sz="0" w:space="0" w:color="auto"/>
        <w:left w:val="none" w:sz="0" w:space="0" w:color="auto"/>
        <w:bottom w:val="none" w:sz="0" w:space="0" w:color="auto"/>
        <w:right w:val="none" w:sz="0" w:space="0" w:color="auto"/>
      </w:divBdr>
    </w:div>
    <w:div w:id="899173915">
      <w:bodyDiv w:val="1"/>
      <w:marLeft w:val="0"/>
      <w:marRight w:val="0"/>
      <w:marTop w:val="0"/>
      <w:marBottom w:val="0"/>
      <w:divBdr>
        <w:top w:val="none" w:sz="0" w:space="0" w:color="auto"/>
        <w:left w:val="none" w:sz="0" w:space="0" w:color="auto"/>
        <w:bottom w:val="none" w:sz="0" w:space="0" w:color="auto"/>
        <w:right w:val="none" w:sz="0" w:space="0" w:color="auto"/>
      </w:divBdr>
      <w:divsChild>
        <w:div w:id="541477184">
          <w:marLeft w:val="360"/>
          <w:marRight w:val="0"/>
          <w:marTop w:val="0"/>
          <w:marBottom w:val="480"/>
          <w:divBdr>
            <w:top w:val="none" w:sz="0" w:space="0" w:color="auto"/>
            <w:left w:val="none" w:sz="0" w:space="0" w:color="auto"/>
            <w:bottom w:val="none" w:sz="0" w:space="0" w:color="auto"/>
            <w:right w:val="none" w:sz="0" w:space="0" w:color="auto"/>
          </w:divBdr>
        </w:div>
      </w:divsChild>
    </w:div>
    <w:div w:id="911084062">
      <w:bodyDiv w:val="1"/>
      <w:marLeft w:val="0"/>
      <w:marRight w:val="0"/>
      <w:marTop w:val="0"/>
      <w:marBottom w:val="0"/>
      <w:divBdr>
        <w:top w:val="none" w:sz="0" w:space="0" w:color="auto"/>
        <w:left w:val="none" w:sz="0" w:space="0" w:color="auto"/>
        <w:bottom w:val="none" w:sz="0" w:space="0" w:color="auto"/>
        <w:right w:val="none" w:sz="0" w:space="0" w:color="auto"/>
      </w:divBdr>
    </w:div>
    <w:div w:id="925920396">
      <w:bodyDiv w:val="1"/>
      <w:marLeft w:val="0"/>
      <w:marRight w:val="0"/>
      <w:marTop w:val="0"/>
      <w:marBottom w:val="0"/>
      <w:divBdr>
        <w:top w:val="none" w:sz="0" w:space="0" w:color="auto"/>
        <w:left w:val="none" w:sz="0" w:space="0" w:color="auto"/>
        <w:bottom w:val="none" w:sz="0" w:space="0" w:color="auto"/>
        <w:right w:val="none" w:sz="0" w:space="0" w:color="auto"/>
      </w:divBdr>
      <w:divsChild>
        <w:div w:id="1319918523">
          <w:marLeft w:val="994"/>
          <w:marRight w:val="0"/>
          <w:marTop w:val="0"/>
          <w:marBottom w:val="0"/>
          <w:divBdr>
            <w:top w:val="none" w:sz="0" w:space="0" w:color="auto"/>
            <w:left w:val="none" w:sz="0" w:space="0" w:color="auto"/>
            <w:bottom w:val="none" w:sz="0" w:space="0" w:color="auto"/>
            <w:right w:val="none" w:sz="0" w:space="0" w:color="auto"/>
          </w:divBdr>
        </w:div>
        <w:div w:id="1386102081">
          <w:marLeft w:val="274"/>
          <w:marRight w:val="0"/>
          <w:marTop w:val="0"/>
          <w:marBottom w:val="0"/>
          <w:divBdr>
            <w:top w:val="none" w:sz="0" w:space="0" w:color="auto"/>
            <w:left w:val="none" w:sz="0" w:space="0" w:color="auto"/>
            <w:bottom w:val="none" w:sz="0" w:space="0" w:color="auto"/>
            <w:right w:val="none" w:sz="0" w:space="0" w:color="auto"/>
          </w:divBdr>
        </w:div>
        <w:div w:id="1600528413">
          <w:marLeft w:val="274"/>
          <w:marRight w:val="0"/>
          <w:marTop w:val="0"/>
          <w:marBottom w:val="0"/>
          <w:divBdr>
            <w:top w:val="none" w:sz="0" w:space="0" w:color="auto"/>
            <w:left w:val="none" w:sz="0" w:space="0" w:color="auto"/>
            <w:bottom w:val="none" w:sz="0" w:space="0" w:color="auto"/>
            <w:right w:val="none" w:sz="0" w:space="0" w:color="auto"/>
          </w:divBdr>
        </w:div>
        <w:div w:id="2089570256">
          <w:marLeft w:val="994"/>
          <w:marRight w:val="0"/>
          <w:marTop w:val="0"/>
          <w:marBottom w:val="0"/>
          <w:divBdr>
            <w:top w:val="none" w:sz="0" w:space="0" w:color="auto"/>
            <w:left w:val="none" w:sz="0" w:space="0" w:color="auto"/>
            <w:bottom w:val="none" w:sz="0" w:space="0" w:color="auto"/>
            <w:right w:val="none" w:sz="0" w:space="0" w:color="auto"/>
          </w:divBdr>
        </w:div>
      </w:divsChild>
    </w:div>
    <w:div w:id="926501487">
      <w:bodyDiv w:val="1"/>
      <w:marLeft w:val="0"/>
      <w:marRight w:val="0"/>
      <w:marTop w:val="0"/>
      <w:marBottom w:val="0"/>
      <w:divBdr>
        <w:top w:val="none" w:sz="0" w:space="0" w:color="auto"/>
        <w:left w:val="none" w:sz="0" w:space="0" w:color="auto"/>
        <w:bottom w:val="none" w:sz="0" w:space="0" w:color="auto"/>
        <w:right w:val="none" w:sz="0" w:space="0" w:color="auto"/>
      </w:divBdr>
      <w:divsChild>
        <w:div w:id="86581167">
          <w:marLeft w:val="360"/>
          <w:marRight w:val="0"/>
          <w:marTop w:val="200"/>
          <w:marBottom w:val="0"/>
          <w:divBdr>
            <w:top w:val="none" w:sz="0" w:space="0" w:color="auto"/>
            <w:left w:val="none" w:sz="0" w:space="0" w:color="auto"/>
            <w:bottom w:val="none" w:sz="0" w:space="0" w:color="auto"/>
            <w:right w:val="none" w:sz="0" w:space="0" w:color="auto"/>
          </w:divBdr>
        </w:div>
        <w:div w:id="281767592">
          <w:marLeft w:val="360"/>
          <w:marRight w:val="0"/>
          <w:marTop w:val="200"/>
          <w:marBottom w:val="0"/>
          <w:divBdr>
            <w:top w:val="none" w:sz="0" w:space="0" w:color="auto"/>
            <w:left w:val="none" w:sz="0" w:space="0" w:color="auto"/>
            <w:bottom w:val="none" w:sz="0" w:space="0" w:color="auto"/>
            <w:right w:val="none" w:sz="0" w:space="0" w:color="auto"/>
          </w:divBdr>
        </w:div>
        <w:div w:id="1577546474">
          <w:marLeft w:val="360"/>
          <w:marRight w:val="0"/>
          <w:marTop w:val="200"/>
          <w:marBottom w:val="0"/>
          <w:divBdr>
            <w:top w:val="none" w:sz="0" w:space="0" w:color="auto"/>
            <w:left w:val="none" w:sz="0" w:space="0" w:color="auto"/>
            <w:bottom w:val="none" w:sz="0" w:space="0" w:color="auto"/>
            <w:right w:val="none" w:sz="0" w:space="0" w:color="auto"/>
          </w:divBdr>
        </w:div>
      </w:divsChild>
    </w:div>
    <w:div w:id="942498829">
      <w:bodyDiv w:val="1"/>
      <w:marLeft w:val="0"/>
      <w:marRight w:val="0"/>
      <w:marTop w:val="0"/>
      <w:marBottom w:val="0"/>
      <w:divBdr>
        <w:top w:val="none" w:sz="0" w:space="0" w:color="auto"/>
        <w:left w:val="none" w:sz="0" w:space="0" w:color="auto"/>
        <w:bottom w:val="none" w:sz="0" w:space="0" w:color="auto"/>
        <w:right w:val="none" w:sz="0" w:space="0" w:color="auto"/>
      </w:divBdr>
      <w:divsChild>
        <w:div w:id="94592241">
          <w:marLeft w:val="274"/>
          <w:marRight w:val="0"/>
          <w:marTop w:val="0"/>
          <w:marBottom w:val="0"/>
          <w:divBdr>
            <w:top w:val="none" w:sz="0" w:space="0" w:color="auto"/>
            <w:left w:val="none" w:sz="0" w:space="0" w:color="auto"/>
            <w:bottom w:val="none" w:sz="0" w:space="0" w:color="auto"/>
            <w:right w:val="none" w:sz="0" w:space="0" w:color="auto"/>
          </w:divBdr>
        </w:div>
        <w:div w:id="176120668">
          <w:marLeft w:val="274"/>
          <w:marRight w:val="0"/>
          <w:marTop w:val="0"/>
          <w:marBottom w:val="0"/>
          <w:divBdr>
            <w:top w:val="none" w:sz="0" w:space="0" w:color="auto"/>
            <w:left w:val="none" w:sz="0" w:space="0" w:color="auto"/>
            <w:bottom w:val="none" w:sz="0" w:space="0" w:color="auto"/>
            <w:right w:val="none" w:sz="0" w:space="0" w:color="auto"/>
          </w:divBdr>
        </w:div>
        <w:div w:id="683626487">
          <w:marLeft w:val="274"/>
          <w:marRight w:val="0"/>
          <w:marTop w:val="0"/>
          <w:marBottom w:val="0"/>
          <w:divBdr>
            <w:top w:val="none" w:sz="0" w:space="0" w:color="auto"/>
            <w:left w:val="none" w:sz="0" w:space="0" w:color="auto"/>
            <w:bottom w:val="none" w:sz="0" w:space="0" w:color="auto"/>
            <w:right w:val="none" w:sz="0" w:space="0" w:color="auto"/>
          </w:divBdr>
        </w:div>
        <w:div w:id="695885409">
          <w:marLeft w:val="274"/>
          <w:marRight w:val="0"/>
          <w:marTop w:val="0"/>
          <w:marBottom w:val="0"/>
          <w:divBdr>
            <w:top w:val="none" w:sz="0" w:space="0" w:color="auto"/>
            <w:left w:val="none" w:sz="0" w:space="0" w:color="auto"/>
            <w:bottom w:val="none" w:sz="0" w:space="0" w:color="auto"/>
            <w:right w:val="none" w:sz="0" w:space="0" w:color="auto"/>
          </w:divBdr>
        </w:div>
        <w:div w:id="1026636183">
          <w:marLeft w:val="274"/>
          <w:marRight w:val="0"/>
          <w:marTop w:val="0"/>
          <w:marBottom w:val="0"/>
          <w:divBdr>
            <w:top w:val="none" w:sz="0" w:space="0" w:color="auto"/>
            <w:left w:val="none" w:sz="0" w:space="0" w:color="auto"/>
            <w:bottom w:val="none" w:sz="0" w:space="0" w:color="auto"/>
            <w:right w:val="none" w:sz="0" w:space="0" w:color="auto"/>
          </w:divBdr>
        </w:div>
        <w:div w:id="1105151378">
          <w:marLeft w:val="274"/>
          <w:marRight w:val="0"/>
          <w:marTop w:val="0"/>
          <w:marBottom w:val="0"/>
          <w:divBdr>
            <w:top w:val="none" w:sz="0" w:space="0" w:color="auto"/>
            <w:left w:val="none" w:sz="0" w:space="0" w:color="auto"/>
            <w:bottom w:val="none" w:sz="0" w:space="0" w:color="auto"/>
            <w:right w:val="none" w:sz="0" w:space="0" w:color="auto"/>
          </w:divBdr>
        </w:div>
        <w:div w:id="1138189142">
          <w:marLeft w:val="274"/>
          <w:marRight w:val="0"/>
          <w:marTop w:val="0"/>
          <w:marBottom w:val="0"/>
          <w:divBdr>
            <w:top w:val="none" w:sz="0" w:space="0" w:color="auto"/>
            <w:left w:val="none" w:sz="0" w:space="0" w:color="auto"/>
            <w:bottom w:val="none" w:sz="0" w:space="0" w:color="auto"/>
            <w:right w:val="none" w:sz="0" w:space="0" w:color="auto"/>
          </w:divBdr>
        </w:div>
        <w:div w:id="1228956304">
          <w:marLeft w:val="274"/>
          <w:marRight w:val="0"/>
          <w:marTop w:val="0"/>
          <w:marBottom w:val="0"/>
          <w:divBdr>
            <w:top w:val="none" w:sz="0" w:space="0" w:color="auto"/>
            <w:left w:val="none" w:sz="0" w:space="0" w:color="auto"/>
            <w:bottom w:val="none" w:sz="0" w:space="0" w:color="auto"/>
            <w:right w:val="none" w:sz="0" w:space="0" w:color="auto"/>
          </w:divBdr>
        </w:div>
        <w:div w:id="1416513959">
          <w:marLeft w:val="274"/>
          <w:marRight w:val="0"/>
          <w:marTop w:val="0"/>
          <w:marBottom w:val="0"/>
          <w:divBdr>
            <w:top w:val="none" w:sz="0" w:space="0" w:color="auto"/>
            <w:left w:val="none" w:sz="0" w:space="0" w:color="auto"/>
            <w:bottom w:val="none" w:sz="0" w:space="0" w:color="auto"/>
            <w:right w:val="none" w:sz="0" w:space="0" w:color="auto"/>
          </w:divBdr>
        </w:div>
        <w:div w:id="1593199037">
          <w:marLeft w:val="274"/>
          <w:marRight w:val="0"/>
          <w:marTop w:val="0"/>
          <w:marBottom w:val="0"/>
          <w:divBdr>
            <w:top w:val="none" w:sz="0" w:space="0" w:color="auto"/>
            <w:left w:val="none" w:sz="0" w:space="0" w:color="auto"/>
            <w:bottom w:val="none" w:sz="0" w:space="0" w:color="auto"/>
            <w:right w:val="none" w:sz="0" w:space="0" w:color="auto"/>
          </w:divBdr>
        </w:div>
        <w:div w:id="1697272650">
          <w:marLeft w:val="274"/>
          <w:marRight w:val="0"/>
          <w:marTop w:val="0"/>
          <w:marBottom w:val="0"/>
          <w:divBdr>
            <w:top w:val="none" w:sz="0" w:space="0" w:color="auto"/>
            <w:left w:val="none" w:sz="0" w:space="0" w:color="auto"/>
            <w:bottom w:val="none" w:sz="0" w:space="0" w:color="auto"/>
            <w:right w:val="none" w:sz="0" w:space="0" w:color="auto"/>
          </w:divBdr>
        </w:div>
        <w:div w:id="1716198075">
          <w:marLeft w:val="274"/>
          <w:marRight w:val="0"/>
          <w:marTop w:val="0"/>
          <w:marBottom w:val="0"/>
          <w:divBdr>
            <w:top w:val="none" w:sz="0" w:space="0" w:color="auto"/>
            <w:left w:val="none" w:sz="0" w:space="0" w:color="auto"/>
            <w:bottom w:val="none" w:sz="0" w:space="0" w:color="auto"/>
            <w:right w:val="none" w:sz="0" w:space="0" w:color="auto"/>
          </w:divBdr>
        </w:div>
        <w:div w:id="1958758496">
          <w:marLeft w:val="274"/>
          <w:marRight w:val="0"/>
          <w:marTop w:val="0"/>
          <w:marBottom w:val="0"/>
          <w:divBdr>
            <w:top w:val="none" w:sz="0" w:space="0" w:color="auto"/>
            <w:left w:val="none" w:sz="0" w:space="0" w:color="auto"/>
            <w:bottom w:val="none" w:sz="0" w:space="0" w:color="auto"/>
            <w:right w:val="none" w:sz="0" w:space="0" w:color="auto"/>
          </w:divBdr>
        </w:div>
      </w:divsChild>
    </w:div>
    <w:div w:id="961034954">
      <w:bodyDiv w:val="1"/>
      <w:marLeft w:val="0"/>
      <w:marRight w:val="0"/>
      <w:marTop w:val="0"/>
      <w:marBottom w:val="0"/>
      <w:divBdr>
        <w:top w:val="none" w:sz="0" w:space="0" w:color="auto"/>
        <w:left w:val="none" w:sz="0" w:space="0" w:color="auto"/>
        <w:bottom w:val="none" w:sz="0" w:space="0" w:color="auto"/>
        <w:right w:val="none" w:sz="0" w:space="0" w:color="auto"/>
      </w:divBdr>
    </w:div>
    <w:div w:id="965740857">
      <w:bodyDiv w:val="1"/>
      <w:marLeft w:val="0"/>
      <w:marRight w:val="0"/>
      <w:marTop w:val="0"/>
      <w:marBottom w:val="0"/>
      <w:divBdr>
        <w:top w:val="none" w:sz="0" w:space="0" w:color="auto"/>
        <w:left w:val="none" w:sz="0" w:space="0" w:color="auto"/>
        <w:bottom w:val="none" w:sz="0" w:space="0" w:color="auto"/>
        <w:right w:val="none" w:sz="0" w:space="0" w:color="auto"/>
      </w:divBdr>
    </w:div>
    <w:div w:id="982467879">
      <w:bodyDiv w:val="1"/>
      <w:marLeft w:val="0"/>
      <w:marRight w:val="0"/>
      <w:marTop w:val="0"/>
      <w:marBottom w:val="0"/>
      <w:divBdr>
        <w:top w:val="none" w:sz="0" w:space="0" w:color="auto"/>
        <w:left w:val="none" w:sz="0" w:space="0" w:color="auto"/>
        <w:bottom w:val="none" w:sz="0" w:space="0" w:color="auto"/>
        <w:right w:val="none" w:sz="0" w:space="0" w:color="auto"/>
      </w:divBdr>
      <w:divsChild>
        <w:div w:id="344943483">
          <w:marLeft w:val="1166"/>
          <w:marRight w:val="0"/>
          <w:marTop w:val="0"/>
          <w:marBottom w:val="0"/>
          <w:divBdr>
            <w:top w:val="none" w:sz="0" w:space="0" w:color="auto"/>
            <w:left w:val="none" w:sz="0" w:space="0" w:color="auto"/>
            <w:bottom w:val="none" w:sz="0" w:space="0" w:color="auto"/>
            <w:right w:val="none" w:sz="0" w:space="0" w:color="auto"/>
          </w:divBdr>
        </w:div>
        <w:div w:id="783111694">
          <w:marLeft w:val="1987"/>
          <w:marRight w:val="0"/>
          <w:marTop w:val="0"/>
          <w:marBottom w:val="0"/>
          <w:divBdr>
            <w:top w:val="none" w:sz="0" w:space="0" w:color="auto"/>
            <w:left w:val="none" w:sz="0" w:space="0" w:color="auto"/>
            <w:bottom w:val="none" w:sz="0" w:space="0" w:color="auto"/>
            <w:right w:val="none" w:sz="0" w:space="0" w:color="auto"/>
          </w:divBdr>
        </w:div>
        <w:div w:id="851409396">
          <w:marLeft w:val="1166"/>
          <w:marRight w:val="0"/>
          <w:marTop w:val="0"/>
          <w:marBottom w:val="0"/>
          <w:divBdr>
            <w:top w:val="none" w:sz="0" w:space="0" w:color="auto"/>
            <w:left w:val="none" w:sz="0" w:space="0" w:color="auto"/>
            <w:bottom w:val="none" w:sz="0" w:space="0" w:color="auto"/>
            <w:right w:val="none" w:sz="0" w:space="0" w:color="auto"/>
          </w:divBdr>
        </w:div>
        <w:div w:id="901528584">
          <w:marLeft w:val="1987"/>
          <w:marRight w:val="0"/>
          <w:marTop w:val="0"/>
          <w:marBottom w:val="0"/>
          <w:divBdr>
            <w:top w:val="none" w:sz="0" w:space="0" w:color="auto"/>
            <w:left w:val="none" w:sz="0" w:space="0" w:color="auto"/>
            <w:bottom w:val="none" w:sz="0" w:space="0" w:color="auto"/>
            <w:right w:val="none" w:sz="0" w:space="0" w:color="auto"/>
          </w:divBdr>
        </w:div>
        <w:div w:id="962467411">
          <w:marLeft w:val="1987"/>
          <w:marRight w:val="0"/>
          <w:marTop w:val="0"/>
          <w:marBottom w:val="0"/>
          <w:divBdr>
            <w:top w:val="none" w:sz="0" w:space="0" w:color="auto"/>
            <w:left w:val="none" w:sz="0" w:space="0" w:color="auto"/>
            <w:bottom w:val="none" w:sz="0" w:space="0" w:color="auto"/>
            <w:right w:val="none" w:sz="0" w:space="0" w:color="auto"/>
          </w:divBdr>
        </w:div>
        <w:div w:id="1087994520">
          <w:marLeft w:val="547"/>
          <w:marRight w:val="101"/>
          <w:marTop w:val="0"/>
          <w:marBottom w:val="240"/>
          <w:divBdr>
            <w:top w:val="none" w:sz="0" w:space="0" w:color="auto"/>
            <w:left w:val="none" w:sz="0" w:space="0" w:color="auto"/>
            <w:bottom w:val="none" w:sz="0" w:space="0" w:color="auto"/>
            <w:right w:val="none" w:sz="0" w:space="0" w:color="auto"/>
          </w:divBdr>
        </w:div>
        <w:div w:id="1107892266">
          <w:marLeft w:val="1987"/>
          <w:marRight w:val="0"/>
          <w:marTop w:val="0"/>
          <w:marBottom w:val="0"/>
          <w:divBdr>
            <w:top w:val="none" w:sz="0" w:space="0" w:color="auto"/>
            <w:left w:val="none" w:sz="0" w:space="0" w:color="auto"/>
            <w:bottom w:val="none" w:sz="0" w:space="0" w:color="auto"/>
            <w:right w:val="none" w:sz="0" w:space="0" w:color="auto"/>
          </w:divBdr>
        </w:div>
        <w:div w:id="1347248401">
          <w:marLeft w:val="547"/>
          <w:marRight w:val="101"/>
          <w:marTop w:val="0"/>
          <w:marBottom w:val="0"/>
          <w:divBdr>
            <w:top w:val="none" w:sz="0" w:space="0" w:color="auto"/>
            <w:left w:val="none" w:sz="0" w:space="0" w:color="auto"/>
            <w:bottom w:val="none" w:sz="0" w:space="0" w:color="auto"/>
            <w:right w:val="none" w:sz="0" w:space="0" w:color="auto"/>
          </w:divBdr>
        </w:div>
        <w:div w:id="1580014944">
          <w:marLeft w:val="1166"/>
          <w:marRight w:val="0"/>
          <w:marTop w:val="0"/>
          <w:marBottom w:val="0"/>
          <w:divBdr>
            <w:top w:val="none" w:sz="0" w:space="0" w:color="auto"/>
            <w:left w:val="none" w:sz="0" w:space="0" w:color="auto"/>
            <w:bottom w:val="none" w:sz="0" w:space="0" w:color="auto"/>
            <w:right w:val="none" w:sz="0" w:space="0" w:color="auto"/>
          </w:divBdr>
        </w:div>
        <w:div w:id="1660618723">
          <w:marLeft w:val="1987"/>
          <w:marRight w:val="0"/>
          <w:marTop w:val="0"/>
          <w:marBottom w:val="240"/>
          <w:divBdr>
            <w:top w:val="none" w:sz="0" w:space="0" w:color="auto"/>
            <w:left w:val="none" w:sz="0" w:space="0" w:color="auto"/>
            <w:bottom w:val="none" w:sz="0" w:space="0" w:color="auto"/>
            <w:right w:val="none" w:sz="0" w:space="0" w:color="auto"/>
          </w:divBdr>
        </w:div>
        <w:div w:id="1860653585">
          <w:marLeft w:val="547"/>
          <w:marRight w:val="101"/>
          <w:marTop w:val="0"/>
          <w:marBottom w:val="0"/>
          <w:divBdr>
            <w:top w:val="none" w:sz="0" w:space="0" w:color="auto"/>
            <w:left w:val="none" w:sz="0" w:space="0" w:color="auto"/>
            <w:bottom w:val="none" w:sz="0" w:space="0" w:color="auto"/>
            <w:right w:val="none" w:sz="0" w:space="0" w:color="auto"/>
          </w:divBdr>
        </w:div>
      </w:divsChild>
    </w:div>
    <w:div w:id="1002969305">
      <w:bodyDiv w:val="1"/>
      <w:marLeft w:val="0"/>
      <w:marRight w:val="0"/>
      <w:marTop w:val="0"/>
      <w:marBottom w:val="0"/>
      <w:divBdr>
        <w:top w:val="none" w:sz="0" w:space="0" w:color="auto"/>
        <w:left w:val="none" w:sz="0" w:space="0" w:color="auto"/>
        <w:bottom w:val="none" w:sz="0" w:space="0" w:color="auto"/>
        <w:right w:val="none" w:sz="0" w:space="0" w:color="auto"/>
      </w:divBdr>
    </w:div>
    <w:div w:id="1005983294">
      <w:bodyDiv w:val="1"/>
      <w:marLeft w:val="0"/>
      <w:marRight w:val="0"/>
      <w:marTop w:val="0"/>
      <w:marBottom w:val="0"/>
      <w:divBdr>
        <w:top w:val="none" w:sz="0" w:space="0" w:color="auto"/>
        <w:left w:val="none" w:sz="0" w:space="0" w:color="auto"/>
        <w:bottom w:val="none" w:sz="0" w:space="0" w:color="auto"/>
        <w:right w:val="none" w:sz="0" w:space="0" w:color="auto"/>
      </w:divBdr>
      <w:divsChild>
        <w:div w:id="402262602">
          <w:marLeft w:val="720"/>
          <w:marRight w:val="0"/>
          <w:marTop w:val="120"/>
          <w:marBottom w:val="0"/>
          <w:divBdr>
            <w:top w:val="none" w:sz="0" w:space="0" w:color="auto"/>
            <w:left w:val="none" w:sz="0" w:space="0" w:color="auto"/>
            <w:bottom w:val="none" w:sz="0" w:space="0" w:color="auto"/>
            <w:right w:val="none" w:sz="0" w:space="0" w:color="auto"/>
          </w:divBdr>
        </w:div>
        <w:div w:id="1645545442">
          <w:marLeft w:val="720"/>
          <w:marRight w:val="0"/>
          <w:marTop w:val="120"/>
          <w:marBottom w:val="0"/>
          <w:divBdr>
            <w:top w:val="none" w:sz="0" w:space="0" w:color="auto"/>
            <w:left w:val="none" w:sz="0" w:space="0" w:color="auto"/>
            <w:bottom w:val="none" w:sz="0" w:space="0" w:color="auto"/>
            <w:right w:val="none" w:sz="0" w:space="0" w:color="auto"/>
          </w:divBdr>
        </w:div>
      </w:divsChild>
    </w:div>
    <w:div w:id="1012805417">
      <w:bodyDiv w:val="1"/>
      <w:marLeft w:val="0"/>
      <w:marRight w:val="0"/>
      <w:marTop w:val="0"/>
      <w:marBottom w:val="0"/>
      <w:divBdr>
        <w:top w:val="none" w:sz="0" w:space="0" w:color="auto"/>
        <w:left w:val="none" w:sz="0" w:space="0" w:color="auto"/>
        <w:bottom w:val="none" w:sz="0" w:space="0" w:color="auto"/>
        <w:right w:val="none" w:sz="0" w:space="0" w:color="auto"/>
      </w:divBdr>
    </w:div>
    <w:div w:id="1032728865">
      <w:bodyDiv w:val="1"/>
      <w:marLeft w:val="0"/>
      <w:marRight w:val="0"/>
      <w:marTop w:val="0"/>
      <w:marBottom w:val="0"/>
      <w:divBdr>
        <w:top w:val="none" w:sz="0" w:space="0" w:color="auto"/>
        <w:left w:val="none" w:sz="0" w:space="0" w:color="auto"/>
        <w:bottom w:val="none" w:sz="0" w:space="0" w:color="auto"/>
        <w:right w:val="none" w:sz="0" w:space="0" w:color="auto"/>
      </w:divBdr>
      <w:divsChild>
        <w:div w:id="1159419284">
          <w:marLeft w:val="720"/>
          <w:marRight w:val="0"/>
          <w:marTop w:val="120"/>
          <w:marBottom w:val="0"/>
          <w:divBdr>
            <w:top w:val="none" w:sz="0" w:space="0" w:color="auto"/>
            <w:left w:val="none" w:sz="0" w:space="0" w:color="auto"/>
            <w:bottom w:val="none" w:sz="0" w:space="0" w:color="auto"/>
            <w:right w:val="none" w:sz="0" w:space="0" w:color="auto"/>
          </w:divBdr>
        </w:div>
      </w:divsChild>
    </w:div>
    <w:div w:id="1047602308">
      <w:bodyDiv w:val="1"/>
      <w:marLeft w:val="0"/>
      <w:marRight w:val="0"/>
      <w:marTop w:val="0"/>
      <w:marBottom w:val="0"/>
      <w:divBdr>
        <w:top w:val="none" w:sz="0" w:space="0" w:color="auto"/>
        <w:left w:val="none" w:sz="0" w:space="0" w:color="auto"/>
        <w:bottom w:val="none" w:sz="0" w:space="0" w:color="auto"/>
        <w:right w:val="none" w:sz="0" w:space="0" w:color="auto"/>
      </w:divBdr>
      <w:divsChild>
        <w:div w:id="280378324">
          <w:marLeft w:val="274"/>
          <w:marRight w:val="0"/>
          <w:marTop w:val="0"/>
          <w:marBottom w:val="0"/>
          <w:divBdr>
            <w:top w:val="none" w:sz="0" w:space="0" w:color="auto"/>
            <w:left w:val="none" w:sz="0" w:space="0" w:color="auto"/>
            <w:bottom w:val="none" w:sz="0" w:space="0" w:color="auto"/>
            <w:right w:val="none" w:sz="0" w:space="0" w:color="auto"/>
          </w:divBdr>
        </w:div>
        <w:div w:id="659383863">
          <w:marLeft w:val="274"/>
          <w:marRight w:val="0"/>
          <w:marTop w:val="0"/>
          <w:marBottom w:val="0"/>
          <w:divBdr>
            <w:top w:val="none" w:sz="0" w:space="0" w:color="auto"/>
            <w:left w:val="none" w:sz="0" w:space="0" w:color="auto"/>
            <w:bottom w:val="none" w:sz="0" w:space="0" w:color="auto"/>
            <w:right w:val="none" w:sz="0" w:space="0" w:color="auto"/>
          </w:divBdr>
        </w:div>
        <w:div w:id="725841579">
          <w:marLeft w:val="274"/>
          <w:marRight w:val="0"/>
          <w:marTop w:val="0"/>
          <w:marBottom w:val="0"/>
          <w:divBdr>
            <w:top w:val="none" w:sz="0" w:space="0" w:color="auto"/>
            <w:left w:val="none" w:sz="0" w:space="0" w:color="auto"/>
            <w:bottom w:val="none" w:sz="0" w:space="0" w:color="auto"/>
            <w:right w:val="none" w:sz="0" w:space="0" w:color="auto"/>
          </w:divBdr>
        </w:div>
        <w:div w:id="744759789">
          <w:marLeft w:val="274"/>
          <w:marRight w:val="0"/>
          <w:marTop w:val="0"/>
          <w:marBottom w:val="0"/>
          <w:divBdr>
            <w:top w:val="none" w:sz="0" w:space="0" w:color="auto"/>
            <w:left w:val="none" w:sz="0" w:space="0" w:color="auto"/>
            <w:bottom w:val="none" w:sz="0" w:space="0" w:color="auto"/>
            <w:right w:val="none" w:sz="0" w:space="0" w:color="auto"/>
          </w:divBdr>
        </w:div>
        <w:div w:id="1187864857">
          <w:marLeft w:val="274"/>
          <w:marRight w:val="0"/>
          <w:marTop w:val="0"/>
          <w:marBottom w:val="0"/>
          <w:divBdr>
            <w:top w:val="none" w:sz="0" w:space="0" w:color="auto"/>
            <w:left w:val="none" w:sz="0" w:space="0" w:color="auto"/>
            <w:bottom w:val="none" w:sz="0" w:space="0" w:color="auto"/>
            <w:right w:val="none" w:sz="0" w:space="0" w:color="auto"/>
          </w:divBdr>
        </w:div>
        <w:div w:id="1606577759">
          <w:marLeft w:val="274"/>
          <w:marRight w:val="0"/>
          <w:marTop w:val="0"/>
          <w:marBottom w:val="0"/>
          <w:divBdr>
            <w:top w:val="none" w:sz="0" w:space="0" w:color="auto"/>
            <w:left w:val="none" w:sz="0" w:space="0" w:color="auto"/>
            <w:bottom w:val="none" w:sz="0" w:space="0" w:color="auto"/>
            <w:right w:val="none" w:sz="0" w:space="0" w:color="auto"/>
          </w:divBdr>
        </w:div>
        <w:div w:id="1760060834">
          <w:marLeft w:val="274"/>
          <w:marRight w:val="0"/>
          <w:marTop w:val="0"/>
          <w:marBottom w:val="0"/>
          <w:divBdr>
            <w:top w:val="none" w:sz="0" w:space="0" w:color="auto"/>
            <w:left w:val="none" w:sz="0" w:space="0" w:color="auto"/>
            <w:bottom w:val="none" w:sz="0" w:space="0" w:color="auto"/>
            <w:right w:val="none" w:sz="0" w:space="0" w:color="auto"/>
          </w:divBdr>
        </w:div>
        <w:div w:id="1937709684">
          <w:marLeft w:val="274"/>
          <w:marRight w:val="0"/>
          <w:marTop w:val="0"/>
          <w:marBottom w:val="0"/>
          <w:divBdr>
            <w:top w:val="none" w:sz="0" w:space="0" w:color="auto"/>
            <w:left w:val="none" w:sz="0" w:space="0" w:color="auto"/>
            <w:bottom w:val="none" w:sz="0" w:space="0" w:color="auto"/>
            <w:right w:val="none" w:sz="0" w:space="0" w:color="auto"/>
          </w:divBdr>
        </w:div>
        <w:div w:id="2048793328">
          <w:marLeft w:val="274"/>
          <w:marRight w:val="0"/>
          <w:marTop w:val="0"/>
          <w:marBottom w:val="0"/>
          <w:divBdr>
            <w:top w:val="none" w:sz="0" w:space="0" w:color="auto"/>
            <w:left w:val="none" w:sz="0" w:space="0" w:color="auto"/>
            <w:bottom w:val="none" w:sz="0" w:space="0" w:color="auto"/>
            <w:right w:val="none" w:sz="0" w:space="0" w:color="auto"/>
          </w:divBdr>
        </w:div>
        <w:div w:id="2070883252">
          <w:marLeft w:val="274"/>
          <w:marRight w:val="0"/>
          <w:marTop w:val="0"/>
          <w:marBottom w:val="0"/>
          <w:divBdr>
            <w:top w:val="none" w:sz="0" w:space="0" w:color="auto"/>
            <w:left w:val="none" w:sz="0" w:space="0" w:color="auto"/>
            <w:bottom w:val="none" w:sz="0" w:space="0" w:color="auto"/>
            <w:right w:val="none" w:sz="0" w:space="0" w:color="auto"/>
          </w:divBdr>
        </w:div>
      </w:divsChild>
    </w:div>
    <w:div w:id="1053119125">
      <w:bodyDiv w:val="1"/>
      <w:marLeft w:val="0"/>
      <w:marRight w:val="0"/>
      <w:marTop w:val="0"/>
      <w:marBottom w:val="0"/>
      <w:divBdr>
        <w:top w:val="none" w:sz="0" w:space="0" w:color="auto"/>
        <w:left w:val="none" w:sz="0" w:space="0" w:color="auto"/>
        <w:bottom w:val="none" w:sz="0" w:space="0" w:color="auto"/>
        <w:right w:val="none" w:sz="0" w:space="0" w:color="auto"/>
      </w:divBdr>
    </w:div>
    <w:div w:id="1061244588">
      <w:bodyDiv w:val="1"/>
      <w:marLeft w:val="0"/>
      <w:marRight w:val="0"/>
      <w:marTop w:val="0"/>
      <w:marBottom w:val="0"/>
      <w:divBdr>
        <w:top w:val="none" w:sz="0" w:space="0" w:color="auto"/>
        <w:left w:val="none" w:sz="0" w:space="0" w:color="auto"/>
        <w:bottom w:val="none" w:sz="0" w:space="0" w:color="auto"/>
        <w:right w:val="none" w:sz="0" w:space="0" w:color="auto"/>
      </w:divBdr>
      <w:divsChild>
        <w:div w:id="2124107236">
          <w:marLeft w:val="720"/>
          <w:marRight w:val="0"/>
          <w:marTop w:val="120"/>
          <w:marBottom w:val="0"/>
          <w:divBdr>
            <w:top w:val="none" w:sz="0" w:space="0" w:color="auto"/>
            <w:left w:val="none" w:sz="0" w:space="0" w:color="auto"/>
            <w:bottom w:val="none" w:sz="0" w:space="0" w:color="auto"/>
            <w:right w:val="none" w:sz="0" w:space="0" w:color="auto"/>
          </w:divBdr>
        </w:div>
      </w:divsChild>
    </w:div>
    <w:div w:id="1065834868">
      <w:bodyDiv w:val="1"/>
      <w:marLeft w:val="0"/>
      <w:marRight w:val="0"/>
      <w:marTop w:val="0"/>
      <w:marBottom w:val="0"/>
      <w:divBdr>
        <w:top w:val="none" w:sz="0" w:space="0" w:color="auto"/>
        <w:left w:val="none" w:sz="0" w:space="0" w:color="auto"/>
        <w:bottom w:val="none" w:sz="0" w:space="0" w:color="auto"/>
        <w:right w:val="none" w:sz="0" w:space="0" w:color="auto"/>
      </w:divBdr>
      <w:divsChild>
        <w:div w:id="1304264261">
          <w:marLeft w:val="720"/>
          <w:marRight w:val="0"/>
          <w:marTop w:val="120"/>
          <w:marBottom w:val="0"/>
          <w:divBdr>
            <w:top w:val="none" w:sz="0" w:space="0" w:color="auto"/>
            <w:left w:val="none" w:sz="0" w:space="0" w:color="auto"/>
            <w:bottom w:val="none" w:sz="0" w:space="0" w:color="auto"/>
            <w:right w:val="none" w:sz="0" w:space="0" w:color="auto"/>
          </w:divBdr>
        </w:div>
        <w:div w:id="1496797361">
          <w:marLeft w:val="1440"/>
          <w:marRight w:val="0"/>
          <w:marTop w:val="120"/>
          <w:marBottom w:val="0"/>
          <w:divBdr>
            <w:top w:val="none" w:sz="0" w:space="0" w:color="auto"/>
            <w:left w:val="none" w:sz="0" w:space="0" w:color="auto"/>
            <w:bottom w:val="none" w:sz="0" w:space="0" w:color="auto"/>
            <w:right w:val="none" w:sz="0" w:space="0" w:color="auto"/>
          </w:divBdr>
        </w:div>
      </w:divsChild>
    </w:div>
    <w:div w:id="1067605677">
      <w:bodyDiv w:val="1"/>
      <w:marLeft w:val="0"/>
      <w:marRight w:val="0"/>
      <w:marTop w:val="0"/>
      <w:marBottom w:val="0"/>
      <w:divBdr>
        <w:top w:val="none" w:sz="0" w:space="0" w:color="auto"/>
        <w:left w:val="none" w:sz="0" w:space="0" w:color="auto"/>
        <w:bottom w:val="none" w:sz="0" w:space="0" w:color="auto"/>
        <w:right w:val="none" w:sz="0" w:space="0" w:color="auto"/>
      </w:divBdr>
    </w:div>
    <w:div w:id="1085150485">
      <w:bodyDiv w:val="1"/>
      <w:marLeft w:val="0"/>
      <w:marRight w:val="0"/>
      <w:marTop w:val="0"/>
      <w:marBottom w:val="0"/>
      <w:divBdr>
        <w:top w:val="none" w:sz="0" w:space="0" w:color="auto"/>
        <w:left w:val="none" w:sz="0" w:space="0" w:color="auto"/>
        <w:bottom w:val="none" w:sz="0" w:space="0" w:color="auto"/>
        <w:right w:val="none" w:sz="0" w:space="0" w:color="auto"/>
      </w:divBdr>
      <w:divsChild>
        <w:div w:id="1160657082">
          <w:marLeft w:val="576"/>
          <w:marRight w:val="0"/>
          <w:marTop w:val="0"/>
          <w:marBottom w:val="360"/>
          <w:divBdr>
            <w:top w:val="none" w:sz="0" w:space="0" w:color="auto"/>
            <w:left w:val="none" w:sz="0" w:space="0" w:color="auto"/>
            <w:bottom w:val="none" w:sz="0" w:space="0" w:color="auto"/>
            <w:right w:val="none" w:sz="0" w:space="0" w:color="auto"/>
          </w:divBdr>
        </w:div>
      </w:divsChild>
    </w:div>
    <w:div w:id="1131872290">
      <w:bodyDiv w:val="1"/>
      <w:marLeft w:val="0"/>
      <w:marRight w:val="0"/>
      <w:marTop w:val="0"/>
      <w:marBottom w:val="0"/>
      <w:divBdr>
        <w:top w:val="none" w:sz="0" w:space="0" w:color="auto"/>
        <w:left w:val="none" w:sz="0" w:space="0" w:color="auto"/>
        <w:bottom w:val="none" w:sz="0" w:space="0" w:color="auto"/>
        <w:right w:val="none" w:sz="0" w:space="0" w:color="auto"/>
      </w:divBdr>
      <w:divsChild>
        <w:div w:id="74325573">
          <w:marLeft w:val="274"/>
          <w:marRight w:val="0"/>
          <w:marTop w:val="0"/>
          <w:marBottom w:val="0"/>
          <w:divBdr>
            <w:top w:val="none" w:sz="0" w:space="0" w:color="auto"/>
            <w:left w:val="none" w:sz="0" w:space="0" w:color="auto"/>
            <w:bottom w:val="none" w:sz="0" w:space="0" w:color="auto"/>
            <w:right w:val="none" w:sz="0" w:space="0" w:color="auto"/>
          </w:divBdr>
        </w:div>
        <w:div w:id="1148084918">
          <w:marLeft w:val="274"/>
          <w:marRight w:val="0"/>
          <w:marTop w:val="0"/>
          <w:marBottom w:val="0"/>
          <w:divBdr>
            <w:top w:val="none" w:sz="0" w:space="0" w:color="auto"/>
            <w:left w:val="none" w:sz="0" w:space="0" w:color="auto"/>
            <w:bottom w:val="none" w:sz="0" w:space="0" w:color="auto"/>
            <w:right w:val="none" w:sz="0" w:space="0" w:color="auto"/>
          </w:divBdr>
        </w:div>
        <w:div w:id="1494684912">
          <w:marLeft w:val="274"/>
          <w:marRight w:val="0"/>
          <w:marTop w:val="0"/>
          <w:marBottom w:val="0"/>
          <w:divBdr>
            <w:top w:val="none" w:sz="0" w:space="0" w:color="auto"/>
            <w:left w:val="none" w:sz="0" w:space="0" w:color="auto"/>
            <w:bottom w:val="none" w:sz="0" w:space="0" w:color="auto"/>
            <w:right w:val="none" w:sz="0" w:space="0" w:color="auto"/>
          </w:divBdr>
        </w:div>
        <w:div w:id="1644039558">
          <w:marLeft w:val="274"/>
          <w:marRight w:val="0"/>
          <w:marTop w:val="0"/>
          <w:marBottom w:val="0"/>
          <w:divBdr>
            <w:top w:val="none" w:sz="0" w:space="0" w:color="auto"/>
            <w:left w:val="none" w:sz="0" w:space="0" w:color="auto"/>
            <w:bottom w:val="none" w:sz="0" w:space="0" w:color="auto"/>
            <w:right w:val="none" w:sz="0" w:space="0" w:color="auto"/>
          </w:divBdr>
        </w:div>
        <w:div w:id="2067138241">
          <w:marLeft w:val="274"/>
          <w:marRight w:val="0"/>
          <w:marTop w:val="0"/>
          <w:marBottom w:val="0"/>
          <w:divBdr>
            <w:top w:val="none" w:sz="0" w:space="0" w:color="auto"/>
            <w:left w:val="none" w:sz="0" w:space="0" w:color="auto"/>
            <w:bottom w:val="none" w:sz="0" w:space="0" w:color="auto"/>
            <w:right w:val="none" w:sz="0" w:space="0" w:color="auto"/>
          </w:divBdr>
        </w:div>
      </w:divsChild>
    </w:div>
    <w:div w:id="1153906637">
      <w:bodyDiv w:val="1"/>
      <w:marLeft w:val="0"/>
      <w:marRight w:val="0"/>
      <w:marTop w:val="0"/>
      <w:marBottom w:val="0"/>
      <w:divBdr>
        <w:top w:val="none" w:sz="0" w:space="0" w:color="auto"/>
        <w:left w:val="none" w:sz="0" w:space="0" w:color="auto"/>
        <w:bottom w:val="none" w:sz="0" w:space="0" w:color="auto"/>
        <w:right w:val="none" w:sz="0" w:space="0" w:color="auto"/>
      </w:divBdr>
      <w:divsChild>
        <w:div w:id="720788586">
          <w:marLeft w:val="1080"/>
          <w:marRight w:val="0"/>
          <w:marTop w:val="120"/>
          <w:marBottom w:val="240"/>
          <w:divBdr>
            <w:top w:val="none" w:sz="0" w:space="0" w:color="auto"/>
            <w:left w:val="none" w:sz="0" w:space="0" w:color="auto"/>
            <w:bottom w:val="none" w:sz="0" w:space="0" w:color="auto"/>
            <w:right w:val="none" w:sz="0" w:space="0" w:color="auto"/>
          </w:divBdr>
        </w:div>
        <w:div w:id="1221594348">
          <w:marLeft w:val="360"/>
          <w:marRight w:val="0"/>
          <w:marTop w:val="240"/>
          <w:marBottom w:val="120"/>
          <w:divBdr>
            <w:top w:val="none" w:sz="0" w:space="0" w:color="auto"/>
            <w:left w:val="none" w:sz="0" w:space="0" w:color="auto"/>
            <w:bottom w:val="none" w:sz="0" w:space="0" w:color="auto"/>
            <w:right w:val="none" w:sz="0" w:space="0" w:color="auto"/>
          </w:divBdr>
        </w:div>
        <w:div w:id="1276012411">
          <w:marLeft w:val="1080"/>
          <w:marRight w:val="0"/>
          <w:marTop w:val="120"/>
          <w:marBottom w:val="120"/>
          <w:divBdr>
            <w:top w:val="none" w:sz="0" w:space="0" w:color="auto"/>
            <w:left w:val="none" w:sz="0" w:space="0" w:color="auto"/>
            <w:bottom w:val="none" w:sz="0" w:space="0" w:color="auto"/>
            <w:right w:val="none" w:sz="0" w:space="0" w:color="auto"/>
          </w:divBdr>
        </w:div>
        <w:div w:id="2105610408">
          <w:marLeft w:val="360"/>
          <w:marRight w:val="0"/>
          <w:marTop w:val="240"/>
          <w:marBottom w:val="240"/>
          <w:divBdr>
            <w:top w:val="none" w:sz="0" w:space="0" w:color="auto"/>
            <w:left w:val="none" w:sz="0" w:space="0" w:color="auto"/>
            <w:bottom w:val="none" w:sz="0" w:space="0" w:color="auto"/>
            <w:right w:val="none" w:sz="0" w:space="0" w:color="auto"/>
          </w:divBdr>
        </w:div>
      </w:divsChild>
    </w:div>
    <w:div w:id="1155075748">
      <w:bodyDiv w:val="1"/>
      <w:marLeft w:val="0"/>
      <w:marRight w:val="0"/>
      <w:marTop w:val="0"/>
      <w:marBottom w:val="0"/>
      <w:divBdr>
        <w:top w:val="none" w:sz="0" w:space="0" w:color="auto"/>
        <w:left w:val="none" w:sz="0" w:space="0" w:color="auto"/>
        <w:bottom w:val="none" w:sz="0" w:space="0" w:color="auto"/>
        <w:right w:val="none" w:sz="0" w:space="0" w:color="auto"/>
      </w:divBdr>
      <w:divsChild>
        <w:div w:id="333579957">
          <w:marLeft w:val="360"/>
          <w:marRight w:val="0"/>
          <w:marTop w:val="200"/>
          <w:marBottom w:val="0"/>
          <w:divBdr>
            <w:top w:val="none" w:sz="0" w:space="0" w:color="auto"/>
            <w:left w:val="none" w:sz="0" w:space="0" w:color="auto"/>
            <w:bottom w:val="none" w:sz="0" w:space="0" w:color="auto"/>
            <w:right w:val="none" w:sz="0" w:space="0" w:color="auto"/>
          </w:divBdr>
        </w:div>
      </w:divsChild>
    </w:div>
    <w:div w:id="1159539993">
      <w:bodyDiv w:val="1"/>
      <w:marLeft w:val="0"/>
      <w:marRight w:val="0"/>
      <w:marTop w:val="0"/>
      <w:marBottom w:val="0"/>
      <w:divBdr>
        <w:top w:val="none" w:sz="0" w:space="0" w:color="auto"/>
        <w:left w:val="none" w:sz="0" w:space="0" w:color="auto"/>
        <w:bottom w:val="none" w:sz="0" w:space="0" w:color="auto"/>
        <w:right w:val="none" w:sz="0" w:space="0" w:color="auto"/>
      </w:divBdr>
    </w:div>
    <w:div w:id="1160534784">
      <w:bodyDiv w:val="1"/>
      <w:marLeft w:val="0"/>
      <w:marRight w:val="0"/>
      <w:marTop w:val="0"/>
      <w:marBottom w:val="0"/>
      <w:divBdr>
        <w:top w:val="none" w:sz="0" w:space="0" w:color="auto"/>
        <w:left w:val="none" w:sz="0" w:space="0" w:color="auto"/>
        <w:bottom w:val="none" w:sz="0" w:space="0" w:color="auto"/>
        <w:right w:val="none" w:sz="0" w:space="0" w:color="auto"/>
      </w:divBdr>
      <w:divsChild>
        <w:div w:id="1323971276">
          <w:marLeft w:val="850"/>
          <w:marRight w:val="0"/>
          <w:marTop w:val="120"/>
          <w:marBottom w:val="0"/>
          <w:divBdr>
            <w:top w:val="none" w:sz="0" w:space="0" w:color="auto"/>
            <w:left w:val="none" w:sz="0" w:space="0" w:color="auto"/>
            <w:bottom w:val="none" w:sz="0" w:space="0" w:color="auto"/>
            <w:right w:val="none" w:sz="0" w:space="0" w:color="auto"/>
          </w:divBdr>
        </w:div>
        <w:div w:id="1677339626">
          <w:marLeft w:val="850"/>
          <w:marRight w:val="0"/>
          <w:marTop w:val="120"/>
          <w:marBottom w:val="0"/>
          <w:divBdr>
            <w:top w:val="none" w:sz="0" w:space="0" w:color="auto"/>
            <w:left w:val="none" w:sz="0" w:space="0" w:color="auto"/>
            <w:bottom w:val="none" w:sz="0" w:space="0" w:color="auto"/>
            <w:right w:val="none" w:sz="0" w:space="0" w:color="auto"/>
          </w:divBdr>
        </w:div>
      </w:divsChild>
    </w:div>
    <w:div w:id="1201362650">
      <w:bodyDiv w:val="1"/>
      <w:marLeft w:val="0"/>
      <w:marRight w:val="0"/>
      <w:marTop w:val="0"/>
      <w:marBottom w:val="0"/>
      <w:divBdr>
        <w:top w:val="none" w:sz="0" w:space="0" w:color="auto"/>
        <w:left w:val="none" w:sz="0" w:space="0" w:color="auto"/>
        <w:bottom w:val="none" w:sz="0" w:space="0" w:color="auto"/>
        <w:right w:val="none" w:sz="0" w:space="0" w:color="auto"/>
      </w:divBdr>
    </w:div>
    <w:div w:id="1209609803">
      <w:bodyDiv w:val="1"/>
      <w:marLeft w:val="0"/>
      <w:marRight w:val="0"/>
      <w:marTop w:val="0"/>
      <w:marBottom w:val="0"/>
      <w:divBdr>
        <w:top w:val="none" w:sz="0" w:space="0" w:color="auto"/>
        <w:left w:val="none" w:sz="0" w:space="0" w:color="auto"/>
        <w:bottom w:val="none" w:sz="0" w:space="0" w:color="auto"/>
        <w:right w:val="none" w:sz="0" w:space="0" w:color="auto"/>
      </w:divBdr>
      <w:divsChild>
        <w:div w:id="133569360">
          <w:marLeft w:val="360"/>
          <w:marRight w:val="0"/>
          <w:marTop w:val="0"/>
          <w:marBottom w:val="120"/>
          <w:divBdr>
            <w:top w:val="none" w:sz="0" w:space="0" w:color="auto"/>
            <w:left w:val="none" w:sz="0" w:space="0" w:color="auto"/>
            <w:bottom w:val="none" w:sz="0" w:space="0" w:color="auto"/>
            <w:right w:val="none" w:sz="0" w:space="0" w:color="auto"/>
          </w:divBdr>
        </w:div>
        <w:div w:id="774984618">
          <w:marLeft w:val="1800"/>
          <w:marRight w:val="0"/>
          <w:marTop w:val="0"/>
          <w:marBottom w:val="120"/>
          <w:divBdr>
            <w:top w:val="none" w:sz="0" w:space="0" w:color="auto"/>
            <w:left w:val="none" w:sz="0" w:space="0" w:color="auto"/>
            <w:bottom w:val="none" w:sz="0" w:space="0" w:color="auto"/>
            <w:right w:val="none" w:sz="0" w:space="0" w:color="auto"/>
          </w:divBdr>
        </w:div>
        <w:div w:id="881554170">
          <w:marLeft w:val="1080"/>
          <w:marRight w:val="0"/>
          <w:marTop w:val="0"/>
          <w:marBottom w:val="120"/>
          <w:divBdr>
            <w:top w:val="none" w:sz="0" w:space="0" w:color="auto"/>
            <w:left w:val="none" w:sz="0" w:space="0" w:color="auto"/>
            <w:bottom w:val="none" w:sz="0" w:space="0" w:color="auto"/>
            <w:right w:val="none" w:sz="0" w:space="0" w:color="auto"/>
          </w:divBdr>
        </w:div>
        <w:div w:id="955284745">
          <w:marLeft w:val="1800"/>
          <w:marRight w:val="0"/>
          <w:marTop w:val="0"/>
          <w:marBottom w:val="120"/>
          <w:divBdr>
            <w:top w:val="none" w:sz="0" w:space="0" w:color="auto"/>
            <w:left w:val="none" w:sz="0" w:space="0" w:color="auto"/>
            <w:bottom w:val="none" w:sz="0" w:space="0" w:color="auto"/>
            <w:right w:val="none" w:sz="0" w:space="0" w:color="auto"/>
          </w:divBdr>
        </w:div>
      </w:divsChild>
    </w:div>
    <w:div w:id="1218129100">
      <w:bodyDiv w:val="1"/>
      <w:marLeft w:val="0"/>
      <w:marRight w:val="0"/>
      <w:marTop w:val="0"/>
      <w:marBottom w:val="0"/>
      <w:divBdr>
        <w:top w:val="none" w:sz="0" w:space="0" w:color="auto"/>
        <w:left w:val="none" w:sz="0" w:space="0" w:color="auto"/>
        <w:bottom w:val="none" w:sz="0" w:space="0" w:color="auto"/>
        <w:right w:val="none" w:sz="0" w:space="0" w:color="auto"/>
      </w:divBdr>
    </w:div>
    <w:div w:id="1219394451">
      <w:bodyDiv w:val="1"/>
      <w:marLeft w:val="0"/>
      <w:marRight w:val="0"/>
      <w:marTop w:val="0"/>
      <w:marBottom w:val="0"/>
      <w:divBdr>
        <w:top w:val="none" w:sz="0" w:space="0" w:color="auto"/>
        <w:left w:val="none" w:sz="0" w:space="0" w:color="auto"/>
        <w:bottom w:val="none" w:sz="0" w:space="0" w:color="auto"/>
        <w:right w:val="none" w:sz="0" w:space="0" w:color="auto"/>
      </w:divBdr>
      <w:divsChild>
        <w:div w:id="1409419717">
          <w:marLeft w:val="576"/>
          <w:marRight w:val="0"/>
          <w:marTop w:val="0"/>
          <w:marBottom w:val="360"/>
          <w:divBdr>
            <w:top w:val="none" w:sz="0" w:space="0" w:color="auto"/>
            <w:left w:val="none" w:sz="0" w:space="0" w:color="auto"/>
            <w:bottom w:val="none" w:sz="0" w:space="0" w:color="auto"/>
            <w:right w:val="none" w:sz="0" w:space="0" w:color="auto"/>
          </w:divBdr>
        </w:div>
      </w:divsChild>
    </w:div>
    <w:div w:id="1242301658">
      <w:bodyDiv w:val="1"/>
      <w:marLeft w:val="0"/>
      <w:marRight w:val="0"/>
      <w:marTop w:val="0"/>
      <w:marBottom w:val="0"/>
      <w:divBdr>
        <w:top w:val="none" w:sz="0" w:space="0" w:color="auto"/>
        <w:left w:val="none" w:sz="0" w:space="0" w:color="auto"/>
        <w:bottom w:val="none" w:sz="0" w:space="0" w:color="auto"/>
        <w:right w:val="none" w:sz="0" w:space="0" w:color="auto"/>
      </w:divBdr>
    </w:div>
    <w:div w:id="1249968981">
      <w:bodyDiv w:val="1"/>
      <w:marLeft w:val="0"/>
      <w:marRight w:val="0"/>
      <w:marTop w:val="0"/>
      <w:marBottom w:val="0"/>
      <w:divBdr>
        <w:top w:val="none" w:sz="0" w:space="0" w:color="auto"/>
        <w:left w:val="none" w:sz="0" w:space="0" w:color="auto"/>
        <w:bottom w:val="none" w:sz="0" w:space="0" w:color="auto"/>
        <w:right w:val="none" w:sz="0" w:space="0" w:color="auto"/>
      </w:divBdr>
      <w:divsChild>
        <w:div w:id="78716841">
          <w:marLeft w:val="274"/>
          <w:marRight w:val="0"/>
          <w:marTop w:val="0"/>
          <w:marBottom w:val="0"/>
          <w:divBdr>
            <w:top w:val="none" w:sz="0" w:space="0" w:color="auto"/>
            <w:left w:val="none" w:sz="0" w:space="0" w:color="auto"/>
            <w:bottom w:val="none" w:sz="0" w:space="0" w:color="auto"/>
            <w:right w:val="none" w:sz="0" w:space="0" w:color="auto"/>
          </w:divBdr>
        </w:div>
        <w:div w:id="1113213321">
          <w:marLeft w:val="274"/>
          <w:marRight w:val="0"/>
          <w:marTop w:val="0"/>
          <w:marBottom w:val="0"/>
          <w:divBdr>
            <w:top w:val="none" w:sz="0" w:space="0" w:color="auto"/>
            <w:left w:val="none" w:sz="0" w:space="0" w:color="auto"/>
            <w:bottom w:val="none" w:sz="0" w:space="0" w:color="auto"/>
            <w:right w:val="none" w:sz="0" w:space="0" w:color="auto"/>
          </w:divBdr>
        </w:div>
        <w:div w:id="1334525986">
          <w:marLeft w:val="274"/>
          <w:marRight w:val="0"/>
          <w:marTop w:val="0"/>
          <w:marBottom w:val="0"/>
          <w:divBdr>
            <w:top w:val="none" w:sz="0" w:space="0" w:color="auto"/>
            <w:left w:val="none" w:sz="0" w:space="0" w:color="auto"/>
            <w:bottom w:val="none" w:sz="0" w:space="0" w:color="auto"/>
            <w:right w:val="none" w:sz="0" w:space="0" w:color="auto"/>
          </w:divBdr>
        </w:div>
        <w:div w:id="1525247706">
          <w:marLeft w:val="274"/>
          <w:marRight w:val="0"/>
          <w:marTop w:val="0"/>
          <w:marBottom w:val="0"/>
          <w:divBdr>
            <w:top w:val="none" w:sz="0" w:space="0" w:color="auto"/>
            <w:left w:val="none" w:sz="0" w:space="0" w:color="auto"/>
            <w:bottom w:val="none" w:sz="0" w:space="0" w:color="auto"/>
            <w:right w:val="none" w:sz="0" w:space="0" w:color="auto"/>
          </w:divBdr>
        </w:div>
        <w:div w:id="1928536838">
          <w:marLeft w:val="274"/>
          <w:marRight w:val="0"/>
          <w:marTop w:val="0"/>
          <w:marBottom w:val="0"/>
          <w:divBdr>
            <w:top w:val="none" w:sz="0" w:space="0" w:color="auto"/>
            <w:left w:val="none" w:sz="0" w:space="0" w:color="auto"/>
            <w:bottom w:val="none" w:sz="0" w:space="0" w:color="auto"/>
            <w:right w:val="none" w:sz="0" w:space="0" w:color="auto"/>
          </w:divBdr>
        </w:div>
        <w:div w:id="1943029158">
          <w:marLeft w:val="274"/>
          <w:marRight w:val="0"/>
          <w:marTop w:val="0"/>
          <w:marBottom w:val="0"/>
          <w:divBdr>
            <w:top w:val="none" w:sz="0" w:space="0" w:color="auto"/>
            <w:left w:val="none" w:sz="0" w:space="0" w:color="auto"/>
            <w:bottom w:val="none" w:sz="0" w:space="0" w:color="auto"/>
            <w:right w:val="none" w:sz="0" w:space="0" w:color="auto"/>
          </w:divBdr>
        </w:div>
        <w:div w:id="1964069318">
          <w:marLeft w:val="274"/>
          <w:marRight w:val="0"/>
          <w:marTop w:val="0"/>
          <w:marBottom w:val="0"/>
          <w:divBdr>
            <w:top w:val="none" w:sz="0" w:space="0" w:color="auto"/>
            <w:left w:val="none" w:sz="0" w:space="0" w:color="auto"/>
            <w:bottom w:val="none" w:sz="0" w:space="0" w:color="auto"/>
            <w:right w:val="none" w:sz="0" w:space="0" w:color="auto"/>
          </w:divBdr>
        </w:div>
      </w:divsChild>
    </w:div>
    <w:div w:id="1277325369">
      <w:bodyDiv w:val="1"/>
      <w:marLeft w:val="0"/>
      <w:marRight w:val="0"/>
      <w:marTop w:val="0"/>
      <w:marBottom w:val="0"/>
      <w:divBdr>
        <w:top w:val="none" w:sz="0" w:space="0" w:color="auto"/>
        <w:left w:val="none" w:sz="0" w:space="0" w:color="auto"/>
        <w:bottom w:val="none" w:sz="0" w:space="0" w:color="auto"/>
        <w:right w:val="none" w:sz="0" w:space="0" w:color="auto"/>
      </w:divBdr>
    </w:div>
    <w:div w:id="1294602896">
      <w:bodyDiv w:val="1"/>
      <w:marLeft w:val="0"/>
      <w:marRight w:val="0"/>
      <w:marTop w:val="0"/>
      <w:marBottom w:val="0"/>
      <w:divBdr>
        <w:top w:val="none" w:sz="0" w:space="0" w:color="auto"/>
        <w:left w:val="none" w:sz="0" w:space="0" w:color="auto"/>
        <w:bottom w:val="none" w:sz="0" w:space="0" w:color="auto"/>
        <w:right w:val="none" w:sz="0" w:space="0" w:color="auto"/>
      </w:divBdr>
      <w:divsChild>
        <w:div w:id="222298999">
          <w:marLeft w:val="1166"/>
          <w:marRight w:val="0"/>
          <w:marTop w:val="0"/>
          <w:marBottom w:val="0"/>
          <w:divBdr>
            <w:top w:val="none" w:sz="0" w:space="0" w:color="auto"/>
            <w:left w:val="none" w:sz="0" w:space="0" w:color="auto"/>
            <w:bottom w:val="none" w:sz="0" w:space="0" w:color="auto"/>
            <w:right w:val="none" w:sz="0" w:space="0" w:color="auto"/>
          </w:divBdr>
        </w:div>
        <w:div w:id="308441745">
          <w:marLeft w:val="1166"/>
          <w:marRight w:val="0"/>
          <w:marTop w:val="0"/>
          <w:marBottom w:val="0"/>
          <w:divBdr>
            <w:top w:val="none" w:sz="0" w:space="0" w:color="auto"/>
            <w:left w:val="none" w:sz="0" w:space="0" w:color="auto"/>
            <w:bottom w:val="none" w:sz="0" w:space="0" w:color="auto"/>
            <w:right w:val="none" w:sz="0" w:space="0" w:color="auto"/>
          </w:divBdr>
        </w:div>
        <w:div w:id="1027021369">
          <w:marLeft w:val="1166"/>
          <w:marRight w:val="0"/>
          <w:marTop w:val="0"/>
          <w:marBottom w:val="0"/>
          <w:divBdr>
            <w:top w:val="none" w:sz="0" w:space="0" w:color="auto"/>
            <w:left w:val="none" w:sz="0" w:space="0" w:color="auto"/>
            <w:bottom w:val="none" w:sz="0" w:space="0" w:color="auto"/>
            <w:right w:val="none" w:sz="0" w:space="0" w:color="auto"/>
          </w:divBdr>
        </w:div>
        <w:div w:id="1301611063">
          <w:marLeft w:val="1166"/>
          <w:marRight w:val="0"/>
          <w:marTop w:val="0"/>
          <w:marBottom w:val="0"/>
          <w:divBdr>
            <w:top w:val="none" w:sz="0" w:space="0" w:color="auto"/>
            <w:left w:val="none" w:sz="0" w:space="0" w:color="auto"/>
            <w:bottom w:val="none" w:sz="0" w:space="0" w:color="auto"/>
            <w:right w:val="none" w:sz="0" w:space="0" w:color="auto"/>
          </w:divBdr>
        </w:div>
        <w:div w:id="1748916436">
          <w:marLeft w:val="1166"/>
          <w:marRight w:val="0"/>
          <w:marTop w:val="0"/>
          <w:marBottom w:val="0"/>
          <w:divBdr>
            <w:top w:val="none" w:sz="0" w:space="0" w:color="auto"/>
            <w:left w:val="none" w:sz="0" w:space="0" w:color="auto"/>
            <w:bottom w:val="none" w:sz="0" w:space="0" w:color="auto"/>
            <w:right w:val="none" w:sz="0" w:space="0" w:color="auto"/>
          </w:divBdr>
        </w:div>
      </w:divsChild>
    </w:div>
    <w:div w:id="1300842483">
      <w:bodyDiv w:val="1"/>
      <w:marLeft w:val="0"/>
      <w:marRight w:val="0"/>
      <w:marTop w:val="0"/>
      <w:marBottom w:val="0"/>
      <w:divBdr>
        <w:top w:val="none" w:sz="0" w:space="0" w:color="auto"/>
        <w:left w:val="none" w:sz="0" w:space="0" w:color="auto"/>
        <w:bottom w:val="none" w:sz="0" w:space="0" w:color="auto"/>
        <w:right w:val="none" w:sz="0" w:space="0" w:color="auto"/>
      </w:divBdr>
      <w:divsChild>
        <w:div w:id="993752817">
          <w:marLeft w:val="274"/>
          <w:marRight w:val="0"/>
          <w:marTop w:val="0"/>
          <w:marBottom w:val="0"/>
          <w:divBdr>
            <w:top w:val="none" w:sz="0" w:space="0" w:color="auto"/>
            <w:left w:val="none" w:sz="0" w:space="0" w:color="auto"/>
            <w:bottom w:val="none" w:sz="0" w:space="0" w:color="auto"/>
            <w:right w:val="none" w:sz="0" w:space="0" w:color="auto"/>
          </w:divBdr>
        </w:div>
        <w:div w:id="1572735933">
          <w:marLeft w:val="274"/>
          <w:marRight w:val="0"/>
          <w:marTop w:val="0"/>
          <w:marBottom w:val="0"/>
          <w:divBdr>
            <w:top w:val="none" w:sz="0" w:space="0" w:color="auto"/>
            <w:left w:val="none" w:sz="0" w:space="0" w:color="auto"/>
            <w:bottom w:val="none" w:sz="0" w:space="0" w:color="auto"/>
            <w:right w:val="none" w:sz="0" w:space="0" w:color="auto"/>
          </w:divBdr>
        </w:div>
        <w:div w:id="2142114633">
          <w:marLeft w:val="274"/>
          <w:marRight w:val="0"/>
          <w:marTop w:val="0"/>
          <w:marBottom w:val="0"/>
          <w:divBdr>
            <w:top w:val="none" w:sz="0" w:space="0" w:color="auto"/>
            <w:left w:val="none" w:sz="0" w:space="0" w:color="auto"/>
            <w:bottom w:val="none" w:sz="0" w:space="0" w:color="auto"/>
            <w:right w:val="none" w:sz="0" w:space="0" w:color="auto"/>
          </w:divBdr>
        </w:div>
      </w:divsChild>
    </w:div>
    <w:div w:id="1322150383">
      <w:bodyDiv w:val="1"/>
      <w:marLeft w:val="0"/>
      <w:marRight w:val="0"/>
      <w:marTop w:val="0"/>
      <w:marBottom w:val="0"/>
      <w:divBdr>
        <w:top w:val="none" w:sz="0" w:space="0" w:color="auto"/>
        <w:left w:val="none" w:sz="0" w:space="0" w:color="auto"/>
        <w:bottom w:val="none" w:sz="0" w:space="0" w:color="auto"/>
        <w:right w:val="none" w:sz="0" w:space="0" w:color="auto"/>
      </w:divBdr>
    </w:div>
    <w:div w:id="1322462898">
      <w:bodyDiv w:val="1"/>
      <w:marLeft w:val="0"/>
      <w:marRight w:val="0"/>
      <w:marTop w:val="0"/>
      <w:marBottom w:val="0"/>
      <w:divBdr>
        <w:top w:val="none" w:sz="0" w:space="0" w:color="auto"/>
        <w:left w:val="none" w:sz="0" w:space="0" w:color="auto"/>
        <w:bottom w:val="none" w:sz="0" w:space="0" w:color="auto"/>
        <w:right w:val="none" w:sz="0" w:space="0" w:color="auto"/>
      </w:divBdr>
      <w:divsChild>
        <w:div w:id="1637835411">
          <w:marLeft w:val="994"/>
          <w:marRight w:val="0"/>
          <w:marTop w:val="0"/>
          <w:marBottom w:val="0"/>
          <w:divBdr>
            <w:top w:val="none" w:sz="0" w:space="0" w:color="auto"/>
            <w:left w:val="none" w:sz="0" w:space="0" w:color="auto"/>
            <w:bottom w:val="none" w:sz="0" w:space="0" w:color="auto"/>
            <w:right w:val="none" w:sz="0" w:space="0" w:color="auto"/>
          </w:divBdr>
        </w:div>
      </w:divsChild>
    </w:div>
    <w:div w:id="1325822511">
      <w:bodyDiv w:val="1"/>
      <w:marLeft w:val="0"/>
      <w:marRight w:val="0"/>
      <w:marTop w:val="0"/>
      <w:marBottom w:val="0"/>
      <w:divBdr>
        <w:top w:val="none" w:sz="0" w:space="0" w:color="auto"/>
        <w:left w:val="none" w:sz="0" w:space="0" w:color="auto"/>
        <w:bottom w:val="none" w:sz="0" w:space="0" w:color="auto"/>
        <w:right w:val="none" w:sz="0" w:space="0" w:color="auto"/>
      </w:divBdr>
    </w:div>
    <w:div w:id="1330675309">
      <w:bodyDiv w:val="1"/>
      <w:marLeft w:val="0"/>
      <w:marRight w:val="0"/>
      <w:marTop w:val="0"/>
      <w:marBottom w:val="0"/>
      <w:divBdr>
        <w:top w:val="none" w:sz="0" w:space="0" w:color="auto"/>
        <w:left w:val="none" w:sz="0" w:space="0" w:color="auto"/>
        <w:bottom w:val="none" w:sz="0" w:space="0" w:color="auto"/>
        <w:right w:val="none" w:sz="0" w:space="0" w:color="auto"/>
      </w:divBdr>
      <w:divsChild>
        <w:div w:id="1048184764">
          <w:marLeft w:val="1267"/>
          <w:marRight w:val="0"/>
          <w:marTop w:val="120"/>
          <w:marBottom w:val="0"/>
          <w:divBdr>
            <w:top w:val="none" w:sz="0" w:space="0" w:color="auto"/>
            <w:left w:val="none" w:sz="0" w:space="0" w:color="auto"/>
            <w:bottom w:val="none" w:sz="0" w:space="0" w:color="auto"/>
            <w:right w:val="none" w:sz="0" w:space="0" w:color="auto"/>
          </w:divBdr>
        </w:div>
      </w:divsChild>
    </w:div>
    <w:div w:id="1335304977">
      <w:bodyDiv w:val="1"/>
      <w:marLeft w:val="0"/>
      <w:marRight w:val="0"/>
      <w:marTop w:val="0"/>
      <w:marBottom w:val="0"/>
      <w:divBdr>
        <w:top w:val="none" w:sz="0" w:space="0" w:color="auto"/>
        <w:left w:val="none" w:sz="0" w:space="0" w:color="auto"/>
        <w:bottom w:val="none" w:sz="0" w:space="0" w:color="auto"/>
        <w:right w:val="none" w:sz="0" w:space="0" w:color="auto"/>
      </w:divBdr>
    </w:div>
    <w:div w:id="1339575156">
      <w:bodyDiv w:val="1"/>
      <w:marLeft w:val="0"/>
      <w:marRight w:val="0"/>
      <w:marTop w:val="0"/>
      <w:marBottom w:val="0"/>
      <w:divBdr>
        <w:top w:val="none" w:sz="0" w:space="0" w:color="auto"/>
        <w:left w:val="none" w:sz="0" w:space="0" w:color="auto"/>
        <w:bottom w:val="none" w:sz="0" w:space="0" w:color="auto"/>
        <w:right w:val="none" w:sz="0" w:space="0" w:color="auto"/>
      </w:divBdr>
    </w:div>
    <w:div w:id="1341002175">
      <w:bodyDiv w:val="1"/>
      <w:marLeft w:val="0"/>
      <w:marRight w:val="0"/>
      <w:marTop w:val="0"/>
      <w:marBottom w:val="0"/>
      <w:divBdr>
        <w:top w:val="none" w:sz="0" w:space="0" w:color="auto"/>
        <w:left w:val="none" w:sz="0" w:space="0" w:color="auto"/>
        <w:bottom w:val="none" w:sz="0" w:space="0" w:color="auto"/>
        <w:right w:val="none" w:sz="0" w:space="0" w:color="auto"/>
      </w:divBdr>
    </w:div>
    <w:div w:id="1370956156">
      <w:bodyDiv w:val="1"/>
      <w:marLeft w:val="0"/>
      <w:marRight w:val="0"/>
      <w:marTop w:val="0"/>
      <w:marBottom w:val="0"/>
      <w:divBdr>
        <w:top w:val="none" w:sz="0" w:space="0" w:color="auto"/>
        <w:left w:val="none" w:sz="0" w:space="0" w:color="auto"/>
        <w:bottom w:val="none" w:sz="0" w:space="0" w:color="auto"/>
        <w:right w:val="none" w:sz="0" w:space="0" w:color="auto"/>
      </w:divBdr>
    </w:div>
    <w:div w:id="1383285868">
      <w:bodyDiv w:val="1"/>
      <w:marLeft w:val="0"/>
      <w:marRight w:val="0"/>
      <w:marTop w:val="0"/>
      <w:marBottom w:val="0"/>
      <w:divBdr>
        <w:top w:val="none" w:sz="0" w:space="0" w:color="auto"/>
        <w:left w:val="none" w:sz="0" w:space="0" w:color="auto"/>
        <w:bottom w:val="none" w:sz="0" w:space="0" w:color="auto"/>
        <w:right w:val="none" w:sz="0" w:space="0" w:color="auto"/>
      </w:divBdr>
      <w:divsChild>
        <w:div w:id="2063403471">
          <w:marLeft w:val="274"/>
          <w:marRight w:val="0"/>
          <w:marTop w:val="0"/>
          <w:marBottom w:val="0"/>
          <w:divBdr>
            <w:top w:val="none" w:sz="0" w:space="0" w:color="auto"/>
            <w:left w:val="none" w:sz="0" w:space="0" w:color="auto"/>
            <w:bottom w:val="none" w:sz="0" w:space="0" w:color="auto"/>
            <w:right w:val="none" w:sz="0" w:space="0" w:color="auto"/>
          </w:divBdr>
        </w:div>
      </w:divsChild>
    </w:div>
    <w:div w:id="1398552560">
      <w:bodyDiv w:val="1"/>
      <w:marLeft w:val="0"/>
      <w:marRight w:val="0"/>
      <w:marTop w:val="0"/>
      <w:marBottom w:val="0"/>
      <w:divBdr>
        <w:top w:val="none" w:sz="0" w:space="0" w:color="auto"/>
        <w:left w:val="none" w:sz="0" w:space="0" w:color="auto"/>
        <w:bottom w:val="none" w:sz="0" w:space="0" w:color="auto"/>
        <w:right w:val="none" w:sz="0" w:space="0" w:color="auto"/>
      </w:divBdr>
      <w:divsChild>
        <w:div w:id="1304117451">
          <w:marLeft w:val="720"/>
          <w:marRight w:val="0"/>
          <w:marTop w:val="120"/>
          <w:marBottom w:val="0"/>
          <w:divBdr>
            <w:top w:val="none" w:sz="0" w:space="0" w:color="auto"/>
            <w:left w:val="none" w:sz="0" w:space="0" w:color="auto"/>
            <w:bottom w:val="none" w:sz="0" w:space="0" w:color="auto"/>
            <w:right w:val="none" w:sz="0" w:space="0" w:color="auto"/>
          </w:divBdr>
        </w:div>
        <w:div w:id="2094161780">
          <w:marLeft w:val="720"/>
          <w:marRight w:val="0"/>
          <w:marTop w:val="120"/>
          <w:marBottom w:val="0"/>
          <w:divBdr>
            <w:top w:val="none" w:sz="0" w:space="0" w:color="auto"/>
            <w:left w:val="none" w:sz="0" w:space="0" w:color="auto"/>
            <w:bottom w:val="none" w:sz="0" w:space="0" w:color="auto"/>
            <w:right w:val="none" w:sz="0" w:space="0" w:color="auto"/>
          </w:divBdr>
        </w:div>
      </w:divsChild>
    </w:div>
    <w:div w:id="1401096652">
      <w:bodyDiv w:val="1"/>
      <w:marLeft w:val="0"/>
      <w:marRight w:val="0"/>
      <w:marTop w:val="0"/>
      <w:marBottom w:val="0"/>
      <w:divBdr>
        <w:top w:val="none" w:sz="0" w:space="0" w:color="auto"/>
        <w:left w:val="none" w:sz="0" w:space="0" w:color="auto"/>
        <w:bottom w:val="none" w:sz="0" w:space="0" w:color="auto"/>
        <w:right w:val="none" w:sz="0" w:space="0" w:color="auto"/>
      </w:divBdr>
    </w:div>
    <w:div w:id="1443762520">
      <w:bodyDiv w:val="1"/>
      <w:marLeft w:val="0"/>
      <w:marRight w:val="0"/>
      <w:marTop w:val="0"/>
      <w:marBottom w:val="0"/>
      <w:divBdr>
        <w:top w:val="none" w:sz="0" w:space="0" w:color="auto"/>
        <w:left w:val="none" w:sz="0" w:space="0" w:color="auto"/>
        <w:bottom w:val="none" w:sz="0" w:space="0" w:color="auto"/>
        <w:right w:val="none" w:sz="0" w:space="0" w:color="auto"/>
      </w:divBdr>
      <w:divsChild>
        <w:div w:id="1640569219">
          <w:marLeft w:val="994"/>
          <w:marRight w:val="0"/>
          <w:marTop w:val="0"/>
          <w:marBottom w:val="0"/>
          <w:divBdr>
            <w:top w:val="none" w:sz="0" w:space="0" w:color="auto"/>
            <w:left w:val="none" w:sz="0" w:space="0" w:color="auto"/>
            <w:bottom w:val="none" w:sz="0" w:space="0" w:color="auto"/>
            <w:right w:val="none" w:sz="0" w:space="0" w:color="auto"/>
          </w:divBdr>
        </w:div>
      </w:divsChild>
    </w:div>
    <w:div w:id="1455715944">
      <w:bodyDiv w:val="1"/>
      <w:marLeft w:val="0"/>
      <w:marRight w:val="0"/>
      <w:marTop w:val="0"/>
      <w:marBottom w:val="0"/>
      <w:divBdr>
        <w:top w:val="none" w:sz="0" w:space="0" w:color="auto"/>
        <w:left w:val="none" w:sz="0" w:space="0" w:color="auto"/>
        <w:bottom w:val="none" w:sz="0" w:space="0" w:color="auto"/>
        <w:right w:val="none" w:sz="0" w:space="0" w:color="auto"/>
      </w:divBdr>
    </w:div>
    <w:div w:id="1466240809">
      <w:bodyDiv w:val="1"/>
      <w:marLeft w:val="0"/>
      <w:marRight w:val="0"/>
      <w:marTop w:val="0"/>
      <w:marBottom w:val="0"/>
      <w:divBdr>
        <w:top w:val="none" w:sz="0" w:space="0" w:color="auto"/>
        <w:left w:val="none" w:sz="0" w:space="0" w:color="auto"/>
        <w:bottom w:val="none" w:sz="0" w:space="0" w:color="auto"/>
        <w:right w:val="none" w:sz="0" w:space="0" w:color="auto"/>
      </w:divBdr>
      <w:divsChild>
        <w:div w:id="1659840530">
          <w:marLeft w:val="360"/>
          <w:marRight w:val="0"/>
          <w:marTop w:val="0"/>
          <w:marBottom w:val="120"/>
          <w:divBdr>
            <w:top w:val="none" w:sz="0" w:space="0" w:color="auto"/>
            <w:left w:val="none" w:sz="0" w:space="0" w:color="auto"/>
            <w:bottom w:val="none" w:sz="0" w:space="0" w:color="auto"/>
            <w:right w:val="none" w:sz="0" w:space="0" w:color="auto"/>
          </w:divBdr>
        </w:div>
        <w:div w:id="1676809368">
          <w:marLeft w:val="360"/>
          <w:marRight w:val="0"/>
          <w:marTop w:val="0"/>
          <w:marBottom w:val="120"/>
          <w:divBdr>
            <w:top w:val="none" w:sz="0" w:space="0" w:color="auto"/>
            <w:left w:val="none" w:sz="0" w:space="0" w:color="auto"/>
            <w:bottom w:val="none" w:sz="0" w:space="0" w:color="auto"/>
            <w:right w:val="none" w:sz="0" w:space="0" w:color="auto"/>
          </w:divBdr>
        </w:div>
      </w:divsChild>
    </w:div>
    <w:div w:id="1467354308">
      <w:bodyDiv w:val="1"/>
      <w:marLeft w:val="0"/>
      <w:marRight w:val="0"/>
      <w:marTop w:val="0"/>
      <w:marBottom w:val="0"/>
      <w:divBdr>
        <w:top w:val="none" w:sz="0" w:space="0" w:color="auto"/>
        <w:left w:val="none" w:sz="0" w:space="0" w:color="auto"/>
        <w:bottom w:val="none" w:sz="0" w:space="0" w:color="auto"/>
        <w:right w:val="none" w:sz="0" w:space="0" w:color="auto"/>
      </w:divBdr>
      <w:divsChild>
        <w:div w:id="116608371">
          <w:marLeft w:val="274"/>
          <w:marRight w:val="0"/>
          <w:marTop w:val="0"/>
          <w:marBottom w:val="0"/>
          <w:divBdr>
            <w:top w:val="none" w:sz="0" w:space="0" w:color="auto"/>
            <w:left w:val="none" w:sz="0" w:space="0" w:color="auto"/>
            <w:bottom w:val="none" w:sz="0" w:space="0" w:color="auto"/>
            <w:right w:val="none" w:sz="0" w:space="0" w:color="auto"/>
          </w:divBdr>
        </w:div>
        <w:div w:id="1113791767">
          <w:marLeft w:val="274"/>
          <w:marRight w:val="0"/>
          <w:marTop w:val="0"/>
          <w:marBottom w:val="0"/>
          <w:divBdr>
            <w:top w:val="none" w:sz="0" w:space="0" w:color="auto"/>
            <w:left w:val="none" w:sz="0" w:space="0" w:color="auto"/>
            <w:bottom w:val="none" w:sz="0" w:space="0" w:color="auto"/>
            <w:right w:val="none" w:sz="0" w:space="0" w:color="auto"/>
          </w:divBdr>
        </w:div>
        <w:div w:id="1367221497">
          <w:marLeft w:val="274"/>
          <w:marRight w:val="0"/>
          <w:marTop w:val="0"/>
          <w:marBottom w:val="0"/>
          <w:divBdr>
            <w:top w:val="none" w:sz="0" w:space="0" w:color="auto"/>
            <w:left w:val="none" w:sz="0" w:space="0" w:color="auto"/>
            <w:bottom w:val="none" w:sz="0" w:space="0" w:color="auto"/>
            <w:right w:val="none" w:sz="0" w:space="0" w:color="auto"/>
          </w:divBdr>
        </w:div>
        <w:div w:id="1949894008">
          <w:marLeft w:val="274"/>
          <w:marRight w:val="0"/>
          <w:marTop w:val="0"/>
          <w:marBottom w:val="0"/>
          <w:divBdr>
            <w:top w:val="none" w:sz="0" w:space="0" w:color="auto"/>
            <w:left w:val="none" w:sz="0" w:space="0" w:color="auto"/>
            <w:bottom w:val="none" w:sz="0" w:space="0" w:color="auto"/>
            <w:right w:val="none" w:sz="0" w:space="0" w:color="auto"/>
          </w:divBdr>
        </w:div>
      </w:divsChild>
    </w:div>
    <w:div w:id="1475878360">
      <w:bodyDiv w:val="1"/>
      <w:marLeft w:val="0"/>
      <w:marRight w:val="0"/>
      <w:marTop w:val="0"/>
      <w:marBottom w:val="0"/>
      <w:divBdr>
        <w:top w:val="none" w:sz="0" w:space="0" w:color="auto"/>
        <w:left w:val="none" w:sz="0" w:space="0" w:color="auto"/>
        <w:bottom w:val="none" w:sz="0" w:space="0" w:color="auto"/>
        <w:right w:val="none" w:sz="0" w:space="0" w:color="auto"/>
      </w:divBdr>
    </w:div>
    <w:div w:id="1491755914">
      <w:bodyDiv w:val="1"/>
      <w:marLeft w:val="0"/>
      <w:marRight w:val="0"/>
      <w:marTop w:val="0"/>
      <w:marBottom w:val="0"/>
      <w:divBdr>
        <w:top w:val="none" w:sz="0" w:space="0" w:color="auto"/>
        <w:left w:val="none" w:sz="0" w:space="0" w:color="auto"/>
        <w:bottom w:val="none" w:sz="0" w:space="0" w:color="auto"/>
        <w:right w:val="none" w:sz="0" w:space="0" w:color="auto"/>
      </w:divBdr>
    </w:div>
    <w:div w:id="1499732420">
      <w:bodyDiv w:val="1"/>
      <w:marLeft w:val="0"/>
      <w:marRight w:val="0"/>
      <w:marTop w:val="0"/>
      <w:marBottom w:val="0"/>
      <w:divBdr>
        <w:top w:val="none" w:sz="0" w:space="0" w:color="auto"/>
        <w:left w:val="none" w:sz="0" w:space="0" w:color="auto"/>
        <w:bottom w:val="none" w:sz="0" w:space="0" w:color="auto"/>
        <w:right w:val="none" w:sz="0" w:space="0" w:color="auto"/>
      </w:divBdr>
      <w:divsChild>
        <w:div w:id="105933457">
          <w:marLeft w:val="274"/>
          <w:marRight w:val="0"/>
          <w:marTop w:val="0"/>
          <w:marBottom w:val="0"/>
          <w:divBdr>
            <w:top w:val="none" w:sz="0" w:space="0" w:color="auto"/>
            <w:left w:val="none" w:sz="0" w:space="0" w:color="auto"/>
            <w:bottom w:val="none" w:sz="0" w:space="0" w:color="auto"/>
            <w:right w:val="none" w:sz="0" w:space="0" w:color="auto"/>
          </w:divBdr>
        </w:div>
        <w:div w:id="193423433">
          <w:marLeft w:val="994"/>
          <w:marRight w:val="0"/>
          <w:marTop w:val="0"/>
          <w:marBottom w:val="0"/>
          <w:divBdr>
            <w:top w:val="none" w:sz="0" w:space="0" w:color="auto"/>
            <w:left w:val="none" w:sz="0" w:space="0" w:color="auto"/>
            <w:bottom w:val="none" w:sz="0" w:space="0" w:color="auto"/>
            <w:right w:val="none" w:sz="0" w:space="0" w:color="auto"/>
          </w:divBdr>
        </w:div>
        <w:div w:id="302735007">
          <w:marLeft w:val="994"/>
          <w:marRight w:val="0"/>
          <w:marTop w:val="0"/>
          <w:marBottom w:val="0"/>
          <w:divBdr>
            <w:top w:val="none" w:sz="0" w:space="0" w:color="auto"/>
            <w:left w:val="none" w:sz="0" w:space="0" w:color="auto"/>
            <w:bottom w:val="none" w:sz="0" w:space="0" w:color="auto"/>
            <w:right w:val="none" w:sz="0" w:space="0" w:color="auto"/>
          </w:divBdr>
        </w:div>
        <w:div w:id="374811429">
          <w:marLeft w:val="994"/>
          <w:marRight w:val="0"/>
          <w:marTop w:val="0"/>
          <w:marBottom w:val="0"/>
          <w:divBdr>
            <w:top w:val="none" w:sz="0" w:space="0" w:color="auto"/>
            <w:left w:val="none" w:sz="0" w:space="0" w:color="auto"/>
            <w:bottom w:val="none" w:sz="0" w:space="0" w:color="auto"/>
            <w:right w:val="none" w:sz="0" w:space="0" w:color="auto"/>
          </w:divBdr>
        </w:div>
        <w:div w:id="867067690">
          <w:marLeft w:val="274"/>
          <w:marRight w:val="0"/>
          <w:marTop w:val="0"/>
          <w:marBottom w:val="0"/>
          <w:divBdr>
            <w:top w:val="none" w:sz="0" w:space="0" w:color="auto"/>
            <w:left w:val="none" w:sz="0" w:space="0" w:color="auto"/>
            <w:bottom w:val="none" w:sz="0" w:space="0" w:color="auto"/>
            <w:right w:val="none" w:sz="0" w:space="0" w:color="auto"/>
          </w:divBdr>
        </w:div>
        <w:div w:id="1170439236">
          <w:marLeft w:val="994"/>
          <w:marRight w:val="0"/>
          <w:marTop w:val="0"/>
          <w:marBottom w:val="0"/>
          <w:divBdr>
            <w:top w:val="none" w:sz="0" w:space="0" w:color="auto"/>
            <w:left w:val="none" w:sz="0" w:space="0" w:color="auto"/>
            <w:bottom w:val="none" w:sz="0" w:space="0" w:color="auto"/>
            <w:right w:val="none" w:sz="0" w:space="0" w:color="auto"/>
          </w:divBdr>
        </w:div>
        <w:div w:id="1269314904">
          <w:marLeft w:val="994"/>
          <w:marRight w:val="0"/>
          <w:marTop w:val="0"/>
          <w:marBottom w:val="0"/>
          <w:divBdr>
            <w:top w:val="none" w:sz="0" w:space="0" w:color="auto"/>
            <w:left w:val="none" w:sz="0" w:space="0" w:color="auto"/>
            <w:bottom w:val="none" w:sz="0" w:space="0" w:color="auto"/>
            <w:right w:val="none" w:sz="0" w:space="0" w:color="auto"/>
          </w:divBdr>
        </w:div>
        <w:div w:id="1422290753">
          <w:marLeft w:val="994"/>
          <w:marRight w:val="0"/>
          <w:marTop w:val="0"/>
          <w:marBottom w:val="0"/>
          <w:divBdr>
            <w:top w:val="none" w:sz="0" w:space="0" w:color="auto"/>
            <w:left w:val="none" w:sz="0" w:space="0" w:color="auto"/>
            <w:bottom w:val="none" w:sz="0" w:space="0" w:color="auto"/>
            <w:right w:val="none" w:sz="0" w:space="0" w:color="auto"/>
          </w:divBdr>
        </w:div>
        <w:div w:id="1666474851">
          <w:marLeft w:val="994"/>
          <w:marRight w:val="0"/>
          <w:marTop w:val="0"/>
          <w:marBottom w:val="0"/>
          <w:divBdr>
            <w:top w:val="none" w:sz="0" w:space="0" w:color="auto"/>
            <w:left w:val="none" w:sz="0" w:space="0" w:color="auto"/>
            <w:bottom w:val="none" w:sz="0" w:space="0" w:color="auto"/>
            <w:right w:val="none" w:sz="0" w:space="0" w:color="auto"/>
          </w:divBdr>
        </w:div>
        <w:div w:id="1807772899">
          <w:marLeft w:val="994"/>
          <w:marRight w:val="0"/>
          <w:marTop w:val="0"/>
          <w:marBottom w:val="0"/>
          <w:divBdr>
            <w:top w:val="none" w:sz="0" w:space="0" w:color="auto"/>
            <w:left w:val="none" w:sz="0" w:space="0" w:color="auto"/>
            <w:bottom w:val="none" w:sz="0" w:space="0" w:color="auto"/>
            <w:right w:val="none" w:sz="0" w:space="0" w:color="auto"/>
          </w:divBdr>
        </w:div>
        <w:div w:id="1837109717">
          <w:marLeft w:val="994"/>
          <w:marRight w:val="0"/>
          <w:marTop w:val="0"/>
          <w:marBottom w:val="0"/>
          <w:divBdr>
            <w:top w:val="none" w:sz="0" w:space="0" w:color="auto"/>
            <w:left w:val="none" w:sz="0" w:space="0" w:color="auto"/>
            <w:bottom w:val="none" w:sz="0" w:space="0" w:color="auto"/>
            <w:right w:val="none" w:sz="0" w:space="0" w:color="auto"/>
          </w:divBdr>
        </w:div>
        <w:div w:id="1977682895">
          <w:marLeft w:val="994"/>
          <w:marRight w:val="0"/>
          <w:marTop w:val="0"/>
          <w:marBottom w:val="0"/>
          <w:divBdr>
            <w:top w:val="none" w:sz="0" w:space="0" w:color="auto"/>
            <w:left w:val="none" w:sz="0" w:space="0" w:color="auto"/>
            <w:bottom w:val="none" w:sz="0" w:space="0" w:color="auto"/>
            <w:right w:val="none" w:sz="0" w:space="0" w:color="auto"/>
          </w:divBdr>
        </w:div>
        <w:div w:id="1987780033">
          <w:marLeft w:val="994"/>
          <w:marRight w:val="0"/>
          <w:marTop w:val="0"/>
          <w:marBottom w:val="0"/>
          <w:divBdr>
            <w:top w:val="none" w:sz="0" w:space="0" w:color="auto"/>
            <w:left w:val="none" w:sz="0" w:space="0" w:color="auto"/>
            <w:bottom w:val="none" w:sz="0" w:space="0" w:color="auto"/>
            <w:right w:val="none" w:sz="0" w:space="0" w:color="auto"/>
          </w:divBdr>
        </w:div>
        <w:div w:id="2003117299">
          <w:marLeft w:val="994"/>
          <w:marRight w:val="0"/>
          <w:marTop w:val="0"/>
          <w:marBottom w:val="0"/>
          <w:divBdr>
            <w:top w:val="none" w:sz="0" w:space="0" w:color="auto"/>
            <w:left w:val="none" w:sz="0" w:space="0" w:color="auto"/>
            <w:bottom w:val="none" w:sz="0" w:space="0" w:color="auto"/>
            <w:right w:val="none" w:sz="0" w:space="0" w:color="auto"/>
          </w:divBdr>
        </w:div>
        <w:div w:id="2035963130">
          <w:marLeft w:val="994"/>
          <w:marRight w:val="0"/>
          <w:marTop w:val="0"/>
          <w:marBottom w:val="0"/>
          <w:divBdr>
            <w:top w:val="none" w:sz="0" w:space="0" w:color="auto"/>
            <w:left w:val="none" w:sz="0" w:space="0" w:color="auto"/>
            <w:bottom w:val="none" w:sz="0" w:space="0" w:color="auto"/>
            <w:right w:val="none" w:sz="0" w:space="0" w:color="auto"/>
          </w:divBdr>
        </w:div>
        <w:div w:id="2066754461">
          <w:marLeft w:val="274"/>
          <w:marRight w:val="0"/>
          <w:marTop w:val="0"/>
          <w:marBottom w:val="0"/>
          <w:divBdr>
            <w:top w:val="none" w:sz="0" w:space="0" w:color="auto"/>
            <w:left w:val="none" w:sz="0" w:space="0" w:color="auto"/>
            <w:bottom w:val="none" w:sz="0" w:space="0" w:color="auto"/>
            <w:right w:val="none" w:sz="0" w:space="0" w:color="auto"/>
          </w:divBdr>
        </w:div>
        <w:div w:id="2143303480">
          <w:marLeft w:val="994"/>
          <w:marRight w:val="0"/>
          <w:marTop w:val="0"/>
          <w:marBottom w:val="0"/>
          <w:divBdr>
            <w:top w:val="none" w:sz="0" w:space="0" w:color="auto"/>
            <w:left w:val="none" w:sz="0" w:space="0" w:color="auto"/>
            <w:bottom w:val="none" w:sz="0" w:space="0" w:color="auto"/>
            <w:right w:val="none" w:sz="0" w:space="0" w:color="auto"/>
          </w:divBdr>
        </w:div>
      </w:divsChild>
    </w:div>
    <w:div w:id="1501894890">
      <w:bodyDiv w:val="1"/>
      <w:marLeft w:val="0"/>
      <w:marRight w:val="0"/>
      <w:marTop w:val="0"/>
      <w:marBottom w:val="0"/>
      <w:divBdr>
        <w:top w:val="none" w:sz="0" w:space="0" w:color="auto"/>
        <w:left w:val="none" w:sz="0" w:space="0" w:color="auto"/>
        <w:bottom w:val="none" w:sz="0" w:space="0" w:color="auto"/>
        <w:right w:val="none" w:sz="0" w:space="0" w:color="auto"/>
      </w:divBdr>
    </w:div>
    <w:div w:id="1515459889">
      <w:bodyDiv w:val="1"/>
      <w:marLeft w:val="0"/>
      <w:marRight w:val="0"/>
      <w:marTop w:val="0"/>
      <w:marBottom w:val="0"/>
      <w:divBdr>
        <w:top w:val="none" w:sz="0" w:space="0" w:color="auto"/>
        <w:left w:val="none" w:sz="0" w:space="0" w:color="auto"/>
        <w:bottom w:val="none" w:sz="0" w:space="0" w:color="auto"/>
        <w:right w:val="none" w:sz="0" w:space="0" w:color="auto"/>
      </w:divBdr>
      <w:divsChild>
        <w:div w:id="65690041">
          <w:marLeft w:val="1080"/>
          <w:marRight w:val="0"/>
          <w:marTop w:val="0"/>
          <w:marBottom w:val="120"/>
          <w:divBdr>
            <w:top w:val="none" w:sz="0" w:space="0" w:color="auto"/>
            <w:left w:val="none" w:sz="0" w:space="0" w:color="auto"/>
            <w:bottom w:val="none" w:sz="0" w:space="0" w:color="auto"/>
            <w:right w:val="none" w:sz="0" w:space="0" w:color="auto"/>
          </w:divBdr>
        </w:div>
        <w:div w:id="146745729">
          <w:marLeft w:val="1080"/>
          <w:marRight w:val="0"/>
          <w:marTop w:val="0"/>
          <w:marBottom w:val="120"/>
          <w:divBdr>
            <w:top w:val="none" w:sz="0" w:space="0" w:color="auto"/>
            <w:left w:val="none" w:sz="0" w:space="0" w:color="auto"/>
            <w:bottom w:val="none" w:sz="0" w:space="0" w:color="auto"/>
            <w:right w:val="none" w:sz="0" w:space="0" w:color="auto"/>
          </w:divBdr>
        </w:div>
        <w:div w:id="202134300">
          <w:marLeft w:val="1080"/>
          <w:marRight w:val="0"/>
          <w:marTop w:val="0"/>
          <w:marBottom w:val="120"/>
          <w:divBdr>
            <w:top w:val="none" w:sz="0" w:space="0" w:color="auto"/>
            <w:left w:val="none" w:sz="0" w:space="0" w:color="auto"/>
            <w:bottom w:val="none" w:sz="0" w:space="0" w:color="auto"/>
            <w:right w:val="none" w:sz="0" w:space="0" w:color="auto"/>
          </w:divBdr>
        </w:div>
        <w:div w:id="646128490">
          <w:marLeft w:val="360"/>
          <w:marRight w:val="0"/>
          <w:marTop w:val="0"/>
          <w:marBottom w:val="120"/>
          <w:divBdr>
            <w:top w:val="none" w:sz="0" w:space="0" w:color="auto"/>
            <w:left w:val="none" w:sz="0" w:space="0" w:color="auto"/>
            <w:bottom w:val="none" w:sz="0" w:space="0" w:color="auto"/>
            <w:right w:val="none" w:sz="0" w:space="0" w:color="auto"/>
          </w:divBdr>
        </w:div>
        <w:div w:id="1228764900">
          <w:marLeft w:val="1080"/>
          <w:marRight w:val="0"/>
          <w:marTop w:val="0"/>
          <w:marBottom w:val="120"/>
          <w:divBdr>
            <w:top w:val="none" w:sz="0" w:space="0" w:color="auto"/>
            <w:left w:val="none" w:sz="0" w:space="0" w:color="auto"/>
            <w:bottom w:val="none" w:sz="0" w:space="0" w:color="auto"/>
            <w:right w:val="none" w:sz="0" w:space="0" w:color="auto"/>
          </w:divBdr>
        </w:div>
        <w:div w:id="1360204087">
          <w:marLeft w:val="1080"/>
          <w:marRight w:val="0"/>
          <w:marTop w:val="0"/>
          <w:marBottom w:val="120"/>
          <w:divBdr>
            <w:top w:val="none" w:sz="0" w:space="0" w:color="auto"/>
            <w:left w:val="none" w:sz="0" w:space="0" w:color="auto"/>
            <w:bottom w:val="none" w:sz="0" w:space="0" w:color="auto"/>
            <w:right w:val="none" w:sz="0" w:space="0" w:color="auto"/>
          </w:divBdr>
        </w:div>
      </w:divsChild>
    </w:div>
    <w:div w:id="1525898282">
      <w:bodyDiv w:val="1"/>
      <w:marLeft w:val="0"/>
      <w:marRight w:val="0"/>
      <w:marTop w:val="0"/>
      <w:marBottom w:val="0"/>
      <w:divBdr>
        <w:top w:val="none" w:sz="0" w:space="0" w:color="auto"/>
        <w:left w:val="none" w:sz="0" w:space="0" w:color="auto"/>
        <w:bottom w:val="none" w:sz="0" w:space="0" w:color="auto"/>
        <w:right w:val="none" w:sz="0" w:space="0" w:color="auto"/>
      </w:divBdr>
    </w:div>
    <w:div w:id="1540706516">
      <w:bodyDiv w:val="1"/>
      <w:marLeft w:val="0"/>
      <w:marRight w:val="0"/>
      <w:marTop w:val="0"/>
      <w:marBottom w:val="0"/>
      <w:divBdr>
        <w:top w:val="none" w:sz="0" w:space="0" w:color="auto"/>
        <w:left w:val="none" w:sz="0" w:space="0" w:color="auto"/>
        <w:bottom w:val="none" w:sz="0" w:space="0" w:color="auto"/>
        <w:right w:val="none" w:sz="0" w:space="0" w:color="auto"/>
      </w:divBdr>
    </w:div>
    <w:div w:id="1558197542">
      <w:bodyDiv w:val="1"/>
      <w:marLeft w:val="0"/>
      <w:marRight w:val="0"/>
      <w:marTop w:val="0"/>
      <w:marBottom w:val="0"/>
      <w:divBdr>
        <w:top w:val="none" w:sz="0" w:space="0" w:color="auto"/>
        <w:left w:val="none" w:sz="0" w:space="0" w:color="auto"/>
        <w:bottom w:val="none" w:sz="0" w:space="0" w:color="auto"/>
        <w:right w:val="none" w:sz="0" w:space="0" w:color="auto"/>
      </w:divBdr>
      <w:divsChild>
        <w:div w:id="444425802">
          <w:marLeft w:val="360"/>
          <w:marRight w:val="0"/>
          <w:marTop w:val="0"/>
          <w:marBottom w:val="120"/>
          <w:divBdr>
            <w:top w:val="none" w:sz="0" w:space="0" w:color="auto"/>
            <w:left w:val="none" w:sz="0" w:space="0" w:color="auto"/>
            <w:bottom w:val="none" w:sz="0" w:space="0" w:color="auto"/>
            <w:right w:val="none" w:sz="0" w:space="0" w:color="auto"/>
          </w:divBdr>
        </w:div>
        <w:div w:id="1599871388">
          <w:marLeft w:val="360"/>
          <w:marRight w:val="0"/>
          <w:marTop w:val="0"/>
          <w:marBottom w:val="120"/>
          <w:divBdr>
            <w:top w:val="none" w:sz="0" w:space="0" w:color="auto"/>
            <w:left w:val="none" w:sz="0" w:space="0" w:color="auto"/>
            <w:bottom w:val="none" w:sz="0" w:space="0" w:color="auto"/>
            <w:right w:val="none" w:sz="0" w:space="0" w:color="auto"/>
          </w:divBdr>
        </w:div>
        <w:div w:id="1613703947">
          <w:marLeft w:val="360"/>
          <w:marRight w:val="0"/>
          <w:marTop w:val="0"/>
          <w:marBottom w:val="120"/>
          <w:divBdr>
            <w:top w:val="none" w:sz="0" w:space="0" w:color="auto"/>
            <w:left w:val="none" w:sz="0" w:space="0" w:color="auto"/>
            <w:bottom w:val="none" w:sz="0" w:space="0" w:color="auto"/>
            <w:right w:val="none" w:sz="0" w:space="0" w:color="auto"/>
          </w:divBdr>
        </w:div>
      </w:divsChild>
    </w:div>
    <w:div w:id="1558276644">
      <w:bodyDiv w:val="1"/>
      <w:marLeft w:val="0"/>
      <w:marRight w:val="0"/>
      <w:marTop w:val="0"/>
      <w:marBottom w:val="0"/>
      <w:divBdr>
        <w:top w:val="none" w:sz="0" w:space="0" w:color="auto"/>
        <w:left w:val="none" w:sz="0" w:space="0" w:color="auto"/>
        <w:bottom w:val="none" w:sz="0" w:space="0" w:color="auto"/>
        <w:right w:val="none" w:sz="0" w:space="0" w:color="auto"/>
      </w:divBdr>
      <w:divsChild>
        <w:div w:id="1479036669">
          <w:marLeft w:val="360"/>
          <w:marRight w:val="0"/>
          <w:marTop w:val="200"/>
          <w:marBottom w:val="0"/>
          <w:divBdr>
            <w:top w:val="none" w:sz="0" w:space="0" w:color="auto"/>
            <w:left w:val="none" w:sz="0" w:space="0" w:color="auto"/>
            <w:bottom w:val="none" w:sz="0" w:space="0" w:color="auto"/>
            <w:right w:val="none" w:sz="0" w:space="0" w:color="auto"/>
          </w:divBdr>
        </w:div>
      </w:divsChild>
    </w:div>
    <w:div w:id="1564759196">
      <w:bodyDiv w:val="1"/>
      <w:marLeft w:val="0"/>
      <w:marRight w:val="0"/>
      <w:marTop w:val="0"/>
      <w:marBottom w:val="0"/>
      <w:divBdr>
        <w:top w:val="none" w:sz="0" w:space="0" w:color="auto"/>
        <w:left w:val="none" w:sz="0" w:space="0" w:color="auto"/>
        <w:bottom w:val="none" w:sz="0" w:space="0" w:color="auto"/>
        <w:right w:val="none" w:sz="0" w:space="0" w:color="auto"/>
      </w:divBdr>
      <w:divsChild>
        <w:div w:id="319388984">
          <w:marLeft w:val="1166"/>
          <w:marRight w:val="0"/>
          <w:marTop w:val="100"/>
          <w:marBottom w:val="0"/>
          <w:divBdr>
            <w:top w:val="none" w:sz="0" w:space="0" w:color="auto"/>
            <w:left w:val="none" w:sz="0" w:space="0" w:color="auto"/>
            <w:bottom w:val="none" w:sz="0" w:space="0" w:color="auto"/>
            <w:right w:val="none" w:sz="0" w:space="0" w:color="auto"/>
          </w:divBdr>
        </w:div>
        <w:div w:id="1001272834">
          <w:marLeft w:val="1166"/>
          <w:marRight w:val="0"/>
          <w:marTop w:val="100"/>
          <w:marBottom w:val="0"/>
          <w:divBdr>
            <w:top w:val="none" w:sz="0" w:space="0" w:color="auto"/>
            <w:left w:val="none" w:sz="0" w:space="0" w:color="auto"/>
            <w:bottom w:val="none" w:sz="0" w:space="0" w:color="auto"/>
            <w:right w:val="none" w:sz="0" w:space="0" w:color="auto"/>
          </w:divBdr>
        </w:div>
        <w:div w:id="1195071510">
          <w:marLeft w:val="1166"/>
          <w:marRight w:val="0"/>
          <w:marTop w:val="100"/>
          <w:marBottom w:val="0"/>
          <w:divBdr>
            <w:top w:val="none" w:sz="0" w:space="0" w:color="auto"/>
            <w:left w:val="none" w:sz="0" w:space="0" w:color="auto"/>
            <w:bottom w:val="none" w:sz="0" w:space="0" w:color="auto"/>
            <w:right w:val="none" w:sz="0" w:space="0" w:color="auto"/>
          </w:divBdr>
        </w:div>
      </w:divsChild>
    </w:div>
    <w:div w:id="1574511578">
      <w:bodyDiv w:val="1"/>
      <w:marLeft w:val="0"/>
      <w:marRight w:val="0"/>
      <w:marTop w:val="0"/>
      <w:marBottom w:val="0"/>
      <w:divBdr>
        <w:top w:val="none" w:sz="0" w:space="0" w:color="auto"/>
        <w:left w:val="none" w:sz="0" w:space="0" w:color="auto"/>
        <w:bottom w:val="none" w:sz="0" w:space="0" w:color="auto"/>
        <w:right w:val="none" w:sz="0" w:space="0" w:color="auto"/>
      </w:divBdr>
      <w:divsChild>
        <w:div w:id="240410746">
          <w:marLeft w:val="360"/>
          <w:marRight w:val="0"/>
          <w:marTop w:val="200"/>
          <w:marBottom w:val="0"/>
          <w:divBdr>
            <w:top w:val="none" w:sz="0" w:space="0" w:color="auto"/>
            <w:left w:val="none" w:sz="0" w:space="0" w:color="auto"/>
            <w:bottom w:val="none" w:sz="0" w:space="0" w:color="auto"/>
            <w:right w:val="none" w:sz="0" w:space="0" w:color="auto"/>
          </w:divBdr>
        </w:div>
        <w:div w:id="442114756">
          <w:marLeft w:val="360"/>
          <w:marRight w:val="0"/>
          <w:marTop w:val="200"/>
          <w:marBottom w:val="0"/>
          <w:divBdr>
            <w:top w:val="none" w:sz="0" w:space="0" w:color="auto"/>
            <w:left w:val="none" w:sz="0" w:space="0" w:color="auto"/>
            <w:bottom w:val="none" w:sz="0" w:space="0" w:color="auto"/>
            <w:right w:val="none" w:sz="0" w:space="0" w:color="auto"/>
          </w:divBdr>
        </w:div>
        <w:div w:id="452291531">
          <w:marLeft w:val="1080"/>
          <w:marRight w:val="0"/>
          <w:marTop w:val="100"/>
          <w:marBottom w:val="0"/>
          <w:divBdr>
            <w:top w:val="none" w:sz="0" w:space="0" w:color="auto"/>
            <w:left w:val="none" w:sz="0" w:space="0" w:color="auto"/>
            <w:bottom w:val="none" w:sz="0" w:space="0" w:color="auto"/>
            <w:right w:val="none" w:sz="0" w:space="0" w:color="auto"/>
          </w:divBdr>
        </w:div>
        <w:div w:id="754981746">
          <w:marLeft w:val="1080"/>
          <w:marRight w:val="0"/>
          <w:marTop w:val="100"/>
          <w:marBottom w:val="0"/>
          <w:divBdr>
            <w:top w:val="none" w:sz="0" w:space="0" w:color="auto"/>
            <w:left w:val="none" w:sz="0" w:space="0" w:color="auto"/>
            <w:bottom w:val="none" w:sz="0" w:space="0" w:color="auto"/>
            <w:right w:val="none" w:sz="0" w:space="0" w:color="auto"/>
          </w:divBdr>
        </w:div>
        <w:div w:id="794324415">
          <w:marLeft w:val="1080"/>
          <w:marRight w:val="0"/>
          <w:marTop w:val="100"/>
          <w:marBottom w:val="0"/>
          <w:divBdr>
            <w:top w:val="none" w:sz="0" w:space="0" w:color="auto"/>
            <w:left w:val="none" w:sz="0" w:space="0" w:color="auto"/>
            <w:bottom w:val="none" w:sz="0" w:space="0" w:color="auto"/>
            <w:right w:val="none" w:sz="0" w:space="0" w:color="auto"/>
          </w:divBdr>
        </w:div>
      </w:divsChild>
    </w:div>
    <w:div w:id="1595434304">
      <w:bodyDiv w:val="1"/>
      <w:marLeft w:val="0"/>
      <w:marRight w:val="0"/>
      <w:marTop w:val="0"/>
      <w:marBottom w:val="0"/>
      <w:divBdr>
        <w:top w:val="none" w:sz="0" w:space="0" w:color="auto"/>
        <w:left w:val="none" w:sz="0" w:space="0" w:color="auto"/>
        <w:bottom w:val="none" w:sz="0" w:space="0" w:color="auto"/>
        <w:right w:val="none" w:sz="0" w:space="0" w:color="auto"/>
      </w:divBdr>
    </w:div>
    <w:div w:id="1607958509">
      <w:bodyDiv w:val="1"/>
      <w:marLeft w:val="0"/>
      <w:marRight w:val="0"/>
      <w:marTop w:val="0"/>
      <w:marBottom w:val="0"/>
      <w:divBdr>
        <w:top w:val="none" w:sz="0" w:space="0" w:color="auto"/>
        <w:left w:val="none" w:sz="0" w:space="0" w:color="auto"/>
        <w:bottom w:val="none" w:sz="0" w:space="0" w:color="auto"/>
        <w:right w:val="none" w:sz="0" w:space="0" w:color="auto"/>
      </w:divBdr>
    </w:div>
    <w:div w:id="1617830046">
      <w:bodyDiv w:val="1"/>
      <w:marLeft w:val="0"/>
      <w:marRight w:val="0"/>
      <w:marTop w:val="0"/>
      <w:marBottom w:val="0"/>
      <w:divBdr>
        <w:top w:val="none" w:sz="0" w:space="0" w:color="auto"/>
        <w:left w:val="none" w:sz="0" w:space="0" w:color="auto"/>
        <w:bottom w:val="none" w:sz="0" w:space="0" w:color="auto"/>
        <w:right w:val="none" w:sz="0" w:space="0" w:color="auto"/>
      </w:divBdr>
      <w:divsChild>
        <w:div w:id="899825701">
          <w:marLeft w:val="720"/>
          <w:marRight w:val="0"/>
          <w:marTop w:val="120"/>
          <w:marBottom w:val="0"/>
          <w:divBdr>
            <w:top w:val="none" w:sz="0" w:space="0" w:color="auto"/>
            <w:left w:val="none" w:sz="0" w:space="0" w:color="auto"/>
            <w:bottom w:val="none" w:sz="0" w:space="0" w:color="auto"/>
            <w:right w:val="none" w:sz="0" w:space="0" w:color="auto"/>
          </w:divBdr>
        </w:div>
        <w:div w:id="1218711527">
          <w:marLeft w:val="720"/>
          <w:marRight w:val="0"/>
          <w:marTop w:val="120"/>
          <w:marBottom w:val="0"/>
          <w:divBdr>
            <w:top w:val="none" w:sz="0" w:space="0" w:color="auto"/>
            <w:left w:val="none" w:sz="0" w:space="0" w:color="auto"/>
            <w:bottom w:val="none" w:sz="0" w:space="0" w:color="auto"/>
            <w:right w:val="none" w:sz="0" w:space="0" w:color="auto"/>
          </w:divBdr>
        </w:div>
      </w:divsChild>
    </w:div>
    <w:div w:id="1623001919">
      <w:bodyDiv w:val="1"/>
      <w:marLeft w:val="0"/>
      <w:marRight w:val="0"/>
      <w:marTop w:val="0"/>
      <w:marBottom w:val="0"/>
      <w:divBdr>
        <w:top w:val="none" w:sz="0" w:space="0" w:color="auto"/>
        <w:left w:val="none" w:sz="0" w:space="0" w:color="auto"/>
        <w:bottom w:val="none" w:sz="0" w:space="0" w:color="auto"/>
        <w:right w:val="none" w:sz="0" w:space="0" w:color="auto"/>
      </w:divBdr>
      <w:divsChild>
        <w:div w:id="312763117">
          <w:marLeft w:val="274"/>
          <w:marRight w:val="0"/>
          <w:marTop w:val="0"/>
          <w:marBottom w:val="0"/>
          <w:divBdr>
            <w:top w:val="none" w:sz="0" w:space="0" w:color="auto"/>
            <w:left w:val="none" w:sz="0" w:space="0" w:color="auto"/>
            <w:bottom w:val="none" w:sz="0" w:space="0" w:color="auto"/>
            <w:right w:val="none" w:sz="0" w:space="0" w:color="auto"/>
          </w:divBdr>
        </w:div>
        <w:div w:id="446435648">
          <w:marLeft w:val="274"/>
          <w:marRight w:val="0"/>
          <w:marTop w:val="0"/>
          <w:marBottom w:val="0"/>
          <w:divBdr>
            <w:top w:val="none" w:sz="0" w:space="0" w:color="auto"/>
            <w:left w:val="none" w:sz="0" w:space="0" w:color="auto"/>
            <w:bottom w:val="none" w:sz="0" w:space="0" w:color="auto"/>
            <w:right w:val="none" w:sz="0" w:space="0" w:color="auto"/>
          </w:divBdr>
        </w:div>
        <w:div w:id="720902933">
          <w:marLeft w:val="274"/>
          <w:marRight w:val="0"/>
          <w:marTop w:val="0"/>
          <w:marBottom w:val="0"/>
          <w:divBdr>
            <w:top w:val="none" w:sz="0" w:space="0" w:color="auto"/>
            <w:left w:val="none" w:sz="0" w:space="0" w:color="auto"/>
            <w:bottom w:val="none" w:sz="0" w:space="0" w:color="auto"/>
            <w:right w:val="none" w:sz="0" w:space="0" w:color="auto"/>
          </w:divBdr>
        </w:div>
        <w:div w:id="753405537">
          <w:marLeft w:val="994"/>
          <w:marRight w:val="0"/>
          <w:marTop w:val="0"/>
          <w:marBottom w:val="0"/>
          <w:divBdr>
            <w:top w:val="none" w:sz="0" w:space="0" w:color="auto"/>
            <w:left w:val="none" w:sz="0" w:space="0" w:color="auto"/>
            <w:bottom w:val="none" w:sz="0" w:space="0" w:color="auto"/>
            <w:right w:val="none" w:sz="0" w:space="0" w:color="auto"/>
          </w:divBdr>
        </w:div>
        <w:div w:id="758020005">
          <w:marLeft w:val="994"/>
          <w:marRight w:val="0"/>
          <w:marTop w:val="0"/>
          <w:marBottom w:val="0"/>
          <w:divBdr>
            <w:top w:val="none" w:sz="0" w:space="0" w:color="auto"/>
            <w:left w:val="none" w:sz="0" w:space="0" w:color="auto"/>
            <w:bottom w:val="none" w:sz="0" w:space="0" w:color="auto"/>
            <w:right w:val="none" w:sz="0" w:space="0" w:color="auto"/>
          </w:divBdr>
        </w:div>
        <w:div w:id="1318461081">
          <w:marLeft w:val="274"/>
          <w:marRight w:val="0"/>
          <w:marTop w:val="0"/>
          <w:marBottom w:val="0"/>
          <w:divBdr>
            <w:top w:val="none" w:sz="0" w:space="0" w:color="auto"/>
            <w:left w:val="none" w:sz="0" w:space="0" w:color="auto"/>
            <w:bottom w:val="none" w:sz="0" w:space="0" w:color="auto"/>
            <w:right w:val="none" w:sz="0" w:space="0" w:color="auto"/>
          </w:divBdr>
        </w:div>
        <w:div w:id="1331254655">
          <w:marLeft w:val="994"/>
          <w:marRight w:val="0"/>
          <w:marTop w:val="0"/>
          <w:marBottom w:val="0"/>
          <w:divBdr>
            <w:top w:val="none" w:sz="0" w:space="0" w:color="auto"/>
            <w:left w:val="none" w:sz="0" w:space="0" w:color="auto"/>
            <w:bottom w:val="none" w:sz="0" w:space="0" w:color="auto"/>
            <w:right w:val="none" w:sz="0" w:space="0" w:color="auto"/>
          </w:divBdr>
        </w:div>
        <w:div w:id="1415129856">
          <w:marLeft w:val="994"/>
          <w:marRight w:val="0"/>
          <w:marTop w:val="0"/>
          <w:marBottom w:val="0"/>
          <w:divBdr>
            <w:top w:val="none" w:sz="0" w:space="0" w:color="auto"/>
            <w:left w:val="none" w:sz="0" w:space="0" w:color="auto"/>
            <w:bottom w:val="none" w:sz="0" w:space="0" w:color="auto"/>
            <w:right w:val="none" w:sz="0" w:space="0" w:color="auto"/>
          </w:divBdr>
        </w:div>
        <w:div w:id="1643539035">
          <w:marLeft w:val="994"/>
          <w:marRight w:val="0"/>
          <w:marTop w:val="0"/>
          <w:marBottom w:val="0"/>
          <w:divBdr>
            <w:top w:val="none" w:sz="0" w:space="0" w:color="auto"/>
            <w:left w:val="none" w:sz="0" w:space="0" w:color="auto"/>
            <w:bottom w:val="none" w:sz="0" w:space="0" w:color="auto"/>
            <w:right w:val="none" w:sz="0" w:space="0" w:color="auto"/>
          </w:divBdr>
        </w:div>
        <w:div w:id="1969508406">
          <w:marLeft w:val="994"/>
          <w:marRight w:val="0"/>
          <w:marTop w:val="0"/>
          <w:marBottom w:val="0"/>
          <w:divBdr>
            <w:top w:val="none" w:sz="0" w:space="0" w:color="auto"/>
            <w:left w:val="none" w:sz="0" w:space="0" w:color="auto"/>
            <w:bottom w:val="none" w:sz="0" w:space="0" w:color="auto"/>
            <w:right w:val="none" w:sz="0" w:space="0" w:color="auto"/>
          </w:divBdr>
        </w:div>
      </w:divsChild>
    </w:div>
    <w:div w:id="1628003292">
      <w:bodyDiv w:val="1"/>
      <w:marLeft w:val="0"/>
      <w:marRight w:val="0"/>
      <w:marTop w:val="0"/>
      <w:marBottom w:val="0"/>
      <w:divBdr>
        <w:top w:val="none" w:sz="0" w:space="0" w:color="auto"/>
        <w:left w:val="none" w:sz="0" w:space="0" w:color="auto"/>
        <w:bottom w:val="none" w:sz="0" w:space="0" w:color="auto"/>
        <w:right w:val="none" w:sz="0" w:space="0" w:color="auto"/>
      </w:divBdr>
      <w:divsChild>
        <w:div w:id="471289323">
          <w:marLeft w:val="360"/>
          <w:marRight w:val="0"/>
          <w:marTop w:val="0"/>
          <w:marBottom w:val="120"/>
          <w:divBdr>
            <w:top w:val="none" w:sz="0" w:space="0" w:color="auto"/>
            <w:left w:val="none" w:sz="0" w:space="0" w:color="auto"/>
            <w:bottom w:val="none" w:sz="0" w:space="0" w:color="auto"/>
            <w:right w:val="none" w:sz="0" w:space="0" w:color="auto"/>
          </w:divBdr>
        </w:div>
        <w:div w:id="1634168191">
          <w:marLeft w:val="360"/>
          <w:marRight w:val="0"/>
          <w:marTop w:val="0"/>
          <w:marBottom w:val="120"/>
          <w:divBdr>
            <w:top w:val="none" w:sz="0" w:space="0" w:color="auto"/>
            <w:left w:val="none" w:sz="0" w:space="0" w:color="auto"/>
            <w:bottom w:val="none" w:sz="0" w:space="0" w:color="auto"/>
            <w:right w:val="none" w:sz="0" w:space="0" w:color="auto"/>
          </w:divBdr>
        </w:div>
      </w:divsChild>
    </w:div>
    <w:div w:id="1628049414">
      <w:bodyDiv w:val="1"/>
      <w:marLeft w:val="0"/>
      <w:marRight w:val="0"/>
      <w:marTop w:val="0"/>
      <w:marBottom w:val="0"/>
      <w:divBdr>
        <w:top w:val="none" w:sz="0" w:space="0" w:color="auto"/>
        <w:left w:val="none" w:sz="0" w:space="0" w:color="auto"/>
        <w:bottom w:val="none" w:sz="0" w:space="0" w:color="auto"/>
        <w:right w:val="none" w:sz="0" w:space="0" w:color="auto"/>
      </w:divBdr>
    </w:div>
    <w:div w:id="1633173835">
      <w:bodyDiv w:val="1"/>
      <w:marLeft w:val="0"/>
      <w:marRight w:val="0"/>
      <w:marTop w:val="0"/>
      <w:marBottom w:val="0"/>
      <w:divBdr>
        <w:top w:val="none" w:sz="0" w:space="0" w:color="auto"/>
        <w:left w:val="none" w:sz="0" w:space="0" w:color="auto"/>
        <w:bottom w:val="none" w:sz="0" w:space="0" w:color="auto"/>
        <w:right w:val="none" w:sz="0" w:space="0" w:color="auto"/>
      </w:divBdr>
      <w:divsChild>
        <w:div w:id="1663122155">
          <w:marLeft w:val="360"/>
          <w:marRight w:val="0"/>
          <w:marTop w:val="0"/>
          <w:marBottom w:val="120"/>
          <w:divBdr>
            <w:top w:val="none" w:sz="0" w:space="0" w:color="auto"/>
            <w:left w:val="none" w:sz="0" w:space="0" w:color="auto"/>
            <w:bottom w:val="none" w:sz="0" w:space="0" w:color="auto"/>
            <w:right w:val="none" w:sz="0" w:space="0" w:color="auto"/>
          </w:divBdr>
        </w:div>
      </w:divsChild>
    </w:div>
    <w:div w:id="1642030594">
      <w:bodyDiv w:val="1"/>
      <w:marLeft w:val="0"/>
      <w:marRight w:val="0"/>
      <w:marTop w:val="0"/>
      <w:marBottom w:val="0"/>
      <w:divBdr>
        <w:top w:val="none" w:sz="0" w:space="0" w:color="auto"/>
        <w:left w:val="none" w:sz="0" w:space="0" w:color="auto"/>
        <w:bottom w:val="none" w:sz="0" w:space="0" w:color="auto"/>
        <w:right w:val="none" w:sz="0" w:space="0" w:color="auto"/>
      </w:divBdr>
    </w:div>
    <w:div w:id="1650399895">
      <w:bodyDiv w:val="1"/>
      <w:marLeft w:val="0"/>
      <w:marRight w:val="0"/>
      <w:marTop w:val="0"/>
      <w:marBottom w:val="0"/>
      <w:divBdr>
        <w:top w:val="none" w:sz="0" w:space="0" w:color="auto"/>
        <w:left w:val="none" w:sz="0" w:space="0" w:color="auto"/>
        <w:bottom w:val="none" w:sz="0" w:space="0" w:color="auto"/>
        <w:right w:val="none" w:sz="0" w:space="0" w:color="auto"/>
      </w:divBdr>
    </w:div>
    <w:div w:id="1656376596">
      <w:bodyDiv w:val="1"/>
      <w:marLeft w:val="0"/>
      <w:marRight w:val="0"/>
      <w:marTop w:val="0"/>
      <w:marBottom w:val="0"/>
      <w:divBdr>
        <w:top w:val="none" w:sz="0" w:space="0" w:color="auto"/>
        <w:left w:val="none" w:sz="0" w:space="0" w:color="auto"/>
        <w:bottom w:val="none" w:sz="0" w:space="0" w:color="auto"/>
        <w:right w:val="none" w:sz="0" w:space="0" w:color="auto"/>
      </w:divBdr>
      <w:divsChild>
        <w:div w:id="159931486">
          <w:marLeft w:val="360"/>
          <w:marRight w:val="0"/>
          <w:marTop w:val="200"/>
          <w:marBottom w:val="0"/>
          <w:divBdr>
            <w:top w:val="none" w:sz="0" w:space="0" w:color="auto"/>
            <w:left w:val="none" w:sz="0" w:space="0" w:color="auto"/>
            <w:bottom w:val="none" w:sz="0" w:space="0" w:color="auto"/>
            <w:right w:val="none" w:sz="0" w:space="0" w:color="auto"/>
          </w:divBdr>
        </w:div>
        <w:div w:id="922420823">
          <w:marLeft w:val="360"/>
          <w:marRight w:val="0"/>
          <w:marTop w:val="200"/>
          <w:marBottom w:val="0"/>
          <w:divBdr>
            <w:top w:val="none" w:sz="0" w:space="0" w:color="auto"/>
            <w:left w:val="none" w:sz="0" w:space="0" w:color="auto"/>
            <w:bottom w:val="none" w:sz="0" w:space="0" w:color="auto"/>
            <w:right w:val="none" w:sz="0" w:space="0" w:color="auto"/>
          </w:divBdr>
        </w:div>
        <w:div w:id="1027606681">
          <w:marLeft w:val="360"/>
          <w:marRight w:val="0"/>
          <w:marTop w:val="200"/>
          <w:marBottom w:val="0"/>
          <w:divBdr>
            <w:top w:val="none" w:sz="0" w:space="0" w:color="auto"/>
            <w:left w:val="none" w:sz="0" w:space="0" w:color="auto"/>
            <w:bottom w:val="none" w:sz="0" w:space="0" w:color="auto"/>
            <w:right w:val="none" w:sz="0" w:space="0" w:color="auto"/>
          </w:divBdr>
        </w:div>
      </w:divsChild>
    </w:div>
    <w:div w:id="1660304746">
      <w:bodyDiv w:val="1"/>
      <w:marLeft w:val="0"/>
      <w:marRight w:val="0"/>
      <w:marTop w:val="0"/>
      <w:marBottom w:val="0"/>
      <w:divBdr>
        <w:top w:val="none" w:sz="0" w:space="0" w:color="auto"/>
        <w:left w:val="none" w:sz="0" w:space="0" w:color="auto"/>
        <w:bottom w:val="none" w:sz="0" w:space="0" w:color="auto"/>
        <w:right w:val="none" w:sz="0" w:space="0" w:color="auto"/>
      </w:divBdr>
      <w:divsChild>
        <w:div w:id="349452368">
          <w:marLeft w:val="360"/>
          <w:marRight w:val="0"/>
          <w:marTop w:val="0"/>
          <w:marBottom w:val="120"/>
          <w:divBdr>
            <w:top w:val="none" w:sz="0" w:space="0" w:color="auto"/>
            <w:left w:val="none" w:sz="0" w:space="0" w:color="auto"/>
            <w:bottom w:val="none" w:sz="0" w:space="0" w:color="auto"/>
            <w:right w:val="none" w:sz="0" w:space="0" w:color="auto"/>
          </w:divBdr>
        </w:div>
      </w:divsChild>
    </w:div>
    <w:div w:id="1667710450">
      <w:bodyDiv w:val="1"/>
      <w:marLeft w:val="0"/>
      <w:marRight w:val="0"/>
      <w:marTop w:val="0"/>
      <w:marBottom w:val="0"/>
      <w:divBdr>
        <w:top w:val="none" w:sz="0" w:space="0" w:color="auto"/>
        <w:left w:val="none" w:sz="0" w:space="0" w:color="auto"/>
        <w:bottom w:val="none" w:sz="0" w:space="0" w:color="auto"/>
        <w:right w:val="none" w:sz="0" w:space="0" w:color="auto"/>
      </w:divBdr>
      <w:divsChild>
        <w:div w:id="195048293">
          <w:marLeft w:val="360"/>
          <w:marRight w:val="0"/>
          <w:marTop w:val="200"/>
          <w:marBottom w:val="0"/>
          <w:divBdr>
            <w:top w:val="none" w:sz="0" w:space="0" w:color="auto"/>
            <w:left w:val="none" w:sz="0" w:space="0" w:color="auto"/>
            <w:bottom w:val="none" w:sz="0" w:space="0" w:color="auto"/>
            <w:right w:val="none" w:sz="0" w:space="0" w:color="auto"/>
          </w:divBdr>
        </w:div>
        <w:div w:id="1104152618">
          <w:marLeft w:val="360"/>
          <w:marRight w:val="0"/>
          <w:marTop w:val="200"/>
          <w:marBottom w:val="0"/>
          <w:divBdr>
            <w:top w:val="none" w:sz="0" w:space="0" w:color="auto"/>
            <w:left w:val="none" w:sz="0" w:space="0" w:color="auto"/>
            <w:bottom w:val="none" w:sz="0" w:space="0" w:color="auto"/>
            <w:right w:val="none" w:sz="0" w:space="0" w:color="auto"/>
          </w:divBdr>
        </w:div>
        <w:div w:id="1228227736">
          <w:marLeft w:val="360"/>
          <w:marRight w:val="0"/>
          <w:marTop w:val="200"/>
          <w:marBottom w:val="0"/>
          <w:divBdr>
            <w:top w:val="none" w:sz="0" w:space="0" w:color="auto"/>
            <w:left w:val="none" w:sz="0" w:space="0" w:color="auto"/>
            <w:bottom w:val="none" w:sz="0" w:space="0" w:color="auto"/>
            <w:right w:val="none" w:sz="0" w:space="0" w:color="auto"/>
          </w:divBdr>
        </w:div>
        <w:div w:id="1304694960">
          <w:marLeft w:val="360"/>
          <w:marRight w:val="0"/>
          <w:marTop w:val="200"/>
          <w:marBottom w:val="0"/>
          <w:divBdr>
            <w:top w:val="none" w:sz="0" w:space="0" w:color="auto"/>
            <w:left w:val="none" w:sz="0" w:space="0" w:color="auto"/>
            <w:bottom w:val="none" w:sz="0" w:space="0" w:color="auto"/>
            <w:right w:val="none" w:sz="0" w:space="0" w:color="auto"/>
          </w:divBdr>
        </w:div>
        <w:div w:id="1396125804">
          <w:marLeft w:val="360"/>
          <w:marRight w:val="0"/>
          <w:marTop w:val="200"/>
          <w:marBottom w:val="0"/>
          <w:divBdr>
            <w:top w:val="none" w:sz="0" w:space="0" w:color="auto"/>
            <w:left w:val="none" w:sz="0" w:space="0" w:color="auto"/>
            <w:bottom w:val="none" w:sz="0" w:space="0" w:color="auto"/>
            <w:right w:val="none" w:sz="0" w:space="0" w:color="auto"/>
          </w:divBdr>
        </w:div>
        <w:div w:id="1608191084">
          <w:marLeft w:val="360"/>
          <w:marRight w:val="0"/>
          <w:marTop w:val="200"/>
          <w:marBottom w:val="0"/>
          <w:divBdr>
            <w:top w:val="none" w:sz="0" w:space="0" w:color="auto"/>
            <w:left w:val="none" w:sz="0" w:space="0" w:color="auto"/>
            <w:bottom w:val="none" w:sz="0" w:space="0" w:color="auto"/>
            <w:right w:val="none" w:sz="0" w:space="0" w:color="auto"/>
          </w:divBdr>
        </w:div>
        <w:div w:id="1913739583">
          <w:marLeft w:val="360"/>
          <w:marRight w:val="0"/>
          <w:marTop w:val="200"/>
          <w:marBottom w:val="0"/>
          <w:divBdr>
            <w:top w:val="none" w:sz="0" w:space="0" w:color="auto"/>
            <w:left w:val="none" w:sz="0" w:space="0" w:color="auto"/>
            <w:bottom w:val="none" w:sz="0" w:space="0" w:color="auto"/>
            <w:right w:val="none" w:sz="0" w:space="0" w:color="auto"/>
          </w:divBdr>
        </w:div>
      </w:divsChild>
    </w:div>
    <w:div w:id="1670133146">
      <w:bodyDiv w:val="1"/>
      <w:marLeft w:val="0"/>
      <w:marRight w:val="0"/>
      <w:marTop w:val="0"/>
      <w:marBottom w:val="0"/>
      <w:divBdr>
        <w:top w:val="none" w:sz="0" w:space="0" w:color="auto"/>
        <w:left w:val="none" w:sz="0" w:space="0" w:color="auto"/>
        <w:bottom w:val="none" w:sz="0" w:space="0" w:color="auto"/>
        <w:right w:val="none" w:sz="0" w:space="0" w:color="auto"/>
      </w:divBdr>
    </w:div>
    <w:div w:id="1673332173">
      <w:bodyDiv w:val="1"/>
      <w:marLeft w:val="0"/>
      <w:marRight w:val="0"/>
      <w:marTop w:val="0"/>
      <w:marBottom w:val="0"/>
      <w:divBdr>
        <w:top w:val="none" w:sz="0" w:space="0" w:color="auto"/>
        <w:left w:val="none" w:sz="0" w:space="0" w:color="auto"/>
        <w:bottom w:val="none" w:sz="0" w:space="0" w:color="auto"/>
        <w:right w:val="none" w:sz="0" w:space="0" w:color="auto"/>
      </w:divBdr>
      <w:divsChild>
        <w:div w:id="482308343">
          <w:marLeft w:val="720"/>
          <w:marRight w:val="0"/>
          <w:marTop w:val="120"/>
          <w:marBottom w:val="120"/>
          <w:divBdr>
            <w:top w:val="none" w:sz="0" w:space="0" w:color="auto"/>
            <w:left w:val="none" w:sz="0" w:space="0" w:color="auto"/>
            <w:bottom w:val="none" w:sz="0" w:space="0" w:color="auto"/>
            <w:right w:val="none" w:sz="0" w:space="0" w:color="auto"/>
          </w:divBdr>
        </w:div>
        <w:div w:id="597254881">
          <w:marLeft w:val="1440"/>
          <w:marRight w:val="0"/>
          <w:marTop w:val="120"/>
          <w:marBottom w:val="120"/>
          <w:divBdr>
            <w:top w:val="none" w:sz="0" w:space="0" w:color="auto"/>
            <w:left w:val="none" w:sz="0" w:space="0" w:color="auto"/>
            <w:bottom w:val="none" w:sz="0" w:space="0" w:color="auto"/>
            <w:right w:val="none" w:sz="0" w:space="0" w:color="auto"/>
          </w:divBdr>
        </w:div>
        <w:div w:id="787354111">
          <w:marLeft w:val="720"/>
          <w:marRight w:val="0"/>
          <w:marTop w:val="120"/>
          <w:marBottom w:val="120"/>
          <w:divBdr>
            <w:top w:val="none" w:sz="0" w:space="0" w:color="auto"/>
            <w:left w:val="none" w:sz="0" w:space="0" w:color="auto"/>
            <w:bottom w:val="none" w:sz="0" w:space="0" w:color="auto"/>
            <w:right w:val="none" w:sz="0" w:space="0" w:color="auto"/>
          </w:divBdr>
        </w:div>
        <w:div w:id="1413744142">
          <w:marLeft w:val="1440"/>
          <w:marRight w:val="0"/>
          <w:marTop w:val="120"/>
          <w:marBottom w:val="120"/>
          <w:divBdr>
            <w:top w:val="none" w:sz="0" w:space="0" w:color="auto"/>
            <w:left w:val="none" w:sz="0" w:space="0" w:color="auto"/>
            <w:bottom w:val="none" w:sz="0" w:space="0" w:color="auto"/>
            <w:right w:val="none" w:sz="0" w:space="0" w:color="auto"/>
          </w:divBdr>
        </w:div>
      </w:divsChild>
    </w:div>
    <w:div w:id="1677001731">
      <w:bodyDiv w:val="1"/>
      <w:marLeft w:val="0"/>
      <w:marRight w:val="0"/>
      <w:marTop w:val="0"/>
      <w:marBottom w:val="0"/>
      <w:divBdr>
        <w:top w:val="none" w:sz="0" w:space="0" w:color="auto"/>
        <w:left w:val="none" w:sz="0" w:space="0" w:color="auto"/>
        <w:bottom w:val="none" w:sz="0" w:space="0" w:color="auto"/>
        <w:right w:val="none" w:sz="0" w:space="0" w:color="auto"/>
      </w:divBdr>
      <w:divsChild>
        <w:div w:id="1385904194">
          <w:marLeft w:val="1080"/>
          <w:marRight w:val="0"/>
          <w:marTop w:val="100"/>
          <w:marBottom w:val="0"/>
          <w:divBdr>
            <w:top w:val="none" w:sz="0" w:space="0" w:color="auto"/>
            <w:left w:val="none" w:sz="0" w:space="0" w:color="auto"/>
            <w:bottom w:val="none" w:sz="0" w:space="0" w:color="auto"/>
            <w:right w:val="none" w:sz="0" w:space="0" w:color="auto"/>
          </w:divBdr>
        </w:div>
        <w:div w:id="1664773090">
          <w:marLeft w:val="1080"/>
          <w:marRight w:val="0"/>
          <w:marTop w:val="100"/>
          <w:marBottom w:val="0"/>
          <w:divBdr>
            <w:top w:val="none" w:sz="0" w:space="0" w:color="auto"/>
            <w:left w:val="none" w:sz="0" w:space="0" w:color="auto"/>
            <w:bottom w:val="none" w:sz="0" w:space="0" w:color="auto"/>
            <w:right w:val="none" w:sz="0" w:space="0" w:color="auto"/>
          </w:divBdr>
        </w:div>
        <w:div w:id="1936742356">
          <w:marLeft w:val="1080"/>
          <w:marRight w:val="0"/>
          <w:marTop w:val="100"/>
          <w:marBottom w:val="0"/>
          <w:divBdr>
            <w:top w:val="none" w:sz="0" w:space="0" w:color="auto"/>
            <w:left w:val="none" w:sz="0" w:space="0" w:color="auto"/>
            <w:bottom w:val="none" w:sz="0" w:space="0" w:color="auto"/>
            <w:right w:val="none" w:sz="0" w:space="0" w:color="auto"/>
          </w:divBdr>
        </w:div>
        <w:div w:id="2065180502">
          <w:marLeft w:val="1080"/>
          <w:marRight w:val="0"/>
          <w:marTop w:val="100"/>
          <w:marBottom w:val="0"/>
          <w:divBdr>
            <w:top w:val="none" w:sz="0" w:space="0" w:color="auto"/>
            <w:left w:val="none" w:sz="0" w:space="0" w:color="auto"/>
            <w:bottom w:val="none" w:sz="0" w:space="0" w:color="auto"/>
            <w:right w:val="none" w:sz="0" w:space="0" w:color="auto"/>
          </w:divBdr>
        </w:div>
      </w:divsChild>
    </w:div>
    <w:div w:id="1677001846">
      <w:bodyDiv w:val="1"/>
      <w:marLeft w:val="0"/>
      <w:marRight w:val="0"/>
      <w:marTop w:val="0"/>
      <w:marBottom w:val="0"/>
      <w:divBdr>
        <w:top w:val="none" w:sz="0" w:space="0" w:color="auto"/>
        <w:left w:val="none" w:sz="0" w:space="0" w:color="auto"/>
        <w:bottom w:val="none" w:sz="0" w:space="0" w:color="auto"/>
        <w:right w:val="none" w:sz="0" w:space="0" w:color="auto"/>
      </w:divBdr>
    </w:div>
    <w:div w:id="1681620482">
      <w:bodyDiv w:val="1"/>
      <w:marLeft w:val="0"/>
      <w:marRight w:val="0"/>
      <w:marTop w:val="0"/>
      <w:marBottom w:val="0"/>
      <w:divBdr>
        <w:top w:val="none" w:sz="0" w:space="0" w:color="auto"/>
        <w:left w:val="none" w:sz="0" w:space="0" w:color="auto"/>
        <w:bottom w:val="none" w:sz="0" w:space="0" w:color="auto"/>
        <w:right w:val="none" w:sz="0" w:space="0" w:color="auto"/>
      </w:divBdr>
      <w:divsChild>
        <w:div w:id="594443762">
          <w:marLeft w:val="720"/>
          <w:marRight w:val="0"/>
          <w:marTop w:val="120"/>
          <w:marBottom w:val="0"/>
          <w:divBdr>
            <w:top w:val="none" w:sz="0" w:space="0" w:color="auto"/>
            <w:left w:val="none" w:sz="0" w:space="0" w:color="auto"/>
            <w:bottom w:val="none" w:sz="0" w:space="0" w:color="auto"/>
            <w:right w:val="none" w:sz="0" w:space="0" w:color="auto"/>
          </w:divBdr>
        </w:div>
        <w:div w:id="1075397575">
          <w:marLeft w:val="720"/>
          <w:marRight w:val="0"/>
          <w:marTop w:val="120"/>
          <w:marBottom w:val="0"/>
          <w:divBdr>
            <w:top w:val="none" w:sz="0" w:space="0" w:color="auto"/>
            <w:left w:val="none" w:sz="0" w:space="0" w:color="auto"/>
            <w:bottom w:val="none" w:sz="0" w:space="0" w:color="auto"/>
            <w:right w:val="none" w:sz="0" w:space="0" w:color="auto"/>
          </w:divBdr>
        </w:div>
      </w:divsChild>
    </w:div>
    <w:div w:id="1701979403">
      <w:bodyDiv w:val="1"/>
      <w:marLeft w:val="0"/>
      <w:marRight w:val="0"/>
      <w:marTop w:val="0"/>
      <w:marBottom w:val="0"/>
      <w:divBdr>
        <w:top w:val="none" w:sz="0" w:space="0" w:color="auto"/>
        <w:left w:val="none" w:sz="0" w:space="0" w:color="auto"/>
        <w:bottom w:val="none" w:sz="0" w:space="0" w:color="auto"/>
        <w:right w:val="none" w:sz="0" w:space="0" w:color="auto"/>
      </w:divBdr>
      <w:divsChild>
        <w:div w:id="519660384">
          <w:marLeft w:val="360"/>
          <w:marRight w:val="0"/>
          <w:marTop w:val="0"/>
          <w:marBottom w:val="120"/>
          <w:divBdr>
            <w:top w:val="none" w:sz="0" w:space="0" w:color="auto"/>
            <w:left w:val="none" w:sz="0" w:space="0" w:color="auto"/>
            <w:bottom w:val="none" w:sz="0" w:space="0" w:color="auto"/>
            <w:right w:val="none" w:sz="0" w:space="0" w:color="auto"/>
          </w:divBdr>
        </w:div>
        <w:div w:id="797529333">
          <w:marLeft w:val="1080"/>
          <w:marRight w:val="0"/>
          <w:marTop w:val="0"/>
          <w:marBottom w:val="120"/>
          <w:divBdr>
            <w:top w:val="none" w:sz="0" w:space="0" w:color="auto"/>
            <w:left w:val="none" w:sz="0" w:space="0" w:color="auto"/>
            <w:bottom w:val="none" w:sz="0" w:space="0" w:color="auto"/>
            <w:right w:val="none" w:sz="0" w:space="0" w:color="auto"/>
          </w:divBdr>
        </w:div>
        <w:div w:id="1230532198">
          <w:marLeft w:val="360"/>
          <w:marRight w:val="0"/>
          <w:marTop w:val="0"/>
          <w:marBottom w:val="120"/>
          <w:divBdr>
            <w:top w:val="none" w:sz="0" w:space="0" w:color="auto"/>
            <w:left w:val="none" w:sz="0" w:space="0" w:color="auto"/>
            <w:bottom w:val="none" w:sz="0" w:space="0" w:color="auto"/>
            <w:right w:val="none" w:sz="0" w:space="0" w:color="auto"/>
          </w:divBdr>
        </w:div>
      </w:divsChild>
    </w:div>
    <w:div w:id="1724016317">
      <w:bodyDiv w:val="1"/>
      <w:marLeft w:val="0"/>
      <w:marRight w:val="0"/>
      <w:marTop w:val="0"/>
      <w:marBottom w:val="0"/>
      <w:divBdr>
        <w:top w:val="none" w:sz="0" w:space="0" w:color="auto"/>
        <w:left w:val="none" w:sz="0" w:space="0" w:color="auto"/>
        <w:bottom w:val="none" w:sz="0" w:space="0" w:color="auto"/>
        <w:right w:val="none" w:sz="0" w:space="0" w:color="auto"/>
      </w:divBdr>
      <w:divsChild>
        <w:div w:id="440879929">
          <w:marLeft w:val="360"/>
          <w:marRight w:val="0"/>
          <w:marTop w:val="200"/>
          <w:marBottom w:val="0"/>
          <w:divBdr>
            <w:top w:val="none" w:sz="0" w:space="0" w:color="auto"/>
            <w:left w:val="none" w:sz="0" w:space="0" w:color="auto"/>
            <w:bottom w:val="none" w:sz="0" w:space="0" w:color="auto"/>
            <w:right w:val="none" w:sz="0" w:space="0" w:color="auto"/>
          </w:divBdr>
        </w:div>
      </w:divsChild>
    </w:div>
    <w:div w:id="1735198499">
      <w:bodyDiv w:val="1"/>
      <w:marLeft w:val="0"/>
      <w:marRight w:val="0"/>
      <w:marTop w:val="0"/>
      <w:marBottom w:val="0"/>
      <w:divBdr>
        <w:top w:val="none" w:sz="0" w:space="0" w:color="auto"/>
        <w:left w:val="none" w:sz="0" w:space="0" w:color="auto"/>
        <w:bottom w:val="none" w:sz="0" w:space="0" w:color="auto"/>
        <w:right w:val="none" w:sz="0" w:space="0" w:color="auto"/>
      </w:divBdr>
    </w:div>
    <w:div w:id="1748187927">
      <w:bodyDiv w:val="1"/>
      <w:marLeft w:val="0"/>
      <w:marRight w:val="0"/>
      <w:marTop w:val="0"/>
      <w:marBottom w:val="0"/>
      <w:divBdr>
        <w:top w:val="none" w:sz="0" w:space="0" w:color="auto"/>
        <w:left w:val="none" w:sz="0" w:space="0" w:color="auto"/>
        <w:bottom w:val="none" w:sz="0" w:space="0" w:color="auto"/>
        <w:right w:val="none" w:sz="0" w:space="0" w:color="auto"/>
      </w:divBdr>
      <w:divsChild>
        <w:div w:id="558055428">
          <w:marLeft w:val="1440"/>
          <w:marRight w:val="0"/>
          <w:marTop w:val="120"/>
          <w:marBottom w:val="0"/>
          <w:divBdr>
            <w:top w:val="none" w:sz="0" w:space="0" w:color="auto"/>
            <w:left w:val="none" w:sz="0" w:space="0" w:color="auto"/>
            <w:bottom w:val="none" w:sz="0" w:space="0" w:color="auto"/>
            <w:right w:val="none" w:sz="0" w:space="0" w:color="auto"/>
          </w:divBdr>
        </w:div>
        <w:div w:id="765460658">
          <w:marLeft w:val="720"/>
          <w:marRight w:val="0"/>
          <w:marTop w:val="120"/>
          <w:marBottom w:val="0"/>
          <w:divBdr>
            <w:top w:val="none" w:sz="0" w:space="0" w:color="auto"/>
            <w:left w:val="none" w:sz="0" w:space="0" w:color="auto"/>
            <w:bottom w:val="none" w:sz="0" w:space="0" w:color="auto"/>
            <w:right w:val="none" w:sz="0" w:space="0" w:color="auto"/>
          </w:divBdr>
        </w:div>
      </w:divsChild>
    </w:div>
    <w:div w:id="1749377501">
      <w:bodyDiv w:val="1"/>
      <w:marLeft w:val="0"/>
      <w:marRight w:val="0"/>
      <w:marTop w:val="0"/>
      <w:marBottom w:val="0"/>
      <w:divBdr>
        <w:top w:val="none" w:sz="0" w:space="0" w:color="auto"/>
        <w:left w:val="none" w:sz="0" w:space="0" w:color="auto"/>
        <w:bottom w:val="none" w:sz="0" w:space="0" w:color="auto"/>
        <w:right w:val="none" w:sz="0" w:space="0" w:color="auto"/>
      </w:divBdr>
    </w:div>
    <w:div w:id="1749883043">
      <w:bodyDiv w:val="1"/>
      <w:marLeft w:val="0"/>
      <w:marRight w:val="0"/>
      <w:marTop w:val="0"/>
      <w:marBottom w:val="0"/>
      <w:divBdr>
        <w:top w:val="none" w:sz="0" w:space="0" w:color="auto"/>
        <w:left w:val="none" w:sz="0" w:space="0" w:color="auto"/>
        <w:bottom w:val="none" w:sz="0" w:space="0" w:color="auto"/>
        <w:right w:val="none" w:sz="0" w:space="0" w:color="auto"/>
      </w:divBdr>
      <w:divsChild>
        <w:div w:id="1116212656">
          <w:marLeft w:val="360"/>
          <w:marRight w:val="0"/>
          <w:marTop w:val="200"/>
          <w:marBottom w:val="0"/>
          <w:divBdr>
            <w:top w:val="none" w:sz="0" w:space="0" w:color="auto"/>
            <w:left w:val="none" w:sz="0" w:space="0" w:color="auto"/>
            <w:bottom w:val="none" w:sz="0" w:space="0" w:color="auto"/>
            <w:right w:val="none" w:sz="0" w:space="0" w:color="auto"/>
          </w:divBdr>
        </w:div>
        <w:div w:id="1119449377">
          <w:marLeft w:val="1080"/>
          <w:marRight w:val="0"/>
          <w:marTop w:val="100"/>
          <w:marBottom w:val="0"/>
          <w:divBdr>
            <w:top w:val="none" w:sz="0" w:space="0" w:color="auto"/>
            <w:left w:val="none" w:sz="0" w:space="0" w:color="auto"/>
            <w:bottom w:val="none" w:sz="0" w:space="0" w:color="auto"/>
            <w:right w:val="none" w:sz="0" w:space="0" w:color="auto"/>
          </w:divBdr>
        </w:div>
        <w:div w:id="1589540691">
          <w:marLeft w:val="360"/>
          <w:marRight w:val="0"/>
          <w:marTop w:val="200"/>
          <w:marBottom w:val="0"/>
          <w:divBdr>
            <w:top w:val="none" w:sz="0" w:space="0" w:color="auto"/>
            <w:left w:val="none" w:sz="0" w:space="0" w:color="auto"/>
            <w:bottom w:val="none" w:sz="0" w:space="0" w:color="auto"/>
            <w:right w:val="none" w:sz="0" w:space="0" w:color="auto"/>
          </w:divBdr>
        </w:div>
        <w:div w:id="1805272662">
          <w:marLeft w:val="1080"/>
          <w:marRight w:val="0"/>
          <w:marTop w:val="100"/>
          <w:marBottom w:val="0"/>
          <w:divBdr>
            <w:top w:val="none" w:sz="0" w:space="0" w:color="auto"/>
            <w:left w:val="none" w:sz="0" w:space="0" w:color="auto"/>
            <w:bottom w:val="none" w:sz="0" w:space="0" w:color="auto"/>
            <w:right w:val="none" w:sz="0" w:space="0" w:color="auto"/>
          </w:divBdr>
        </w:div>
        <w:div w:id="1898322731">
          <w:marLeft w:val="360"/>
          <w:marRight w:val="0"/>
          <w:marTop w:val="200"/>
          <w:marBottom w:val="0"/>
          <w:divBdr>
            <w:top w:val="none" w:sz="0" w:space="0" w:color="auto"/>
            <w:left w:val="none" w:sz="0" w:space="0" w:color="auto"/>
            <w:bottom w:val="none" w:sz="0" w:space="0" w:color="auto"/>
            <w:right w:val="none" w:sz="0" w:space="0" w:color="auto"/>
          </w:divBdr>
        </w:div>
      </w:divsChild>
    </w:div>
    <w:div w:id="1751004968">
      <w:bodyDiv w:val="1"/>
      <w:marLeft w:val="0"/>
      <w:marRight w:val="0"/>
      <w:marTop w:val="0"/>
      <w:marBottom w:val="0"/>
      <w:divBdr>
        <w:top w:val="none" w:sz="0" w:space="0" w:color="auto"/>
        <w:left w:val="none" w:sz="0" w:space="0" w:color="auto"/>
        <w:bottom w:val="none" w:sz="0" w:space="0" w:color="auto"/>
        <w:right w:val="none" w:sz="0" w:space="0" w:color="auto"/>
      </w:divBdr>
      <w:divsChild>
        <w:div w:id="213591034">
          <w:marLeft w:val="720"/>
          <w:marRight w:val="0"/>
          <w:marTop w:val="120"/>
          <w:marBottom w:val="0"/>
          <w:divBdr>
            <w:top w:val="none" w:sz="0" w:space="0" w:color="auto"/>
            <w:left w:val="none" w:sz="0" w:space="0" w:color="auto"/>
            <w:bottom w:val="none" w:sz="0" w:space="0" w:color="auto"/>
            <w:right w:val="none" w:sz="0" w:space="0" w:color="auto"/>
          </w:divBdr>
        </w:div>
        <w:div w:id="241180213">
          <w:marLeft w:val="720"/>
          <w:marRight w:val="0"/>
          <w:marTop w:val="120"/>
          <w:marBottom w:val="0"/>
          <w:divBdr>
            <w:top w:val="none" w:sz="0" w:space="0" w:color="auto"/>
            <w:left w:val="none" w:sz="0" w:space="0" w:color="auto"/>
            <w:bottom w:val="none" w:sz="0" w:space="0" w:color="auto"/>
            <w:right w:val="none" w:sz="0" w:space="0" w:color="auto"/>
          </w:divBdr>
        </w:div>
      </w:divsChild>
    </w:div>
    <w:div w:id="1752241042">
      <w:bodyDiv w:val="1"/>
      <w:marLeft w:val="0"/>
      <w:marRight w:val="0"/>
      <w:marTop w:val="0"/>
      <w:marBottom w:val="0"/>
      <w:divBdr>
        <w:top w:val="none" w:sz="0" w:space="0" w:color="auto"/>
        <w:left w:val="none" w:sz="0" w:space="0" w:color="auto"/>
        <w:bottom w:val="none" w:sz="0" w:space="0" w:color="auto"/>
        <w:right w:val="none" w:sz="0" w:space="0" w:color="auto"/>
      </w:divBdr>
      <w:divsChild>
        <w:div w:id="73747618">
          <w:marLeft w:val="274"/>
          <w:marRight w:val="0"/>
          <w:marTop w:val="0"/>
          <w:marBottom w:val="0"/>
          <w:divBdr>
            <w:top w:val="none" w:sz="0" w:space="0" w:color="auto"/>
            <w:left w:val="none" w:sz="0" w:space="0" w:color="auto"/>
            <w:bottom w:val="none" w:sz="0" w:space="0" w:color="auto"/>
            <w:right w:val="none" w:sz="0" w:space="0" w:color="auto"/>
          </w:divBdr>
        </w:div>
        <w:div w:id="839735224">
          <w:marLeft w:val="274"/>
          <w:marRight w:val="0"/>
          <w:marTop w:val="0"/>
          <w:marBottom w:val="0"/>
          <w:divBdr>
            <w:top w:val="none" w:sz="0" w:space="0" w:color="auto"/>
            <w:left w:val="none" w:sz="0" w:space="0" w:color="auto"/>
            <w:bottom w:val="none" w:sz="0" w:space="0" w:color="auto"/>
            <w:right w:val="none" w:sz="0" w:space="0" w:color="auto"/>
          </w:divBdr>
        </w:div>
        <w:div w:id="1518303628">
          <w:marLeft w:val="274"/>
          <w:marRight w:val="0"/>
          <w:marTop w:val="0"/>
          <w:marBottom w:val="0"/>
          <w:divBdr>
            <w:top w:val="none" w:sz="0" w:space="0" w:color="auto"/>
            <w:left w:val="none" w:sz="0" w:space="0" w:color="auto"/>
            <w:bottom w:val="none" w:sz="0" w:space="0" w:color="auto"/>
            <w:right w:val="none" w:sz="0" w:space="0" w:color="auto"/>
          </w:divBdr>
        </w:div>
        <w:div w:id="2001694427">
          <w:marLeft w:val="274"/>
          <w:marRight w:val="0"/>
          <w:marTop w:val="0"/>
          <w:marBottom w:val="0"/>
          <w:divBdr>
            <w:top w:val="none" w:sz="0" w:space="0" w:color="auto"/>
            <w:left w:val="none" w:sz="0" w:space="0" w:color="auto"/>
            <w:bottom w:val="none" w:sz="0" w:space="0" w:color="auto"/>
            <w:right w:val="none" w:sz="0" w:space="0" w:color="auto"/>
          </w:divBdr>
        </w:div>
      </w:divsChild>
    </w:div>
    <w:div w:id="1773893566">
      <w:bodyDiv w:val="1"/>
      <w:marLeft w:val="0"/>
      <w:marRight w:val="0"/>
      <w:marTop w:val="0"/>
      <w:marBottom w:val="0"/>
      <w:divBdr>
        <w:top w:val="none" w:sz="0" w:space="0" w:color="auto"/>
        <w:left w:val="none" w:sz="0" w:space="0" w:color="auto"/>
        <w:bottom w:val="none" w:sz="0" w:space="0" w:color="auto"/>
        <w:right w:val="none" w:sz="0" w:space="0" w:color="auto"/>
      </w:divBdr>
    </w:div>
    <w:div w:id="1786197554">
      <w:bodyDiv w:val="1"/>
      <w:marLeft w:val="0"/>
      <w:marRight w:val="0"/>
      <w:marTop w:val="0"/>
      <w:marBottom w:val="0"/>
      <w:divBdr>
        <w:top w:val="none" w:sz="0" w:space="0" w:color="auto"/>
        <w:left w:val="none" w:sz="0" w:space="0" w:color="auto"/>
        <w:bottom w:val="none" w:sz="0" w:space="0" w:color="auto"/>
        <w:right w:val="none" w:sz="0" w:space="0" w:color="auto"/>
      </w:divBdr>
    </w:div>
    <w:div w:id="1791899926">
      <w:bodyDiv w:val="1"/>
      <w:marLeft w:val="0"/>
      <w:marRight w:val="0"/>
      <w:marTop w:val="0"/>
      <w:marBottom w:val="0"/>
      <w:divBdr>
        <w:top w:val="none" w:sz="0" w:space="0" w:color="auto"/>
        <w:left w:val="none" w:sz="0" w:space="0" w:color="auto"/>
        <w:bottom w:val="none" w:sz="0" w:space="0" w:color="auto"/>
        <w:right w:val="none" w:sz="0" w:space="0" w:color="auto"/>
      </w:divBdr>
      <w:divsChild>
        <w:div w:id="787704952">
          <w:marLeft w:val="360"/>
          <w:marRight w:val="0"/>
          <w:marTop w:val="200"/>
          <w:marBottom w:val="0"/>
          <w:divBdr>
            <w:top w:val="none" w:sz="0" w:space="0" w:color="auto"/>
            <w:left w:val="none" w:sz="0" w:space="0" w:color="auto"/>
            <w:bottom w:val="none" w:sz="0" w:space="0" w:color="auto"/>
            <w:right w:val="none" w:sz="0" w:space="0" w:color="auto"/>
          </w:divBdr>
        </w:div>
        <w:div w:id="834347506">
          <w:marLeft w:val="360"/>
          <w:marRight w:val="0"/>
          <w:marTop w:val="200"/>
          <w:marBottom w:val="0"/>
          <w:divBdr>
            <w:top w:val="none" w:sz="0" w:space="0" w:color="auto"/>
            <w:left w:val="none" w:sz="0" w:space="0" w:color="auto"/>
            <w:bottom w:val="none" w:sz="0" w:space="0" w:color="auto"/>
            <w:right w:val="none" w:sz="0" w:space="0" w:color="auto"/>
          </w:divBdr>
        </w:div>
        <w:div w:id="909343525">
          <w:marLeft w:val="360"/>
          <w:marRight w:val="0"/>
          <w:marTop w:val="200"/>
          <w:marBottom w:val="0"/>
          <w:divBdr>
            <w:top w:val="none" w:sz="0" w:space="0" w:color="auto"/>
            <w:left w:val="none" w:sz="0" w:space="0" w:color="auto"/>
            <w:bottom w:val="none" w:sz="0" w:space="0" w:color="auto"/>
            <w:right w:val="none" w:sz="0" w:space="0" w:color="auto"/>
          </w:divBdr>
        </w:div>
        <w:div w:id="1540777110">
          <w:marLeft w:val="360"/>
          <w:marRight w:val="0"/>
          <w:marTop w:val="200"/>
          <w:marBottom w:val="0"/>
          <w:divBdr>
            <w:top w:val="none" w:sz="0" w:space="0" w:color="auto"/>
            <w:left w:val="none" w:sz="0" w:space="0" w:color="auto"/>
            <w:bottom w:val="none" w:sz="0" w:space="0" w:color="auto"/>
            <w:right w:val="none" w:sz="0" w:space="0" w:color="auto"/>
          </w:divBdr>
        </w:div>
      </w:divsChild>
    </w:div>
    <w:div w:id="1799105004">
      <w:bodyDiv w:val="1"/>
      <w:marLeft w:val="0"/>
      <w:marRight w:val="0"/>
      <w:marTop w:val="0"/>
      <w:marBottom w:val="0"/>
      <w:divBdr>
        <w:top w:val="none" w:sz="0" w:space="0" w:color="auto"/>
        <w:left w:val="none" w:sz="0" w:space="0" w:color="auto"/>
        <w:bottom w:val="none" w:sz="0" w:space="0" w:color="auto"/>
        <w:right w:val="none" w:sz="0" w:space="0" w:color="auto"/>
      </w:divBdr>
    </w:div>
    <w:div w:id="1802112025">
      <w:bodyDiv w:val="1"/>
      <w:marLeft w:val="0"/>
      <w:marRight w:val="0"/>
      <w:marTop w:val="0"/>
      <w:marBottom w:val="0"/>
      <w:divBdr>
        <w:top w:val="none" w:sz="0" w:space="0" w:color="auto"/>
        <w:left w:val="none" w:sz="0" w:space="0" w:color="auto"/>
        <w:bottom w:val="none" w:sz="0" w:space="0" w:color="auto"/>
        <w:right w:val="none" w:sz="0" w:space="0" w:color="auto"/>
      </w:divBdr>
      <w:divsChild>
        <w:div w:id="212162225">
          <w:marLeft w:val="360"/>
          <w:marRight w:val="0"/>
          <w:marTop w:val="0"/>
          <w:marBottom w:val="120"/>
          <w:divBdr>
            <w:top w:val="none" w:sz="0" w:space="0" w:color="auto"/>
            <w:left w:val="none" w:sz="0" w:space="0" w:color="auto"/>
            <w:bottom w:val="none" w:sz="0" w:space="0" w:color="auto"/>
            <w:right w:val="none" w:sz="0" w:space="0" w:color="auto"/>
          </w:divBdr>
        </w:div>
        <w:div w:id="541551677">
          <w:marLeft w:val="360"/>
          <w:marRight w:val="0"/>
          <w:marTop w:val="0"/>
          <w:marBottom w:val="120"/>
          <w:divBdr>
            <w:top w:val="none" w:sz="0" w:space="0" w:color="auto"/>
            <w:left w:val="none" w:sz="0" w:space="0" w:color="auto"/>
            <w:bottom w:val="none" w:sz="0" w:space="0" w:color="auto"/>
            <w:right w:val="none" w:sz="0" w:space="0" w:color="auto"/>
          </w:divBdr>
        </w:div>
        <w:div w:id="972715612">
          <w:marLeft w:val="360"/>
          <w:marRight w:val="0"/>
          <w:marTop w:val="0"/>
          <w:marBottom w:val="120"/>
          <w:divBdr>
            <w:top w:val="none" w:sz="0" w:space="0" w:color="auto"/>
            <w:left w:val="none" w:sz="0" w:space="0" w:color="auto"/>
            <w:bottom w:val="none" w:sz="0" w:space="0" w:color="auto"/>
            <w:right w:val="none" w:sz="0" w:space="0" w:color="auto"/>
          </w:divBdr>
        </w:div>
        <w:div w:id="2094860678">
          <w:marLeft w:val="360"/>
          <w:marRight w:val="0"/>
          <w:marTop w:val="0"/>
          <w:marBottom w:val="120"/>
          <w:divBdr>
            <w:top w:val="none" w:sz="0" w:space="0" w:color="auto"/>
            <w:left w:val="none" w:sz="0" w:space="0" w:color="auto"/>
            <w:bottom w:val="none" w:sz="0" w:space="0" w:color="auto"/>
            <w:right w:val="none" w:sz="0" w:space="0" w:color="auto"/>
          </w:divBdr>
        </w:div>
      </w:divsChild>
    </w:div>
    <w:div w:id="1815444468">
      <w:bodyDiv w:val="1"/>
      <w:marLeft w:val="0"/>
      <w:marRight w:val="0"/>
      <w:marTop w:val="0"/>
      <w:marBottom w:val="0"/>
      <w:divBdr>
        <w:top w:val="none" w:sz="0" w:space="0" w:color="auto"/>
        <w:left w:val="none" w:sz="0" w:space="0" w:color="auto"/>
        <w:bottom w:val="none" w:sz="0" w:space="0" w:color="auto"/>
        <w:right w:val="none" w:sz="0" w:space="0" w:color="auto"/>
      </w:divBdr>
    </w:div>
    <w:div w:id="1816681879">
      <w:bodyDiv w:val="1"/>
      <w:marLeft w:val="0"/>
      <w:marRight w:val="0"/>
      <w:marTop w:val="0"/>
      <w:marBottom w:val="0"/>
      <w:divBdr>
        <w:top w:val="none" w:sz="0" w:space="0" w:color="auto"/>
        <w:left w:val="none" w:sz="0" w:space="0" w:color="auto"/>
        <w:bottom w:val="none" w:sz="0" w:space="0" w:color="auto"/>
        <w:right w:val="none" w:sz="0" w:space="0" w:color="auto"/>
      </w:divBdr>
      <w:divsChild>
        <w:div w:id="194975516">
          <w:marLeft w:val="720"/>
          <w:marRight w:val="0"/>
          <w:marTop w:val="120"/>
          <w:marBottom w:val="0"/>
          <w:divBdr>
            <w:top w:val="none" w:sz="0" w:space="0" w:color="auto"/>
            <w:left w:val="none" w:sz="0" w:space="0" w:color="auto"/>
            <w:bottom w:val="none" w:sz="0" w:space="0" w:color="auto"/>
            <w:right w:val="none" w:sz="0" w:space="0" w:color="auto"/>
          </w:divBdr>
        </w:div>
        <w:div w:id="850338080">
          <w:marLeft w:val="720"/>
          <w:marRight w:val="0"/>
          <w:marTop w:val="120"/>
          <w:marBottom w:val="0"/>
          <w:divBdr>
            <w:top w:val="none" w:sz="0" w:space="0" w:color="auto"/>
            <w:left w:val="none" w:sz="0" w:space="0" w:color="auto"/>
            <w:bottom w:val="none" w:sz="0" w:space="0" w:color="auto"/>
            <w:right w:val="none" w:sz="0" w:space="0" w:color="auto"/>
          </w:divBdr>
        </w:div>
        <w:div w:id="875628041">
          <w:marLeft w:val="720"/>
          <w:marRight w:val="0"/>
          <w:marTop w:val="120"/>
          <w:marBottom w:val="0"/>
          <w:divBdr>
            <w:top w:val="none" w:sz="0" w:space="0" w:color="auto"/>
            <w:left w:val="none" w:sz="0" w:space="0" w:color="auto"/>
            <w:bottom w:val="none" w:sz="0" w:space="0" w:color="auto"/>
            <w:right w:val="none" w:sz="0" w:space="0" w:color="auto"/>
          </w:divBdr>
        </w:div>
        <w:div w:id="1959146345">
          <w:marLeft w:val="720"/>
          <w:marRight w:val="0"/>
          <w:marTop w:val="120"/>
          <w:marBottom w:val="0"/>
          <w:divBdr>
            <w:top w:val="none" w:sz="0" w:space="0" w:color="auto"/>
            <w:left w:val="none" w:sz="0" w:space="0" w:color="auto"/>
            <w:bottom w:val="none" w:sz="0" w:space="0" w:color="auto"/>
            <w:right w:val="none" w:sz="0" w:space="0" w:color="auto"/>
          </w:divBdr>
        </w:div>
      </w:divsChild>
    </w:div>
    <w:div w:id="1830057737">
      <w:bodyDiv w:val="1"/>
      <w:marLeft w:val="0"/>
      <w:marRight w:val="0"/>
      <w:marTop w:val="0"/>
      <w:marBottom w:val="0"/>
      <w:divBdr>
        <w:top w:val="none" w:sz="0" w:space="0" w:color="auto"/>
        <w:left w:val="none" w:sz="0" w:space="0" w:color="auto"/>
        <w:bottom w:val="none" w:sz="0" w:space="0" w:color="auto"/>
        <w:right w:val="none" w:sz="0" w:space="0" w:color="auto"/>
      </w:divBdr>
    </w:div>
    <w:div w:id="1840804130">
      <w:bodyDiv w:val="1"/>
      <w:marLeft w:val="0"/>
      <w:marRight w:val="0"/>
      <w:marTop w:val="0"/>
      <w:marBottom w:val="0"/>
      <w:divBdr>
        <w:top w:val="none" w:sz="0" w:space="0" w:color="auto"/>
        <w:left w:val="none" w:sz="0" w:space="0" w:color="auto"/>
        <w:bottom w:val="none" w:sz="0" w:space="0" w:color="auto"/>
        <w:right w:val="none" w:sz="0" w:space="0" w:color="auto"/>
      </w:divBdr>
      <w:divsChild>
        <w:div w:id="58291725">
          <w:marLeft w:val="274"/>
          <w:marRight w:val="0"/>
          <w:marTop w:val="0"/>
          <w:marBottom w:val="0"/>
          <w:divBdr>
            <w:top w:val="none" w:sz="0" w:space="0" w:color="auto"/>
            <w:left w:val="none" w:sz="0" w:space="0" w:color="auto"/>
            <w:bottom w:val="none" w:sz="0" w:space="0" w:color="auto"/>
            <w:right w:val="none" w:sz="0" w:space="0" w:color="auto"/>
          </w:divBdr>
        </w:div>
      </w:divsChild>
    </w:div>
    <w:div w:id="1841189632">
      <w:bodyDiv w:val="1"/>
      <w:marLeft w:val="0"/>
      <w:marRight w:val="0"/>
      <w:marTop w:val="0"/>
      <w:marBottom w:val="0"/>
      <w:divBdr>
        <w:top w:val="none" w:sz="0" w:space="0" w:color="auto"/>
        <w:left w:val="none" w:sz="0" w:space="0" w:color="auto"/>
        <w:bottom w:val="none" w:sz="0" w:space="0" w:color="auto"/>
        <w:right w:val="none" w:sz="0" w:space="0" w:color="auto"/>
      </w:divBdr>
    </w:div>
    <w:div w:id="1862159155">
      <w:bodyDiv w:val="1"/>
      <w:marLeft w:val="0"/>
      <w:marRight w:val="0"/>
      <w:marTop w:val="0"/>
      <w:marBottom w:val="0"/>
      <w:divBdr>
        <w:top w:val="none" w:sz="0" w:space="0" w:color="auto"/>
        <w:left w:val="none" w:sz="0" w:space="0" w:color="auto"/>
        <w:bottom w:val="none" w:sz="0" w:space="0" w:color="auto"/>
        <w:right w:val="none" w:sz="0" w:space="0" w:color="auto"/>
      </w:divBdr>
      <w:divsChild>
        <w:div w:id="599870093">
          <w:marLeft w:val="1440"/>
          <w:marRight w:val="0"/>
          <w:marTop w:val="120"/>
          <w:marBottom w:val="0"/>
          <w:divBdr>
            <w:top w:val="none" w:sz="0" w:space="0" w:color="auto"/>
            <w:left w:val="none" w:sz="0" w:space="0" w:color="auto"/>
            <w:bottom w:val="none" w:sz="0" w:space="0" w:color="auto"/>
            <w:right w:val="none" w:sz="0" w:space="0" w:color="auto"/>
          </w:divBdr>
        </w:div>
        <w:div w:id="1511481290">
          <w:marLeft w:val="720"/>
          <w:marRight w:val="0"/>
          <w:marTop w:val="120"/>
          <w:marBottom w:val="0"/>
          <w:divBdr>
            <w:top w:val="none" w:sz="0" w:space="0" w:color="auto"/>
            <w:left w:val="none" w:sz="0" w:space="0" w:color="auto"/>
            <w:bottom w:val="none" w:sz="0" w:space="0" w:color="auto"/>
            <w:right w:val="none" w:sz="0" w:space="0" w:color="auto"/>
          </w:divBdr>
        </w:div>
      </w:divsChild>
    </w:div>
    <w:div w:id="1862936348">
      <w:bodyDiv w:val="1"/>
      <w:marLeft w:val="0"/>
      <w:marRight w:val="0"/>
      <w:marTop w:val="0"/>
      <w:marBottom w:val="0"/>
      <w:divBdr>
        <w:top w:val="none" w:sz="0" w:space="0" w:color="auto"/>
        <w:left w:val="none" w:sz="0" w:space="0" w:color="auto"/>
        <w:bottom w:val="none" w:sz="0" w:space="0" w:color="auto"/>
        <w:right w:val="none" w:sz="0" w:space="0" w:color="auto"/>
      </w:divBdr>
      <w:divsChild>
        <w:div w:id="622464968">
          <w:marLeft w:val="360"/>
          <w:marRight w:val="0"/>
          <w:marTop w:val="0"/>
          <w:marBottom w:val="120"/>
          <w:divBdr>
            <w:top w:val="none" w:sz="0" w:space="0" w:color="auto"/>
            <w:left w:val="none" w:sz="0" w:space="0" w:color="auto"/>
            <w:bottom w:val="none" w:sz="0" w:space="0" w:color="auto"/>
            <w:right w:val="none" w:sz="0" w:space="0" w:color="auto"/>
          </w:divBdr>
        </w:div>
        <w:div w:id="701783653">
          <w:marLeft w:val="360"/>
          <w:marRight w:val="0"/>
          <w:marTop w:val="0"/>
          <w:marBottom w:val="120"/>
          <w:divBdr>
            <w:top w:val="none" w:sz="0" w:space="0" w:color="auto"/>
            <w:left w:val="none" w:sz="0" w:space="0" w:color="auto"/>
            <w:bottom w:val="none" w:sz="0" w:space="0" w:color="auto"/>
            <w:right w:val="none" w:sz="0" w:space="0" w:color="auto"/>
          </w:divBdr>
        </w:div>
        <w:div w:id="1857108272">
          <w:marLeft w:val="360"/>
          <w:marRight w:val="0"/>
          <w:marTop w:val="0"/>
          <w:marBottom w:val="120"/>
          <w:divBdr>
            <w:top w:val="none" w:sz="0" w:space="0" w:color="auto"/>
            <w:left w:val="none" w:sz="0" w:space="0" w:color="auto"/>
            <w:bottom w:val="none" w:sz="0" w:space="0" w:color="auto"/>
            <w:right w:val="none" w:sz="0" w:space="0" w:color="auto"/>
          </w:divBdr>
        </w:div>
        <w:div w:id="2059208702">
          <w:marLeft w:val="360"/>
          <w:marRight w:val="0"/>
          <w:marTop w:val="0"/>
          <w:marBottom w:val="120"/>
          <w:divBdr>
            <w:top w:val="none" w:sz="0" w:space="0" w:color="auto"/>
            <w:left w:val="none" w:sz="0" w:space="0" w:color="auto"/>
            <w:bottom w:val="none" w:sz="0" w:space="0" w:color="auto"/>
            <w:right w:val="none" w:sz="0" w:space="0" w:color="auto"/>
          </w:divBdr>
        </w:div>
      </w:divsChild>
    </w:div>
    <w:div w:id="1871992321">
      <w:bodyDiv w:val="1"/>
      <w:marLeft w:val="0"/>
      <w:marRight w:val="0"/>
      <w:marTop w:val="0"/>
      <w:marBottom w:val="0"/>
      <w:divBdr>
        <w:top w:val="none" w:sz="0" w:space="0" w:color="auto"/>
        <w:left w:val="none" w:sz="0" w:space="0" w:color="auto"/>
        <w:bottom w:val="none" w:sz="0" w:space="0" w:color="auto"/>
        <w:right w:val="none" w:sz="0" w:space="0" w:color="auto"/>
      </w:divBdr>
      <w:divsChild>
        <w:div w:id="174854770">
          <w:marLeft w:val="1181"/>
          <w:marRight w:val="0"/>
          <w:marTop w:val="0"/>
          <w:marBottom w:val="0"/>
          <w:divBdr>
            <w:top w:val="none" w:sz="0" w:space="0" w:color="auto"/>
            <w:left w:val="none" w:sz="0" w:space="0" w:color="auto"/>
            <w:bottom w:val="none" w:sz="0" w:space="0" w:color="auto"/>
            <w:right w:val="none" w:sz="0" w:space="0" w:color="auto"/>
          </w:divBdr>
        </w:div>
        <w:div w:id="1063404578">
          <w:marLeft w:val="1181"/>
          <w:marRight w:val="0"/>
          <w:marTop w:val="0"/>
          <w:marBottom w:val="0"/>
          <w:divBdr>
            <w:top w:val="none" w:sz="0" w:space="0" w:color="auto"/>
            <w:left w:val="none" w:sz="0" w:space="0" w:color="auto"/>
            <w:bottom w:val="none" w:sz="0" w:space="0" w:color="auto"/>
            <w:right w:val="none" w:sz="0" w:space="0" w:color="auto"/>
          </w:divBdr>
        </w:div>
        <w:div w:id="1719356708">
          <w:marLeft w:val="1181"/>
          <w:marRight w:val="0"/>
          <w:marTop w:val="0"/>
          <w:marBottom w:val="0"/>
          <w:divBdr>
            <w:top w:val="none" w:sz="0" w:space="0" w:color="auto"/>
            <w:left w:val="none" w:sz="0" w:space="0" w:color="auto"/>
            <w:bottom w:val="none" w:sz="0" w:space="0" w:color="auto"/>
            <w:right w:val="none" w:sz="0" w:space="0" w:color="auto"/>
          </w:divBdr>
        </w:div>
      </w:divsChild>
    </w:div>
    <w:div w:id="1874538481">
      <w:bodyDiv w:val="1"/>
      <w:marLeft w:val="0"/>
      <w:marRight w:val="0"/>
      <w:marTop w:val="0"/>
      <w:marBottom w:val="0"/>
      <w:divBdr>
        <w:top w:val="none" w:sz="0" w:space="0" w:color="auto"/>
        <w:left w:val="none" w:sz="0" w:space="0" w:color="auto"/>
        <w:bottom w:val="none" w:sz="0" w:space="0" w:color="auto"/>
        <w:right w:val="none" w:sz="0" w:space="0" w:color="auto"/>
      </w:divBdr>
      <w:divsChild>
        <w:div w:id="790705115">
          <w:marLeft w:val="1166"/>
          <w:marRight w:val="0"/>
          <w:marTop w:val="0"/>
          <w:marBottom w:val="0"/>
          <w:divBdr>
            <w:top w:val="none" w:sz="0" w:space="0" w:color="auto"/>
            <w:left w:val="none" w:sz="0" w:space="0" w:color="auto"/>
            <w:bottom w:val="none" w:sz="0" w:space="0" w:color="auto"/>
            <w:right w:val="none" w:sz="0" w:space="0" w:color="auto"/>
          </w:divBdr>
        </w:div>
        <w:div w:id="1017274211">
          <w:marLeft w:val="1166"/>
          <w:marRight w:val="0"/>
          <w:marTop w:val="0"/>
          <w:marBottom w:val="0"/>
          <w:divBdr>
            <w:top w:val="none" w:sz="0" w:space="0" w:color="auto"/>
            <w:left w:val="none" w:sz="0" w:space="0" w:color="auto"/>
            <w:bottom w:val="none" w:sz="0" w:space="0" w:color="auto"/>
            <w:right w:val="none" w:sz="0" w:space="0" w:color="auto"/>
          </w:divBdr>
        </w:div>
        <w:div w:id="1231115197">
          <w:marLeft w:val="1166"/>
          <w:marRight w:val="0"/>
          <w:marTop w:val="0"/>
          <w:marBottom w:val="0"/>
          <w:divBdr>
            <w:top w:val="none" w:sz="0" w:space="0" w:color="auto"/>
            <w:left w:val="none" w:sz="0" w:space="0" w:color="auto"/>
            <w:bottom w:val="none" w:sz="0" w:space="0" w:color="auto"/>
            <w:right w:val="none" w:sz="0" w:space="0" w:color="auto"/>
          </w:divBdr>
        </w:div>
        <w:div w:id="1688560047">
          <w:marLeft w:val="446"/>
          <w:marRight w:val="0"/>
          <w:marTop w:val="0"/>
          <w:marBottom w:val="0"/>
          <w:divBdr>
            <w:top w:val="none" w:sz="0" w:space="0" w:color="auto"/>
            <w:left w:val="none" w:sz="0" w:space="0" w:color="auto"/>
            <w:bottom w:val="none" w:sz="0" w:space="0" w:color="auto"/>
            <w:right w:val="none" w:sz="0" w:space="0" w:color="auto"/>
          </w:divBdr>
        </w:div>
      </w:divsChild>
    </w:div>
    <w:div w:id="1881285497">
      <w:bodyDiv w:val="1"/>
      <w:marLeft w:val="0"/>
      <w:marRight w:val="0"/>
      <w:marTop w:val="0"/>
      <w:marBottom w:val="0"/>
      <w:divBdr>
        <w:top w:val="none" w:sz="0" w:space="0" w:color="auto"/>
        <w:left w:val="none" w:sz="0" w:space="0" w:color="auto"/>
        <w:bottom w:val="none" w:sz="0" w:space="0" w:color="auto"/>
        <w:right w:val="none" w:sz="0" w:space="0" w:color="auto"/>
      </w:divBdr>
      <w:divsChild>
        <w:div w:id="608320302">
          <w:marLeft w:val="1152"/>
          <w:marRight w:val="0"/>
          <w:marTop w:val="0"/>
          <w:marBottom w:val="0"/>
          <w:divBdr>
            <w:top w:val="none" w:sz="0" w:space="0" w:color="auto"/>
            <w:left w:val="none" w:sz="0" w:space="0" w:color="auto"/>
            <w:bottom w:val="none" w:sz="0" w:space="0" w:color="auto"/>
            <w:right w:val="none" w:sz="0" w:space="0" w:color="auto"/>
          </w:divBdr>
        </w:div>
        <w:div w:id="1197692345">
          <w:marLeft w:val="1152"/>
          <w:marRight w:val="0"/>
          <w:marTop w:val="0"/>
          <w:marBottom w:val="0"/>
          <w:divBdr>
            <w:top w:val="none" w:sz="0" w:space="0" w:color="auto"/>
            <w:left w:val="none" w:sz="0" w:space="0" w:color="auto"/>
            <w:bottom w:val="none" w:sz="0" w:space="0" w:color="auto"/>
            <w:right w:val="none" w:sz="0" w:space="0" w:color="auto"/>
          </w:divBdr>
        </w:div>
        <w:div w:id="1461848874">
          <w:marLeft w:val="1152"/>
          <w:marRight w:val="0"/>
          <w:marTop w:val="0"/>
          <w:marBottom w:val="0"/>
          <w:divBdr>
            <w:top w:val="none" w:sz="0" w:space="0" w:color="auto"/>
            <w:left w:val="none" w:sz="0" w:space="0" w:color="auto"/>
            <w:bottom w:val="none" w:sz="0" w:space="0" w:color="auto"/>
            <w:right w:val="none" w:sz="0" w:space="0" w:color="auto"/>
          </w:divBdr>
        </w:div>
        <w:div w:id="1937982777">
          <w:marLeft w:val="1152"/>
          <w:marRight w:val="0"/>
          <w:marTop w:val="0"/>
          <w:marBottom w:val="0"/>
          <w:divBdr>
            <w:top w:val="none" w:sz="0" w:space="0" w:color="auto"/>
            <w:left w:val="none" w:sz="0" w:space="0" w:color="auto"/>
            <w:bottom w:val="none" w:sz="0" w:space="0" w:color="auto"/>
            <w:right w:val="none" w:sz="0" w:space="0" w:color="auto"/>
          </w:divBdr>
        </w:div>
      </w:divsChild>
    </w:div>
    <w:div w:id="1883055309">
      <w:bodyDiv w:val="1"/>
      <w:marLeft w:val="0"/>
      <w:marRight w:val="0"/>
      <w:marTop w:val="0"/>
      <w:marBottom w:val="0"/>
      <w:divBdr>
        <w:top w:val="none" w:sz="0" w:space="0" w:color="auto"/>
        <w:left w:val="none" w:sz="0" w:space="0" w:color="auto"/>
        <w:bottom w:val="none" w:sz="0" w:space="0" w:color="auto"/>
        <w:right w:val="none" w:sz="0" w:space="0" w:color="auto"/>
      </w:divBdr>
    </w:div>
    <w:div w:id="1900820096">
      <w:bodyDiv w:val="1"/>
      <w:marLeft w:val="0"/>
      <w:marRight w:val="0"/>
      <w:marTop w:val="0"/>
      <w:marBottom w:val="0"/>
      <w:divBdr>
        <w:top w:val="none" w:sz="0" w:space="0" w:color="auto"/>
        <w:left w:val="none" w:sz="0" w:space="0" w:color="auto"/>
        <w:bottom w:val="none" w:sz="0" w:space="0" w:color="auto"/>
        <w:right w:val="none" w:sz="0" w:space="0" w:color="auto"/>
      </w:divBdr>
      <w:divsChild>
        <w:div w:id="35783730">
          <w:marLeft w:val="274"/>
          <w:marRight w:val="0"/>
          <w:marTop w:val="0"/>
          <w:marBottom w:val="0"/>
          <w:divBdr>
            <w:top w:val="none" w:sz="0" w:space="0" w:color="auto"/>
            <w:left w:val="none" w:sz="0" w:space="0" w:color="auto"/>
            <w:bottom w:val="none" w:sz="0" w:space="0" w:color="auto"/>
            <w:right w:val="none" w:sz="0" w:space="0" w:color="auto"/>
          </w:divBdr>
        </w:div>
        <w:div w:id="430662352">
          <w:marLeft w:val="274"/>
          <w:marRight w:val="0"/>
          <w:marTop w:val="0"/>
          <w:marBottom w:val="0"/>
          <w:divBdr>
            <w:top w:val="none" w:sz="0" w:space="0" w:color="auto"/>
            <w:left w:val="none" w:sz="0" w:space="0" w:color="auto"/>
            <w:bottom w:val="none" w:sz="0" w:space="0" w:color="auto"/>
            <w:right w:val="none" w:sz="0" w:space="0" w:color="auto"/>
          </w:divBdr>
        </w:div>
        <w:div w:id="507907538">
          <w:marLeft w:val="274"/>
          <w:marRight w:val="0"/>
          <w:marTop w:val="0"/>
          <w:marBottom w:val="0"/>
          <w:divBdr>
            <w:top w:val="none" w:sz="0" w:space="0" w:color="auto"/>
            <w:left w:val="none" w:sz="0" w:space="0" w:color="auto"/>
            <w:bottom w:val="none" w:sz="0" w:space="0" w:color="auto"/>
            <w:right w:val="none" w:sz="0" w:space="0" w:color="auto"/>
          </w:divBdr>
        </w:div>
        <w:div w:id="529417353">
          <w:marLeft w:val="274"/>
          <w:marRight w:val="0"/>
          <w:marTop w:val="0"/>
          <w:marBottom w:val="0"/>
          <w:divBdr>
            <w:top w:val="none" w:sz="0" w:space="0" w:color="auto"/>
            <w:left w:val="none" w:sz="0" w:space="0" w:color="auto"/>
            <w:bottom w:val="none" w:sz="0" w:space="0" w:color="auto"/>
            <w:right w:val="none" w:sz="0" w:space="0" w:color="auto"/>
          </w:divBdr>
        </w:div>
        <w:div w:id="643973988">
          <w:marLeft w:val="274"/>
          <w:marRight w:val="0"/>
          <w:marTop w:val="0"/>
          <w:marBottom w:val="0"/>
          <w:divBdr>
            <w:top w:val="none" w:sz="0" w:space="0" w:color="auto"/>
            <w:left w:val="none" w:sz="0" w:space="0" w:color="auto"/>
            <w:bottom w:val="none" w:sz="0" w:space="0" w:color="auto"/>
            <w:right w:val="none" w:sz="0" w:space="0" w:color="auto"/>
          </w:divBdr>
        </w:div>
        <w:div w:id="797339636">
          <w:marLeft w:val="274"/>
          <w:marRight w:val="0"/>
          <w:marTop w:val="0"/>
          <w:marBottom w:val="0"/>
          <w:divBdr>
            <w:top w:val="none" w:sz="0" w:space="0" w:color="auto"/>
            <w:left w:val="none" w:sz="0" w:space="0" w:color="auto"/>
            <w:bottom w:val="none" w:sz="0" w:space="0" w:color="auto"/>
            <w:right w:val="none" w:sz="0" w:space="0" w:color="auto"/>
          </w:divBdr>
        </w:div>
        <w:div w:id="827095756">
          <w:marLeft w:val="274"/>
          <w:marRight w:val="0"/>
          <w:marTop w:val="0"/>
          <w:marBottom w:val="0"/>
          <w:divBdr>
            <w:top w:val="none" w:sz="0" w:space="0" w:color="auto"/>
            <w:left w:val="none" w:sz="0" w:space="0" w:color="auto"/>
            <w:bottom w:val="none" w:sz="0" w:space="0" w:color="auto"/>
            <w:right w:val="none" w:sz="0" w:space="0" w:color="auto"/>
          </w:divBdr>
        </w:div>
        <w:div w:id="829448656">
          <w:marLeft w:val="274"/>
          <w:marRight w:val="0"/>
          <w:marTop w:val="0"/>
          <w:marBottom w:val="0"/>
          <w:divBdr>
            <w:top w:val="none" w:sz="0" w:space="0" w:color="auto"/>
            <w:left w:val="none" w:sz="0" w:space="0" w:color="auto"/>
            <w:bottom w:val="none" w:sz="0" w:space="0" w:color="auto"/>
            <w:right w:val="none" w:sz="0" w:space="0" w:color="auto"/>
          </w:divBdr>
        </w:div>
        <w:div w:id="1075206824">
          <w:marLeft w:val="274"/>
          <w:marRight w:val="0"/>
          <w:marTop w:val="0"/>
          <w:marBottom w:val="0"/>
          <w:divBdr>
            <w:top w:val="none" w:sz="0" w:space="0" w:color="auto"/>
            <w:left w:val="none" w:sz="0" w:space="0" w:color="auto"/>
            <w:bottom w:val="none" w:sz="0" w:space="0" w:color="auto"/>
            <w:right w:val="none" w:sz="0" w:space="0" w:color="auto"/>
          </w:divBdr>
        </w:div>
        <w:div w:id="1372803791">
          <w:marLeft w:val="274"/>
          <w:marRight w:val="0"/>
          <w:marTop w:val="0"/>
          <w:marBottom w:val="0"/>
          <w:divBdr>
            <w:top w:val="none" w:sz="0" w:space="0" w:color="auto"/>
            <w:left w:val="none" w:sz="0" w:space="0" w:color="auto"/>
            <w:bottom w:val="none" w:sz="0" w:space="0" w:color="auto"/>
            <w:right w:val="none" w:sz="0" w:space="0" w:color="auto"/>
          </w:divBdr>
        </w:div>
        <w:div w:id="1971934684">
          <w:marLeft w:val="274"/>
          <w:marRight w:val="0"/>
          <w:marTop w:val="0"/>
          <w:marBottom w:val="0"/>
          <w:divBdr>
            <w:top w:val="none" w:sz="0" w:space="0" w:color="auto"/>
            <w:left w:val="none" w:sz="0" w:space="0" w:color="auto"/>
            <w:bottom w:val="none" w:sz="0" w:space="0" w:color="auto"/>
            <w:right w:val="none" w:sz="0" w:space="0" w:color="auto"/>
          </w:divBdr>
        </w:div>
        <w:div w:id="1976910837">
          <w:marLeft w:val="274"/>
          <w:marRight w:val="0"/>
          <w:marTop w:val="0"/>
          <w:marBottom w:val="0"/>
          <w:divBdr>
            <w:top w:val="none" w:sz="0" w:space="0" w:color="auto"/>
            <w:left w:val="none" w:sz="0" w:space="0" w:color="auto"/>
            <w:bottom w:val="none" w:sz="0" w:space="0" w:color="auto"/>
            <w:right w:val="none" w:sz="0" w:space="0" w:color="auto"/>
          </w:divBdr>
        </w:div>
        <w:div w:id="2008094594">
          <w:marLeft w:val="274"/>
          <w:marRight w:val="0"/>
          <w:marTop w:val="0"/>
          <w:marBottom w:val="0"/>
          <w:divBdr>
            <w:top w:val="none" w:sz="0" w:space="0" w:color="auto"/>
            <w:left w:val="none" w:sz="0" w:space="0" w:color="auto"/>
            <w:bottom w:val="none" w:sz="0" w:space="0" w:color="auto"/>
            <w:right w:val="none" w:sz="0" w:space="0" w:color="auto"/>
          </w:divBdr>
        </w:div>
      </w:divsChild>
    </w:div>
    <w:div w:id="1948416961">
      <w:bodyDiv w:val="1"/>
      <w:marLeft w:val="0"/>
      <w:marRight w:val="0"/>
      <w:marTop w:val="0"/>
      <w:marBottom w:val="0"/>
      <w:divBdr>
        <w:top w:val="none" w:sz="0" w:space="0" w:color="auto"/>
        <w:left w:val="none" w:sz="0" w:space="0" w:color="auto"/>
        <w:bottom w:val="none" w:sz="0" w:space="0" w:color="auto"/>
        <w:right w:val="none" w:sz="0" w:space="0" w:color="auto"/>
      </w:divBdr>
      <w:divsChild>
        <w:div w:id="1247425399">
          <w:marLeft w:val="994"/>
          <w:marRight w:val="0"/>
          <w:marTop w:val="0"/>
          <w:marBottom w:val="0"/>
          <w:divBdr>
            <w:top w:val="none" w:sz="0" w:space="0" w:color="auto"/>
            <w:left w:val="none" w:sz="0" w:space="0" w:color="auto"/>
            <w:bottom w:val="none" w:sz="0" w:space="0" w:color="auto"/>
            <w:right w:val="none" w:sz="0" w:space="0" w:color="auto"/>
          </w:divBdr>
        </w:div>
      </w:divsChild>
    </w:div>
    <w:div w:id="1955555948">
      <w:bodyDiv w:val="1"/>
      <w:marLeft w:val="0"/>
      <w:marRight w:val="0"/>
      <w:marTop w:val="0"/>
      <w:marBottom w:val="0"/>
      <w:divBdr>
        <w:top w:val="none" w:sz="0" w:space="0" w:color="auto"/>
        <w:left w:val="none" w:sz="0" w:space="0" w:color="auto"/>
        <w:bottom w:val="none" w:sz="0" w:space="0" w:color="auto"/>
        <w:right w:val="none" w:sz="0" w:space="0" w:color="auto"/>
      </w:divBdr>
    </w:div>
    <w:div w:id="2017028040">
      <w:bodyDiv w:val="1"/>
      <w:marLeft w:val="0"/>
      <w:marRight w:val="0"/>
      <w:marTop w:val="0"/>
      <w:marBottom w:val="0"/>
      <w:divBdr>
        <w:top w:val="none" w:sz="0" w:space="0" w:color="auto"/>
        <w:left w:val="none" w:sz="0" w:space="0" w:color="auto"/>
        <w:bottom w:val="none" w:sz="0" w:space="0" w:color="auto"/>
        <w:right w:val="none" w:sz="0" w:space="0" w:color="auto"/>
      </w:divBdr>
      <w:divsChild>
        <w:div w:id="654917596">
          <w:marLeft w:val="274"/>
          <w:marRight w:val="0"/>
          <w:marTop w:val="0"/>
          <w:marBottom w:val="0"/>
          <w:divBdr>
            <w:top w:val="none" w:sz="0" w:space="0" w:color="auto"/>
            <w:left w:val="none" w:sz="0" w:space="0" w:color="auto"/>
            <w:bottom w:val="none" w:sz="0" w:space="0" w:color="auto"/>
            <w:right w:val="none" w:sz="0" w:space="0" w:color="auto"/>
          </w:divBdr>
        </w:div>
        <w:div w:id="1874994780">
          <w:marLeft w:val="274"/>
          <w:marRight w:val="0"/>
          <w:marTop w:val="0"/>
          <w:marBottom w:val="0"/>
          <w:divBdr>
            <w:top w:val="none" w:sz="0" w:space="0" w:color="auto"/>
            <w:left w:val="none" w:sz="0" w:space="0" w:color="auto"/>
            <w:bottom w:val="none" w:sz="0" w:space="0" w:color="auto"/>
            <w:right w:val="none" w:sz="0" w:space="0" w:color="auto"/>
          </w:divBdr>
        </w:div>
      </w:divsChild>
    </w:div>
    <w:div w:id="2020737390">
      <w:bodyDiv w:val="1"/>
      <w:marLeft w:val="0"/>
      <w:marRight w:val="0"/>
      <w:marTop w:val="0"/>
      <w:marBottom w:val="0"/>
      <w:divBdr>
        <w:top w:val="none" w:sz="0" w:space="0" w:color="auto"/>
        <w:left w:val="none" w:sz="0" w:space="0" w:color="auto"/>
        <w:bottom w:val="none" w:sz="0" w:space="0" w:color="auto"/>
        <w:right w:val="none" w:sz="0" w:space="0" w:color="auto"/>
      </w:divBdr>
      <w:divsChild>
        <w:div w:id="594747691">
          <w:marLeft w:val="720"/>
          <w:marRight w:val="0"/>
          <w:marTop w:val="120"/>
          <w:marBottom w:val="0"/>
          <w:divBdr>
            <w:top w:val="none" w:sz="0" w:space="0" w:color="auto"/>
            <w:left w:val="none" w:sz="0" w:space="0" w:color="auto"/>
            <w:bottom w:val="none" w:sz="0" w:space="0" w:color="auto"/>
            <w:right w:val="none" w:sz="0" w:space="0" w:color="auto"/>
          </w:divBdr>
        </w:div>
      </w:divsChild>
    </w:div>
    <w:div w:id="2020808796">
      <w:bodyDiv w:val="1"/>
      <w:marLeft w:val="0"/>
      <w:marRight w:val="0"/>
      <w:marTop w:val="0"/>
      <w:marBottom w:val="0"/>
      <w:divBdr>
        <w:top w:val="none" w:sz="0" w:space="0" w:color="auto"/>
        <w:left w:val="none" w:sz="0" w:space="0" w:color="auto"/>
        <w:bottom w:val="none" w:sz="0" w:space="0" w:color="auto"/>
        <w:right w:val="none" w:sz="0" w:space="0" w:color="auto"/>
      </w:divBdr>
      <w:divsChild>
        <w:div w:id="322391921">
          <w:marLeft w:val="360"/>
          <w:marRight w:val="0"/>
          <w:marTop w:val="200"/>
          <w:marBottom w:val="0"/>
          <w:divBdr>
            <w:top w:val="none" w:sz="0" w:space="0" w:color="auto"/>
            <w:left w:val="none" w:sz="0" w:space="0" w:color="auto"/>
            <w:bottom w:val="none" w:sz="0" w:space="0" w:color="auto"/>
            <w:right w:val="none" w:sz="0" w:space="0" w:color="auto"/>
          </w:divBdr>
        </w:div>
        <w:div w:id="1350177896">
          <w:marLeft w:val="360"/>
          <w:marRight w:val="0"/>
          <w:marTop w:val="200"/>
          <w:marBottom w:val="0"/>
          <w:divBdr>
            <w:top w:val="none" w:sz="0" w:space="0" w:color="auto"/>
            <w:left w:val="none" w:sz="0" w:space="0" w:color="auto"/>
            <w:bottom w:val="none" w:sz="0" w:space="0" w:color="auto"/>
            <w:right w:val="none" w:sz="0" w:space="0" w:color="auto"/>
          </w:divBdr>
        </w:div>
        <w:div w:id="1356149698">
          <w:marLeft w:val="360"/>
          <w:marRight w:val="0"/>
          <w:marTop w:val="200"/>
          <w:marBottom w:val="0"/>
          <w:divBdr>
            <w:top w:val="none" w:sz="0" w:space="0" w:color="auto"/>
            <w:left w:val="none" w:sz="0" w:space="0" w:color="auto"/>
            <w:bottom w:val="none" w:sz="0" w:space="0" w:color="auto"/>
            <w:right w:val="none" w:sz="0" w:space="0" w:color="auto"/>
          </w:divBdr>
        </w:div>
      </w:divsChild>
    </w:div>
    <w:div w:id="2031910142">
      <w:bodyDiv w:val="1"/>
      <w:marLeft w:val="0"/>
      <w:marRight w:val="0"/>
      <w:marTop w:val="0"/>
      <w:marBottom w:val="0"/>
      <w:divBdr>
        <w:top w:val="none" w:sz="0" w:space="0" w:color="auto"/>
        <w:left w:val="none" w:sz="0" w:space="0" w:color="auto"/>
        <w:bottom w:val="none" w:sz="0" w:space="0" w:color="auto"/>
        <w:right w:val="none" w:sz="0" w:space="0" w:color="auto"/>
      </w:divBdr>
    </w:div>
    <w:div w:id="2038382538">
      <w:bodyDiv w:val="1"/>
      <w:marLeft w:val="0"/>
      <w:marRight w:val="0"/>
      <w:marTop w:val="0"/>
      <w:marBottom w:val="0"/>
      <w:divBdr>
        <w:top w:val="none" w:sz="0" w:space="0" w:color="auto"/>
        <w:left w:val="none" w:sz="0" w:space="0" w:color="auto"/>
        <w:bottom w:val="none" w:sz="0" w:space="0" w:color="auto"/>
        <w:right w:val="none" w:sz="0" w:space="0" w:color="auto"/>
      </w:divBdr>
    </w:div>
    <w:div w:id="2062899630">
      <w:bodyDiv w:val="1"/>
      <w:marLeft w:val="0"/>
      <w:marRight w:val="0"/>
      <w:marTop w:val="0"/>
      <w:marBottom w:val="0"/>
      <w:divBdr>
        <w:top w:val="none" w:sz="0" w:space="0" w:color="auto"/>
        <w:left w:val="none" w:sz="0" w:space="0" w:color="auto"/>
        <w:bottom w:val="none" w:sz="0" w:space="0" w:color="auto"/>
        <w:right w:val="none" w:sz="0" w:space="0" w:color="auto"/>
      </w:divBdr>
    </w:div>
    <w:div w:id="2071153931">
      <w:bodyDiv w:val="1"/>
      <w:marLeft w:val="0"/>
      <w:marRight w:val="0"/>
      <w:marTop w:val="0"/>
      <w:marBottom w:val="0"/>
      <w:divBdr>
        <w:top w:val="none" w:sz="0" w:space="0" w:color="auto"/>
        <w:left w:val="none" w:sz="0" w:space="0" w:color="auto"/>
        <w:bottom w:val="none" w:sz="0" w:space="0" w:color="auto"/>
        <w:right w:val="none" w:sz="0" w:space="0" w:color="auto"/>
      </w:divBdr>
    </w:div>
    <w:div w:id="2079981629">
      <w:bodyDiv w:val="1"/>
      <w:marLeft w:val="0"/>
      <w:marRight w:val="0"/>
      <w:marTop w:val="0"/>
      <w:marBottom w:val="0"/>
      <w:divBdr>
        <w:top w:val="none" w:sz="0" w:space="0" w:color="auto"/>
        <w:left w:val="none" w:sz="0" w:space="0" w:color="auto"/>
        <w:bottom w:val="none" w:sz="0" w:space="0" w:color="auto"/>
        <w:right w:val="none" w:sz="0" w:space="0" w:color="auto"/>
      </w:divBdr>
      <w:divsChild>
        <w:div w:id="142505095">
          <w:marLeft w:val="1440"/>
          <w:marRight w:val="0"/>
          <w:marTop w:val="120"/>
          <w:marBottom w:val="0"/>
          <w:divBdr>
            <w:top w:val="none" w:sz="0" w:space="0" w:color="auto"/>
            <w:left w:val="none" w:sz="0" w:space="0" w:color="auto"/>
            <w:bottom w:val="none" w:sz="0" w:space="0" w:color="auto"/>
            <w:right w:val="none" w:sz="0" w:space="0" w:color="auto"/>
          </w:divBdr>
        </w:div>
        <w:div w:id="2121797890">
          <w:marLeft w:val="720"/>
          <w:marRight w:val="0"/>
          <w:marTop w:val="120"/>
          <w:marBottom w:val="0"/>
          <w:divBdr>
            <w:top w:val="none" w:sz="0" w:space="0" w:color="auto"/>
            <w:left w:val="none" w:sz="0" w:space="0" w:color="auto"/>
            <w:bottom w:val="none" w:sz="0" w:space="0" w:color="auto"/>
            <w:right w:val="none" w:sz="0" w:space="0" w:color="auto"/>
          </w:divBdr>
        </w:div>
      </w:divsChild>
    </w:div>
    <w:div w:id="2087259311">
      <w:bodyDiv w:val="1"/>
      <w:marLeft w:val="0"/>
      <w:marRight w:val="0"/>
      <w:marTop w:val="0"/>
      <w:marBottom w:val="0"/>
      <w:divBdr>
        <w:top w:val="none" w:sz="0" w:space="0" w:color="auto"/>
        <w:left w:val="none" w:sz="0" w:space="0" w:color="auto"/>
        <w:bottom w:val="none" w:sz="0" w:space="0" w:color="auto"/>
        <w:right w:val="none" w:sz="0" w:space="0" w:color="auto"/>
      </w:divBdr>
      <w:divsChild>
        <w:div w:id="187959446">
          <w:marLeft w:val="274"/>
          <w:marRight w:val="0"/>
          <w:marTop w:val="0"/>
          <w:marBottom w:val="0"/>
          <w:divBdr>
            <w:top w:val="none" w:sz="0" w:space="0" w:color="auto"/>
            <w:left w:val="none" w:sz="0" w:space="0" w:color="auto"/>
            <w:bottom w:val="none" w:sz="0" w:space="0" w:color="auto"/>
            <w:right w:val="none" w:sz="0" w:space="0" w:color="auto"/>
          </w:divBdr>
        </w:div>
        <w:div w:id="1152061495">
          <w:marLeft w:val="274"/>
          <w:marRight w:val="0"/>
          <w:marTop w:val="0"/>
          <w:marBottom w:val="0"/>
          <w:divBdr>
            <w:top w:val="none" w:sz="0" w:space="0" w:color="auto"/>
            <w:left w:val="none" w:sz="0" w:space="0" w:color="auto"/>
            <w:bottom w:val="none" w:sz="0" w:space="0" w:color="auto"/>
            <w:right w:val="none" w:sz="0" w:space="0" w:color="auto"/>
          </w:divBdr>
        </w:div>
        <w:div w:id="1205143184">
          <w:marLeft w:val="274"/>
          <w:marRight w:val="0"/>
          <w:marTop w:val="0"/>
          <w:marBottom w:val="0"/>
          <w:divBdr>
            <w:top w:val="none" w:sz="0" w:space="0" w:color="auto"/>
            <w:left w:val="none" w:sz="0" w:space="0" w:color="auto"/>
            <w:bottom w:val="none" w:sz="0" w:space="0" w:color="auto"/>
            <w:right w:val="none" w:sz="0" w:space="0" w:color="auto"/>
          </w:divBdr>
        </w:div>
      </w:divsChild>
    </w:div>
    <w:div w:id="2089615787">
      <w:bodyDiv w:val="1"/>
      <w:marLeft w:val="0"/>
      <w:marRight w:val="0"/>
      <w:marTop w:val="0"/>
      <w:marBottom w:val="0"/>
      <w:divBdr>
        <w:top w:val="none" w:sz="0" w:space="0" w:color="auto"/>
        <w:left w:val="none" w:sz="0" w:space="0" w:color="auto"/>
        <w:bottom w:val="none" w:sz="0" w:space="0" w:color="auto"/>
        <w:right w:val="none" w:sz="0" w:space="0" w:color="auto"/>
      </w:divBdr>
    </w:div>
    <w:div w:id="2092241303">
      <w:bodyDiv w:val="1"/>
      <w:marLeft w:val="0"/>
      <w:marRight w:val="0"/>
      <w:marTop w:val="0"/>
      <w:marBottom w:val="0"/>
      <w:divBdr>
        <w:top w:val="none" w:sz="0" w:space="0" w:color="auto"/>
        <w:left w:val="none" w:sz="0" w:space="0" w:color="auto"/>
        <w:bottom w:val="none" w:sz="0" w:space="0" w:color="auto"/>
        <w:right w:val="none" w:sz="0" w:space="0" w:color="auto"/>
      </w:divBdr>
      <w:divsChild>
        <w:div w:id="467943051">
          <w:marLeft w:val="994"/>
          <w:marRight w:val="0"/>
          <w:marTop w:val="0"/>
          <w:marBottom w:val="0"/>
          <w:divBdr>
            <w:top w:val="none" w:sz="0" w:space="0" w:color="auto"/>
            <w:left w:val="none" w:sz="0" w:space="0" w:color="auto"/>
            <w:bottom w:val="none" w:sz="0" w:space="0" w:color="auto"/>
            <w:right w:val="none" w:sz="0" w:space="0" w:color="auto"/>
          </w:divBdr>
        </w:div>
      </w:divsChild>
    </w:div>
    <w:div w:id="2112777188">
      <w:bodyDiv w:val="1"/>
      <w:marLeft w:val="0"/>
      <w:marRight w:val="0"/>
      <w:marTop w:val="0"/>
      <w:marBottom w:val="0"/>
      <w:divBdr>
        <w:top w:val="none" w:sz="0" w:space="0" w:color="auto"/>
        <w:left w:val="none" w:sz="0" w:space="0" w:color="auto"/>
        <w:bottom w:val="none" w:sz="0" w:space="0" w:color="auto"/>
        <w:right w:val="none" w:sz="0" w:space="0" w:color="auto"/>
      </w:divBdr>
      <w:divsChild>
        <w:div w:id="87699122">
          <w:marLeft w:val="274"/>
          <w:marRight w:val="0"/>
          <w:marTop w:val="0"/>
          <w:marBottom w:val="0"/>
          <w:divBdr>
            <w:top w:val="none" w:sz="0" w:space="0" w:color="auto"/>
            <w:left w:val="none" w:sz="0" w:space="0" w:color="auto"/>
            <w:bottom w:val="none" w:sz="0" w:space="0" w:color="auto"/>
            <w:right w:val="none" w:sz="0" w:space="0" w:color="auto"/>
          </w:divBdr>
        </w:div>
        <w:div w:id="1039204876">
          <w:marLeft w:val="274"/>
          <w:marRight w:val="0"/>
          <w:marTop w:val="0"/>
          <w:marBottom w:val="0"/>
          <w:divBdr>
            <w:top w:val="none" w:sz="0" w:space="0" w:color="auto"/>
            <w:left w:val="none" w:sz="0" w:space="0" w:color="auto"/>
            <w:bottom w:val="none" w:sz="0" w:space="0" w:color="auto"/>
            <w:right w:val="none" w:sz="0" w:space="0" w:color="auto"/>
          </w:divBdr>
        </w:div>
        <w:div w:id="1687637489">
          <w:marLeft w:val="274"/>
          <w:marRight w:val="0"/>
          <w:marTop w:val="0"/>
          <w:marBottom w:val="0"/>
          <w:divBdr>
            <w:top w:val="none" w:sz="0" w:space="0" w:color="auto"/>
            <w:left w:val="none" w:sz="0" w:space="0" w:color="auto"/>
            <w:bottom w:val="none" w:sz="0" w:space="0" w:color="auto"/>
            <w:right w:val="none" w:sz="0" w:space="0" w:color="auto"/>
          </w:divBdr>
        </w:div>
      </w:divsChild>
    </w:div>
    <w:div w:id="213255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ca.gov/ta/ac/cm/documents/ccicareer.pdf" TargetMode="External"/><Relationship Id="rId18" Type="http://schemas.openxmlformats.org/officeDocument/2006/relationships/hyperlink" Target="https://www.cde.ca.gov/ta/ac/cm/dashboardguide24.as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dashboard@cde.ca.gov"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de.ca.gov/ta/ac/cm/dashboardccr.as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de.ca.gov/ta/ac/cm/dbadditionalrpts.asp" TargetMode="External"/><Relationship Id="rId20" Type="http://schemas.openxmlformats.org/officeDocument/2006/relationships/hyperlink" Target="https://www.cde.ca.gov/ta/ac/cm/documents/districtresidencerule2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de.ca.gov/ta/ac/cm/documents/caldashhandbook24.docx"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6.cde.ca.gov/californiamode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ca.gov/ta/ac/cm/documents/ccicollege.pdf" TargetMode="External"/><Relationship Id="rId22" Type="http://schemas.openxmlformats.org/officeDocument/2006/relationships/hyperlink" Target="https://twitter.com/cdedashboard" TargetMode="External"/></Relationships>
</file>

<file path=word/theme/theme1.xml><?xml version="1.0" encoding="utf-8"?>
<a:theme xmlns:a="http://schemas.openxmlformats.org/drawingml/2006/main" name="Office Theme">
  <a:themeElements>
    <a:clrScheme name="Dashboard Toolk,it">
      <a:dk1>
        <a:srgbClr val="44546A"/>
      </a:dk1>
      <a:lt1>
        <a:srgbClr val="D6DCE4"/>
      </a:lt1>
      <a:dk2>
        <a:srgbClr val="7030A0"/>
      </a:dk2>
      <a:lt2>
        <a:srgbClr val="F8F4FB"/>
      </a:lt2>
      <a:accent1>
        <a:srgbClr val="7030A0"/>
      </a:accent1>
      <a:accent2>
        <a:srgbClr val="44546A"/>
      </a:accent2>
      <a:accent3>
        <a:srgbClr val="F8F4FB"/>
      </a:accent3>
      <a:accent4>
        <a:srgbClr val="F8F4FB"/>
      </a:accent4>
      <a:accent5>
        <a:srgbClr val="ADB9CA"/>
      </a:accent5>
      <a:accent6>
        <a:srgbClr val="7030A0"/>
      </a:accent6>
      <a:hlink>
        <a:srgbClr val="0000FF"/>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820660CE92443B0EB7E08E0A6E3C3" ma:contentTypeVersion="16" ma:contentTypeDescription="Create a new document." ma:contentTypeScope="" ma:versionID="17c00f6c722b8e25191b59373e4392ee">
  <xsd:schema xmlns:xsd="http://www.w3.org/2001/XMLSchema" xmlns:xs="http://www.w3.org/2001/XMLSchema" xmlns:p="http://schemas.microsoft.com/office/2006/metadata/properties" xmlns:ns2="bfdb5535-a6f1-4df5-b7ad-e6b51ebb03a3" xmlns:ns3="1558d590-94e0-4259-94a4-6a4f3af66ec7" targetNamespace="http://schemas.microsoft.com/office/2006/metadata/properties" ma:root="true" ma:fieldsID="3a3764e5375872f86016cb8a41aa4e98" ns2:_="" ns3:_="">
    <xsd:import namespace="bfdb5535-a6f1-4df5-b7ad-e6b51ebb03a3"/>
    <xsd:import namespace="1558d590-94e0-4259-94a4-6a4f3af66e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b5535-a6f1-4df5-b7ad-e6b51ebb0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2487d89-012e-44bc-975c-10dd49798f8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58d590-94e0-4259-94a4-6a4f3af66e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5e6faf9-e0f9-42ef-9e1f-2c4112ae637a}" ma:internalName="TaxCatchAll" ma:showField="CatchAllData" ma:web="1558d590-94e0-4259-94a4-6a4f3af66ec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db5535-a6f1-4df5-b7ad-e6b51ebb03a3">
      <Terms xmlns="http://schemas.microsoft.com/office/infopath/2007/PartnerControls"/>
    </lcf76f155ced4ddcb4097134ff3c332f>
    <TaxCatchAll xmlns="1558d590-94e0-4259-94a4-6a4f3af66ec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FEECB6-E567-4DF0-8CB6-C93A7B902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db5535-a6f1-4df5-b7ad-e6b51ebb03a3"/>
    <ds:schemaRef ds:uri="1558d590-94e0-4259-94a4-6a4f3af66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D6E774-DFBE-45C9-B9E3-7528B3219214}">
  <ds:schemaRefs>
    <ds:schemaRef ds:uri="http://schemas.microsoft.com/office/2006/metadata/properties"/>
    <ds:schemaRef ds:uri="http://schemas.microsoft.com/office/infopath/2007/PartnerControls"/>
    <ds:schemaRef ds:uri="bfdb5535-a6f1-4df5-b7ad-e6b51ebb03a3"/>
    <ds:schemaRef ds:uri="1558d590-94e0-4259-94a4-6a4f3af66ec7"/>
  </ds:schemaRefs>
</ds:datastoreItem>
</file>

<file path=customXml/itemProps3.xml><?xml version="1.0" encoding="utf-8"?>
<ds:datastoreItem xmlns:ds="http://schemas.openxmlformats.org/officeDocument/2006/customXml" ds:itemID="{8741ED0C-A4AB-410F-A15F-4ACD293CA49C}">
  <ds:schemaRefs>
    <ds:schemaRef ds:uri="http://schemas.openxmlformats.org/officeDocument/2006/bibliography"/>
  </ds:schemaRefs>
</ds:datastoreItem>
</file>

<file path=customXml/itemProps4.xml><?xml version="1.0" encoding="utf-8"?>
<ds:datastoreItem xmlns:ds="http://schemas.openxmlformats.org/officeDocument/2006/customXml" ds:itemID="{BD579551-DF11-4615-887E-792BB739D6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2217</Words>
  <Characters>12643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Dashboard On-Demand CCI Indicator NG - California School Dashboard and System of Support (CA Dept of Education)</vt:lpstr>
    </vt:vector>
  </TitlesOfParts>
  <Company/>
  <LinksUpToDate>false</LinksUpToDate>
  <CharactersWithSpaces>14831</CharactersWithSpaces>
  <SharedDoc>false</SharedDoc>
  <HLinks>
    <vt:vector size="60" baseType="variant">
      <vt:variant>
        <vt:i4>852039</vt:i4>
      </vt:variant>
      <vt:variant>
        <vt:i4>27</vt:i4>
      </vt:variant>
      <vt:variant>
        <vt:i4>0</vt:i4>
      </vt:variant>
      <vt:variant>
        <vt:i4>5</vt:i4>
      </vt:variant>
      <vt:variant>
        <vt:lpwstr>https://twitter.com/cdedashboard</vt:lpwstr>
      </vt:variant>
      <vt:variant>
        <vt:lpwstr/>
      </vt:variant>
      <vt:variant>
        <vt:i4>3539026</vt:i4>
      </vt:variant>
      <vt:variant>
        <vt:i4>24</vt:i4>
      </vt:variant>
      <vt:variant>
        <vt:i4>0</vt:i4>
      </vt:variant>
      <vt:variant>
        <vt:i4>5</vt:i4>
      </vt:variant>
      <vt:variant>
        <vt:lpwstr>mailto:dashboard@cde.ca.gov</vt:lpwstr>
      </vt:variant>
      <vt:variant>
        <vt:lpwstr/>
      </vt:variant>
      <vt:variant>
        <vt:i4>5111874</vt:i4>
      </vt:variant>
      <vt:variant>
        <vt:i4>21</vt:i4>
      </vt:variant>
      <vt:variant>
        <vt:i4>0</vt:i4>
      </vt:variant>
      <vt:variant>
        <vt:i4>5</vt:i4>
      </vt:variant>
      <vt:variant>
        <vt:lpwstr>https://www.cde.ca.gov/ta/ac/cm/documents/districtresidencerule24.pdf</vt:lpwstr>
      </vt:variant>
      <vt:variant>
        <vt:lpwstr/>
      </vt:variant>
      <vt:variant>
        <vt:i4>1441859</vt:i4>
      </vt:variant>
      <vt:variant>
        <vt:i4>18</vt:i4>
      </vt:variant>
      <vt:variant>
        <vt:i4>0</vt:i4>
      </vt:variant>
      <vt:variant>
        <vt:i4>5</vt:i4>
      </vt:variant>
      <vt:variant>
        <vt:lpwstr>https://www6.cde.ca.gov/californiamodel/</vt:lpwstr>
      </vt:variant>
      <vt:variant>
        <vt:lpwstr/>
      </vt:variant>
      <vt:variant>
        <vt:i4>6029319</vt:i4>
      </vt:variant>
      <vt:variant>
        <vt:i4>15</vt:i4>
      </vt:variant>
      <vt:variant>
        <vt:i4>0</vt:i4>
      </vt:variant>
      <vt:variant>
        <vt:i4>5</vt:i4>
      </vt:variant>
      <vt:variant>
        <vt:lpwstr>https://www.cde.ca.gov/ta/ac/cm/dashboardguide24.asp</vt:lpwstr>
      </vt:variant>
      <vt:variant>
        <vt:lpwstr/>
      </vt:variant>
      <vt:variant>
        <vt:i4>1179719</vt:i4>
      </vt:variant>
      <vt:variant>
        <vt:i4>12</vt:i4>
      </vt:variant>
      <vt:variant>
        <vt:i4>0</vt:i4>
      </vt:variant>
      <vt:variant>
        <vt:i4>5</vt:i4>
      </vt:variant>
      <vt:variant>
        <vt:lpwstr>https://www.cde.ca.gov/ta/ac/cm/dashboardccr.asp</vt:lpwstr>
      </vt:variant>
      <vt:variant>
        <vt:lpwstr/>
      </vt:variant>
      <vt:variant>
        <vt:i4>1048649</vt:i4>
      </vt:variant>
      <vt:variant>
        <vt:i4>9</vt:i4>
      </vt:variant>
      <vt:variant>
        <vt:i4>0</vt:i4>
      </vt:variant>
      <vt:variant>
        <vt:i4>5</vt:i4>
      </vt:variant>
      <vt:variant>
        <vt:lpwstr>https://www.cde.ca.gov/ta/ac/cm/dbadditionalrpts.asp</vt:lpwstr>
      </vt:variant>
      <vt:variant>
        <vt:lpwstr/>
      </vt:variant>
      <vt:variant>
        <vt:i4>5505098</vt:i4>
      </vt:variant>
      <vt:variant>
        <vt:i4>6</vt:i4>
      </vt:variant>
      <vt:variant>
        <vt:i4>0</vt:i4>
      </vt:variant>
      <vt:variant>
        <vt:i4>5</vt:i4>
      </vt:variant>
      <vt:variant>
        <vt:lpwstr>https://www.cde.ca.gov/ta/ac/cm/documents/caldashhandbook24.docx</vt:lpwstr>
      </vt:variant>
      <vt:variant>
        <vt:lpwstr/>
      </vt:variant>
      <vt:variant>
        <vt:i4>5767258</vt:i4>
      </vt:variant>
      <vt:variant>
        <vt:i4>3</vt:i4>
      </vt:variant>
      <vt:variant>
        <vt:i4>0</vt:i4>
      </vt:variant>
      <vt:variant>
        <vt:i4>5</vt:i4>
      </vt:variant>
      <vt:variant>
        <vt:lpwstr>https://www.cde.ca.gov/ta/ac/cm/documents/ccicollege.pdf</vt:lpwstr>
      </vt:variant>
      <vt:variant>
        <vt:lpwstr/>
      </vt:variant>
      <vt:variant>
        <vt:i4>8323186</vt:i4>
      </vt:variant>
      <vt:variant>
        <vt:i4>0</vt:i4>
      </vt:variant>
      <vt:variant>
        <vt:i4>0</vt:i4>
      </vt:variant>
      <vt:variant>
        <vt:i4>5</vt:i4>
      </vt:variant>
      <vt:variant>
        <vt:lpwstr>https://www.cde.ca.gov/ta/ac/cm/documents/ccicareer.pdf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Dashboard On-Demand CCI Indicator NG - California School Dashboard and System of Support (CA Dept of Education)</dc:title>
  <dc:subject>This notetaking guide (NG) accompanies the California School Dashboard (Dashboard) On-Demand Series about the College/Career Indicator.</dc:subject>
  <dc:creator/>
  <cp:keywords/>
  <dc:description/>
  <cp:lastModifiedBy/>
  <cp:revision>1</cp:revision>
  <dcterms:created xsi:type="dcterms:W3CDTF">2024-11-22T18:46:00Z</dcterms:created>
  <dcterms:modified xsi:type="dcterms:W3CDTF">2024-12-06T19:08:00Z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0x010100037820660CE92443B0EB7E08E0A6E3C3</vt:lpwstr>
  </property>
</Properties>
</file>