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4033" w14:textId="3AC87F5D" w:rsidR="005E292D" w:rsidRDefault="00F93A49" w:rsidP="001844E8">
      <w:pPr>
        <w:pStyle w:val="Heading1"/>
        <w:spacing w:after="1080"/>
        <w:jc w:val="center"/>
        <w:rPr>
          <w:sz w:val="52"/>
          <w:szCs w:val="52"/>
        </w:rPr>
      </w:pPr>
      <w:bookmarkStart w:id="0" w:name="_heading=h.bl5ylxpblahx" w:colFirst="0" w:colLast="0"/>
      <w:bookmarkStart w:id="1" w:name="_Toc110867984"/>
      <w:bookmarkStart w:id="2" w:name="_Toc184650741"/>
      <w:bookmarkEnd w:id="0"/>
      <w:r>
        <w:rPr>
          <w:sz w:val="52"/>
          <w:szCs w:val="52"/>
        </w:rPr>
        <w:t xml:space="preserve">2026 </w:t>
      </w:r>
      <w:r w:rsidR="0070793E">
        <w:rPr>
          <w:sz w:val="52"/>
          <w:szCs w:val="52"/>
        </w:rPr>
        <w:t xml:space="preserve">Exemplary </w:t>
      </w:r>
      <w:r w:rsidR="00322095">
        <w:rPr>
          <w:sz w:val="52"/>
          <w:szCs w:val="52"/>
        </w:rPr>
        <w:t>Arts Education</w:t>
      </w:r>
      <w:r w:rsidR="0070793E">
        <w:rPr>
          <w:sz w:val="52"/>
          <w:szCs w:val="52"/>
        </w:rPr>
        <w:t xml:space="preserve"> Award </w:t>
      </w:r>
      <w:r>
        <w:rPr>
          <w:sz w:val="52"/>
          <w:szCs w:val="52"/>
        </w:rPr>
        <w:t>Sample Application</w:t>
      </w:r>
      <w:bookmarkEnd w:id="1"/>
      <w:bookmarkEnd w:id="2"/>
    </w:p>
    <w:p w14:paraId="083EB647" w14:textId="77777777" w:rsidR="005E292D" w:rsidRDefault="0070793E">
      <w:pPr>
        <w:pBdr>
          <w:top w:val="nil"/>
          <w:left w:val="nil"/>
          <w:bottom w:val="nil"/>
          <w:right w:val="nil"/>
          <w:between w:val="nil"/>
        </w:pBdr>
        <w:spacing w:before="720" w:after="720"/>
        <w:jc w:val="center"/>
        <w:rPr>
          <w:b/>
          <w:i/>
          <w:color w:val="000000"/>
          <w:sz w:val="40"/>
          <w:szCs w:val="40"/>
          <w:u w:val="single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63BCD5F3" wp14:editId="373E928F">
            <wp:extent cx="1662430" cy="1662430"/>
            <wp:effectExtent l="0" t="0" r="0" b="0"/>
            <wp:docPr id="14" name="image1.png" descr="California Department of Education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 descr="California Department of Education Se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0BE7C" w14:textId="760040A0" w:rsidR="005E292D" w:rsidRPr="00292AAA" w:rsidRDefault="0070793E" w:rsidP="00E076ED">
      <w:pPr>
        <w:spacing w:before="1800"/>
        <w:jc w:val="center"/>
        <w:rPr>
          <w:b/>
          <w:sz w:val="32"/>
          <w:szCs w:val="32"/>
        </w:rPr>
      </w:pPr>
      <w:r w:rsidRPr="00292AAA">
        <w:rPr>
          <w:b/>
          <w:sz w:val="32"/>
          <w:szCs w:val="32"/>
        </w:rPr>
        <w:t>Application Due Date:</w:t>
      </w:r>
    </w:p>
    <w:p w14:paraId="321B6CF7" w14:textId="3D8AF9EC" w:rsidR="00024103" w:rsidRPr="00292AAA" w:rsidRDefault="002606E5" w:rsidP="00024103">
      <w:pPr>
        <w:spacing w:after="1320"/>
        <w:jc w:val="center"/>
        <w:rPr>
          <w:b/>
          <w:sz w:val="32"/>
          <w:szCs w:val="32"/>
        </w:rPr>
      </w:pPr>
      <w:r w:rsidRPr="00292AAA">
        <w:rPr>
          <w:b/>
          <w:sz w:val="32"/>
          <w:szCs w:val="32"/>
        </w:rPr>
        <w:t xml:space="preserve">December </w:t>
      </w:r>
      <w:r w:rsidR="00024103" w:rsidRPr="00292AAA">
        <w:rPr>
          <w:b/>
          <w:sz w:val="32"/>
          <w:szCs w:val="32"/>
        </w:rPr>
        <w:t>21</w:t>
      </w:r>
      <w:r w:rsidRPr="00292AAA">
        <w:rPr>
          <w:b/>
          <w:sz w:val="32"/>
          <w:szCs w:val="32"/>
        </w:rPr>
        <w:t>, 2025</w:t>
      </w:r>
      <w:r w:rsidR="00207B1E" w:rsidRPr="00292AAA">
        <w:rPr>
          <w:b/>
          <w:sz w:val="32"/>
          <w:szCs w:val="32"/>
        </w:rPr>
        <w:t>,</w:t>
      </w:r>
      <w:r w:rsidR="00024103" w:rsidRPr="00292AAA">
        <w:rPr>
          <w:b/>
          <w:sz w:val="32"/>
          <w:szCs w:val="32"/>
        </w:rPr>
        <w:t xml:space="preserve"> by 11:59 p</w:t>
      </w:r>
      <w:r w:rsidR="00207B1E" w:rsidRPr="00292AAA">
        <w:rPr>
          <w:b/>
          <w:sz w:val="32"/>
          <w:szCs w:val="32"/>
        </w:rPr>
        <w:t>.</w:t>
      </w:r>
      <w:r w:rsidR="00024103" w:rsidRPr="00292AAA">
        <w:rPr>
          <w:b/>
          <w:sz w:val="32"/>
          <w:szCs w:val="32"/>
        </w:rPr>
        <w:t>m</w:t>
      </w:r>
      <w:r w:rsidR="00207B1E" w:rsidRPr="00292AAA">
        <w:rPr>
          <w:b/>
          <w:sz w:val="32"/>
          <w:szCs w:val="32"/>
        </w:rPr>
        <w:t>.</w:t>
      </w:r>
    </w:p>
    <w:p w14:paraId="190AAF97" w14:textId="77777777" w:rsidR="005E292D" w:rsidRDefault="0070793E">
      <w:pPr>
        <w:widowControl w:val="0"/>
        <w:jc w:val="center"/>
      </w:pPr>
      <w:r>
        <w:t>Administered by the:</w:t>
      </w:r>
    </w:p>
    <w:p w14:paraId="49FF0035" w14:textId="77777777" w:rsidR="005E292D" w:rsidRDefault="0070793E">
      <w:pPr>
        <w:widowControl w:val="0"/>
        <w:spacing w:after="0"/>
        <w:jc w:val="center"/>
      </w:pPr>
      <w:r>
        <w:t>California Department of Education</w:t>
      </w:r>
    </w:p>
    <w:p w14:paraId="56B7CE9D" w14:textId="68E7FC60" w:rsidR="005E292D" w:rsidRDefault="00CB6EC6">
      <w:pPr>
        <w:widowControl w:val="0"/>
        <w:spacing w:after="0"/>
        <w:jc w:val="center"/>
      </w:pPr>
      <w:r>
        <w:t>Curriculum Framework</w:t>
      </w:r>
      <w:r w:rsidR="00580061">
        <w:t>s</w:t>
      </w:r>
      <w:r>
        <w:t xml:space="preserve"> and Instructional Resources Division</w:t>
      </w:r>
    </w:p>
    <w:p w14:paraId="647E434F" w14:textId="49E0AC29" w:rsidR="005E292D" w:rsidRDefault="0070793E">
      <w:pPr>
        <w:widowControl w:val="0"/>
        <w:spacing w:after="0"/>
        <w:jc w:val="center"/>
      </w:pPr>
      <w:r>
        <w:t xml:space="preserve">1430 N Street, Suite </w:t>
      </w:r>
      <w:r w:rsidR="00691F0A">
        <w:t>3207</w:t>
      </w:r>
    </w:p>
    <w:p w14:paraId="5AE92B94" w14:textId="77777777" w:rsidR="005E292D" w:rsidRDefault="0070793E" w:rsidP="00207B1E">
      <w:pPr>
        <w:widowControl w:val="0"/>
        <w:spacing w:after="480"/>
        <w:jc w:val="center"/>
      </w:pPr>
      <w:r>
        <w:t>Sacramento, CA 95814</w:t>
      </w:r>
    </w:p>
    <w:p w14:paraId="3510A4DA" w14:textId="2931BFC9" w:rsidR="005E292D" w:rsidRPr="00E96443" w:rsidRDefault="0070793E">
      <w:pPr>
        <w:widowControl w:val="0"/>
        <w:jc w:val="center"/>
      </w:pPr>
      <w:r w:rsidRPr="00E96443">
        <w:t xml:space="preserve">Questions: </w:t>
      </w:r>
      <w:hyperlink r:id="rId8" w:history="1">
        <w:r w:rsidR="00822D26" w:rsidRPr="00E96443">
          <w:rPr>
            <w:rStyle w:val="Hyperlink"/>
          </w:rPr>
          <w:t>exemplaryartsawards@cde.ca.gov</w:t>
        </w:r>
      </w:hyperlink>
    </w:p>
    <w:p w14:paraId="00CBE5D9" w14:textId="09922676" w:rsidR="00207B1E" w:rsidRPr="00E96443" w:rsidRDefault="00207B1E">
      <w:r w:rsidRPr="00E96443">
        <w:br w:type="page"/>
      </w:r>
    </w:p>
    <w:p w14:paraId="5A90FDC2" w14:textId="1D592ACE" w:rsidR="005E292D" w:rsidRPr="002B5D49" w:rsidRDefault="0070793E" w:rsidP="00207B1E">
      <w:pPr>
        <w:pStyle w:val="Heading2"/>
      </w:pPr>
      <w:bookmarkStart w:id="3" w:name="_Toc184650742"/>
      <w:r w:rsidRPr="002B5D49">
        <w:lastRenderedPageBreak/>
        <w:t>Table of Contents</w:t>
      </w:r>
      <w:bookmarkEnd w:id="3"/>
    </w:p>
    <w:bookmarkStart w:id="4" w:name="_heading=h.30j0zll" w:colFirst="0" w:colLast="0"/>
    <w:bookmarkStart w:id="5" w:name="_heading=h.4y93g4tyg8m6" w:colFirst="0" w:colLast="0"/>
    <w:bookmarkEnd w:id="4"/>
    <w:bookmarkEnd w:id="5"/>
    <w:p w14:paraId="6B48A0E1" w14:textId="7BED7A83" w:rsidR="00E7613C" w:rsidRDefault="00E7613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lang w:eastAsia="zh-CN"/>
          <w14:ligatures w14:val="standardContextual"/>
        </w:rPr>
      </w:pPr>
      <w:r>
        <w:rPr>
          <w:b/>
          <w:bCs w:val="0"/>
          <w:caps w:val="0"/>
        </w:rPr>
        <w:fldChar w:fldCharType="begin"/>
      </w:r>
      <w:r>
        <w:rPr>
          <w:b/>
          <w:bCs w:val="0"/>
          <w:caps w:val="0"/>
        </w:rPr>
        <w:instrText xml:space="preserve"> TOC \o "1-3" \h \z \u </w:instrText>
      </w:r>
      <w:r>
        <w:rPr>
          <w:b/>
          <w:bCs w:val="0"/>
          <w:caps w:val="0"/>
        </w:rPr>
        <w:fldChar w:fldCharType="separate"/>
      </w:r>
      <w:hyperlink w:anchor="_Toc184650741" w:history="1">
        <w:r w:rsidRPr="003118CB">
          <w:rPr>
            <w:rStyle w:val="Hyperlink"/>
            <w:noProof/>
          </w:rPr>
          <w:t>Exemplary Arts Education Award 2026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50C728" w14:textId="15135EDE" w:rsidR="00E7613C" w:rsidRDefault="00E7613C">
      <w:pPr>
        <w:pStyle w:val="TOC2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zh-CN"/>
          <w14:ligatures w14:val="standardContextual"/>
        </w:rPr>
      </w:pPr>
      <w:hyperlink w:anchor="_Toc184650742" w:history="1">
        <w:r w:rsidRPr="003118CB">
          <w:rPr>
            <w:rStyle w:val="Hyperlink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F52745" w14:textId="3E97E1FF" w:rsidR="00E7613C" w:rsidRDefault="00E7613C">
      <w:pPr>
        <w:pStyle w:val="TOC2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zh-CN"/>
          <w14:ligatures w14:val="standardContextual"/>
        </w:rPr>
      </w:pPr>
      <w:hyperlink w:anchor="_Toc184650743" w:history="1">
        <w:r w:rsidRPr="003118CB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F03E75" w14:textId="7D04E49A" w:rsidR="00E7613C" w:rsidRDefault="00E7613C">
      <w:pPr>
        <w:pStyle w:val="TOC2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zh-CN"/>
          <w14:ligatures w14:val="standardContextual"/>
        </w:rPr>
      </w:pPr>
      <w:hyperlink w:anchor="_Toc184650744" w:history="1">
        <w:r w:rsidRPr="003118CB">
          <w:rPr>
            <w:rStyle w:val="Hyperlink"/>
            <w:noProof/>
          </w:rPr>
          <w:t>Application Procedures and 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98F7C8" w14:textId="1843B04D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45" w:history="1">
        <w:r w:rsidRPr="003118CB">
          <w:rPr>
            <w:rStyle w:val="Hyperlink"/>
            <w:noProof/>
          </w:rPr>
          <w:t>Eligibility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666F00" w14:textId="6028BCE2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46" w:history="1">
        <w:r w:rsidRPr="003118CB">
          <w:rPr>
            <w:rStyle w:val="Hyperlink"/>
            <w:noProof/>
          </w:rPr>
          <w:t>Application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BD2771" w14:textId="60069C86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47" w:history="1">
        <w:r w:rsidRPr="003118CB">
          <w:rPr>
            <w:rStyle w:val="Hyperlink"/>
            <w:noProof/>
          </w:rPr>
          <w:t>Application Components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9F0F17" w14:textId="55BA5F85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48" w:history="1">
        <w:r w:rsidRPr="003118CB">
          <w:rPr>
            <w:rStyle w:val="Hyperlink"/>
            <w:noProof/>
          </w:rPr>
          <w:t>Submission Procedures and Application Components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12B48E" w14:textId="5A79E535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49" w:history="1">
        <w:r w:rsidRPr="003118CB">
          <w:rPr>
            <w:rStyle w:val="Hyperlink"/>
            <w:noProof/>
          </w:rPr>
          <w:t>Incomplete and Late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A58533" w14:textId="7AFE5448" w:rsidR="00E7613C" w:rsidRDefault="00E7613C">
      <w:pPr>
        <w:pStyle w:val="TOC2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zh-CN"/>
          <w14:ligatures w14:val="standardContextual"/>
        </w:rPr>
      </w:pPr>
      <w:hyperlink w:anchor="_Toc184650750" w:history="1">
        <w:r w:rsidRPr="003118CB">
          <w:rPr>
            <w:rStyle w:val="Hyperlink"/>
            <w:noProof/>
          </w:rPr>
          <w:t>Sample 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F3D8A8" w14:textId="597C069F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51" w:history="1">
        <w:r w:rsidRPr="003118CB">
          <w:rPr>
            <w:rStyle w:val="Hyperlink"/>
            <w:noProof/>
          </w:rPr>
          <w:t>Part 1: School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CB8ADC" w14:textId="7103B40B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52" w:history="1">
        <w:r w:rsidRPr="003118CB">
          <w:rPr>
            <w:rStyle w:val="Hyperlink"/>
            <w:noProof/>
          </w:rPr>
          <w:t>Part 2: Eligibility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9AEDFD" w14:textId="798CB71D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53" w:history="1">
        <w:r w:rsidRPr="003118CB">
          <w:rPr>
            <w:rStyle w:val="Hyperlink"/>
            <w:noProof/>
          </w:rPr>
          <w:t>Part 3: Theme A––Program Administration and Accountability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A8FB79" w14:textId="55BC6618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54" w:history="1">
        <w:r w:rsidRPr="003118CB">
          <w:rPr>
            <w:rStyle w:val="Hyperlink"/>
            <w:noProof/>
          </w:rPr>
          <w:t>Part 4: Theme B––Program Development and Growth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C40E66" w14:textId="2D1647F9" w:rsidR="00E7613C" w:rsidRDefault="00E7613C">
      <w:pPr>
        <w:pStyle w:val="TOC3"/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</w:pPr>
      <w:hyperlink w:anchor="_Toc184650755" w:history="1">
        <w:r w:rsidRPr="003118CB">
          <w:rPr>
            <w:rStyle w:val="Hyperlink"/>
            <w:noProof/>
          </w:rPr>
          <w:t>Part 5: Theme C––Program Curriculum, Instruction, and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_Toc184650755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F73A894" w14:textId="396936CC" w:rsidR="00142B40" w:rsidRPr="002B5D49" w:rsidRDefault="00E7613C">
      <w:pPr>
        <w:rPr>
          <w:bCs/>
          <w:iCs/>
        </w:rPr>
      </w:pPr>
      <w:r>
        <w:rPr>
          <w:b/>
          <w:bCs/>
          <w:caps/>
        </w:rPr>
        <w:fldChar w:fldCharType="end"/>
      </w:r>
      <w:r w:rsidR="00142B40" w:rsidRPr="002B5D49">
        <w:br w:type="page"/>
      </w:r>
    </w:p>
    <w:p w14:paraId="4BD9155A" w14:textId="7FACA835" w:rsidR="005E292D" w:rsidRPr="00876EF5" w:rsidRDefault="0070793E">
      <w:pPr>
        <w:pStyle w:val="Heading2"/>
        <w:spacing w:after="240"/>
      </w:pPr>
      <w:bookmarkStart w:id="6" w:name="_Toc184650743"/>
      <w:r w:rsidRPr="00876EF5">
        <w:lastRenderedPageBreak/>
        <w:t>Overview</w:t>
      </w:r>
      <w:bookmarkEnd w:id="6"/>
    </w:p>
    <w:p w14:paraId="6214F12A" w14:textId="4775B793" w:rsidR="00614729" w:rsidRPr="00876EF5" w:rsidRDefault="00E5398C" w:rsidP="00614729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76EF5">
        <w:rPr>
          <w:color w:val="000000"/>
        </w:rPr>
        <w:t>The California E</w:t>
      </w:r>
      <w:r w:rsidR="00196453">
        <w:rPr>
          <w:color w:val="000000"/>
        </w:rPr>
        <w:t>x</w:t>
      </w:r>
      <w:r w:rsidRPr="00876EF5">
        <w:rPr>
          <w:color w:val="000000"/>
        </w:rPr>
        <w:t xml:space="preserve">emplary Arts Education Award </w:t>
      </w:r>
      <w:r w:rsidR="00FB7D06" w:rsidRPr="00876EF5">
        <w:rPr>
          <w:color w:val="000000"/>
        </w:rPr>
        <w:t>(EAE</w:t>
      </w:r>
      <w:r w:rsidR="00B9323F">
        <w:rPr>
          <w:color w:val="000000"/>
        </w:rPr>
        <w:t>A</w:t>
      </w:r>
      <w:r w:rsidR="00FB7D06" w:rsidRPr="00876EF5">
        <w:rPr>
          <w:color w:val="000000"/>
        </w:rPr>
        <w:t xml:space="preserve">) </w:t>
      </w:r>
      <w:r w:rsidRPr="00876EF5">
        <w:rPr>
          <w:color w:val="000000"/>
        </w:rPr>
        <w:t xml:space="preserve">acknowledges </w:t>
      </w:r>
      <w:r w:rsidR="000D73C2">
        <w:rPr>
          <w:color w:val="000000"/>
        </w:rPr>
        <w:t>individual school sites</w:t>
      </w:r>
      <w:r w:rsidRPr="00876EF5">
        <w:rPr>
          <w:color w:val="000000"/>
        </w:rPr>
        <w:t xml:space="preserve"> who demonstrate a commitment to </w:t>
      </w:r>
      <w:r w:rsidR="000D73C2">
        <w:rPr>
          <w:color w:val="000000"/>
        </w:rPr>
        <w:t xml:space="preserve">sustained access and </w:t>
      </w:r>
      <w:r w:rsidR="000D73C2" w:rsidRPr="00876EF5">
        <w:rPr>
          <w:color w:val="000000"/>
        </w:rPr>
        <w:t>equi</w:t>
      </w:r>
      <w:r w:rsidR="000D73C2">
        <w:rPr>
          <w:color w:val="000000"/>
        </w:rPr>
        <w:t xml:space="preserve">ty to </w:t>
      </w:r>
      <w:r w:rsidR="000D73C2" w:rsidRPr="00876EF5">
        <w:rPr>
          <w:color w:val="000000"/>
        </w:rPr>
        <w:t xml:space="preserve">standards-aligned </w:t>
      </w:r>
      <w:r w:rsidR="000D73C2">
        <w:rPr>
          <w:color w:val="000000"/>
        </w:rPr>
        <w:t xml:space="preserve">arts education programs </w:t>
      </w:r>
      <w:proofErr w:type="gramStart"/>
      <w:r w:rsidR="000D73C2">
        <w:rPr>
          <w:color w:val="000000"/>
        </w:rPr>
        <w:t>to</w:t>
      </w:r>
      <w:proofErr w:type="gramEnd"/>
      <w:r w:rsidR="000D73C2">
        <w:rPr>
          <w:color w:val="000000"/>
        </w:rPr>
        <w:t xml:space="preserve"> </w:t>
      </w:r>
      <w:r w:rsidRPr="00876EF5">
        <w:rPr>
          <w:color w:val="000000"/>
        </w:rPr>
        <w:t xml:space="preserve">all students </w:t>
      </w:r>
      <w:r w:rsidR="000D73C2">
        <w:rPr>
          <w:color w:val="000000"/>
        </w:rPr>
        <w:t>they serve.</w:t>
      </w:r>
    </w:p>
    <w:p w14:paraId="17630485" w14:textId="41501FAE" w:rsidR="00991FC9" w:rsidRDefault="0070793E" w:rsidP="00292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76EF5">
        <w:rPr>
          <w:color w:val="000000"/>
        </w:rPr>
        <w:t>T</w:t>
      </w:r>
      <w:r w:rsidR="00EA1681" w:rsidRPr="00876EF5">
        <w:rPr>
          <w:color w:val="000000"/>
        </w:rPr>
        <w:t>he EAE</w:t>
      </w:r>
      <w:r w:rsidR="00B9323F">
        <w:rPr>
          <w:color w:val="000000"/>
        </w:rPr>
        <w:t>A</w:t>
      </w:r>
      <w:r w:rsidRPr="00876EF5">
        <w:rPr>
          <w:color w:val="000000"/>
        </w:rPr>
        <w:t xml:space="preserve"> </w:t>
      </w:r>
      <w:r w:rsidR="00F90B74">
        <w:rPr>
          <w:color w:val="000000"/>
        </w:rPr>
        <w:t>showcases recipient schools’</w:t>
      </w:r>
      <w:r w:rsidRPr="00876EF5">
        <w:rPr>
          <w:color w:val="000000"/>
        </w:rPr>
        <w:t xml:space="preserve"> </w:t>
      </w:r>
      <w:r w:rsidRPr="00876EF5">
        <w:t xml:space="preserve">exemplary </w:t>
      </w:r>
      <w:r w:rsidR="006741F6" w:rsidRPr="00876EF5">
        <w:t xml:space="preserve">arts education </w:t>
      </w:r>
      <w:r w:rsidRPr="00876EF5">
        <w:rPr>
          <w:color w:val="000000"/>
        </w:rPr>
        <w:t>programs and practices which have contributed to their success</w:t>
      </w:r>
      <w:r w:rsidR="00F9140B">
        <w:rPr>
          <w:color w:val="000000"/>
        </w:rPr>
        <w:t xml:space="preserve"> based on the themes</w:t>
      </w:r>
      <w:r w:rsidR="008933D3">
        <w:rPr>
          <w:color w:val="000000"/>
        </w:rPr>
        <w:t xml:space="preserve"> listed below</w:t>
      </w:r>
      <w:r w:rsidR="00CA74AF">
        <w:rPr>
          <w:color w:val="000000"/>
        </w:rPr>
        <w:t>:</w:t>
      </w:r>
    </w:p>
    <w:p w14:paraId="77914D70" w14:textId="4F1BA84E" w:rsidR="005647E7" w:rsidRDefault="005647E7" w:rsidP="00991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>
        <w:rPr>
          <w:color w:val="000000"/>
        </w:rPr>
        <w:tab/>
        <w:t xml:space="preserve">Theme </w:t>
      </w:r>
      <w:r w:rsidR="002A758B">
        <w:rPr>
          <w:color w:val="000000"/>
        </w:rPr>
        <w:t>A</w:t>
      </w:r>
      <w:r w:rsidR="00A362FE">
        <w:rPr>
          <w:color w:val="000000"/>
        </w:rPr>
        <w:t>––</w:t>
      </w:r>
      <w:r>
        <w:rPr>
          <w:color w:val="000000"/>
        </w:rPr>
        <w:t>Program Administration and Accountability</w:t>
      </w:r>
    </w:p>
    <w:p w14:paraId="4DB4CF6F" w14:textId="6700E984" w:rsidR="005647E7" w:rsidRDefault="005647E7" w:rsidP="00991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>
        <w:rPr>
          <w:color w:val="000000"/>
        </w:rPr>
        <w:tab/>
        <w:t xml:space="preserve">Theme </w:t>
      </w:r>
      <w:r w:rsidR="002A758B">
        <w:rPr>
          <w:color w:val="000000"/>
        </w:rPr>
        <w:t>B</w:t>
      </w:r>
      <w:r w:rsidR="00A362FE">
        <w:rPr>
          <w:color w:val="000000"/>
        </w:rPr>
        <w:t>––</w:t>
      </w:r>
      <w:r>
        <w:rPr>
          <w:color w:val="000000"/>
        </w:rPr>
        <w:t>Program Development and Growth</w:t>
      </w:r>
    </w:p>
    <w:p w14:paraId="744C3A6B" w14:textId="50459D1D" w:rsidR="005647E7" w:rsidRDefault="005647E7" w:rsidP="00292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ab/>
        <w:t xml:space="preserve">Theme </w:t>
      </w:r>
      <w:r w:rsidR="002A758B">
        <w:rPr>
          <w:color w:val="000000"/>
        </w:rPr>
        <w:t>C</w:t>
      </w:r>
      <w:r w:rsidR="00A362FE">
        <w:rPr>
          <w:color w:val="000000"/>
        </w:rPr>
        <w:t>––</w:t>
      </w:r>
      <w:r>
        <w:rPr>
          <w:color w:val="000000"/>
        </w:rPr>
        <w:t>Program Curriculum, Instruction, and Assessment</w:t>
      </w:r>
    </w:p>
    <w:p w14:paraId="0A75D35D" w14:textId="19A9512E" w:rsidR="000D73C2" w:rsidRDefault="00CA74AF" w:rsidP="00292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EAEA recipient</w:t>
      </w:r>
      <w:r w:rsidR="00F90B74">
        <w:rPr>
          <w:color w:val="000000"/>
        </w:rPr>
        <w:t>s</w:t>
      </w:r>
      <w:r>
        <w:rPr>
          <w:color w:val="000000"/>
        </w:rPr>
        <w:t xml:space="preserve"> </w:t>
      </w:r>
      <w:r w:rsidR="000D73C2" w:rsidRPr="00876EF5">
        <w:rPr>
          <w:color w:val="000000"/>
        </w:rPr>
        <w:t xml:space="preserve">serve as model </w:t>
      </w:r>
      <w:r>
        <w:rPr>
          <w:color w:val="000000"/>
        </w:rPr>
        <w:t>a</w:t>
      </w:r>
      <w:r w:rsidR="000D73C2" w:rsidRPr="00876EF5">
        <w:rPr>
          <w:color w:val="000000"/>
        </w:rPr>
        <w:t>rts programs for the California Department of Education (CDE) for t</w:t>
      </w:r>
      <w:r w:rsidR="000D73C2">
        <w:rPr>
          <w:color w:val="000000"/>
        </w:rPr>
        <w:t>wo</w:t>
      </w:r>
      <w:r w:rsidR="000D73C2" w:rsidRPr="00876EF5">
        <w:rPr>
          <w:color w:val="000000"/>
        </w:rPr>
        <w:t xml:space="preserve"> </w:t>
      </w:r>
      <w:r w:rsidR="000D73C2">
        <w:rPr>
          <w:color w:val="000000"/>
        </w:rPr>
        <w:t xml:space="preserve">academic </w:t>
      </w:r>
      <w:r w:rsidR="000D73C2" w:rsidRPr="00876EF5">
        <w:rPr>
          <w:color w:val="000000"/>
        </w:rPr>
        <w:t>year</w:t>
      </w:r>
      <w:r w:rsidR="0077537E">
        <w:rPr>
          <w:color w:val="000000"/>
        </w:rPr>
        <w:t xml:space="preserve">s. </w:t>
      </w:r>
      <w:r w:rsidR="00AD40D5">
        <w:rPr>
          <w:color w:val="000000"/>
        </w:rPr>
        <w:t>A full outline of the application and award timeline are detailed belo</w:t>
      </w:r>
      <w:r w:rsidR="005C5BF6">
        <w:rPr>
          <w:color w:val="000000"/>
        </w:rPr>
        <w:t>w</w:t>
      </w:r>
      <w:r w:rsidR="00AD40D5">
        <w:rPr>
          <w:color w:val="000000"/>
        </w:rPr>
        <w:t>.</w:t>
      </w:r>
    </w:p>
    <w:p w14:paraId="6FFBB6DE" w14:textId="5D54AB75" w:rsidR="00342432" w:rsidRPr="00A73133" w:rsidRDefault="00F90B74" w:rsidP="00292AAA">
      <w:pPr>
        <w:shd w:val="clear" w:color="auto" w:fill="FFFFFF"/>
        <w:rPr>
          <w:rFonts w:eastAsia="Times New Roman"/>
          <w:color w:val="000000"/>
        </w:rPr>
      </w:pPr>
      <w:r w:rsidRPr="00A73133">
        <w:rPr>
          <w:rFonts w:eastAsia="Times New Roman"/>
          <w:color w:val="000000"/>
        </w:rPr>
        <w:t>Interested e</w:t>
      </w:r>
      <w:r w:rsidR="00614729" w:rsidRPr="00A73133">
        <w:rPr>
          <w:rFonts w:eastAsia="Times New Roman"/>
          <w:color w:val="000000"/>
        </w:rPr>
        <w:t xml:space="preserve">ligible schools must submit a completed </w:t>
      </w:r>
      <w:r w:rsidR="00142B40" w:rsidRPr="00A73133">
        <w:rPr>
          <w:rFonts w:eastAsia="Times New Roman"/>
          <w:color w:val="000000"/>
        </w:rPr>
        <w:t>EAE</w:t>
      </w:r>
      <w:r w:rsidR="006B1DCF" w:rsidRPr="00A73133">
        <w:rPr>
          <w:rFonts w:eastAsia="Times New Roman"/>
          <w:color w:val="000000"/>
        </w:rPr>
        <w:t>A</w:t>
      </w:r>
      <w:r w:rsidR="00614729" w:rsidRPr="00A73133">
        <w:rPr>
          <w:rFonts w:eastAsia="Times New Roman"/>
          <w:color w:val="000000"/>
        </w:rPr>
        <w:t xml:space="preserve"> application </w:t>
      </w:r>
      <w:r w:rsidR="00EB7BB0" w:rsidRPr="00A73133">
        <w:rPr>
          <w:rFonts w:eastAsia="Times New Roman"/>
          <w:color w:val="000000"/>
        </w:rPr>
        <w:t xml:space="preserve">via online application process </w:t>
      </w:r>
      <w:r w:rsidR="00614729" w:rsidRPr="00A73133">
        <w:rPr>
          <w:rFonts w:eastAsia="Times New Roman"/>
          <w:color w:val="000000"/>
        </w:rPr>
        <w:t xml:space="preserve">by </w:t>
      </w:r>
      <w:r w:rsidR="0080773B" w:rsidRPr="00A73133">
        <w:rPr>
          <w:rFonts w:eastAsia="Times New Roman"/>
          <w:color w:val="000000"/>
        </w:rPr>
        <w:t>11:59 p</w:t>
      </w:r>
      <w:r w:rsidR="00A362FE">
        <w:rPr>
          <w:rFonts w:eastAsia="Times New Roman"/>
          <w:color w:val="000000"/>
        </w:rPr>
        <w:t>.</w:t>
      </w:r>
      <w:r w:rsidR="0080773B" w:rsidRPr="00A73133">
        <w:rPr>
          <w:rFonts w:eastAsia="Times New Roman"/>
          <w:color w:val="000000"/>
        </w:rPr>
        <w:t>m</w:t>
      </w:r>
      <w:r w:rsidR="00A362FE">
        <w:rPr>
          <w:rFonts w:eastAsia="Times New Roman"/>
          <w:color w:val="000000"/>
        </w:rPr>
        <w:t>. on</w:t>
      </w:r>
      <w:r w:rsidR="0080773B" w:rsidRPr="00A73133">
        <w:rPr>
          <w:rFonts w:eastAsia="Times New Roman"/>
          <w:color w:val="000000"/>
        </w:rPr>
        <w:t xml:space="preserve"> </w:t>
      </w:r>
      <w:r w:rsidR="00B57195" w:rsidRPr="00A73133">
        <w:rPr>
          <w:rFonts w:eastAsia="Times New Roman"/>
          <w:color w:val="000000"/>
        </w:rPr>
        <w:t xml:space="preserve">December </w:t>
      </w:r>
      <w:r w:rsidR="0080773B" w:rsidRPr="00A73133">
        <w:rPr>
          <w:rFonts w:eastAsia="Times New Roman"/>
          <w:color w:val="000000"/>
        </w:rPr>
        <w:t>21</w:t>
      </w:r>
      <w:r w:rsidR="00B57195" w:rsidRPr="00A73133">
        <w:rPr>
          <w:rFonts w:eastAsia="Times New Roman"/>
          <w:color w:val="000000"/>
        </w:rPr>
        <w:t>, 2025</w:t>
      </w:r>
      <w:r w:rsidR="00614729" w:rsidRPr="00A73133">
        <w:rPr>
          <w:rFonts w:eastAsia="Times New Roman"/>
          <w:color w:val="000000"/>
        </w:rPr>
        <w:t>.</w:t>
      </w:r>
    </w:p>
    <w:p w14:paraId="1516E063" w14:textId="191830C1" w:rsidR="00614729" w:rsidRDefault="00342432" w:rsidP="00292AAA">
      <w:pPr>
        <w:shd w:val="clear" w:color="auto" w:fill="FFFFFF"/>
        <w:rPr>
          <w:rFonts w:eastAsia="Times New Roman"/>
          <w:color w:val="000000"/>
        </w:rPr>
      </w:pPr>
      <w:r w:rsidRPr="00876EF5">
        <w:rPr>
          <w:rFonts w:eastAsia="Times New Roman"/>
          <w:color w:val="000000"/>
        </w:rPr>
        <w:t>Email questions to</w:t>
      </w:r>
      <w:r w:rsidR="00614729" w:rsidRPr="00876EF5">
        <w:rPr>
          <w:rFonts w:eastAsia="Times New Roman"/>
          <w:color w:val="000000"/>
        </w:rPr>
        <w:t xml:space="preserve"> </w:t>
      </w:r>
      <w:hyperlink r:id="rId9" w:history="1">
        <w:r w:rsidR="00822D26" w:rsidRPr="005E565E">
          <w:rPr>
            <w:rStyle w:val="Hyperlink"/>
            <w:rFonts w:eastAsia="Times New Roman"/>
          </w:rPr>
          <w:t>exemplaryartsawards@cde.ca.gov</w:t>
        </w:r>
      </w:hyperlink>
      <w:r w:rsidR="00614729" w:rsidRPr="00876EF5">
        <w:rPr>
          <w:rFonts w:eastAsia="Times New Roman"/>
          <w:color w:val="000000"/>
        </w:rPr>
        <w:t>.</w:t>
      </w:r>
    </w:p>
    <w:p w14:paraId="29AAF50E" w14:textId="6BDD2743" w:rsidR="005E292D" w:rsidRDefault="0070793E">
      <w:pPr>
        <w:pStyle w:val="Heading2"/>
        <w:spacing w:after="240"/>
      </w:pPr>
      <w:bookmarkStart w:id="7" w:name="_Toc184650744"/>
      <w:r w:rsidRPr="00876EF5">
        <w:t>Application Procedures and Processes</w:t>
      </w:r>
      <w:bookmarkEnd w:id="7"/>
    </w:p>
    <w:p w14:paraId="3C2532EC" w14:textId="77777777" w:rsidR="009046CE" w:rsidRDefault="009046CE" w:rsidP="009046CE">
      <w:pPr>
        <w:pStyle w:val="Heading3"/>
        <w:spacing w:line="259" w:lineRule="auto"/>
      </w:pPr>
      <w:bookmarkStart w:id="8" w:name="_Toc184650745"/>
      <w:r w:rsidRPr="00052329">
        <w:t>Eligibility Requirements</w:t>
      </w:r>
      <w:bookmarkEnd w:id="8"/>
    </w:p>
    <w:p w14:paraId="0AAD5B04" w14:textId="79D64F97" w:rsidR="00CA74AF" w:rsidRDefault="009046CE" w:rsidP="005A169F">
      <w:pPr>
        <w:shd w:val="clear" w:color="auto" w:fill="FFFFFF"/>
        <w:contextualSpacing/>
        <w:rPr>
          <w:rFonts w:eastAsia="Times New Roman"/>
        </w:rPr>
      </w:pPr>
      <w:r w:rsidRPr="00FB7D06">
        <w:rPr>
          <w:rFonts w:eastAsia="Times New Roman"/>
        </w:rPr>
        <w:t xml:space="preserve">California </w:t>
      </w:r>
      <w:r>
        <w:rPr>
          <w:rFonts w:eastAsia="Times New Roman"/>
        </w:rPr>
        <w:t xml:space="preserve">elementary, </w:t>
      </w:r>
      <w:r w:rsidRPr="00FB7D06">
        <w:rPr>
          <w:rFonts w:eastAsia="Times New Roman"/>
        </w:rPr>
        <w:t>middle</w:t>
      </w:r>
      <w:r w:rsidR="00A362FE">
        <w:rPr>
          <w:rFonts w:eastAsia="Times New Roman"/>
        </w:rPr>
        <w:t>,</w:t>
      </w:r>
      <w:r w:rsidRPr="00FB7D06">
        <w:rPr>
          <w:rFonts w:eastAsia="Times New Roman"/>
        </w:rPr>
        <w:t xml:space="preserve"> and high schools, including direct-funded charter schools, juvenile court and community schools, and alternative schools of choice, may apply</w:t>
      </w:r>
      <w:r w:rsidR="00EF4D7A">
        <w:rPr>
          <w:rFonts w:eastAsia="Times New Roman"/>
        </w:rPr>
        <w:t xml:space="preserve">. Please note </w:t>
      </w:r>
      <w:r w:rsidR="005A169F">
        <w:rPr>
          <w:rFonts w:eastAsia="Times New Roman"/>
        </w:rPr>
        <w:t xml:space="preserve">that </w:t>
      </w:r>
      <w:r w:rsidR="00EF4D7A">
        <w:rPr>
          <w:rFonts w:eastAsia="Times New Roman"/>
        </w:rPr>
        <w:t xml:space="preserve">this is a </w:t>
      </w:r>
      <w:r w:rsidR="006C1E43">
        <w:rPr>
          <w:rFonts w:eastAsia="Times New Roman"/>
        </w:rPr>
        <w:t>school-based</w:t>
      </w:r>
      <w:r w:rsidR="00EF4D7A">
        <w:rPr>
          <w:rFonts w:eastAsia="Times New Roman"/>
        </w:rPr>
        <w:t xml:space="preserve"> award; </w:t>
      </w:r>
      <w:r w:rsidR="005A169F">
        <w:rPr>
          <w:rFonts w:eastAsia="Times New Roman"/>
        </w:rPr>
        <w:t>d</w:t>
      </w:r>
      <w:r w:rsidR="00EF4D7A">
        <w:rPr>
          <w:rFonts w:eastAsia="Times New Roman"/>
        </w:rPr>
        <w:t>istricts may not apply.</w:t>
      </w:r>
      <w:r w:rsidR="005A169F">
        <w:rPr>
          <w:rFonts w:eastAsia="Times New Roman"/>
        </w:rPr>
        <w:t xml:space="preserve"> </w:t>
      </w:r>
      <w:r w:rsidR="00CA74AF">
        <w:rPr>
          <w:rFonts w:eastAsia="Times New Roman"/>
        </w:rPr>
        <w:t>Additionally, any applicant must certify and provide select evidence in the application that their school:</w:t>
      </w:r>
    </w:p>
    <w:p w14:paraId="4EFA1138" w14:textId="15FACE09" w:rsidR="00CA74AF" w:rsidRPr="00CA74AF" w:rsidRDefault="005A169F" w:rsidP="00292AAA">
      <w:pPr>
        <w:pStyle w:val="ListParagraph"/>
        <w:numPr>
          <w:ilvl w:val="0"/>
          <w:numId w:val="11"/>
        </w:numPr>
        <w:spacing w:after="240"/>
        <w:ind w:left="792"/>
        <w:contextualSpacing w:val="0"/>
        <w:rPr>
          <w:rStyle w:val="normaltextrun"/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</w:t>
      </w:r>
      <w:r w:rsidR="00CA74AF" w:rsidRPr="00CA74AF">
        <w:rPr>
          <w:rFonts w:ascii="Arial" w:eastAsia="Times New Roman" w:hAnsi="Arial"/>
          <w:sz w:val="24"/>
          <w:szCs w:val="24"/>
        </w:rPr>
        <w:t>ffer</w:t>
      </w:r>
      <w:r w:rsidR="00CA74AF">
        <w:rPr>
          <w:rFonts w:ascii="Arial" w:eastAsia="Times New Roman" w:hAnsi="Arial"/>
          <w:sz w:val="24"/>
          <w:szCs w:val="24"/>
        </w:rPr>
        <w:t>s</w:t>
      </w:r>
      <w:r w:rsidR="00CA74AF" w:rsidRPr="00CA74AF">
        <w:rPr>
          <w:rFonts w:ascii="Arial" w:eastAsia="Times New Roman" w:hAnsi="Arial"/>
          <w:sz w:val="24"/>
          <w:szCs w:val="24"/>
        </w:rPr>
        <w:t xml:space="preserve"> instruction in a minimum of three arts disciplines (dance, media arts, music, theatre, and/or visual arts) during the regular school day</w:t>
      </w:r>
      <w:r w:rsidR="00CA74AF" w:rsidRPr="00CA74AF">
        <w:rPr>
          <w:rStyle w:val="HeaderChar"/>
          <w:rFonts w:eastAsiaTheme="majorEastAsia"/>
          <w:color w:val="231F20"/>
          <w:lang w:val="en"/>
        </w:rPr>
        <w:t xml:space="preserve"> </w:t>
      </w:r>
      <w:r w:rsidR="00CA74AF" w:rsidRPr="00CA74AF">
        <w:rPr>
          <w:rStyle w:val="normaltextrun"/>
          <w:rFonts w:ascii="Arial" w:eastAsiaTheme="majorEastAsia" w:hAnsi="Arial"/>
          <w:color w:val="231F20"/>
          <w:sz w:val="24"/>
          <w:szCs w:val="24"/>
          <w:lang w:val="en"/>
        </w:rPr>
        <w:t xml:space="preserve">through standards-based arts integration taught by a credentialed/qualified </w:t>
      </w:r>
      <w:proofErr w:type="gramStart"/>
      <w:r w:rsidR="00CA74AF" w:rsidRPr="00CA74AF">
        <w:rPr>
          <w:rStyle w:val="normaltextrun"/>
          <w:rFonts w:ascii="Arial" w:eastAsiaTheme="majorEastAsia" w:hAnsi="Arial"/>
          <w:color w:val="231F20"/>
          <w:sz w:val="24"/>
          <w:szCs w:val="24"/>
          <w:lang w:val="en"/>
        </w:rPr>
        <w:t>instructo</w:t>
      </w:r>
      <w:r>
        <w:rPr>
          <w:rStyle w:val="normaltextrun"/>
          <w:rFonts w:ascii="Arial" w:eastAsiaTheme="majorEastAsia" w:hAnsi="Arial"/>
          <w:color w:val="231F20"/>
          <w:sz w:val="24"/>
          <w:szCs w:val="24"/>
          <w:lang w:val="en"/>
        </w:rPr>
        <w:t>r;</w:t>
      </w:r>
      <w:proofErr w:type="gramEnd"/>
    </w:p>
    <w:p w14:paraId="55335C51" w14:textId="153BB021" w:rsidR="00CA74AF" w:rsidRPr="00CA74AF" w:rsidRDefault="005A169F" w:rsidP="00292AAA">
      <w:pPr>
        <w:pStyle w:val="ListParagraph"/>
        <w:numPr>
          <w:ilvl w:val="0"/>
          <w:numId w:val="11"/>
        </w:numPr>
        <w:shd w:val="clear" w:color="auto" w:fill="FFFFFF"/>
        <w:spacing w:after="240"/>
        <w:ind w:left="792"/>
        <w:contextualSpacing w:val="0"/>
        <w:rPr>
          <w:rFonts w:ascii="Arial" w:eastAsia="Times New Roman" w:hAnsi="Arial"/>
          <w:color w:val="231F20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</w:t>
      </w:r>
      <w:r w:rsidR="00CA74AF" w:rsidRPr="00CA74AF">
        <w:rPr>
          <w:rFonts w:ascii="Arial" w:eastAsia="Times New Roman" w:hAnsi="Arial"/>
          <w:sz w:val="24"/>
          <w:szCs w:val="24"/>
        </w:rPr>
        <w:t xml:space="preserve">an demonstrate that ALL populations have equal opportunities to access these </w:t>
      </w:r>
      <w:proofErr w:type="gramStart"/>
      <w:r w:rsidR="00CA74AF" w:rsidRPr="00CA74AF">
        <w:rPr>
          <w:rFonts w:ascii="Arial" w:eastAsia="Times New Roman" w:hAnsi="Arial"/>
          <w:sz w:val="24"/>
          <w:szCs w:val="24"/>
        </w:rPr>
        <w:t>programs</w:t>
      </w:r>
      <w:r>
        <w:rPr>
          <w:rFonts w:ascii="Arial" w:eastAsia="Times New Roman" w:hAnsi="Arial"/>
          <w:sz w:val="24"/>
          <w:szCs w:val="24"/>
        </w:rPr>
        <w:t>;</w:t>
      </w:r>
      <w:proofErr w:type="gramEnd"/>
    </w:p>
    <w:p w14:paraId="2E697182" w14:textId="000E02CA" w:rsidR="00CA74AF" w:rsidRDefault="005A169F" w:rsidP="00292AAA">
      <w:pPr>
        <w:pStyle w:val="ListParagraph"/>
        <w:numPr>
          <w:ilvl w:val="0"/>
          <w:numId w:val="11"/>
        </w:numPr>
        <w:shd w:val="clear" w:color="auto" w:fill="FFFFFF"/>
        <w:spacing w:after="240"/>
        <w:ind w:left="792"/>
        <w:contextualSpacing w:val="0"/>
        <w:rPr>
          <w:rFonts w:ascii="Arial" w:eastAsia="Times New Roman" w:hAnsi="Arial"/>
          <w:color w:val="231F20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</w:t>
      </w:r>
      <w:r w:rsidR="00CA74AF" w:rsidRPr="00CA74AF">
        <w:rPr>
          <w:rFonts w:ascii="Arial" w:eastAsia="Times New Roman" w:hAnsi="Arial"/>
          <w:color w:val="231F20"/>
          <w:sz w:val="24"/>
          <w:szCs w:val="24"/>
        </w:rPr>
        <w:t>ffer</w:t>
      </w:r>
      <w:r w:rsidR="00CA74AF">
        <w:rPr>
          <w:rFonts w:ascii="Arial" w:eastAsia="Times New Roman" w:hAnsi="Arial"/>
          <w:color w:val="231F20"/>
          <w:sz w:val="24"/>
          <w:szCs w:val="24"/>
        </w:rPr>
        <w:t>s</w:t>
      </w:r>
      <w:r w:rsidR="00CA74AF" w:rsidRPr="00CA74AF">
        <w:rPr>
          <w:rFonts w:ascii="Arial" w:eastAsia="Times New Roman" w:hAnsi="Arial"/>
          <w:color w:val="231F20"/>
          <w:sz w:val="24"/>
          <w:szCs w:val="24"/>
        </w:rPr>
        <w:t xml:space="preserve"> educational programs or arts education curriculum and instruction aligned to the</w:t>
      </w:r>
      <w:r w:rsidR="00CA74AF">
        <w:rPr>
          <w:rFonts w:ascii="Arial" w:eastAsia="Times New Roman" w:hAnsi="Arial"/>
          <w:color w:val="231F20"/>
          <w:sz w:val="24"/>
          <w:szCs w:val="24"/>
        </w:rPr>
        <w:t xml:space="preserve"> </w:t>
      </w:r>
      <w:r w:rsidR="00CA74AF" w:rsidRPr="00CA74AF">
        <w:rPr>
          <w:rFonts w:ascii="Arial" w:eastAsia="Times New Roman" w:hAnsi="Arial"/>
          <w:color w:val="231F20"/>
          <w:sz w:val="24"/>
          <w:szCs w:val="24"/>
        </w:rPr>
        <w:t xml:space="preserve">State Board of Education (SBE) adopted </w:t>
      </w:r>
      <w:r w:rsidR="00CA74AF" w:rsidRPr="00CA74AF">
        <w:rPr>
          <w:rFonts w:ascii="Arial" w:eastAsia="Times New Roman" w:hAnsi="Arial"/>
          <w:i/>
          <w:iCs/>
          <w:color w:val="231F20"/>
          <w:sz w:val="24"/>
          <w:szCs w:val="24"/>
        </w:rPr>
        <w:t>California Arts Standards for Public Schools, Prekindergarten Through Grade Twelve</w:t>
      </w:r>
      <w:r w:rsidR="006F4505">
        <w:rPr>
          <w:rFonts w:ascii="Arial" w:eastAsia="Times New Roman" w:hAnsi="Arial"/>
          <w:color w:val="231F20"/>
          <w:sz w:val="24"/>
          <w:szCs w:val="24"/>
        </w:rPr>
        <w:t xml:space="preserve"> (</w:t>
      </w:r>
      <w:r w:rsidR="006F4505">
        <w:rPr>
          <w:rFonts w:ascii="Arial" w:eastAsia="Times New Roman" w:hAnsi="Arial"/>
          <w:i/>
          <w:iCs/>
          <w:color w:val="231F20"/>
          <w:sz w:val="24"/>
          <w:szCs w:val="24"/>
        </w:rPr>
        <w:t>CA Arts Standards</w:t>
      </w:r>
      <w:r w:rsidR="006F4505">
        <w:rPr>
          <w:rFonts w:ascii="Arial" w:eastAsia="Times New Roman" w:hAnsi="Arial"/>
          <w:color w:val="231F20"/>
          <w:sz w:val="24"/>
          <w:szCs w:val="24"/>
        </w:rPr>
        <w:t>)</w:t>
      </w:r>
      <w:r>
        <w:rPr>
          <w:rFonts w:ascii="Arial" w:eastAsia="Times New Roman" w:hAnsi="Arial"/>
          <w:color w:val="231F20"/>
          <w:sz w:val="24"/>
          <w:szCs w:val="24"/>
        </w:rPr>
        <w:t>; and</w:t>
      </w:r>
    </w:p>
    <w:p w14:paraId="28F6C941" w14:textId="37E1D603" w:rsidR="00CA74AF" w:rsidRPr="0077537E" w:rsidRDefault="005A169F" w:rsidP="00292AAA">
      <w:pPr>
        <w:pStyle w:val="ListParagraph"/>
        <w:numPr>
          <w:ilvl w:val="0"/>
          <w:numId w:val="11"/>
        </w:numPr>
        <w:shd w:val="clear" w:color="auto" w:fill="FFFFFF"/>
        <w:spacing w:after="240"/>
        <w:ind w:left="792"/>
        <w:contextualSpacing w:val="0"/>
        <w:rPr>
          <w:rFonts w:eastAsia="Times New Roman"/>
        </w:rPr>
      </w:pPr>
      <w:r>
        <w:rPr>
          <w:rFonts w:ascii="Arial" w:eastAsia="Times New Roman" w:hAnsi="Arial"/>
          <w:sz w:val="24"/>
          <w:szCs w:val="24"/>
        </w:rPr>
        <w:t>h</w:t>
      </w:r>
      <w:r w:rsidR="001A78DB" w:rsidRPr="0077537E">
        <w:rPr>
          <w:rFonts w:ascii="Arial" w:eastAsia="Times New Roman" w:hAnsi="Arial"/>
          <w:sz w:val="24"/>
          <w:szCs w:val="24"/>
        </w:rPr>
        <w:t>as cleared</w:t>
      </w:r>
      <w:r w:rsidR="00F7248F" w:rsidRPr="0077537E">
        <w:rPr>
          <w:rFonts w:ascii="Arial" w:eastAsia="Times New Roman" w:hAnsi="Arial"/>
          <w:sz w:val="24"/>
          <w:szCs w:val="24"/>
        </w:rPr>
        <w:t xml:space="preserve"> for use</w:t>
      </w:r>
      <w:r w:rsidR="001A78DB" w:rsidRPr="0077537E">
        <w:rPr>
          <w:rFonts w:ascii="Arial" w:eastAsia="Times New Roman" w:hAnsi="Arial"/>
          <w:sz w:val="24"/>
          <w:szCs w:val="24"/>
        </w:rPr>
        <w:t xml:space="preserve"> a</w:t>
      </w:r>
      <w:r w:rsidR="006C1E43">
        <w:rPr>
          <w:rFonts w:ascii="Arial" w:eastAsia="Times New Roman" w:hAnsi="Arial"/>
          <w:sz w:val="24"/>
          <w:szCs w:val="24"/>
        </w:rPr>
        <w:t>ny</w:t>
      </w:r>
      <w:r w:rsidR="001A78DB" w:rsidRPr="0077537E">
        <w:rPr>
          <w:rFonts w:ascii="Arial" w:eastAsia="Times New Roman" w:hAnsi="Arial"/>
          <w:sz w:val="24"/>
          <w:szCs w:val="24"/>
        </w:rPr>
        <w:t xml:space="preserve"> student image</w:t>
      </w:r>
      <w:r w:rsidR="007A48A2" w:rsidRPr="0077537E">
        <w:rPr>
          <w:rFonts w:ascii="Arial" w:eastAsia="Times New Roman" w:hAnsi="Arial"/>
          <w:sz w:val="24"/>
          <w:szCs w:val="24"/>
        </w:rPr>
        <w:t>s</w:t>
      </w:r>
      <w:r w:rsidR="001A78DB" w:rsidRPr="0077537E">
        <w:rPr>
          <w:rFonts w:ascii="Arial" w:eastAsia="Times New Roman" w:hAnsi="Arial"/>
          <w:sz w:val="24"/>
          <w:szCs w:val="24"/>
        </w:rPr>
        <w:t xml:space="preserve"> and likeness included in the submission</w:t>
      </w:r>
      <w:r w:rsidR="006C1E43">
        <w:rPr>
          <w:rFonts w:ascii="Arial" w:eastAsia="Times New Roman" w:hAnsi="Arial"/>
          <w:sz w:val="24"/>
          <w:szCs w:val="24"/>
        </w:rPr>
        <w:t>.</w:t>
      </w:r>
    </w:p>
    <w:p w14:paraId="3EDC94B9" w14:textId="0A41D4E9" w:rsidR="009046CE" w:rsidRPr="00CA74AF" w:rsidRDefault="00CA74AF" w:rsidP="00CA74AF">
      <w:pPr>
        <w:shd w:val="clear" w:color="auto" w:fill="FFFFFF"/>
        <w:spacing w:after="0"/>
        <w:rPr>
          <w:rFonts w:eastAsia="Times New Roman"/>
          <w:color w:val="231F20"/>
        </w:rPr>
      </w:pPr>
      <w:bookmarkStart w:id="9" w:name="_Hlk175215980"/>
      <w:r>
        <w:rPr>
          <w:rFonts w:eastAsia="Times New Roman"/>
          <w:color w:val="231F20"/>
        </w:rPr>
        <w:t xml:space="preserve">Once these certifications are made, the school may then proceed to complete and submit </w:t>
      </w:r>
      <w:r w:rsidR="009046CE" w:rsidRPr="00CA74AF">
        <w:rPr>
          <w:rFonts w:eastAsia="Times New Roman"/>
          <w:color w:val="231F20"/>
        </w:rPr>
        <w:t xml:space="preserve">the </w:t>
      </w:r>
      <w:r>
        <w:rPr>
          <w:rFonts w:eastAsia="Times New Roman"/>
          <w:color w:val="231F20"/>
        </w:rPr>
        <w:t xml:space="preserve">full </w:t>
      </w:r>
      <w:r w:rsidR="009046CE" w:rsidRPr="00CA74AF">
        <w:rPr>
          <w:rFonts w:eastAsia="Times New Roman"/>
          <w:color w:val="231F20"/>
        </w:rPr>
        <w:t>application.</w:t>
      </w:r>
    </w:p>
    <w:p w14:paraId="1E87F1AE" w14:textId="19751D60" w:rsidR="005E292D" w:rsidRDefault="0070793E">
      <w:pPr>
        <w:pStyle w:val="Heading3"/>
      </w:pPr>
      <w:bookmarkStart w:id="10" w:name="_Toc184650746"/>
      <w:bookmarkEnd w:id="9"/>
      <w:r>
        <w:lastRenderedPageBreak/>
        <w:t>Application Timeline</w:t>
      </w:r>
      <w:bookmarkEnd w:id="10"/>
    </w:p>
    <w:tbl>
      <w:tblPr>
        <w:tblStyle w:val="a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  <w:tblDescription w:val="Application deadlines"/>
      </w:tblPr>
      <w:tblGrid>
        <w:gridCol w:w="2520"/>
        <w:gridCol w:w="6115"/>
      </w:tblGrid>
      <w:tr w:rsidR="005E292D" w14:paraId="6ACBC125" w14:textId="77777777" w:rsidTr="00580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0" w:type="dxa"/>
          </w:tcPr>
          <w:p w14:paraId="604F60A6" w14:textId="77777777" w:rsidR="005E292D" w:rsidRPr="005328A8" w:rsidRDefault="0070793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8A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115" w:type="dxa"/>
          </w:tcPr>
          <w:p w14:paraId="603BA23C" w14:textId="77777777" w:rsidR="005E292D" w:rsidRPr="005328A8" w:rsidRDefault="0070793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28A8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</w:tr>
      <w:tr w:rsidR="005E292D" w14:paraId="46FFC5A1" w14:textId="77777777" w:rsidTr="0058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5BD911E" w14:textId="0F189629" w:rsidR="005E292D" w:rsidRPr="005328A8" w:rsidRDefault="00B46586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May 1, 2025</w:t>
            </w:r>
          </w:p>
        </w:tc>
        <w:tc>
          <w:tcPr>
            <w:tcW w:w="6115" w:type="dxa"/>
          </w:tcPr>
          <w:p w14:paraId="7474FC4B" w14:textId="1A66C16A" w:rsidR="005E292D" w:rsidRPr="005328A8" w:rsidRDefault="00CA74A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CA74AF">
              <w:rPr>
                <w:rFonts w:ascii="Arial" w:eastAsia="Arial" w:hAnsi="Arial" w:cs="Arial"/>
                <w:sz w:val="24"/>
                <w:szCs w:val="24"/>
              </w:rPr>
              <w:t xml:space="preserve">2026 EAEA </w:t>
            </w:r>
            <w:r w:rsidR="00580061">
              <w:rPr>
                <w:rFonts w:ascii="Arial" w:eastAsia="Arial" w:hAnsi="Arial" w:cs="Arial"/>
                <w:sz w:val="24"/>
                <w:szCs w:val="24"/>
              </w:rPr>
              <w:t>online ap</w:t>
            </w:r>
            <w:r w:rsidRPr="00CA74AF">
              <w:rPr>
                <w:rFonts w:ascii="Arial" w:eastAsia="Arial" w:hAnsi="Arial" w:cs="Arial"/>
                <w:sz w:val="24"/>
                <w:szCs w:val="24"/>
              </w:rPr>
              <w:t xml:space="preserve">plication </w:t>
            </w:r>
            <w:r w:rsidR="0058006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A74AF">
              <w:rPr>
                <w:rFonts w:ascii="Arial" w:eastAsia="Arial" w:hAnsi="Arial" w:cs="Arial"/>
                <w:sz w:val="24"/>
                <w:szCs w:val="24"/>
              </w:rPr>
              <w:t xml:space="preserve">pens for </w:t>
            </w:r>
            <w:r w:rsidR="0058006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A74AF">
              <w:rPr>
                <w:rFonts w:ascii="Arial" w:eastAsia="Arial" w:hAnsi="Arial" w:cs="Arial"/>
                <w:sz w:val="24"/>
                <w:szCs w:val="24"/>
              </w:rPr>
              <w:t>ubmissions</w:t>
            </w:r>
          </w:p>
        </w:tc>
      </w:tr>
      <w:tr w:rsidR="005E292D" w14:paraId="54230881" w14:textId="77777777" w:rsidTr="0058006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D4D790B" w14:textId="511160DF" w:rsidR="005E292D" w:rsidRPr="005328A8" w:rsidRDefault="00B46586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December </w:t>
            </w:r>
            <w:r w:rsidR="00BF6E92">
              <w:rPr>
                <w:rFonts w:ascii="Arial" w:eastAsia="Arial" w:hAnsi="Arial" w:cs="Arial"/>
                <w:b w:val="0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, 2025</w:t>
            </w:r>
          </w:p>
        </w:tc>
        <w:tc>
          <w:tcPr>
            <w:tcW w:w="6115" w:type="dxa"/>
          </w:tcPr>
          <w:p w14:paraId="002986BF" w14:textId="783F73A8" w:rsidR="005E292D" w:rsidRPr="005328A8" w:rsidRDefault="0070793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5328A8">
              <w:rPr>
                <w:rFonts w:ascii="Arial" w:eastAsia="Arial" w:hAnsi="Arial" w:cs="Arial"/>
                <w:sz w:val="24"/>
                <w:szCs w:val="24"/>
              </w:rPr>
              <w:t xml:space="preserve">Applications must be </w:t>
            </w:r>
            <w:r w:rsidR="007F70FB">
              <w:rPr>
                <w:rFonts w:ascii="Arial" w:eastAsia="Arial" w:hAnsi="Arial" w:cs="Arial"/>
                <w:sz w:val="24"/>
                <w:szCs w:val="24"/>
              </w:rPr>
              <w:t xml:space="preserve">submitted to </w:t>
            </w:r>
            <w:r w:rsidRPr="005328A8">
              <w:rPr>
                <w:rFonts w:ascii="Arial" w:eastAsia="Arial" w:hAnsi="Arial" w:cs="Arial"/>
                <w:sz w:val="24"/>
                <w:szCs w:val="24"/>
              </w:rPr>
              <w:t xml:space="preserve">the CDE, by </w:t>
            </w:r>
            <w:r w:rsidR="00BF6E92">
              <w:rPr>
                <w:rFonts w:ascii="Arial" w:eastAsia="Arial" w:hAnsi="Arial" w:cs="Arial"/>
                <w:sz w:val="24"/>
                <w:szCs w:val="24"/>
              </w:rPr>
              <w:t>11:59</w:t>
            </w:r>
            <w:r w:rsidRPr="005328A8">
              <w:rPr>
                <w:rFonts w:ascii="Arial" w:eastAsia="Arial" w:hAnsi="Arial" w:cs="Arial"/>
                <w:sz w:val="24"/>
                <w:szCs w:val="24"/>
              </w:rPr>
              <w:t xml:space="preserve"> p.m. Pacific Standard Time (PST)</w:t>
            </w:r>
          </w:p>
        </w:tc>
      </w:tr>
      <w:tr w:rsidR="005E292D" w14:paraId="383FC3C5" w14:textId="77777777" w:rsidTr="0058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F0A22C4" w14:textId="7378FCBF" w:rsidR="005E292D" w:rsidRPr="005328A8" w:rsidRDefault="00580061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Jan</w:t>
            </w:r>
            <w:r w:rsidR="00755761">
              <w:rPr>
                <w:rFonts w:ascii="Arial" w:eastAsia="Arial" w:hAnsi="Arial" w:cs="Arial"/>
                <w:b w:val="0"/>
                <w:sz w:val="24"/>
                <w:szCs w:val="24"/>
              </w:rPr>
              <w:t>uary–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March </w:t>
            </w:r>
            <w:r w:rsidR="00B46586">
              <w:rPr>
                <w:rFonts w:ascii="Arial" w:eastAsia="Arial" w:hAnsi="Arial" w:cs="Arial"/>
                <w:b w:val="0"/>
                <w:sz w:val="24"/>
                <w:szCs w:val="24"/>
              </w:rPr>
              <w:t>2026</w:t>
            </w:r>
          </w:p>
        </w:tc>
        <w:tc>
          <w:tcPr>
            <w:tcW w:w="6115" w:type="dxa"/>
          </w:tcPr>
          <w:p w14:paraId="22E4A2A1" w14:textId="2C0C3DE2" w:rsidR="005E292D" w:rsidRPr="005328A8" w:rsidRDefault="00F9140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CDE </w:t>
            </w:r>
            <w:r w:rsidR="0058006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70793E" w:rsidRPr="005328A8">
              <w:rPr>
                <w:rFonts w:ascii="Arial" w:eastAsia="Arial" w:hAnsi="Arial" w:cs="Arial"/>
                <w:sz w:val="24"/>
                <w:szCs w:val="24"/>
              </w:rPr>
              <w:t>eview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and </w:t>
            </w:r>
            <w:r w:rsidR="00580061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cores</w:t>
            </w:r>
            <w:r w:rsidR="0070793E" w:rsidRPr="005328A8">
              <w:rPr>
                <w:rFonts w:ascii="Arial" w:eastAsia="Arial" w:hAnsi="Arial" w:cs="Arial"/>
                <w:sz w:val="24"/>
                <w:szCs w:val="24"/>
              </w:rPr>
              <w:t xml:space="preserve"> of </w:t>
            </w:r>
            <w:r w:rsidR="0058006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70793E" w:rsidRPr="005328A8">
              <w:rPr>
                <w:rFonts w:ascii="Arial" w:eastAsia="Arial" w:hAnsi="Arial" w:cs="Arial"/>
                <w:sz w:val="24"/>
                <w:szCs w:val="24"/>
              </w:rPr>
              <w:t>pplications</w:t>
            </w:r>
          </w:p>
        </w:tc>
      </w:tr>
      <w:tr w:rsidR="005E292D" w14:paraId="65A8C46E" w14:textId="77777777" w:rsidTr="0058006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14628C6" w14:textId="7D9E2511" w:rsidR="005E292D" w:rsidRPr="00F9140B" w:rsidRDefault="007627E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 w:rsidRPr="00F9140B">
              <w:rPr>
                <w:rFonts w:ascii="Arial" w:eastAsia="Arial" w:hAnsi="Arial" w:cs="Arial"/>
                <w:b w:val="0"/>
                <w:sz w:val="24"/>
                <w:szCs w:val="24"/>
              </w:rPr>
              <w:t>March 2026</w:t>
            </w:r>
          </w:p>
        </w:tc>
        <w:tc>
          <w:tcPr>
            <w:tcW w:w="6115" w:type="dxa"/>
          </w:tcPr>
          <w:p w14:paraId="7B96DCFD" w14:textId="77777777" w:rsidR="005E292D" w:rsidRPr="00F9140B" w:rsidRDefault="0070793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F9140B">
              <w:rPr>
                <w:rFonts w:ascii="Arial" w:eastAsia="Arial" w:hAnsi="Arial" w:cs="Arial"/>
                <w:sz w:val="24"/>
                <w:szCs w:val="24"/>
              </w:rPr>
              <w:t xml:space="preserve">Exemplary </w:t>
            </w:r>
            <w:r w:rsidR="00157C04" w:rsidRPr="00F9140B">
              <w:rPr>
                <w:rFonts w:ascii="Arial" w:eastAsia="Arial" w:hAnsi="Arial" w:cs="Arial"/>
                <w:sz w:val="24"/>
                <w:szCs w:val="24"/>
              </w:rPr>
              <w:t>Arts Education</w:t>
            </w:r>
            <w:r w:rsidRPr="00F9140B">
              <w:rPr>
                <w:rFonts w:ascii="Arial" w:eastAsia="Arial" w:hAnsi="Arial" w:cs="Arial"/>
                <w:sz w:val="24"/>
                <w:szCs w:val="24"/>
              </w:rPr>
              <w:t xml:space="preserve"> Awardees Announced </w:t>
            </w:r>
          </w:p>
        </w:tc>
      </w:tr>
      <w:tr w:rsidR="00F9140B" w14:paraId="36460731" w14:textId="77777777" w:rsidTr="00580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3F5714C" w14:textId="680F6D65" w:rsidR="00F9140B" w:rsidRPr="00580061" w:rsidRDefault="00F9140B">
            <w:pPr>
              <w:spacing w:before="60" w:after="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80061">
              <w:rPr>
                <w:rFonts w:ascii="Arial" w:hAnsi="Arial" w:cs="Arial"/>
                <w:b w:val="0"/>
                <w:bCs/>
                <w:sz w:val="24"/>
                <w:szCs w:val="24"/>
              </w:rPr>
              <w:t>May 2026</w:t>
            </w:r>
          </w:p>
        </w:tc>
        <w:tc>
          <w:tcPr>
            <w:tcW w:w="6115" w:type="dxa"/>
          </w:tcPr>
          <w:p w14:paraId="4A082A27" w14:textId="6B619B60" w:rsidR="00F9140B" w:rsidRPr="00991FC9" w:rsidRDefault="00F9140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Award Ceremony </w:t>
            </w:r>
          </w:p>
        </w:tc>
      </w:tr>
    </w:tbl>
    <w:p w14:paraId="569F81CA" w14:textId="77777777" w:rsidR="008933D3" w:rsidRDefault="008933D3" w:rsidP="008933D3">
      <w:pPr>
        <w:pStyle w:val="Heading3"/>
      </w:pPr>
      <w:bookmarkStart w:id="11" w:name="_Toc184650747"/>
      <w:r>
        <w:t>Application Components</w:t>
      </w:r>
      <w:bookmarkEnd w:id="11"/>
    </w:p>
    <w:p w14:paraId="3A62B326" w14:textId="77777777" w:rsidR="00C715F4" w:rsidRDefault="008933D3" w:rsidP="00491A74">
      <w:pPr>
        <w:spacing w:after="0"/>
        <w:ind w:left="720"/>
        <w:rPr>
          <w:b/>
          <w:bCs/>
        </w:rPr>
      </w:pPr>
      <w:r w:rsidRPr="00491A74">
        <w:t>Part</w:t>
      </w:r>
      <w:r w:rsidR="0075646F" w:rsidRPr="00491A74">
        <w:t xml:space="preserve"> </w:t>
      </w:r>
      <w:r w:rsidRPr="00491A74">
        <w:t>1: School</w:t>
      </w:r>
      <w:r w:rsidRPr="00991FC9">
        <w:rPr>
          <w:bCs/>
        </w:rPr>
        <w:t xml:space="preserve"> Overview</w:t>
      </w:r>
    </w:p>
    <w:p w14:paraId="0AC8BB30" w14:textId="0991AB61" w:rsidR="00C715F4" w:rsidRPr="00491A74" w:rsidRDefault="008933D3" w:rsidP="00491A74">
      <w:pPr>
        <w:spacing w:after="0"/>
        <w:ind w:left="720"/>
      </w:pPr>
      <w:r w:rsidRPr="003C07B5">
        <w:t>Part</w:t>
      </w:r>
      <w:r w:rsidR="00C715F4">
        <w:t xml:space="preserve"> </w:t>
      </w:r>
      <w:r w:rsidRPr="003C07B5">
        <w:t>2:</w:t>
      </w:r>
      <w:r w:rsidRPr="00491A74">
        <w:t xml:space="preserve"> Eligibility Confirmation</w:t>
      </w:r>
    </w:p>
    <w:p w14:paraId="4265539D" w14:textId="0DA29798" w:rsidR="00C715F4" w:rsidRPr="00491A74" w:rsidRDefault="008933D3" w:rsidP="00491A74">
      <w:pPr>
        <w:spacing w:after="0"/>
        <w:ind w:left="720"/>
      </w:pPr>
      <w:r w:rsidRPr="003C07B5">
        <w:t>Part 3:</w:t>
      </w:r>
      <w:r w:rsidRPr="00991FC9">
        <w:t xml:space="preserve"> </w:t>
      </w:r>
      <w:r w:rsidR="00C715F4" w:rsidRPr="00491A74">
        <w:t>Theme A</w:t>
      </w:r>
      <w:r w:rsidR="00A153D7">
        <w:t>––</w:t>
      </w:r>
      <w:r w:rsidR="00C715F4" w:rsidRPr="00491A74">
        <w:t>Program Administration and Accountability</w:t>
      </w:r>
    </w:p>
    <w:p w14:paraId="17BE44FD" w14:textId="70D22D01" w:rsidR="00C715F4" w:rsidRDefault="008933D3" w:rsidP="00491A74">
      <w:pPr>
        <w:spacing w:after="0"/>
        <w:ind w:left="720"/>
      </w:pPr>
      <w:r w:rsidRPr="003C07B5">
        <w:t>Part 4:</w:t>
      </w:r>
      <w:r w:rsidRPr="00991FC9">
        <w:t xml:space="preserve"> </w:t>
      </w:r>
      <w:r w:rsidR="00C715F4" w:rsidRPr="00491A74">
        <w:t>Theme B</w:t>
      </w:r>
      <w:r w:rsidR="00A153D7">
        <w:t>––</w:t>
      </w:r>
      <w:r w:rsidR="00C715F4" w:rsidRPr="00491A74">
        <w:t>Program Development and Growth</w:t>
      </w:r>
    </w:p>
    <w:p w14:paraId="03616C4B" w14:textId="4E72488C" w:rsidR="00C715F4" w:rsidRPr="00C715F4" w:rsidRDefault="008933D3" w:rsidP="00491A74">
      <w:pPr>
        <w:ind w:left="720"/>
      </w:pPr>
      <w:r w:rsidRPr="003C07B5">
        <w:t>Part 5:</w:t>
      </w:r>
      <w:r w:rsidR="00C715F4" w:rsidRPr="00C715F4">
        <w:t xml:space="preserve"> </w:t>
      </w:r>
      <w:r w:rsidR="00C715F4" w:rsidRPr="00491A74">
        <w:t>Theme C</w:t>
      </w:r>
      <w:r w:rsidR="00A153D7">
        <w:t>––</w:t>
      </w:r>
      <w:r w:rsidR="00C715F4" w:rsidRPr="00491A74">
        <w:t>Program Curriculum, Instruction, and Assessment</w:t>
      </w:r>
    </w:p>
    <w:p w14:paraId="21BD1200" w14:textId="5C4A2BC1" w:rsidR="005E292D" w:rsidRDefault="00672E4A" w:rsidP="005A326B">
      <w:pPr>
        <w:pStyle w:val="Heading3"/>
      </w:pPr>
      <w:bookmarkStart w:id="12" w:name="_Toc184650748"/>
      <w:r>
        <w:t xml:space="preserve">Submission </w:t>
      </w:r>
      <w:r w:rsidR="0070793E">
        <w:t>Procedures</w:t>
      </w:r>
      <w:r w:rsidR="00CF0DF2">
        <w:t xml:space="preserve"> and Application Components</w:t>
      </w:r>
      <w:bookmarkEnd w:id="12"/>
    </w:p>
    <w:p w14:paraId="36A8AA5A" w14:textId="7D6BE21B" w:rsidR="00D7322A" w:rsidRDefault="005A326B">
      <w:pPr>
        <w:spacing w:before="240"/>
      </w:pPr>
      <w:r w:rsidRPr="005A326B">
        <w:t xml:space="preserve">Applicants shall submit the full EAEA application via an online application </w:t>
      </w:r>
      <w:r w:rsidR="008D625D">
        <w:t>link which can be found on the EAEA web</w:t>
      </w:r>
      <w:r w:rsidR="00491A74">
        <w:t xml:space="preserve"> </w:t>
      </w:r>
      <w:r w:rsidR="008D625D">
        <w:t>page</w:t>
      </w:r>
      <w:r w:rsidRPr="005A326B">
        <w:t>.</w:t>
      </w:r>
    </w:p>
    <w:p w14:paraId="4F525E5B" w14:textId="178AA5E3" w:rsidR="005E292D" w:rsidRDefault="0070793E">
      <w:pPr>
        <w:pStyle w:val="Heading3"/>
      </w:pPr>
      <w:bookmarkStart w:id="13" w:name="_Toc184650749"/>
      <w:r>
        <w:t>Incomplete and Late Applications</w:t>
      </w:r>
      <w:bookmarkEnd w:id="13"/>
    </w:p>
    <w:p w14:paraId="1BD7DCC3" w14:textId="750CA937" w:rsidR="005E292D" w:rsidRPr="00E726D1" w:rsidRDefault="0070793E" w:rsidP="00FA0185">
      <w:pPr>
        <w:spacing w:before="240"/>
        <w:rPr>
          <w:color w:val="000000"/>
        </w:rPr>
      </w:pPr>
      <w:r w:rsidRPr="00FA0185">
        <w:t>Incomplete</w:t>
      </w:r>
      <w:r>
        <w:rPr>
          <w:color w:val="000000"/>
        </w:rPr>
        <w:t xml:space="preserve"> or late applications will not be considered.</w:t>
      </w:r>
    </w:p>
    <w:p w14:paraId="43BC2533" w14:textId="77777777" w:rsidR="008933D3" w:rsidRDefault="008933D3">
      <w:pPr>
        <w:rPr>
          <w:b/>
          <w:bCs/>
          <w:iCs/>
          <w:sz w:val="32"/>
          <w:szCs w:val="28"/>
        </w:rPr>
      </w:pPr>
      <w:r>
        <w:br w:type="page"/>
      </w:r>
    </w:p>
    <w:p w14:paraId="3837D338" w14:textId="1E07F447" w:rsidR="001E7C1C" w:rsidRDefault="008933D3" w:rsidP="001E7C1C">
      <w:pPr>
        <w:pStyle w:val="Heading2"/>
        <w:spacing w:after="240"/>
      </w:pPr>
      <w:bookmarkStart w:id="14" w:name="_Toc184650750"/>
      <w:r>
        <w:lastRenderedPageBreak/>
        <w:t xml:space="preserve">Sample </w:t>
      </w:r>
      <w:r w:rsidR="0070793E">
        <w:t>Application</w:t>
      </w:r>
      <w:bookmarkEnd w:id="14"/>
    </w:p>
    <w:p w14:paraId="5A81836A" w14:textId="3C36D14B" w:rsidR="00D4423C" w:rsidRPr="00822E86" w:rsidRDefault="00D4423C" w:rsidP="00D4423C">
      <w:r>
        <w:t xml:space="preserve">*This is solely </w:t>
      </w:r>
      <w:r w:rsidR="008933D3">
        <w:t>for</w:t>
      </w:r>
      <w:r>
        <w:t xml:space="preserve"> review.</w:t>
      </w:r>
    </w:p>
    <w:p w14:paraId="68F001CA" w14:textId="6B23005B" w:rsidR="00D4423C" w:rsidRPr="00991FC9" w:rsidRDefault="003C07B5" w:rsidP="00991FC9">
      <w:pPr>
        <w:pStyle w:val="Heading3"/>
      </w:pPr>
      <w:bookmarkStart w:id="15" w:name="_Toc184650751"/>
      <w:r w:rsidRPr="00991FC9">
        <w:t>Part 1: School Overview</w:t>
      </w:r>
      <w:bookmarkEnd w:id="15"/>
    </w:p>
    <w:p w14:paraId="2D3DCCF8" w14:textId="654E1727" w:rsidR="001E7C1C" w:rsidRPr="00C715F4" w:rsidRDefault="001E7C1C" w:rsidP="00C715F4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C715F4">
        <w:rPr>
          <w:rFonts w:ascii="Arial" w:hAnsi="Arial"/>
          <w:sz w:val="24"/>
          <w:szCs w:val="24"/>
        </w:rPr>
        <w:t>Name of School</w:t>
      </w:r>
    </w:p>
    <w:p w14:paraId="3ED58931" w14:textId="70CA0ED1" w:rsidR="001E7C1C" w:rsidRDefault="001E7C1C" w:rsidP="00991FC9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C715F4">
        <w:rPr>
          <w:rFonts w:ascii="Arial" w:hAnsi="Arial"/>
          <w:sz w:val="24"/>
          <w:szCs w:val="24"/>
        </w:rPr>
        <w:t>District</w:t>
      </w:r>
    </w:p>
    <w:p w14:paraId="2719919D" w14:textId="17C04E47" w:rsidR="00C715F4" w:rsidRPr="00C715F4" w:rsidRDefault="00C715F4" w:rsidP="00991FC9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E1240F">
        <w:rPr>
          <w:rFonts w:ascii="Arial" w:hAnsi="Arial"/>
          <w:sz w:val="24"/>
          <w:szCs w:val="24"/>
        </w:rPr>
        <w:t>ounty-District-School (CDS)</w:t>
      </w:r>
      <w:r>
        <w:rPr>
          <w:rFonts w:ascii="Arial" w:hAnsi="Arial"/>
          <w:sz w:val="24"/>
          <w:szCs w:val="24"/>
        </w:rPr>
        <w:t xml:space="preserve"> C</w:t>
      </w:r>
      <w:r w:rsidR="00E1240F">
        <w:rPr>
          <w:rFonts w:ascii="Arial" w:hAnsi="Arial"/>
          <w:sz w:val="24"/>
          <w:szCs w:val="24"/>
        </w:rPr>
        <w:t>ode</w:t>
      </w:r>
    </w:p>
    <w:p w14:paraId="13A192EA" w14:textId="589960D7" w:rsidR="003C07B5" w:rsidRPr="00C715F4" w:rsidRDefault="003C07B5" w:rsidP="00991FC9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C715F4">
        <w:rPr>
          <w:rFonts w:ascii="Arial" w:hAnsi="Arial"/>
          <w:sz w:val="24"/>
          <w:szCs w:val="24"/>
        </w:rPr>
        <w:t>Name of Principal</w:t>
      </w:r>
    </w:p>
    <w:p w14:paraId="68DA4DDC" w14:textId="0E4CBA3D" w:rsidR="00C715F4" w:rsidRPr="00B85941" w:rsidRDefault="00C715F4" w:rsidP="00B85941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Primary </w:t>
      </w:r>
      <w:r w:rsidR="00B85941" w:rsidRPr="00B85941">
        <w:rPr>
          <w:rFonts w:ascii="Arial" w:hAnsi="Arial"/>
          <w:sz w:val="24"/>
          <w:szCs w:val="24"/>
        </w:rPr>
        <w:t xml:space="preserve">EAEA Application </w:t>
      </w:r>
      <w:r w:rsidRPr="00B85941">
        <w:rPr>
          <w:rFonts w:ascii="Arial" w:hAnsi="Arial"/>
          <w:sz w:val="24"/>
          <w:szCs w:val="24"/>
        </w:rPr>
        <w:t>Point of Contact</w:t>
      </w:r>
    </w:p>
    <w:p w14:paraId="3FFACFD0" w14:textId="1AB28E6B" w:rsidR="00C715F4" w:rsidRDefault="003C07B5" w:rsidP="00991FC9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C715F4">
        <w:rPr>
          <w:rFonts w:ascii="Arial" w:hAnsi="Arial"/>
          <w:sz w:val="24"/>
          <w:szCs w:val="24"/>
        </w:rPr>
        <w:t xml:space="preserve">Phone </w:t>
      </w:r>
      <w:r w:rsidR="002D7671">
        <w:rPr>
          <w:rFonts w:ascii="Arial" w:hAnsi="Arial"/>
          <w:sz w:val="24"/>
          <w:szCs w:val="24"/>
        </w:rPr>
        <w:t>number</w:t>
      </w:r>
    </w:p>
    <w:p w14:paraId="388DD993" w14:textId="3E74D2D6" w:rsidR="003C07B5" w:rsidRPr="00C715F4" w:rsidRDefault="00C715F4" w:rsidP="00991FC9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3C07B5" w:rsidRPr="00C715F4">
        <w:rPr>
          <w:rFonts w:ascii="Arial" w:hAnsi="Arial"/>
          <w:sz w:val="24"/>
          <w:szCs w:val="24"/>
        </w:rPr>
        <w:t>mail</w:t>
      </w:r>
      <w:r>
        <w:rPr>
          <w:rFonts w:ascii="Arial" w:hAnsi="Arial"/>
          <w:sz w:val="24"/>
          <w:szCs w:val="24"/>
        </w:rPr>
        <w:t xml:space="preserve"> Address</w:t>
      </w:r>
    </w:p>
    <w:p w14:paraId="26FE9815" w14:textId="785632B5" w:rsidR="003C07B5" w:rsidRPr="00991FC9" w:rsidRDefault="003C07B5" w:rsidP="003C07B5">
      <w:pPr>
        <w:pStyle w:val="Heading3"/>
      </w:pPr>
      <w:bookmarkStart w:id="16" w:name="_Toc184650752"/>
      <w:r w:rsidRPr="00991FC9">
        <w:t>Part 2: Eligibility</w:t>
      </w:r>
      <w:bookmarkEnd w:id="16"/>
    </w:p>
    <w:p w14:paraId="6681E549" w14:textId="181570A7" w:rsidR="003C07B5" w:rsidRPr="00E324BB" w:rsidRDefault="003C07B5" w:rsidP="00491A74">
      <w:pPr>
        <w:pStyle w:val="ListParagraph"/>
        <w:numPr>
          <w:ilvl w:val="0"/>
          <w:numId w:val="8"/>
        </w:numPr>
        <w:shd w:val="clear" w:color="auto" w:fill="FFFFFF"/>
        <w:spacing w:after="240"/>
        <w:contextualSpacing w:val="0"/>
        <w:rPr>
          <w:rFonts w:ascii="Arial" w:eastAsia="Times New Roman" w:hAnsi="Arial"/>
          <w:color w:val="231F20"/>
          <w:sz w:val="24"/>
          <w:szCs w:val="24"/>
        </w:rPr>
      </w:pPr>
      <w:r w:rsidRPr="00E324BB">
        <w:rPr>
          <w:rFonts w:ascii="Arial" w:eastAsia="Times New Roman" w:hAnsi="Arial"/>
          <w:sz w:val="24"/>
          <w:szCs w:val="24"/>
        </w:rPr>
        <w:t xml:space="preserve">By checking the box, the applicant school certifies that they offer instruction in a minimum of </w:t>
      </w:r>
      <w:r w:rsidRPr="00626F2F">
        <w:rPr>
          <w:rFonts w:ascii="Arial" w:eastAsia="Times New Roman" w:hAnsi="Arial"/>
          <w:sz w:val="24"/>
          <w:szCs w:val="24"/>
        </w:rPr>
        <w:t>three</w:t>
      </w:r>
      <w:r w:rsidRPr="00E324BB">
        <w:rPr>
          <w:rFonts w:ascii="Arial" w:eastAsia="Times New Roman" w:hAnsi="Arial"/>
          <w:sz w:val="24"/>
          <w:szCs w:val="24"/>
        </w:rPr>
        <w:t xml:space="preserve"> arts disciplines (dance, media arts, music, theatre, and/or visual arts) during the regular school day</w:t>
      </w:r>
      <w:r w:rsidRPr="00E324BB">
        <w:rPr>
          <w:rStyle w:val="HeaderChar"/>
          <w:rFonts w:eastAsiaTheme="majorEastAsia"/>
          <w:color w:val="231F20"/>
          <w:lang w:val="en"/>
        </w:rPr>
        <w:t xml:space="preserve"> </w:t>
      </w:r>
      <w:r w:rsidRPr="00E324BB">
        <w:rPr>
          <w:rStyle w:val="normaltextrun"/>
          <w:rFonts w:ascii="Arial" w:eastAsiaTheme="majorEastAsia" w:hAnsi="Arial"/>
          <w:color w:val="231F20"/>
          <w:sz w:val="24"/>
          <w:szCs w:val="24"/>
          <w:lang w:val="en"/>
        </w:rPr>
        <w:t>through standards-based arts integration taught by a credentialed/qualified instructor</w:t>
      </w:r>
      <w:r w:rsidRPr="00E324BB">
        <w:rPr>
          <w:rFonts w:ascii="Arial" w:eastAsia="Times New Roman" w:hAnsi="Arial"/>
          <w:sz w:val="24"/>
          <w:szCs w:val="24"/>
        </w:rPr>
        <w:t>.</w:t>
      </w:r>
    </w:p>
    <w:p w14:paraId="20460DDE" w14:textId="2B0E8E9E" w:rsidR="003C07B5" w:rsidRPr="00F9064E" w:rsidRDefault="003C07B5" w:rsidP="00F9064E">
      <w:pPr>
        <w:shd w:val="clear" w:color="auto" w:fill="FFFFFF"/>
        <w:ind w:left="720"/>
        <w:rPr>
          <w:rFonts w:eastAsia="Times New Roman"/>
          <w:color w:val="231F20"/>
        </w:rPr>
      </w:pPr>
      <w:r w:rsidRPr="00F9064E">
        <w:rPr>
          <w:rFonts w:eastAsia="Times New Roman"/>
          <w:color w:val="231F20"/>
        </w:rPr>
        <w:t>Please select any/all art disciplines that are taught and available to all students:</w:t>
      </w:r>
    </w:p>
    <w:p w14:paraId="0D0467FB" w14:textId="0CEDEC8D" w:rsidR="003C07B5" w:rsidRPr="00E324BB" w:rsidRDefault="003C07B5" w:rsidP="003C07B5">
      <w:pPr>
        <w:pStyle w:val="ListParagraph"/>
        <w:numPr>
          <w:ilvl w:val="2"/>
          <w:numId w:val="8"/>
        </w:numPr>
        <w:shd w:val="clear" w:color="auto" w:fill="FFFFFF"/>
        <w:spacing w:after="0"/>
        <w:rPr>
          <w:rFonts w:ascii="Arial" w:eastAsia="Times New Roman" w:hAnsi="Arial"/>
          <w:color w:val="231F20"/>
          <w:sz w:val="24"/>
          <w:szCs w:val="24"/>
        </w:rPr>
      </w:pPr>
      <w:r w:rsidRPr="00E324BB">
        <w:rPr>
          <w:rFonts w:ascii="Arial" w:eastAsia="Times New Roman" w:hAnsi="Arial"/>
          <w:color w:val="231F20"/>
          <w:sz w:val="24"/>
          <w:szCs w:val="24"/>
        </w:rPr>
        <w:t>Dance</w:t>
      </w:r>
    </w:p>
    <w:p w14:paraId="3B1DF6E3" w14:textId="40D3F68E" w:rsidR="003C07B5" w:rsidRPr="00E324BB" w:rsidRDefault="003C07B5" w:rsidP="003C07B5">
      <w:pPr>
        <w:pStyle w:val="ListParagraph"/>
        <w:numPr>
          <w:ilvl w:val="2"/>
          <w:numId w:val="8"/>
        </w:numPr>
        <w:shd w:val="clear" w:color="auto" w:fill="FFFFFF"/>
        <w:spacing w:after="0"/>
        <w:rPr>
          <w:rFonts w:ascii="Arial" w:eastAsia="Times New Roman" w:hAnsi="Arial"/>
          <w:color w:val="231F20"/>
          <w:sz w:val="24"/>
          <w:szCs w:val="24"/>
        </w:rPr>
      </w:pPr>
      <w:r w:rsidRPr="00E324BB">
        <w:rPr>
          <w:rFonts w:ascii="Arial" w:eastAsia="Times New Roman" w:hAnsi="Arial"/>
          <w:color w:val="231F20"/>
          <w:sz w:val="24"/>
          <w:szCs w:val="24"/>
        </w:rPr>
        <w:t>M</w:t>
      </w:r>
      <w:r w:rsidR="00626F2F">
        <w:rPr>
          <w:rFonts w:ascii="Arial" w:eastAsia="Times New Roman" w:hAnsi="Arial"/>
          <w:color w:val="231F20"/>
          <w:sz w:val="24"/>
          <w:szCs w:val="24"/>
        </w:rPr>
        <w:t>edia Arts</w:t>
      </w:r>
    </w:p>
    <w:p w14:paraId="2C9242A0" w14:textId="42EE0184" w:rsidR="003C07B5" w:rsidRPr="00E324BB" w:rsidRDefault="00626F2F" w:rsidP="003C07B5">
      <w:pPr>
        <w:pStyle w:val="ListParagraph"/>
        <w:numPr>
          <w:ilvl w:val="2"/>
          <w:numId w:val="8"/>
        </w:numPr>
        <w:shd w:val="clear" w:color="auto" w:fill="FFFFFF"/>
        <w:spacing w:after="0"/>
        <w:rPr>
          <w:rFonts w:ascii="Arial" w:eastAsia="Times New Roman" w:hAnsi="Arial"/>
          <w:color w:val="231F20"/>
          <w:sz w:val="24"/>
          <w:szCs w:val="24"/>
        </w:rPr>
      </w:pPr>
      <w:r>
        <w:rPr>
          <w:rFonts w:ascii="Arial" w:eastAsia="Times New Roman" w:hAnsi="Arial"/>
          <w:color w:val="231F20"/>
          <w:sz w:val="24"/>
          <w:szCs w:val="24"/>
        </w:rPr>
        <w:t>Music</w:t>
      </w:r>
    </w:p>
    <w:p w14:paraId="1FA5DCC1" w14:textId="2ED6F727" w:rsidR="003C07B5" w:rsidRPr="00E324BB" w:rsidRDefault="00626F2F" w:rsidP="003C07B5">
      <w:pPr>
        <w:pStyle w:val="ListParagraph"/>
        <w:numPr>
          <w:ilvl w:val="2"/>
          <w:numId w:val="8"/>
        </w:numPr>
        <w:shd w:val="clear" w:color="auto" w:fill="FFFFFF"/>
        <w:spacing w:after="0"/>
        <w:rPr>
          <w:rFonts w:ascii="Arial" w:eastAsia="Times New Roman" w:hAnsi="Arial"/>
          <w:color w:val="231F20"/>
          <w:sz w:val="24"/>
          <w:szCs w:val="24"/>
        </w:rPr>
      </w:pPr>
      <w:r>
        <w:rPr>
          <w:rFonts w:ascii="Arial" w:eastAsia="Times New Roman" w:hAnsi="Arial"/>
          <w:color w:val="231F20"/>
          <w:sz w:val="24"/>
          <w:szCs w:val="24"/>
        </w:rPr>
        <w:t>Theate</w:t>
      </w:r>
      <w:r w:rsidR="004D679F">
        <w:rPr>
          <w:rFonts w:ascii="Arial" w:eastAsia="Times New Roman" w:hAnsi="Arial"/>
          <w:color w:val="231F20"/>
          <w:sz w:val="24"/>
          <w:szCs w:val="24"/>
        </w:rPr>
        <w:t>r</w:t>
      </w:r>
    </w:p>
    <w:p w14:paraId="120ED48B" w14:textId="6AAB3FC3" w:rsidR="003C07B5" w:rsidRPr="00E324BB" w:rsidRDefault="00626F2F" w:rsidP="00726EEF">
      <w:pPr>
        <w:pStyle w:val="ListParagraph"/>
        <w:numPr>
          <w:ilvl w:val="2"/>
          <w:numId w:val="8"/>
        </w:numPr>
        <w:shd w:val="clear" w:color="auto" w:fill="FFFFFF"/>
        <w:spacing w:after="240"/>
        <w:contextualSpacing w:val="0"/>
        <w:rPr>
          <w:rFonts w:ascii="Arial" w:eastAsia="Times New Roman" w:hAnsi="Arial"/>
          <w:color w:val="231F20"/>
          <w:sz w:val="24"/>
          <w:szCs w:val="24"/>
        </w:rPr>
      </w:pPr>
      <w:r>
        <w:rPr>
          <w:rFonts w:ascii="Arial" w:eastAsia="Times New Roman" w:hAnsi="Arial"/>
          <w:color w:val="231F20"/>
          <w:sz w:val="24"/>
          <w:szCs w:val="24"/>
        </w:rPr>
        <w:t>Visual</w:t>
      </w:r>
      <w:r w:rsidR="003C07B5" w:rsidRPr="00E324BB">
        <w:rPr>
          <w:rFonts w:ascii="Arial" w:eastAsia="Times New Roman" w:hAnsi="Arial"/>
          <w:color w:val="231F20"/>
          <w:sz w:val="24"/>
          <w:szCs w:val="24"/>
        </w:rPr>
        <w:t xml:space="preserve"> Arts</w:t>
      </w:r>
    </w:p>
    <w:p w14:paraId="3A8ECA27" w14:textId="3F541F2C" w:rsidR="003C07B5" w:rsidRPr="00E324BB" w:rsidRDefault="003C07B5" w:rsidP="002D7671">
      <w:pPr>
        <w:pStyle w:val="ListParagraph"/>
        <w:numPr>
          <w:ilvl w:val="0"/>
          <w:numId w:val="8"/>
        </w:numPr>
        <w:shd w:val="clear" w:color="auto" w:fill="FFFFFF"/>
        <w:spacing w:after="240"/>
        <w:contextualSpacing w:val="0"/>
        <w:rPr>
          <w:rFonts w:ascii="Arial" w:eastAsia="Times New Roman" w:hAnsi="Arial"/>
          <w:color w:val="231F20"/>
          <w:sz w:val="24"/>
          <w:szCs w:val="24"/>
        </w:rPr>
      </w:pPr>
      <w:r w:rsidRPr="00E324BB">
        <w:rPr>
          <w:rFonts w:ascii="Arial" w:eastAsia="Times New Roman" w:hAnsi="Arial"/>
          <w:sz w:val="24"/>
          <w:szCs w:val="24"/>
        </w:rPr>
        <w:t>By checking the box, the applicant school certifies that they can demonstrate that ALL populations have equal opportunities to access these programs.</w:t>
      </w:r>
    </w:p>
    <w:p w14:paraId="4F60667B" w14:textId="6DC77492" w:rsidR="003C07B5" w:rsidRPr="00E324BB" w:rsidRDefault="003C07B5" w:rsidP="002D7671">
      <w:pPr>
        <w:pStyle w:val="ListParagraph"/>
        <w:numPr>
          <w:ilvl w:val="0"/>
          <w:numId w:val="8"/>
        </w:numPr>
        <w:shd w:val="clear" w:color="auto" w:fill="FFFFFF"/>
        <w:spacing w:after="240"/>
        <w:contextualSpacing w:val="0"/>
        <w:rPr>
          <w:rFonts w:ascii="Arial" w:eastAsia="Times New Roman" w:hAnsi="Arial"/>
          <w:color w:val="231F20"/>
          <w:sz w:val="24"/>
          <w:szCs w:val="24"/>
        </w:rPr>
      </w:pPr>
      <w:r w:rsidRPr="00E324BB">
        <w:rPr>
          <w:rFonts w:ascii="Arial" w:eastAsia="Times New Roman" w:hAnsi="Arial"/>
          <w:sz w:val="24"/>
          <w:szCs w:val="24"/>
        </w:rPr>
        <w:t>By checking the box, the applicant school certifies that they o</w:t>
      </w:r>
      <w:r w:rsidRPr="00E324BB">
        <w:rPr>
          <w:rFonts w:ascii="Arial" w:eastAsia="Times New Roman" w:hAnsi="Arial"/>
          <w:color w:val="231F20"/>
          <w:sz w:val="24"/>
          <w:szCs w:val="24"/>
        </w:rPr>
        <w:t xml:space="preserve">ffer educational programs or arts education curriculum and instruction aligned to </w:t>
      </w:r>
      <w:r w:rsidR="00D035D5">
        <w:rPr>
          <w:rFonts w:ascii="Arial" w:eastAsia="Times New Roman" w:hAnsi="Arial"/>
          <w:color w:val="231F20"/>
          <w:sz w:val="24"/>
          <w:szCs w:val="24"/>
        </w:rPr>
        <w:t>t</w:t>
      </w:r>
      <w:r w:rsidRPr="00E324BB">
        <w:rPr>
          <w:rFonts w:ascii="Arial" w:eastAsia="Times New Roman" w:hAnsi="Arial"/>
          <w:color w:val="231F20"/>
          <w:sz w:val="24"/>
          <w:szCs w:val="24"/>
        </w:rPr>
        <w:t>he SBE</w:t>
      </w:r>
      <w:r w:rsidR="00A60624">
        <w:rPr>
          <w:rFonts w:ascii="Arial" w:eastAsia="Times New Roman" w:hAnsi="Arial"/>
          <w:color w:val="231F20"/>
          <w:sz w:val="24"/>
          <w:szCs w:val="24"/>
        </w:rPr>
        <w:t>-</w:t>
      </w:r>
      <w:r w:rsidRPr="00E324BB">
        <w:rPr>
          <w:rFonts w:ascii="Arial" w:eastAsia="Times New Roman" w:hAnsi="Arial"/>
          <w:color w:val="231F20"/>
          <w:sz w:val="24"/>
          <w:szCs w:val="24"/>
        </w:rPr>
        <w:t>adopte</w:t>
      </w:r>
      <w:r w:rsidR="00D035D5">
        <w:rPr>
          <w:rFonts w:ascii="Arial" w:eastAsia="Times New Roman" w:hAnsi="Arial"/>
          <w:color w:val="231F20"/>
          <w:sz w:val="24"/>
          <w:szCs w:val="24"/>
        </w:rPr>
        <w:t>d</w:t>
      </w:r>
      <w:r w:rsidR="00A60624">
        <w:rPr>
          <w:rFonts w:ascii="Arial" w:eastAsia="Times New Roman" w:hAnsi="Arial"/>
          <w:color w:val="231F20"/>
          <w:sz w:val="24"/>
          <w:szCs w:val="24"/>
        </w:rPr>
        <w:t xml:space="preserve"> </w:t>
      </w:r>
      <w:r w:rsidRPr="00E324BB">
        <w:rPr>
          <w:rFonts w:ascii="Arial" w:eastAsia="Times New Roman" w:hAnsi="Arial"/>
          <w:i/>
          <w:iCs/>
          <w:color w:val="231F20"/>
          <w:sz w:val="24"/>
          <w:szCs w:val="24"/>
        </w:rPr>
        <w:t>C</w:t>
      </w:r>
      <w:r w:rsidR="006F4505">
        <w:rPr>
          <w:rFonts w:ascii="Arial" w:eastAsia="Times New Roman" w:hAnsi="Arial"/>
          <w:i/>
          <w:iCs/>
          <w:color w:val="231F20"/>
          <w:sz w:val="24"/>
          <w:szCs w:val="24"/>
        </w:rPr>
        <w:t xml:space="preserve">A </w:t>
      </w:r>
      <w:r w:rsidRPr="00E324BB">
        <w:rPr>
          <w:rFonts w:ascii="Arial" w:eastAsia="Times New Roman" w:hAnsi="Arial"/>
          <w:i/>
          <w:iCs/>
          <w:color w:val="231F20"/>
          <w:sz w:val="24"/>
          <w:szCs w:val="24"/>
        </w:rPr>
        <w:t>Arts Standards</w:t>
      </w:r>
      <w:r w:rsidRPr="00E324BB">
        <w:rPr>
          <w:rFonts w:ascii="Arial" w:eastAsia="Times New Roman" w:hAnsi="Arial"/>
          <w:color w:val="231F20"/>
          <w:sz w:val="24"/>
          <w:szCs w:val="24"/>
        </w:rPr>
        <w:t>.</w:t>
      </w:r>
    </w:p>
    <w:p w14:paraId="782A3508" w14:textId="46CC00CD" w:rsidR="001A78DB" w:rsidRPr="0077537E" w:rsidRDefault="001A78DB" w:rsidP="002D7671">
      <w:pPr>
        <w:pStyle w:val="ListParagraph"/>
        <w:numPr>
          <w:ilvl w:val="0"/>
          <w:numId w:val="8"/>
        </w:numPr>
        <w:shd w:val="clear" w:color="auto" w:fill="FFFFFF"/>
        <w:spacing w:after="240"/>
        <w:contextualSpacing w:val="0"/>
        <w:rPr>
          <w:rFonts w:ascii="Arial" w:eastAsia="Times New Roman" w:hAnsi="Arial"/>
          <w:sz w:val="24"/>
          <w:szCs w:val="24"/>
        </w:rPr>
      </w:pPr>
      <w:r w:rsidRPr="0077537E">
        <w:rPr>
          <w:rFonts w:ascii="Arial" w:eastAsia="Times New Roman" w:hAnsi="Arial"/>
          <w:sz w:val="24"/>
          <w:szCs w:val="24"/>
        </w:rPr>
        <w:t>By checking the box, the applicant school certifies a</w:t>
      </w:r>
      <w:r w:rsidR="001F1240">
        <w:rPr>
          <w:rFonts w:ascii="Arial" w:eastAsia="Times New Roman" w:hAnsi="Arial"/>
          <w:sz w:val="24"/>
          <w:szCs w:val="24"/>
        </w:rPr>
        <w:t>ny</w:t>
      </w:r>
      <w:r w:rsidRPr="0077537E">
        <w:rPr>
          <w:rFonts w:ascii="Arial" w:eastAsia="Times New Roman" w:hAnsi="Arial"/>
          <w:sz w:val="24"/>
          <w:szCs w:val="24"/>
        </w:rPr>
        <w:t xml:space="preserve"> student image</w:t>
      </w:r>
      <w:r w:rsidR="007800D0" w:rsidRPr="0077537E">
        <w:rPr>
          <w:rFonts w:ascii="Arial" w:eastAsia="Times New Roman" w:hAnsi="Arial"/>
          <w:sz w:val="24"/>
          <w:szCs w:val="24"/>
        </w:rPr>
        <w:t>s</w:t>
      </w:r>
      <w:r w:rsidRPr="0077537E">
        <w:rPr>
          <w:rFonts w:ascii="Arial" w:eastAsia="Times New Roman" w:hAnsi="Arial"/>
          <w:sz w:val="24"/>
          <w:szCs w:val="24"/>
        </w:rPr>
        <w:t xml:space="preserve"> and likeness included in the submission have been cleared for use</w:t>
      </w:r>
      <w:r w:rsidR="0077537E">
        <w:rPr>
          <w:rFonts w:ascii="Arial" w:eastAsia="Times New Roman" w:hAnsi="Arial"/>
          <w:sz w:val="24"/>
          <w:szCs w:val="24"/>
        </w:rPr>
        <w:t>.</w:t>
      </w:r>
    </w:p>
    <w:p w14:paraId="2792C699" w14:textId="700ABA94" w:rsidR="003C07B5" w:rsidRDefault="003C07B5" w:rsidP="003C07B5">
      <w:pPr>
        <w:pStyle w:val="Heading3"/>
      </w:pPr>
      <w:bookmarkStart w:id="17" w:name="_Toc184650753"/>
      <w:r w:rsidRPr="00991FC9">
        <w:t xml:space="preserve">Part 3: </w:t>
      </w:r>
      <w:r w:rsidR="009273B6" w:rsidRPr="00991FC9">
        <w:t xml:space="preserve">Theme </w:t>
      </w:r>
      <w:r w:rsidR="002A758B">
        <w:t>A</w:t>
      </w:r>
      <w:r w:rsidR="00A60624">
        <w:t>––</w:t>
      </w:r>
      <w:r w:rsidR="002A758B" w:rsidRPr="002A758B">
        <w:t>Program Administration and Accountability</w:t>
      </w:r>
      <w:bookmarkEnd w:id="17"/>
    </w:p>
    <w:p w14:paraId="494B8BA7" w14:textId="02E370A0" w:rsidR="0075646F" w:rsidRDefault="0075646F" w:rsidP="0075646F">
      <w:r>
        <w:t xml:space="preserve">For each of the sub-themes below, </w:t>
      </w:r>
      <w:r w:rsidR="00123032">
        <w:t xml:space="preserve">provide </w:t>
      </w:r>
      <w:r>
        <w:t xml:space="preserve">a brief narrative (1,000 or less characters) and a minimum of </w:t>
      </w:r>
      <w:r w:rsidR="00A60624">
        <w:t>one</w:t>
      </w:r>
      <w:r>
        <w:t xml:space="preserve"> piece of supporting evidence of </w:t>
      </w:r>
      <w:r w:rsidRPr="00991FC9">
        <w:t>how your school demonstrates a commitment to providing high</w:t>
      </w:r>
      <w:r w:rsidR="009733FD">
        <w:t>-</w:t>
      </w:r>
      <w:r w:rsidRPr="00991FC9">
        <w:t>quality, adequate resources and funding for arts education for ALL students.</w:t>
      </w:r>
      <w:r>
        <w:t xml:space="preserve"> While some suggestions of sample evidence are provided, this is not an exhaustive list. </w:t>
      </w:r>
      <w:r w:rsidR="003B28BD">
        <w:t>Evidence must be submitted as a functional URL with viewing access provided. Th</w:t>
      </w:r>
      <w:r w:rsidR="003B28BD" w:rsidRPr="00672485">
        <w:t>eme A has a total possible score of 15 points</w:t>
      </w:r>
      <w:r w:rsidR="001C47C2">
        <w:t>, each sub-</w:t>
      </w:r>
      <w:r w:rsidR="001C47C2">
        <w:lastRenderedPageBreak/>
        <w:t>theme is worth a total of 3 points</w:t>
      </w:r>
      <w:r w:rsidR="003B28BD" w:rsidRPr="00672485">
        <w:t>.</w:t>
      </w:r>
      <w:r w:rsidR="00FD7E7B" w:rsidRPr="00FD7E7B">
        <w:rPr>
          <w:color w:val="000000"/>
          <w:sz w:val="27"/>
          <w:szCs w:val="27"/>
          <w:shd w:val="clear" w:color="auto" w:fill="FFFFFF"/>
        </w:rPr>
        <w:t xml:space="preserve"> </w:t>
      </w:r>
      <w:r w:rsidR="00FD7E7B" w:rsidRPr="00FD7E7B">
        <w:rPr>
          <w:color w:val="000000"/>
          <w:shd w:val="clear" w:color="auto" w:fill="FFFFFF"/>
        </w:rPr>
        <w:t>Evidence must be submitted as a functional URL with viewing access provided.</w:t>
      </w:r>
    </w:p>
    <w:p w14:paraId="223D1D73" w14:textId="5A2820FE" w:rsidR="0075646F" w:rsidRDefault="0075646F" w:rsidP="00726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  <w:r w:rsidRPr="009733FD">
        <w:t>Sample Evidence:</w:t>
      </w:r>
      <w:r w:rsidRPr="00991FC9">
        <w:rPr>
          <w:b/>
          <w:bCs/>
        </w:rPr>
        <w:t xml:space="preserve"> </w:t>
      </w:r>
      <w:r w:rsidRPr="00991FC9">
        <w:t xml:space="preserve">Language showing arts education prioritized in the Local Control and Accountability Plan (highlighted sections), strategic arts plans, number of credentialed arts specialists on staff, master schedule, </w:t>
      </w:r>
      <w:r w:rsidR="00123032">
        <w:t xml:space="preserve">budgetary documents, course enrollment, </w:t>
      </w:r>
      <w:r w:rsidRPr="00991FC9">
        <w:t>etc.</w:t>
      </w:r>
    </w:p>
    <w:tbl>
      <w:tblPr>
        <w:tblW w:w="9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  <w:tblDescription w:val="Sample of Theme A sub-theme scoring."/>
      </w:tblPr>
      <w:tblGrid>
        <w:gridCol w:w="890"/>
        <w:gridCol w:w="4860"/>
        <w:gridCol w:w="1980"/>
        <w:gridCol w:w="1980"/>
      </w:tblGrid>
      <w:tr w:rsidR="00AA7FD8" w:rsidRPr="00C31E47" w14:paraId="66855647" w14:textId="77777777" w:rsidTr="008A0372">
        <w:trPr>
          <w:cantSplit/>
          <w:trHeight w:val="223"/>
          <w:tblHeader/>
        </w:trPr>
        <w:tc>
          <w:tcPr>
            <w:tcW w:w="890" w:type="dxa"/>
            <w:shd w:val="clear" w:color="auto" w:fill="F3F3F3"/>
            <w:vAlign w:val="center"/>
          </w:tcPr>
          <w:p w14:paraId="5AA80A5D" w14:textId="77777777" w:rsidR="00AA7FD8" w:rsidRPr="003E7481" w:rsidRDefault="00AA7FD8" w:rsidP="00EA4DB8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Code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7BA26BEC" w14:textId="77777777" w:rsidR="00AA7FD8" w:rsidRPr="0075646F" w:rsidRDefault="00AA7FD8" w:rsidP="00EA4DB8">
            <w:pPr>
              <w:ind w:left="241"/>
              <w:jc w:val="center"/>
              <w:rPr>
                <w:b/>
                <w:bCs/>
              </w:rPr>
            </w:pPr>
            <w:r w:rsidRPr="0075646F">
              <w:rPr>
                <w:b/>
                <w:bCs/>
              </w:rPr>
              <w:t>Sub-Theme Description</w:t>
            </w:r>
          </w:p>
        </w:tc>
        <w:tc>
          <w:tcPr>
            <w:tcW w:w="1980" w:type="dxa"/>
            <w:shd w:val="clear" w:color="auto" w:fill="F3F3F3"/>
          </w:tcPr>
          <w:p w14:paraId="21132A48" w14:textId="77A98276" w:rsidR="00AA7FD8" w:rsidRPr="00C31E47" w:rsidRDefault="00AA7FD8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Narrative Score (0</w:t>
            </w:r>
            <w:r w:rsidR="001844E8">
              <w:rPr>
                <w:b/>
                <w:bCs/>
              </w:rPr>
              <w:t>–</w:t>
            </w:r>
            <w:r>
              <w:rPr>
                <w:b/>
                <w:bCs/>
              </w:rPr>
              <w:t>2)</w:t>
            </w:r>
          </w:p>
        </w:tc>
        <w:tc>
          <w:tcPr>
            <w:tcW w:w="1980" w:type="dxa"/>
            <w:shd w:val="clear" w:color="auto" w:fill="F3F3F3"/>
          </w:tcPr>
          <w:p w14:paraId="7749D535" w14:textId="18DE991F" w:rsidR="00AA7FD8" w:rsidRPr="00C31E47" w:rsidRDefault="00AA7FD8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Score (0</w:t>
            </w:r>
            <w:r w:rsidR="001844E8">
              <w:rPr>
                <w:b/>
                <w:bCs/>
              </w:rPr>
              <w:t>–</w:t>
            </w:r>
            <w:r>
              <w:rPr>
                <w:b/>
                <w:bCs/>
              </w:rPr>
              <w:t>1)</w:t>
            </w:r>
          </w:p>
        </w:tc>
      </w:tr>
      <w:tr w:rsidR="00AA7FD8" w14:paraId="697E3A49" w14:textId="77777777" w:rsidTr="00AA7FD8">
        <w:trPr>
          <w:cantSplit/>
          <w:trHeight w:val="952"/>
        </w:trPr>
        <w:tc>
          <w:tcPr>
            <w:tcW w:w="890" w:type="dxa"/>
            <w:shd w:val="clear" w:color="auto" w:fill="F3F3F3"/>
            <w:vAlign w:val="center"/>
          </w:tcPr>
          <w:p w14:paraId="244BBDBB" w14:textId="77777777" w:rsidR="00AA7FD8" w:rsidRPr="003E7481" w:rsidRDefault="00AA7FD8" w:rsidP="00EA4DB8">
            <w:pPr>
              <w:jc w:val="center"/>
              <w:rPr>
                <w:b/>
              </w:rPr>
            </w:pPr>
            <w:r>
              <w:rPr>
                <w:b/>
              </w:rPr>
              <w:t>A.I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08BA83E8" w14:textId="77777777" w:rsidR="00AA7FD8" w:rsidRPr="0020360A" w:rsidRDefault="00AA7FD8" w:rsidP="00EA4DB8">
            <w:pPr>
              <w:spacing w:after="120"/>
            </w:pPr>
            <w:r>
              <w:t>Demonstrate that there is a broad selection of Visual and Performing Arts (VAPA) courses offered in a minimum of three disciplines.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76630E01" w14:textId="1E75ACE4" w:rsidR="00AA7FD8" w:rsidRDefault="00AA464C" w:rsidP="00EA4DB8">
            <w:pPr>
              <w:jc w:val="center"/>
            </w:pPr>
            <w:r>
              <w:t>0</w:t>
            </w:r>
            <w:r w:rsidR="00E50CBC">
              <w:t>–</w:t>
            </w:r>
            <w:r>
              <w:t>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511D3B71" w14:textId="0135C04C" w:rsidR="00AA7FD8" w:rsidRDefault="00AA464C" w:rsidP="00E50CBC">
            <w:pPr>
              <w:ind w:left="-104"/>
              <w:jc w:val="center"/>
            </w:pPr>
            <w:r>
              <w:t>0</w:t>
            </w:r>
            <w:r w:rsidR="00E50CBC">
              <w:t>–</w:t>
            </w:r>
            <w:r>
              <w:t>1/1</w:t>
            </w:r>
          </w:p>
        </w:tc>
      </w:tr>
      <w:tr w:rsidR="00AA7FD8" w14:paraId="26018017" w14:textId="77777777" w:rsidTr="00AA7FD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2A8EF35D" w14:textId="77777777" w:rsidR="00AA7FD8" w:rsidRPr="003E7481" w:rsidRDefault="00AA7FD8" w:rsidP="00EA4DB8">
            <w:pPr>
              <w:jc w:val="center"/>
              <w:rPr>
                <w:b/>
              </w:rPr>
            </w:pPr>
            <w:r>
              <w:rPr>
                <w:b/>
              </w:rPr>
              <w:t>A.II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491AFF64" w14:textId="77777777" w:rsidR="00AA7FD8" w:rsidRPr="0020360A" w:rsidRDefault="00AA7FD8" w:rsidP="00EA4DB8">
            <w:pPr>
              <w:spacing w:after="120"/>
            </w:pPr>
            <w:r>
              <w:t>Demonstrate that adequate time is allocated and protected in the schedule to ensure access to VAPA instruction for all students in all identified arts disciplines.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2BC4798B" w14:textId="5279F5F4" w:rsidR="00AA7FD8" w:rsidRDefault="00E50CBC" w:rsidP="00E50CBC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2B7797A6" w14:textId="0D43B888" w:rsidR="00AA7FD8" w:rsidRDefault="00E50CBC" w:rsidP="00E50CBC">
            <w:pPr>
              <w:ind w:left="-104"/>
              <w:jc w:val="center"/>
            </w:pPr>
            <w:r>
              <w:t>0–1/1</w:t>
            </w:r>
          </w:p>
        </w:tc>
      </w:tr>
      <w:tr w:rsidR="00AA7FD8" w14:paraId="0240C38E" w14:textId="77777777" w:rsidTr="00AA7FD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229BC275" w14:textId="77777777" w:rsidR="00AA7FD8" w:rsidRDefault="00AA7FD8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A.III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4C7FBCA6" w14:textId="77777777" w:rsidR="00AA7FD8" w:rsidRDefault="00AA7FD8" w:rsidP="00EA4DB8">
            <w:pPr>
              <w:spacing w:after="120"/>
            </w:pPr>
            <w:r>
              <w:t xml:space="preserve">Demonstrate that appropriately credentialed arts teachers/teacher leaders </w:t>
            </w:r>
            <w:r w:rsidRPr="003F645C">
              <w:t>teach the arts</w:t>
            </w:r>
            <w:r>
              <w:t>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5B750458" w14:textId="699EF1C6" w:rsidR="00AA7FD8" w:rsidRDefault="00E50CBC" w:rsidP="00E50CBC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33348E38" w14:textId="1095E71F" w:rsidR="00AA7FD8" w:rsidRPr="00AA464C" w:rsidRDefault="00E50CBC" w:rsidP="00E50CBC">
            <w:pPr>
              <w:ind w:left="-104"/>
              <w:jc w:val="center"/>
            </w:pPr>
            <w:r>
              <w:t>0–1/1</w:t>
            </w:r>
          </w:p>
        </w:tc>
      </w:tr>
      <w:tr w:rsidR="00AA7FD8" w14:paraId="1E1F6E82" w14:textId="77777777" w:rsidTr="00AA7FD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099ABD76" w14:textId="77777777" w:rsidR="00AA7FD8" w:rsidRDefault="00AA7FD8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A.IV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1063050E" w14:textId="77777777" w:rsidR="00AA7FD8" w:rsidRDefault="00AA7FD8" w:rsidP="00EA4DB8">
            <w:pPr>
              <w:spacing w:after="120"/>
            </w:pPr>
            <w:r>
              <w:t>Demonstrate how the school budget ensures adequate access to quality materials, equipment, space, and technology for all arts instruction.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41C5A27F" w14:textId="6226524B" w:rsidR="00AA7FD8" w:rsidRDefault="00E50CBC" w:rsidP="00E50CBC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55F7CA79" w14:textId="0E7B730F" w:rsidR="00AA7FD8" w:rsidRDefault="00E50CBC" w:rsidP="00E50CBC">
            <w:pPr>
              <w:ind w:left="-104"/>
              <w:jc w:val="center"/>
            </w:pPr>
            <w:r>
              <w:t>0–1/1</w:t>
            </w:r>
          </w:p>
        </w:tc>
      </w:tr>
      <w:tr w:rsidR="00AA7FD8" w14:paraId="6703E300" w14:textId="77777777" w:rsidTr="00AA7FD8">
        <w:trPr>
          <w:cantSplit/>
          <w:trHeight w:val="457"/>
        </w:trPr>
        <w:tc>
          <w:tcPr>
            <w:tcW w:w="890" w:type="dxa"/>
            <w:shd w:val="clear" w:color="auto" w:fill="F3F3F3"/>
            <w:vAlign w:val="center"/>
          </w:tcPr>
          <w:p w14:paraId="36DF2FF1" w14:textId="77777777" w:rsidR="00AA7FD8" w:rsidRPr="003E7481" w:rsidRDefault="00AA7FD8" w:rsidP="00EA4DB8">
            <w:pPr>
              <w:jc w:val="center"/>
              <w:rPr>
                <w:b/>
              </w:rPr>
            </w:pPr>
            <w:r>
              <w:rPr>
                <w:b/>
              </w:rPr>
              <w:t>A.V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2B3F0BAA" w14:textId="77777777" w:rsidR="00AA7FD8" w:rsidRDefault="00AA7FD8" w:rsidP="00EA4DB8">
            <w:pPr>
              <w:spacing w:after="120"/>
            </w:pPr>
            <w:r>
              <w:t>Demonstrate ways the entire</w:t>
            </w:r>
            <w:r w:rsidRPr="0020360A">
              <w:t xml:space="preserve"> school community </w:t>
            </w:r>
            <w:r>
              <w:t xml:space="preserve">is engaged with the VAPA program, including how they support the academic value, career connections, </w:t>
            </w:r>
            <w:r w:rsidRPr="0020360A">
              <w:t xml:space="preserve">and </w:t>
            </w:r>
            <w:r>
              <w:t xml:space="preserve">creative expression opportunities for students provided by </w:t>
            </w:r>
            <w:r w:rsidRPr="0020360A">
              <w:t>the VAPA program</w:t>
            </w:r>
            <w:r>
              <w:t>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2CAF4DCE" w14:textId="0ED23B0E" w:rsidR="00AA7FD8" w:rsidRDefault="00E50CBC" w:rsidP="00AA464C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5C489188" w14:textId="78054344" w:rsidR="00AA7FD8" w:rsidRDefault="00E50CBC" w:rsidP="00E50CBC">
            <w:pPr>
              <w:ind w:left="-104"/>
              <w:jc w:val="center"/>
            </w:pPr>
            <w:r>
              <w:t>0–1/1</w:t>
            </w:r>
          </w:p>
        </w:tc>
      </w:tr>
    </w:tbl>
    <w:p w14:paraId="0838291E" w14:textId="228F5F79" w:rsidR="005E292D" w:rsidRPr="00991FC9" w:rsidRDefault="00991FC9" w:rsidP="00991FC9">
      <w:pPr>
        <w:pStyle w:val="Heading3"/>
      </w:pPr>
      <w:bookmarkStart w:id="18" w:name="_Toc184650754"/>
      <w:r w:rsidRPr="00991FC9">
        <w:t xml:space="preserve">Part </w:t>
      </w:r>
      <w:r>
        <w:t>4</w:t>
      </w:r>
      <w:r w:rsidRPr="00991FC9">
        <w:t xml:space="preserve">: Theme </w:t>
      </w:r>
      <w:r>
        <w:t>B</w:t>
      </w:r>
      <w:r w:rsidR="005230D3">
        <w:t>––</w:t>
      </w:r>
      <w:r w:rsidR="002A758B">
        <w:rPr>
          <w:color w:val="000000"/>
        </w:rPr>
        <w:t>Program Development and Growth</w:t>
      </w:r>
      <w:bookmarkEnd w:id="18"/>
    </w:p>
    <w:p w14:paraId="6900D10E" w14:textId="04D7BD66" w:rsidR="00991FC9" w:rsidRDefault="00BD7FD2" w:rsidP="00726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For each of the sub-themes below,</w:t>
      </w:r>
      <w:r w:rsidR="00123032">
        <w:t xml:space="preserve"> provide</w:t>
      </w:r>
      <w:r>
        <w:t xml:space="preserve"> a brief narrative (1,000 or less characters) and a minimum of </w:t>
      </w:r>
      <w:r w:rsidR="005230D3">
        <w:t>one</w:t>
      </w:r>
      <w:r>
        <w:t xml:space="preserve"> piece of supporting evidence of </w:t>
      </w:r>
      <w:r w:rsidRPr="00991FC9">
        <w:t xml:space="preserve">how your school demonstrates a commitment to </w:t>
      </w:r>
      <w:r>
        <w:t xml:space="preserve">maintaining and expanding a </w:t>
      </w:r>
      <w:r w:rsidR="00C103C2" w:rsidRPr="00991FC9">
        <w:t>high-quality</w:t>
      </w:r>
      <w:r w:rsidR="00C103C2">
        <w:t xml:space="preserve"> arts program</w:t>
      </w:r>
      <w:r>
        <w:t xml:space="preserve"> through both teacher professional learning and programmatic planning</w:t>
      </w:r>
      <w:r w:rsidRPr="00991FC9">
        <w:t>.</w:t>
      </w:r>
      <w:r>
        <w:t xml:space="preserve"> Conside</w:t>
      </w:r>
      <w:r w:rsidR="006B69F0">
        <w:t>r</w:t>
      </w:r>
      <w:r w:rsidR="005230D3">
        <w:t>––</w:t>
      </w:r>
      <w:r>
        <w:t>w</w:t>
      </w:r>
      <w:r w:rsidRPr="00FA7A4C">
        <w:t>hat does your art program look like today versus the past</w:t>
      </w:r>
      <w:r>
        <w:t xml:space="preserve">? While some suggestions of sample evidence are provided, this is not an exhaustive list. </w:t>
      </w:r>
      <w:r w:rsidR="003B28BD">
        <w:t xml:space="preserve">Evidence must be submitted as a functional URL with viewing access provided. </w:t>
      </w:r>
      <w:r w:rsidR="003B28BD" w:rsidRPr="00672485">
        <w:t>Theme B has a total possible score of 15 points</w:t>
      </w:r>
      <w:r w:rsidR="009D6E3B">
        <w:t>, each sub-theme is worth a total of 3 points</w:t>
      </w:r>
      <w:r w:rsidR="003B28BD" w:rsidRPr="00672485">
        <w:t>.</w:t>
      </w:r>
      <w:r w:rsidR="00B4768E">
        <w:t xml:space="preserve"> </w:t>
      </w:r>
      <w:r w:rsidR="00B4768E" w:rsidRPr="00FD7E7B">
        <w:rPr>
          <w:color w:val="000000"/>
          <w:shd w:val="clear" w:color="auto" w:fill="FFFFFF"/>
        </w:rPr>
        <w:t>Evidence must be submitted as a functional URL with viewing access provided.</w:t>
      </w:r>
    </w:p>
    <w:p w14:paraId="6D8E1E7D" w14:textId="4414C49A" w:rsidR="005E292D" w:rsidRDefault="003666DD" w:rsidP="00726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  <w:r w:rsidRPr="005230D3">
        <w:lastRenderedPageBreak/>
        <w:t>Sample Evidence:</w:t>
      </w:r>
      <w:r>
        <w:rPr>
          <w:b/>
          <w:bCs/>
        </w:rPr>
        <w:t xml:space="preserve"> </w:t>
      </w:r>
      <w:r w:rsidR="00123032" w:rsidRPr="00D8748E">
        <w:t xml:space="preserve">Evidence can include specific </w:t>
      </w:r>
      <w:r w:rsidR="00123032" w:rsidRPr="00BA4D88">
        <w:t>strategic arts plans</w:t>
      </w:r>
      <w:r w:rsidR="00123032">
        <w:t xml:space="preserve">, </w:t>
      </w:r>
      <w:r w:rsidR="00123032" w:rsidRPr="00D8748E">
        <w:t>conferences and trainings offered to teachers, arts integration training, participation in communities of practice, summer externships, professional development evaluations, etc</w:t>
      </w:r>
      <w:r w:rsidR="00726EEF">
        <w:t>.</w:t>
      </w:r>
    </w:p>
    <w:tbl>
      <w:tblPr>
        <w:tblW w:w="9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  <w:tblDescription w:val="Sample of Theme B sub-theme scoring."/>
      </w:tblPr>
      <w:tblGrid>
        <w:gridCol w:w="890"/>
        <w:gridCol w:w="4860"/>
        <w:gridCol w:w="1980"/>
        <w:gridCol w:w="1980"/>
      </w:tblGrid>
      <w:tr w:rsidR="00AF7A16" w:rsidRPr="00C31E47" w14:paraId="5DB5445A" w14:textId="77777777" w:rsidTr="00142197">
        <w:trPr>
          <w:cantSplit/>
          <w:trHeight w:val="223"/>
          <w:tblHeader/>
        </w:trPr>
        <w:tc>
          <w:tcPr>
            <w:tcW w:w="890" w:type="dxa"/>
            <w:shd w:val="clear" w:color="auto" w:fill="F3F3F3"/>
            <w:vAlign w:val="center"/>
          </w:tcPr>
          <w:p w14:paraId="3528AC44" w14:textId="77777777" w:rsidR="00AF7A16" w:rsidRPr="003E7481" w:rsidRDefault="00AF7A16" w:rsidP="00EA4DB8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Code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74658C89" w14:textId="77777777" w:rsidR="00AF7A16" w:rsidRPr="0075646F" w:rsidRDefault="00AF7A16" w:rsidP="00EA4DB8">
            <w:pPr>
              <w:ind w:left="241"/>
              <w:jc w:val="center"/>
              <w:rPr>
                <w:b/>
                <w:bCs/>
              </w:rPr>
            </w:pPr>
            <w:r w:rsidRPr="0075646F">
              <w:rPr>
                <w:b/>
                <w:bCs/>
              </w:rPr>
              <w:t>Sub-Theme Description</w:t>
            </w:r>
          </w:p>
        </w:tc>
        <w:tc>
          <w:tcPr>
            <w:tcW w:w="1980" w:type="dxa"/>
            <w:shd w:val="clear" w:color="auto" w:fill="F3F3F3"/>
          </w:tcPr>
          <w:p w14:paraId="76CD49D2" w14:textId="61DAC196" w:rsidR="00AF7A16" w:rsidRPr="00C31E47" w:rsidRDefault="00AF7A16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Narrative Score (0</w:t>
            </w:r>
            <w:r w:rsidR="008A0372">
              <w:rPr>
                <w:b/>
                <w:bCs/>
              </w:rPr>
              <w:t>–</w:t>
            </w:r>
            <w:r>
              <w:rPr>
                <w:b/>
                <w:bCs/>
              </w:rPr>
              <w:t>2)</w:t>
            </w:r>
          </w:p>
        </w:tc>
        <w:tc>
          <w:tcPr>
            <w:tcW w:w="1980" w:type="dxa"/>
            <w:shd w:val="clear" w:color="auto" w:fill="F3F3F3"/>
          </w:tcPr>
          <w:p w14:paraId="3C95E66A" w14:textId="6C2AB452" w:rsidR="00AF7A16" w:rsidRPr="00C31E47" w:rsidRDefault="00AF7A16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Score (0</w:t>
            </w:r>
            <w:r w:rsidR="008A0372">
              <w:rPr>
                <w:b/>
                <w:bCs/>
              </w:rPr>
              <w:t>–</w:t>
            </w:r>
            <w:r>
              <w:rPr>
                <w:b/>
                <w:bCs/>
              </w:rPr>
              <w:t>1)</w:t>
            </w:r>
          </w:p>
        </w:tc>
      </w:tr>
      <w:tr w:rsidR="00AF7A16" w14:paraId="42544859" w14:textId="77777777" w:rsidTr="00EA4DB8">
        <w:trPr>
          <w:cantSplit/>
          <w:trHeight w:val="952"/>
        </w:trPr>
        <w:tc>
          <w:tcPr>
            <w:tcW w:w="890" w:type="dxa"/>
            <w:shd w:val="clear" w:color="auto" w:fill="F3F3F3"/>
            <w:vAlign w:val="center"/>
          </w:tcPr>
          <w:p w14:paraId="0E0C145A" w14:textId="579B7CF2" w:rsidR="00AF7A16" w:rsidRPr="003E7481" w:rsidRDefault="00AF7A16" w:rsidP="00EA4DB8">
            <w:pPr>
              <w:jc w:val="center"/>
              <w:rPr>
                <w:b/>
              </w:rPr>
            </w:pPr>
            <w:r>
              <w:rPr>
                <w:b/>
              </w:rPr>
              <w:t>B.I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00758A81" w14:textId="30213242" w:rsidR="00AF7A16" w:rsidRPr="0020360A" w:rsidRDefault="00AF7A16" w:rsidP="00EA4DB8">
            <w:pPr>
              <w:spacing w:after="120"/>
            </w:pPr>
            <w:r>
              <w:t xml:space="preserve">Demonstrate that the school has a strategic plan for implementing effective arts education aligned to the </w:t>
            </w:r>
            <w:r w:rsidR="006F4505">
              <w:rPr>
                <w:rFonts w:eastAsia="Times New Roman"/>
                <w:i/>
                <w:iCs/>
                <w:color w:val="231F20"/>
              </w:rPr>
              <w:t>CA Arts Standards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384F271E" w14:textId="0BF65DF1" w:rsidR="00AF7A16" w:rsidRDefault="00E50CBC" w:rsidP="00EA4DB8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4F9C82D7" w14:textId="44EC6509" w:rsidR="00AF7A16" w:rsidRDefault="00E50CBC" w:rsidP="00BD6BFB">
            <w:pPr>
              <w:ind w:left="-104"/>
              <w:jc w:val="center"/>
            </w:pPr>
            <w:r>
              <w:t>0–1/1</w:t>
            </w:r>
          </w:p>
        </w:tc>
      </w:tr>
      <w:tr w:rsidR="00AF7A16" w14:paraId="2A7B7089" w14:textId="77777777" w:rsidTr="00EA4DB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36685ACB" w14:textId="60E96083" w:rsidR="00AF7A16" w:rsidRPr="003E7481" w:rsidRDefault="00AF7A16" w:rsidP="00EA4DB8">
            <w:pPr>
              <w:jc w:val="center"/>
              <w:rPr>
                <w:b/>
              </w:rPr>
            </w:pPr>
            <w:r>
              <w:rPr>
                <w:b/>
              </w:rPr>
              <w:t>B.II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5C6FFD21" w14:textId="42924704" w:rsidR="00AF7A16" w:rsidRPr="0020360A" w:rsidRDefault="00AF7A16" w:rsidP="00EA4DB8">
            <w:pPr>
              <w:spacing w:after="120"/>
            </w:pPr>
            <w:r>
              <w:t>Demonstrate the process for revising the strategic arts plan based on multiple indicators, including arts assessments, stakeholder surveys of needs, community input, and involve arts and non-arts teachers.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4F4EBD98" w14:textId="057E90A0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1ACC4B8F" w14:textId="3BECF5DE" w:rsidR="00AF7A16" w:rsidRDefault="00E50CBC" w:rsidP="00BD6BFB">
            <w:pPr>
              <w:ind w:left="-104"/>
              <w:jc w:val="center"/>
            </w:pPr>
            <w:r>
              <w:t>0–1/1</w:t>
            </w:r>
          </w:p>
        </w:tc>
      </w:tr>
      <w:tr w:rsidR="00AF7A16" w14:paraId="515F56AB" w14:textId="77777777" w:rsidTr="00EA4DB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5C990B77" w14:textId="4E47F11B" w:rsidR="00AF7A16" w:rsidRDefault="00AF7A16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B.III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7659A9F2" w14:textId="67EDC2D8" w:rsidR="00AF7A16" w:rsidRDefault="00AF7A16" w:rsidP="00EA4DB8">
            <w:pPr>
              <w:spacing w:after="120"/>
            </w:pPr>
            <w:r>
              <w:t xml:space="preserve">Demonstrate that teachers regularly collaborate to ensure that the curriculum and instruction are aligned with the </w:t>
            </w:r>
            <w:r w:rsidR="006F4505">
              <w:rPr>
                <w:rFonts w:eastAsia="Times New Roman"/>
                <w:i/>
                <w:iCs/>
                <w:color w:val="231F20"/>
              </w:rPr>
              <w:t>CA Arts Standards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8D9A152" w14:textId="637F1072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000EC319" w14:textId="0CA11932" w:rsidR="00AF7A16" w:rsidRDefault="00E50CBC" w:rsidP="00BD6BFB">
            <w:pPr>
              <w:ind w:left="-104"/>
              <w:jc w:val="center"/>
            </w:pPr>
            <w:r>
              <w:t>0–1/1</w:t>
            </w:r>
          </w:p>
        </w:tc>
      </w:tr>
      <w:tr w:rsidR="00AF7A16" w14:paraId="50F2D3EC" w14:textId="77777777" w:rsidTr="00EA4DB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518CCDFD" w14:textId="55179752" w:rsidR="00AF7A16" w:rsidRDefault="00AF7A16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B.IV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21C751A8" w14:textId="5C08F861" w:rsidR="00AF7A16" w:rsidRDefault="00AF7A16" w:rsidP="00EA4DB8">
            <w:pPr>
              <w:spacing w:after="120"/>
            </w:pPr>
            <w:r>
              <w:t xml:space="preserve">Demonstrate that the professional learning opportunities provided are research-based information on current arts issues and strategies, </w:t>
            </w:r>
            <w:r w:rsidRPr="003E7481">
              <w:t>school-based student art learning data,</w:t>
            </w:r>
            <w:r w:rsidRPr="00A76ACB">
              <w:rPr>
                <w:color w:val="4BACC6"/>
              </w:rPr>
              <w:t xml:space="preserve"> </w:t>
            </w:r>
            <w:r>
              <w:t>and connected</w:t>
            </w:r>
            <w:r w:rsidRPr="00A76ACB">
              <w:rPr>
                <w:color w:val="4BACC6"/>
              </w:rPr>
              <w:t xml:space="preserve"> </w:t>
            </w:r>
            <w:r w:rsidRPr="003E7481">
              <w:t xml:space="preserve">to </w:t>
            </w:r>
            <w:r>
              <w:t>student needs.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76945F56" w14:textId="1CA6BE18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351A671F" w14:textId="1B505AF3" w:rsidR="00AF7A16" w:rsidRDefault="00E50CBC" w:rsidP="00BD6BFB">
            <w:pPr>
              <w:ind w:left="-104"/>
              <w:jc w:val="center"/>
            </w:pPr>
            <w:r>
              <w:t>0–1/1</w:t>
            </w:r>
          </w:p>
        </w:tc>
      </w:tr>
      <w:tr w:rsidR="00AF7A16" w14:paraId="33986AC5" w14:textId="77777777" w:rsidTr="00EA4DB8">
        <w:trPr>
          <w:cantSplit/>
          <w:trHeight w:val="457"/>
        </w:trPr>
        <w:tc>
          <w:tcPr>
            <w:tcW w:w="890" w:type="dxa"/>
            <w:shd w:val="clear" w:color="auto" w:fill="F3F3F3"/>
            <w:vAlign w:val="center"/>
          </w:tcPr>
          <w:p w14:paraId="0EB8DF67" w14:textId="122B7025" w:rsidR="00AF7A16" w:rsidRPr="003E7481" w:rsidRDefault="00AF7A16" w:rsidP="00EA4DB8">
            <w:pPr>
              <w:jc w:val="center"/>
              <w:rPr>
                <w:b/>
              </w:rPr>
            </w:pPr>
            <w:r>
              <w:rPr>
                <w:b/>
              </w:rPr>
              <w:t>B.V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655F1DA6" w14:textId="0D737D8F" w:rsidR="00AF7A16" w:rsidRDefault="00AF7A16" w:rsidP="00EA4DB8">
            <w:pPr>
              <w:spacing w:after="120"/>
            </w:pPr>
            <w:r>
              <w:t>Demonstrate how recent federal/state/private funding opportunities have improved your arts program (for example, Arts, Music, and Instructional Materials; Proposition 28; private grants; etc.).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0D016218" w14:textId="43D76441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091CDEB5" w14:textId="74BDD033" w:rsidR="00AF7A16" w:rsidRDefault="00E50CBC" w:rsidP="00BD6BFB">
            <w:pPr>
              <w:ind w:left="-104"/>
              <w:jc w:val="center"/>
            </w:pPr>
            <w:r>
              <w:t>0–1/1</w:t>
            </w:r>
          </w:p>
        </w:tc>
      </w:tr>
    </w:tbl>
    <w:p w14:paraId="6159E168" w14:textId="6F361611" w:rsidR="00991FC9" w:rsidRDefault="00991FC9" w:rsidP="006B69F0">
      <w:pPr>
        <w:pStyle w:val="Heading3"/>
      </w:pPr>
      <w:bookmarkStart w:id="19" w:name="_Toc184650755"/>
      <w:r w:rsidRPr="00991FC9">
        <w:t xml:space="preserve">Part </w:t>
      </w:r>
      <w:r w:rsidR="00BF5220">
        <w:t>5</w:t>
      </w:r>
      <w:r w:rsidRPr="00991FC9">
        <w:t>:</w:t>
      </w:r>
      <w:r w:rsidR="00123032">
        <w:t xml:space="preserve"> </w:t>
      </w:r>
      <w:r w:rsidR="002A758B">
        <w:rPr>
          <w:color w:val="000000"/>
        </w:rPr>
        <w:t>Theme C</w:t>
      </w:r>
      <w:r w:rsidR="006B69F0">
        <w:rPr>
          <w:color w:val="000000"/>
        </w:rPr>
        <w:t>––</w:t>
      </w:r>
      <w:r w:rsidR="002A758B">
        <w:rPr>
          <w:color w:val="000000"/>
        </w:rPr>
        <w:t>Program Curriculum, Instruction</w:t>
      </w:r>
      <w:r w:rsidR="002214FD">
        <w:rPr>
          <w:color w:val="000000"/>
        </w:rPr>
        <w:t>,</w:t>
      </w:r>
      <w:r w:rsidR="002A758B">
        <w:rPr>
          <w:color w:val="000000"/>
        </w:rPr>
        <w:t xml:space="preserve"> and Assessment</w:t>
      </w:r>
      <w:bookmarkEnd w:id="19"/>
    </w:p>
    <w:p w14:paraId="33F12315" w14:textId="6ECBFBFF" w:rsidR="00123032" w:rsidRDefault="00CF0823" w:rsidP="00726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991FC9">
        <w:t xml:space="preserve">In a brief narrative, explain </w:t>
      </w:r>
      <w:bookmarkStart w:id="20" w:name="_Hlk180752113"/>
      <w:r w:rsidRPr="00991FC9">
        <w:t xml:space="preserve">how your school demonstrates a commitment to </w:t>
      </w:r>
      <w:r w:rsidR="00281F95" w:rsidRPr="00991FC9">
        <w:t>high</w:t>
      </w:r>
      <w:r w:rsidR="007F280C" w:rsidRPr="00991FC9">
        <w:t>-</w:t>
      </w:r>
      <w:r w:rsidR="00281F95" w:rsidRPr="00991FC9">
        <w:t>quality arts</w:t>
      </w:r>
      <w:r w:rsidR="00BD7FD2">
        <w:t xml:space="preserve"> </w:t>
      </w:r>
      <w:r w:rsidR="00BD7FD2" w:rsidRPr="00FA7A4C">
        <w:t>curriculum</w:t>
      </w:r>
      <w:r w:rsidR="00BD7FD2">
        <w:t xml:space="preserve">, </w:t>
      </w:r>
      <w:r w:rsidR="00BD7FD2" w:rsidRPr="00FA7A4C">
        <w:t>instruction</w:t>
      </w:r>
      <w:r w:rsidR="00BD7FD2">
        <w:t>, and</w:t>
      </w:r>
      <w:r w:rsidR="00BD7FD2" w:rsidRPr="00FA7A4C">
        <w:t xml:space="preserve"> </w:t>
      </w:r>
      <w:r w:rsidR="00281F95" w:rsidRPr="00991FC9">
        <w:t>assessment</w:t>
      </w:r>
      <w:r w:rsidR="00BD7FD2">
        <w:t xml:space="preserve"> </w:t>
      </w:r>
      <w:r w:rsidR="00BD7FD2" w:rsidRPr="00FA7A4C">
        <w:t>aligned to the</w:t>
      </w:r>
      <w:r w:rsidR="00123032">
        <w:t xml:space="preserve"> C</w:t>
      </w:r>
      <w:r w:rsidR="006B69F0">
        <w:t>alifornia</w:t>
      </w:r>
      <w:r w:rsidR="00123032">
        <w:t xml:space="preserve"> state</w:t>
      </w:r>
      <w:r w:rsidR="00BD7FD2" w:rsidRPr="00FA7A4C">
        <w:t xml:space="preserve"> standards</w:t>
      </w:r>
      <w:r w:rsidR="00281F95" w:rsidRPr="00991FC9">
        <w:t xml:space="preserve">. </w:t>
      </w:r>
      <w:bookmarkEnd w:id="20"/>
      <w:r w:rsidR="00123032">
        <w:t xml:space="preserve">While some suggestions of sample evidence are provided, this is not an exhaustive list. </w:t>
      </w:r>
      <w:r w:rsidR="003B28BD">
        <w:t xml:space="preserve">Evidence must be submitted as a functional URL with viewing access provided. </w:t>
      </w:r>
      <w:r w:rsidR="003B28BD" w:rsidRPr="00672485">
        <w:t>Theme C has a total possible score of 15 points</w:t>
      </w:r>
      <w:r w:rsidR="00DB6148">
        <w:t>, each sub-theme is worth a total of 3 points</w:t>
      </w:r>
      <w:r w:rsidR="003B28BD" w:rsidRPr="00672485">
        <w:t>.</w:t>
      </w:r>
      <w:r w:rsidR="003B28BD">
        <w:t xml:space="preserve"> </w:t>
      </w:r>
      <w:r w:rsidR="00B4768E" w:rsidRPr="00FD7E7B">
        <w:rPr>
          <w:color w:val="000000"/>
          <w:shd w:val="clear" w:color="auto" w:fill="FFFFFF"/>
        </w:rPr>
        <w:t>Evidence must be submitted as a functional URL with viewing access provided.</w:t>
      </w:r>
    </w:p>
    <w:p w14:paraId="7E6812EF" w14:textId="268D0A31" w:rsidR="005E292D" w:rsidRDefault="00123032" w:rsidP="00123032">
      <w:pPr>
        <w:ind w:left="720"/>
      </w:pPr>
      <w:r w:rsidRPr="004233AE">
        <w:lastRenderedPageBreak/>
        <w:t>Sample Evidence:</w:t>
      </w:r>
      <w:r>
        <w:t xml:space="preserve"> </w:t>
      </w:r>
      <w:r w:rsidRPr="00991FC9">
        <w:t>Evidence can include standards-aligned lesson plans and student work samples, videos of standards-aligned student performances, student exhibitions,</w:t>
      </w:r>
      <w:r>
        <w:t xml:space="preserve"> </w:t>
      </w:r>
      <w:r w:rsidR="00281F95" w:rsidRPr="00991FC9">
        <w:t>standards-aligned rubrics and student work samples, examples of portfolio or project-based assessments, etc</w:t>
      </w:r>
      <w:r w:rsidR="0070793E" w:rsidRPr="00991FC9">
        <w:t>.</w:t>
      </w:r>
    </w:p>
    <w:tbl>
      <w:tblPr>
        <w:tblW w:w="9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  <w:tblDescription w:val="Sample of Theme C sub-theme scoring."/>
      </w:tblPr>
      <w:tblGrid>
        <w:gridCol w:w="890"/>
        <w:gridCol w:w="4860"/>
        <w:gridCol w:w="1980"/>
        <w:gridCol w:w="1980"/>
      </w:tblGrid>
      <w:tr w:rsidR="00AF7A16" w:rsidRPr="00C31E47" w14:paraId="68B7D1D4" w14:textId="77777777" w:rsidTr="00142197">
        <w:trPr>
          <w:cantSplit/>
          <w:trHeight w:val="223"/>
          <w:tblHeader/>
        </w:trPr>
        <w:tc>
          <w:tcPr>
            <w:tcW w:w="890" w:type="dxa"/>
            <w:shd w:val="clear" w:color="auto" w:fill="F3F3F3"/>
            <w:vAlign w:val="center"/>
          </w:tcPr>
          <w:p w14:paraId="78861997" w14:textId="77777777" w:rsidR="00AF7A16" w:rsidRPr="003E7481" w:rsidRDefault="00AF7A16" w:rsidP="00EA4DB8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Code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4B90AC77" w14:textId="77777777" w:rsidR="00AF7A16" w:rsidRPr="0075646F" w:rsidRDefault="00AF7A16" w:rsidP="00EA4DB8">
            <w:pPr>
              <w:ind w:left="241"/>
              <w:jc w:val="center"/>
              <w:rPr>
                <w:b/>
                <w:bCs/>
              </w:rPr>
            </w:pPr>
            <w:r w:rsidRPr="0075646F">
              <w:rPr>
                <w:b/>
                <w:bCs/>
              </w:rPr>
              <w:t>Sub-Theme Description</w:t>
            </w:r>
          </w:p>
        </w:tc>
        <w:tc>
          <w:tcPr>
            <w:tcW w:w="1980" w:type="dxa"/>
            <w:shd w:val="clear" w:color="auto" w:fill="F3F3F3"/>
          </w:tcPr>
          <w:p w14:paraId="08353FC1" w14:textId="70CCA73F" w:rsidR="00AF7A16" w:rsidRPr="00C31E47" w:rsidRDefault="00AF7A16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Narrative Score (0</w:t>
            </w:r>
            <w:r w:rsidR="008A0372">
              <w:rPr>
                <w:b/>
                <w:bCs/>
              </w:rPr>
              <w:t>–</w:t>
            </w:r>
            <w:r>
              <w:rPr>
                <w:b/>
                <w:bCs/>
              </w:rPr>
              <w:t>2)</w:t>
            </w:r>
          </w:p>
        </w:tc>
        <w:tc>
          <w:tcPr>
            <w:tcW w:w="1980" w:type="dxa"/>
            <w:shd w:val="clear" w:color="auto" w:fill="F3F3F3"/>
          </w:tcPr>
          <w:p w14:paraId="7DDB7F83" w14:textId="0770561C" w:rsidR="00AF7A16" w:rsidRPr="00C31E47" w:rsidRDefault="00AF7A16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Score (0</w:t>
            </w:r>
            <w:r w:rsidR="008A0372">
              <w:rPr>
                <w:b/>
                <w:bCs/>
              </w:rPr>
              <w:t>–</w:t>
            </w:r>
            <w:r>
              <w:rPr>
                <w:b/>
                <w:bCs/>
              </w:rPr>
              <w:t>1)</w:t>
            </w:r>
          </w:p>
        </w:tc>
      </w:tr>
      <w:tr w:rsidR="00AF7A16" w14:paraId="4D2169E6" w14:textId="77777777" w:rsidTr="00EA4DB8">
        <w:trPr>
          <w:cantSplit/>
          <w:trHeight w:val="952"/>
        </w:trPr>
        <w:tc>
          <w:tcPr>
            <w:tcW w:w="890" w:type="dxa"/>
            <w:shd w:val="clear" w:color="auto" w:fill="F3F3F3"/>
            <w:vAlign w:val="center"/>
          </w:tcPr>
          <w:p w14:paraId="6EF99AFD" w14:textId="3A61AFC1" w:rsidR="00AF7A16" w:rsidRPr="003E7481" w:rsidRDefault="00A54C8B" w:rsidP="00EA4DB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F7A16">
              <w:rPr>
                <w:b/>
              </w:rPr>
              <w:t>.I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78BBC81A" w14:textId="1483C641" w:rsidR="00AF7A16" w:rsidRPr="0020360A" w:rsidRDefault="00A54C8B" w:rsidP="00EA4DB8">
            <w:pPr>
              <w:spacing w:after="120"/>
            </w:pPr>
            <w:r>
              <w:t xml:space="preserve">Demonstrate that the implemented curricula are aligned with the </w:t>
            </w:r>
            <w:r w:rsidR="006F4505">
              <w:rPr>
                <w:rFonts w:eastAsia="Times New Roman"/>
                <w:i/>
                <w:iCs/>
                <w:color w:val="231F20"/>
              </w:rPr>
              <w:t>CA Arts Standards</w:t>
            </w:r>
            <w:r w:rsidR="006F4505">
              <w:t xml:space="preserve"> </w:t>
            </w:r>
            <w:r>
              <w:t xml:space="preserve">and allow the students to learn to utilize developmentally appropriate, discipline-specific </w:t>
            </w:r>
            <w:r w:rsidRPr="00F33E35">
              <w:t xml:space="preserve">arts </w:t>
            </w:r>
            <w:r>
              <w:t>vocabulary in oral and written peer reviews and critiques to evaluate each other’s work.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56F898BC" w14:textId="392DDAAB" w:rsidR="00AF7A16" w:rsidRDefault="00E50CBC" w:rsidP="00EA4DB8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1A0857EA" w14:textId="30E93003" w:rsidR="00AF7A16" w:rsidRDefault="00E50CBC" w:rsidP="00BD6BFB">
            <w:pPr>
              <w:ind w:left="-14"/>
              <w:jc w:val="center"/>
            </w:pPr>
            <w:r>
              <w:t>0–1/1</w:t>
            </w:r>
          </w:p>
        </w:tc>
      </w:tr>
      <w:tr w:rsidR="00AF7A16" w14:paraId="792EBECB" w14:textId="77777777" w:rsidTr="00EA4DB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15E877BF" w14:textId="32255E74" w:rsidR="00AF7A16" w:rsidRPr="003E7481" w:rsidRDefault="00A54C8B" w:rsidP="00EA4DB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F7A16">
              <w:rPr>
                <w:b/>
              </w:rPr>
              <w:t>.II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1246900A" w14:textId="3084C9E3" w:rsidR="00AF7A16" w:rsidRPr="0020360A" w:rsidRDefault="00A54C8B" w:rsidP="00EA4DB8">
            <w:pPr>
              <w:spacing w:after="120"/>
            </w:pPr>
            <w:r>
              <w:t xml:space="preserve">Demonstrate how teachers integrate </w:t>
            </w:r>
            <w:r w:rsidRPr="009B297A">
              <w:t>authentic and curriculum</w:t>
            </w:r>
            <w:r>
              <w:t>-</w:t>
            </w:r>
            <w:r w:rsidRPr="009B297A">
              <w:t>aligned arts resources</w:t>
            </w:r>
            <w:r>
              <w:t xml:space="preserve"> (i.e.,</w:t>
            </w:r>
            <w:r w:rsidRPr="009B297A">
              <w:t xml:space="preserve"> virtual resources, use of technology in art making or presenting art works,</w:t>
            </w:r>
            <w:r w:rsidRPr="00A76ACB">
              <w:rPr>
                <w:color w:val="4BACC6"/>
              </w:rPr>
              <w:t xml:space="preserve"> </w:t>
            </w:r>
            <w:r>
              <w:t xml:space="preserve">community artists’ </w:t>
            </w:r>
            <w:proofErr w:type="gramStart"/>
            <w:r>
              <w:t>residencies</w:t>
            </w:r>
            <w:proofErr w:type="gramEnd"/>
            <w:r>
              <w:t>, field trips, etc.) into the program offerings.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38108535" w14:textId="2F2AAFC8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CD31738" w14:textId="7CE3A3C0" w:rsidR="00AF7A16" w:rsidRDefault="00E50CBC" w:rsidP="00BD6BFB">
            <w:pPr>
              <w:ind w:left="-14"/>
              <w:jc w:val="center"/>
            </w:pPr>
            <w:r>
              <w:t>0–1/1</w:t>
            </w:r>
          </w:p>
        </w:tc>
      </w:tr>
      <w:tr w:rsidR="00AF7A16" w14:paraId="5564A432" w14:textId="77777777" w:rsidTr="00EA4DB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115A70E7" w14:textId="065F91E2" w:rsidR="00AF7A16" w:rsidRDefault="00A54C8B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AF7A16">
              <w:rPr>
                <w:b/>
                <w:bCs/>
              </w:rPr>
              <w:t>.III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55AA0AD5" w14:textId="37FFD0AD" w:rsidR="00AF7A16" w:rsidRDefault="00A54C8B" w:rsidP="00EA4DB8">
            <w:pPr>
              <w:spacing w:after="120"/>
            </w:pPr>
            <w:r>
              <w:t>Demonstrate how the curriculum promotes the regular and inclusive student performances, demonstrations, and productions, including student-initiated projects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776E8111" w14:textId="13A66772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55A5465" w14:textId="440DF396" w:rsidR="00AF7A16" w:rsidRDefault="00E50CBC" w:rsidP="00BD6BFB">
            <w:pPr>
              <w:ind w:left="-14"/>
              <w:jc w:val="center"/>
            </w:pPr>
            <w:r>
              <w:t>0–1/1</w:t>
            </w:r>
          </w:p>
        </w:tc>
      </w:tr>
      <w:tr w:rsidR="00AF7A16" w14:paraId="3C5F3A74" w14:textId="77777777" w:rsidTr="00EA4DB8">
        <w:trPr>
          <w:cantSplit/>
          <w:trHeight w:val="556"/>
        </w:trPr>
        <w:tc>
          <w:tcPr>
            <w:tcW w:w="890" w:type="dxa"/>
            <w:shd w:val="clear" w:color="auto" w:fill="F3F3F3"/>
            <w:vAlign w:val="center"/>
          </w:tcPr>
          <w:p w14:paraId="10FBF586" w14:textId="203121E4" w:rsidR="00AF7A16" w:rsidRDefault="00A54C8B" w:rsidP="00EA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AF7A16">
              <w:rPr>
                <w:b/>
                <w:bCs/>
              </w:rPr>
              <w:t>.IV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2D06C39D" w14:textId="118CFC7F" w:rsidR="00AF7A16" w:rsidRDefault="00A54C8B" w:rsidP="00EA4DB8">
            <w:pPr>
              <w:spacing w:after="120"/>
            </w:pPr>
            <w:r>
              <w:t>Demonstrate the standards-based guidelines and tools teachers use for formative and summative assessments in all provided arts disciplines as a regular part of instruction and planning.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778B1EC5" w14:textId="71DB4772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2F28695F" w14:textId="66469EA0" w:rsidR="00AF7A16" w:rsidRDefault="00E50CBC" w:rsidP="00BD6BFB">
            <w:pPr>
              <w:ind w:left="-14"/>
              <w:jc w:val="center"/>
            </w:pPr>
            <w:r>
              <w:t>0–1/1</w:t>
            </w:r>
          </w:p>
        </w:tc>
      </w:tr>
      <w:tr w:rsidR="00AF7A16" w14:paraId="7D7CDC72" w14:textId="77777777" w:rsidTr="00EA4DB8">
        <w:trPr>
          <w:cantSplit/>
          <w:trHeight w:val="457"/>
        </w:trPr>
        <w:tc>
          <w:tcPr>
            <w:tcW w:w="890" w:type="dxa"/>
            <w:shd w:val="clear" w:color="auto" w:fill="F3F3F3"/>
            <w:vAlign w:val="center"/>
          </w:tcPr>
          <w:p w14:paraId="2C523EEC" w14:textId="1E9527E2" w:rsidR="00AF7A16" w:rsidRPr="003E7481" w:rsidRDefault="00A54C8B" w:rsidP="00EA4DB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F7A16">
              <w:rPr>
                <w:b/>
              </w:rPr>
              <w:t>.V</w:t>
            </w:r>
          </w:p>
        </w:tc>
        <w:tc>
          <w:tcPr>
            <w:tcW w:w="4860" w:type="dxa"/>
            <w:shd w:val="clear" w:color="auto" w:fill="F3F3F3"/>
            <w:vAlign w:val="center"/>
          </w:tcPr>
          <w:p w14:paraId="6A44A1D9" w14:textId="2A846FFE" w:rsidR="00AF7A16" w:rsidRDefault="00A54C8B" w:rsidP="00EA4DB8">
            <w:pPr>
              <w:spacing w:after="120"/>
            </w:pPr>
            <w:r>
              <w:t>Demonstrate teachers regularly provide students with authentic, meaningful feedback in arts learning, and provide students with tools for establishing further learning goals.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601F1EC" w14:textId="0450C1C0" w:rsidR="00AF7A16" w:rsidRDefault="00E50CBC" w:rsidP="00BD6BFB">
            <w:pPr>
              <w:jc w:val="center"/>
            </w:pPr>
            <w:r>
              <w:t>0–2/2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73AAE0BE" w14:textId="3E4057DC" w:rsidR="00AF7A16" w:rsidRDefault="00E50CBC" w:rsidP="00E50CBC">
            <w:pPr>
              <w:ind w:left="-14"/>
              <w:jc w:val="center"/>
            </w:pPr>
            <w:r>
              <w:t>0–1/1</w:t>
            </w:r>
          </w:p>
        </w:tc>
      </w:tr>
    </w:tbl>
    <w:p w14:paraId="77369457" w14:textId="5DE045E6" w:rsidR="008933D3" w:rsidRPr="00726EEF" w:rsidRDefault="00726EEF" w:rsidP="00726EEF">
      <w:pPr>
        <w:spacing w:before="720" w:after="0"/>
        <w:rPr>
          <w:iCs/>
        </w:rPr>
      </w:pPr>
      <w:r>
        <w:rPr>
          <w:iCs/>
        </w:rPr>
        <w:t>California Department of Education, December 2024</w:t>
      </w:r>
    </w:p>
    <w:sectPr w:rsidR="008933D3" w:rsidRPr="00726EEF"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CD36" w14:textId="77777777" w:rsidR="009B7CC7" w:rsidRDefault="009B7CC7">
      <w:pPr>
        <w:spacing w:after="0"/>
      </w:pPr>
      <w:r>
        <w:separator/>
      </w:r>
    </w:p>
  </w:endnote>
  <w:endnote w:type="continuationSeparator" w:id="0">
    <w:p w14:paraId="1427DE3F" w14:textId="77777777" w:rsidR="009B7CC7" w:rsidRDefault="009B7C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64260" w14:textId="77777777" w:rsidR="009B7CC7" w:rsidRDefault="009B7CC7">
      <w:pPr>
        <w:spacing w:after="0"/>
      </w:pPr>
      <w:r>
        <w:separator/>
      </w:r>
    </w:p>
  </w:footnote>
  <w:footnote w:type="continuationSeparator" w:id="0">
    <w:p w14:paraId="2C1F7FD9" w14:textId="77777777" w:rsidR="009B7CC7" w:rsidRDefault="009B7C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1364"/>
    <w:multiLevelType w:val="hybridMultilevel"/>
    <w:tmpl w:val="0E2C2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1A37"/>
    <w:multiLevelType w:val="hybridMultilevel"/>
    <w:tmpl w:val="8C1E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6E8B"/>
    <w:multiLevelType w:val="hybridMultilevel"/>
    <w:tmpl w:val="19229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13B6E"/>
    <w:multiLevelType w:val="hybridMultilevel"/>
    <w:tmpl w:val="2A5EDEC2"/>
    <w:lvl w:ilvl="0" w:tplc="8C0623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54F1F"/>
    <w:multiLevelType w:val="hybridMultilevel"/>
    <w:tmpl w:val="386A8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F48B5"/>
    <w:multiLevelType w:val="hybridMultilevel"/>
    <w:tmpl w:val="88964D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0B95"/>
    <w:multiLevelType w:val="hybridMultilevel"/>
    <w:tmpl w:val="10666966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E442C61"/>
    <w:multiLevelType w:val="hybridMultilevel"/>
    <w:tmpl w:val="7ED65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90889"/>
    <w:multiLevelType w:val="hybridMultilevel"/>
    <w:tmpl w:val="CABAE70C"/>
    <w:lvl w:ilvl="0" w:tplc="93FC8E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49B1"/>
    <w:multiLevelType w:val="multilevel"/>
    <w:tmpl w:val="861E97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D39F5"/>
    <w:multiLevelType w:val="multilevel"/>
    <w:tmpl w:val="526ECCBC"/>
    <w:lvl w:ilvl="0">
      <w:start w:val="1"/>
      <w:numFmt w:val="decimal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94974">
    <w:abstractNumId w:val="9"/>
  </w:num>
  <w:num w:numId="2" w16cid:durableId="1304964474">
    <w:abstractNumId w:val="10"/>
  </w:num>
  <w:num w:numId="3" w16cid:durableId="1068186772">
    <w:abstractNumId w:val="1"/>
  </w:num>
  <w:num w:numId="4" w16cid:durableId="778764685">
    <w:abstractNumId w:val="3"/>
  </w:num>
  <w:num w:numId="5" w16cid:durableId="1603224220">
    <w:abstractNumId w:val="2"/>
  </w:num>
  <w:num w:numId="6" w16cid:durableId="2093811356">
    <w:abstractNumId w:val="4"/>
  </w:num>
  <w:num w:numId="7" w16cid:durableId="817453403">
    <w:abstractNumId w:val="8"/>
  </w:num>
  <w:num w:numId="8" w16cid:durableId="1511674799">
    <w:abstractNumId w:val="0"/>
  </w:num>
  <w:num w:numId="9" w16cid:durableId="655064304">
    <w:abstractNumId w:val="7"/>
  </w:num>
  <w:num w:numId="10" w16cid:durableId="187530243">
    <w:abstractNumId w:val="5"/>
  </w:num>
  <w:num w:numId="11" w16cid:durableId="1767847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2D"/>
    <w:rsid w:val="00002AE7"/>
    <w:rsid w:val="00005DB2"/>
    <w:rsid w:val="000071F4"/>
    <w:rsid w:val="0001579C"/>
    <w:rsid w:val="0002041B"/>
    <w:rsid w:val="00024103"/>
    <w:rsid w:val="000272E0"/>
    <w:rsid w:val="00027934"/>
    <w:rsid w:val="00041AE6"/>
    <w:rsid w:val="00046AAA"/>
    <w:rsid w:val="000472C0"/>
    <w:rsid w:val="00052329"/>
    <w:rsid w:val="00053B5D"/>
    <w:rsid w:val="00054CA4"/>
    <w:rsid w:val="00061E9E"/>
    <w:rsid w:val="000635BC"/>
    <w:rsid w:val="00071DA1"/>
    <w:rsid w:val="0008680B"/>
    <w:rsid w:val="000A1A3F"/>
    <w:rsid w:val="000C2878"/>
    <w:rsid w:val="000D2957"/>
    <w:rsid w:val="000D3061"/>
    <w:rsid w:val="000D73C2"/>
    <w:rsid w:val="000E4193"/>
    <w:rsid w:val="00112638"/>
    <w:rsid w:val="001212B6"/>
    <w:rsid w:val="00123032"/>
    <w:rsid w:val="001279A2"/>
    <w:rsid w:val="00130CE3"/>
    <w:rsid w:val="001322A8"/>
    <w:rsid w:val="0014049C"/>
    <w:rsid w:val="00141608"/>
    <w:rsid w:val="00142197"/>
    <w:rsid w:val="00142B40"/>
    <w:rsid w:val="001439C5"/>
    <w:rsid w:val="0015547C"/>
    <w:rsid w:val="00155A10"/>
    <w:rsid w:val="00157C04"/>
    <w:rsid w:val="001630DC"/>
    <w:rsid w:val="0016343F"/>
    <w:rsid w:val="00164D61"/>
    <w:rsid w:val="00164FCF"/>
    <w:rsid w:val="00165FCA"/>
    <w:rsid w:val="001706C0"/>
    <w:rsid w:val="0017767C"/>
    <w:rsid w:val="001834A8"/>
    <w:rsid w:val="001844E8"/>
    <w:rsid w:val="001876CA"/>
    <w:rsid w:val="001932CC"/>
    <w:rsid w:val="00196453"/>
    <w:rsid w:val="00196A42"/>
    <w:rsid w:val="00197754"/>
    <w:rsid w:val="001A78DB"/>
    <w:rsid w:val="001B5568"/>
    <w:rsid w:val="001C47C2"/>
    <w:rsid w:val="001C5BA0"/>
    <w:rsid w:val="001C74D7"/>
    <w:rsid w:val="001D31B7"/>
    <w:rsid w:val="001E398E"/>
    <w:rsid w:val="001E45DF"/>
    <w:rsid w:val="001E7C1C"/>
    <w:rsid w:val="001F064E"/>
    <w:rsid w:val="001F1240"/>
    <w:rsid w:val="0020002D"/>
    <w:rsid w:val="00205D6A"/>
    <w:rsid w:val="00207B1E"/>
    <w:rsid w:val="002214FD"/>
    <w:rsid w:val="00223EA5"/>
    <w:rsid w:val="002341F5"/>
    <w:rsid w:val="00254621"/>
    <w:rsid w:val="00256CBC"/>
    <w:rsid w:val="00257290"/>
    <w:rsid w:val="002606E5"/>
    <w:rsid w:val="00267A6F"/>
    <w:rsid w:val="00271746"/>
    <w:rsid w:val="00281F95"/>
    <w:rsid w:val="00287E9C"/>
    <w:rsid w:val="00292AAA"/>
    <w:rsid w:val="002A758B"/>
    <w:rsid w:val="002A7D69"/>
    <w:rsid w:val="002B18CA"/>
    <w:rsid w:val="002B34F5"/>
    <w:rsid w:val="002B5D49"/>
    <w:rsid w:val="002C158B"/>
    <w:rsid w:val="002C2234"/>
    <w:rsid w:val="002C3059"/>
    <w:rsid w:val="002D7671"/>
    <w:rsid w:val="002E125B"/>
    <w:rsid w:val="002E2411"/>
    <w:rsid w:val="002E5FB7"/>
    <w:rsid w:val="0031699A"/>
    <w:rsid w:val="00320122"/>
    <w:rsid w:val="00322095"/>
    <w:rsid w:val="00342432"/>
    <w:rsid w:val="00350AB2"/>
    <w:rsid w:val="003666DD"/>
    <w:rsid w:val="0037369B"/>
    <w:rsid w:val="00376EE1"/>
    <w:rsid w:val="00384843"/>
    <w:rsid w:val="00384EE2"/>
    <w:rsid w:val="00393514"/>
    <w:rsid w:val="003B28BD"/>
    <w:rsid w:val="003B778E"/>
    <w:rsid w:val="003C07B5"/>
    <w:rsid w:val="003C20E4"/>
    <w:rsid w:val="003D5E45"/>
    <w:rsid w:val="003F21EE"/>
    <w:rsid w:val="00401E98"/>
    <w:rsid w:val="004043B4"/>
    <w:rsid w:val="00405D11"/>
    <w:rsid w:val="00410B6C"/>
    <w:rsid w:val="004233AE"/>
    <w:rsid w:val="004320D9"/>
    <w:rsid w:val="00433A81"/>
    <w:rsid w:val="00452886"/>
    <w:rsid w:val="00461401"/>
    <w:rsid w:val="004616AF"/>
    <w:rsid w:val="004879CF"/>
    <w:rsid w:val="00491A74"/>
    <w:rsid w:val="004A1592"/>
    <w:rsid w:val="004C00AA"/>
    <w:rsid w:val="004D0890"/>
    <w:rsid w:val="004D415B"/>
    <w:rsid w:val="004D679F"/>
    <w:rsid w:val="004E6D6A"/>
    <w:rsid w:val="004F57FC"/>
    <w:rsid w:val="004F5BE5"/>
    <w:rsid w:val="00504B8C"/>
    <w:rsid w:val="00507B19"/>
    <w:rsid w:val="005230D3"/>
    <w:rsid w:val="005328A8"/>
    <w:rsid w:val="00535639"/>
    <w:rsid w:val="00545825"/>
    <w:rsid w:val="00547CF4"/>
    <w:rsid w:val="005568C8"/>
    <w:rsid w:val="00556B37"/>
    <w:rsid w:val="005647E7"/>
    <w:rsid w:val="00567F22"/>
    <w:rsid w:val="00580061"/>
    <w:rsid w:val="005919B9"/>
    <w:rsid w:val="00593F45"/>
    <w:rsid w:val="005A169F"/>
    <w:rsid w:val="005A326B"/>
    <w:rsid w:val="005A48CE"/>
    <w:rsid w:val="005A54A9"/>
    <w:rsid w:val="005A6C7F"/>
    <w:rsid w:val="005C33DA"/>
    <w:rsid w:val="005C5BF6"/>
    <w:rsid w:val="005C6F9B"/>
    <w:rsid w:val="005E00DC"/>
    <w:rsid w:val="005E292D"/>
    <w:rsid w:val="005F09C1"/>
    <w:rsid w:val="005F30B5"/>
    <w:rsid w:val="00602D1A"/>
    <w:rsid w:val="00603716"/>
    <w:rsid w:val="00604A86"/>
    <w:rsid w:val="00614729"/>
    <w:rsid w:val="00620D68"/>
    <w:rsid w:val="006256AB"/>
    <w:rsid w:val="00626F2F"/>
    <w:rsid w:val="00635034"/>
    <w:rsid w:val="00635405"/>
    <w:rsid w:val="006377E6"/>
    <w:rsid w:val="00637B53"/>
    <w:rsid w:val="006412B6"/>
    <w:rsid w:val="00643100"/>
    <w:rsid w:val="00654EA7"/>
    <w:rsid w:val="0065530A"/>
    <w:rsid w:val="00663197"/>
    <w:rsid w:val="00667168"/>
    <w:rsid w:val="00672485"/>
    <w:rsid w:val="00672E4A"/>
    <w:rsid w:val="006741F6"/>
    <w:rsid w:val="006749F6"/>
    <w:rsid w:val="006773E1"/>
    <w:rsid w:val="00682DC0"/>
    <w:rsid w:val="00691F0A"/>
    <w:rsid w:val="006962CE"/>
    <w:rsid w:val="006A1C30"/>
    <w:rsid w:val="006A3637"/>
    <w:rsid w:val="006A420D"/>
    <w:rsid w:val="006B1DCF"/>
    <w:rsid w:val="006B5862"/>
    <w:rsid w:val="006B69F0"/>
    <w:rsid w:val="006C002F"/>
    <w:rsid w:val="006C1E43"/>
    <w:rsid w:val="006D1D12"/>
    <w:rsid w:val="006E360E"/>
    <w:rsid w:val="006F0E3A"/>
    <w:rsid w:val="006F1E71"/>
    <w:rsid w:val="006F2E0D"/>
    <w:rsid w:val="006F4505"/>
    <w:rsid w:val="00706847"/>
    <w:rsid w:val="0070793E"/>
    <w:rsid w:val="00712A64"/>
    <w:rsid w:val="00726EEF"/>
    <w:rsid w:val="00735D9D"/>
    <w:rsid w:val="00736077"/>
    <w:rsid w:val="00736BFC"/>
    <w:rsid w:val="00737BDA"/>
    <w:rsid w:val="007421F4"/>
    <w:rsid w:val="00743008"/>
    <w:rsid w:val="00751794"/>
    <w:rsid w:val="00755761"/>
    <w:rsid w:val="0075646F"/>
    <w:rsid w:val="00761690"/>
    <w:rsid w:val="007627ED"/>
    <w:rsid w:val="00767664"/>
    <w:rsid w:val="00773392"/>
    <w:rsid w:val="0077537E"/>
    <w:rsid w:val="007800D0"/>
    <w:rsid w:val="007845FE"/>
    <w:rsid w:val="00791555"/>
    <w:rsid w:val="0079719A"/>
    <w:rsid w:val="007A48A2"/>
    <w:rsid w:val="007B4EC3"/>
    <w:rsid w:val="007B6A70"/>
    <w:rsid w:val="007C00D1"/>
    <w:rsid w:val="007C52F1"/>
    <w:rsid w:val="007D5E3C"/>
    <w:rsid w:val="007F280C"/>
    <w:rsid w:val="007F70FB"/>
    <w:rsid w:val="007F79CC"/>
    <w:rsid w:val="0080773B"/>
    <w:rsid w:val="00814412"/>
    <w:rsid w:val="00822D26"/>
    <w:rsid w:val="00822E86"/>
    <w:rsid w:val="00823F95"/>
    <w:rsid w:val="00827A59"/>
    <w:rsid w:val="00827D11"/>
    <w:rsid w:val="00842AD7"/>
    <w:rsid w:val="008564B3"/>
    <w:rsid w:val="00856FAF"/>
    <w:rsid w:val="00866098"/>
    <w:rsid w:val="00870049"/>
    <w:rsid w:val="00874F7E"/>
    <w:rsid w:val="00876EF5"/>
    <w:rsid w:val="00882396"/>
    <w:rsid w:val="00884304"/>
    <w:rsid w:val="008920C6"/>
    <w:rsid w:val="008933D3"/>
    <w:rsid w:val="008A0372"/>
    <w:rsid w:val="008B2512"/>
    <w:rsid w:val="008B6429"/>
    <w:rsid w:val="008C16C7"/>
    <w:rsid w:val="008C6413"/>
    <w:rsid w:val="008D625D"/>
    <w:rsid w:val="009022FD"/>
    <w:rsid w:val="0090413A"/>
    <w:rsid w:val="009046CE"/>
    <w:rsid w:val="00922BDA"/>
    <w:rsid w:val="009273B6"/>
    <w:rsid w:val="00932991"/>
    <w:rsid w:val="00933093"/>
    <w:rsid w:val="00943EB2"/>
    <w:rsid w:val="009445F3"/>
    <w:rsid w:val="00957D89"/>
    <w:rsid w:val="00961E89"/>
    <w:rsid w:val="00972011"/>
    <w:rsid w:val="00972821"/>
    <w:rsid w:val="009733FD"/>
    <w:rsid w:val="0098718F"/>
    <w:rsid w:val="00987DEB"/>
    <w:rsid w:val="00991AF8"/>
    <w:rsid w:val="00991FC9"/>
    <w:rsid w:val="009A3A5D"/>
    <w:rsid w:val="009A438D"/>
    <w:rsid w:val="009B3D58"/>
    <w:rsid w:val="009B4381"/>
    <w:rsid w:val="009B7CC7"/>
    <w:rsid w:val="009C0637"/>
    <w:rsid w:val="009C6549"/>
    <w:rsid w:val="009D6E3B"/>
    <w:rsid w:val="00A153D7"/>
    <w:rsid w:val="00A27A91"/>
    <w:rsid w:val="00A320C8"/>
    <w:rsid w:val="00A32F79"/>
    <w:rsid w:val="00A362FE"/>
    <w:rsid w:val="00A54C8B"/>
    <w:rsid w:val="00A60624"/>
    <w:rsid w:val="00A676DE"/>
    <w:rsid w:val="00A73133"/>
    <w:rsid w:val="00A74F4B"/>
    <w:rsid w:val="00A756C9"/>
    <w:rsid w:val="00A832E9"/>
    <w:rsid w:val="00A839C6"/>
    <w:rsid w:val="00A90EE8"/>
    <w:rsid w:val="00A92502"/>
    <w:rsid w:val="00AA4149"/>
    <w:rsid w:val="00AA464C"/>
    <w:rsid w:val="00AA7FD8"/>
    <w:rsid w:val="00AB1682"/>
    <w:rsid w:val="00AB1F8B"/>
    <w:rsid w:val="00AD199C"/>
    <w:rsid w:val="00AD40D5"/>
    <w:rsid w:val="00AE4A4F"/>
    <w:rsid w:val="00AF294E"/>
    <w:rsid w:val="00AF7A16"/>
    <w:rsid w:val="00B02220"/>
    <w:rsid w:val="00B04249"/>
    <w:rsid w:val="00B0742B"/>
    <w:rsid w:val="00B103CB"/>
    <w:rsid w:val="00B12886"/>
    <w:rsid w:val="00B25AE8"/>
    <w:rsid w:val="00B26383"/>
    <w:rsid w:val="00B2650D"/>
    <w:rsid w:val="00B46586"/>
    <w:rsid w:val="00B4768E"/>
    <w:rsid w:val="00B5079D"/>
    <w:rsid w:val="00B53B09"/>
    <w:rsid w:val="00B57195"/>
    <w:rsid w:val="00B57D81"/>
    <w:rsid w:val="00B6767E"/>
    <w:rsid w:val="00B73A4F"/>
    <w:rsid w:val="00B73B1A"/>
    <w:rsid w:val="00B85941"/>
    <w:rsid w:val="00B90E10"/>
    <w:rsid w:val="00B9323F"/>
    <w:rsid w:val="00B973A0"/>
    <w:rsid w:val="00BC2DF2"/>
    <w:rsid w:val="00BD6BFB"/>
    <w:rsid w:val="00BD7FD2"/>
    <w:rsid w:val="00BE21EF"/>
    <w:rsid w:val="00BF1545"/>
    <w:rsid w:val="00BF4E41"/>
    <w:rsid w:val="00BF5220"/>
    <w:rsid w:val="00BF6E92"/>
    <w:rsid w:val="00C103C2"/>
    <w:rsid w:val="00C17EE6"/>
    <w:rsid w:val="00C3174F"/>
    <w:rsid w:val="00C31E47"/>
    <w:rsid w:val="00C55517"/>
    <w:rsid w:val="00C55E1D"/>
    <w:rsid w:val="00C56C03"/>
    <w:rsid w:val="00C607E3"/>
    <w:rsid w:val="00C67092"/>
    <w:rsid w:val="00C715F4"/>
    <w:rsid w:val="00C77670"/>
    <w:rsid w:val="00C8144F"/>
    <w:rsid w:val="00C8549A"/>
    <w:rsid w:val="00C864F9"/>
    <w:rsid w:val="00C933E0"/>
    <w:rsid w:val="00C95A3B"/>
    <w:rsid w:val="00CA0787"/>
    <w:rsid w:val="00CA2264"/>
    <w:rsid w:val="00CA74AF"/>
    <w:rsid w:val="00CB2999"/>
    <w:rsid w:val="00CB495B"/>
    <w:rsid w:val="00CB6EC6"/>
    <w:rsid w:val="00CD64E7"/>
    <w:rsid w:val="00CF0823"/>
    <w:rsid w:val="00CF0DF2"/>
    <w:rsid w:val="00D035D5"/>
    <w:rsid w:val="00D23898"/>
    <w:rsid w:val="00D2396E"/>
    <w:rsid w:val="00D23B43"/>
    <w:rsid w:val="00D32045"/>
    <w:rsid w:val="00D4423C"/>
    <w:rsid w:val="00D62617"/>
    <w:rsid w:val="00D7322A"/>
    <w:rsid w:val="00D7505C"/>
    <w:rsid w:val="00D87C58"/>
    <w:rsid w:val="00D942E6"/>
    <w:rsid w:val="00D9582D"/>
    <w:rsid w:val="00D96B4B"/>
    <w:rsid w:val="00DA5E2A"/>
    <w:rsid w:val="00DA6979"/>
    <w:rsid w:val="00DB2662"/>
    <w:rsid w:val="00DB6148"/>
    <w:rsid w:val="00DD0AC8"/>
    <w:rsid w:val="00DD54FD"/>
    <w:rsid w:val="00E076ED"/>
    <w:rsid w:val="00E1240F"/>
    <w:rsid w:val="00E140F6"/>
    <w:rsid w:val="00E203D7"/>
    <w:rsid w:val="00E251CA"/>
    <w:rsid w:val="00E31643"/>
    <w:rsid w:val="00E324BB"/>
    <w:rsid w:val="00E3475A"/>
    <w:rsid w:val="00E367AD"/>
    <w:rsid w:val="00E50CBC"/>
    <w:rsid w:val="00E5229F"/>
    <w:rsid w:val="00E5398C"/>
    <w:rsid w:val="00E539FA"/>
    <w:rsid w:val="00E726D1"/>
    <w:rsid w:val="00E7613C"/>
    <w:rsid w:val="00E828C0"/>
    <w:rsid w:val="00E831D4"/>
    <w:rsid w:val="00E86854"/>
    <w:rsid w:val="00E86C77"/>
    <w:rsid w:val="00E9300C"/>
    <w:rsid w:val="00E9497C"/>
    <w:rsid w:val="00E96443"/>
    <w:rsid w:val="00EA1681"/>
    <w:rsid w:val="00EA1F31"/>
    <w:rsid w:val="00EA3439"/>
    <w:rsid w:val="00EA7F4E"/>
    <w:rsid w:val="00EB571E"/>
    <w:rsid w:val="00EB7BB0"/>
    <w:rsid w:val="00ED1FB2"/>
    <w:rsid w:val="00ED470F"/>
    <w:rsid w:val="00EF4D7A"/>
    <w:rsid w:val="00F0167E"/>
    <w:rsid w:val="00F03EC6"/>
    <w:rsid w:val="00F068A6"/>
    <w:rsid w:val="00F11980"/>
    <w:rsid w:val="00F1358D"/>
    <w:rsid w:val="00F14463"/>
    <w:rsid w:val="00F20884"/>
    <w:rsid w:val="00F24A6E"/>
    <w:rsid w:val="00F252EF"/>
    <w:rsid w:val="00F30D30"/>
    <w:rsid w:val="00F42581"/>
    <w:rsid w:val="00F45B09"/>
    <w:rsid w:val="00F50A44"/>
    <w:rsid w:val="00F61141"/>
    <w:rsid w:val="00F63B60"/>
    <w:rsid w:val="00F65190"/>
    <w:rsid w:val="00F7248F"/>
    <w:rsid w:val="00F73804"/>
    <w:rsid w:val="00F811A4"/>
    <w:rsid w:val="00F9064E"/>
    <w:rsid w:val="00F90B74"/>
    <w:rsid w:val="00F90F3F"/>
    <w:rsid w:val="00F9140B"/>
    <w:rsid w:val="00F93A49"/>
    <w:rsid w:val="00FA0185"/>
    <w:rsid w:val="00FA7A67"/>
    <w:rsid w:val="00FB212A"/>
    <w:rsid w:val="00FB2A7D"/>
    <w:rsid w:val="00FB6D71"/>
    <w:rsid w:val="00FB7D06"/>
    <w:rsid w:val="00FC45D5"/>
    <w:rsid w:val="00FC7332"/>
    <w:rsid w:val="00FD485F"/>
    <w:rsid w:val="00FD4AFC"/>
    <w:rsid w:val="00FD7E7B"/>
    <w:rsid w:val="00FE2EA9"/>
    <w:rsid w:val="00FE36E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D9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32"/>
  </w:style>
  <w:style w:type="paragraph" w:styleId="Heading1">
    <w:name w:val="heading 1"/>
    <w:basedOn w:val="Normal"/>
    <w:next w:val="Normal"/>
    <w:link w:val="Heading1Char"/>
    <w:uiPriority w:val="9"/>
    <w:qFormat/>
    <w:rsid w:val="006F688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00"/>
    <w:pPr>
      <w:keepNext/>
      <w:spacing w:after="360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A34"/>
    <w:pPr>
      <w:keepNext/>
      <w:spacing w:before="24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88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601E7"/>
    <w:pPr>
      <w:spacing w:before="240" w:after="60"/>
      <w:outlineLvl w:val="6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6F6886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AB064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B0643"/>
    <w:pPr>
      <w:spacing w:before="120" w:after="120"/>
      <w:jc w:val="center"/>
    </w:pPr>
    <w:rPr>
      <w:b/>
      <w:bCs/>
      <w:sz w:val="22"/>
    </w:rPr>
  </w:style>
  <w:style w:type="paragraph" w:styleId="TOC2">
    <w:name w:val="toc 2"/>
    <w:basedOn w:val="Normal"/>
    <w:next w:val="Normal"/>
    <w:autoRedefine/>
    <w:uiPriority w:val="39"/>
    <w:rsid w:val="00E7613C"/>
    <w:pPr>
      <w:tabs>
        <w:tab w:val="right" w:leader="dot" w:pos="9350"/>
      </w:tabs>
      <w:spacing w:before="240" w:after="60"/>
    </w:pPr>
    <w:rPr>
      <w:rFonts w:cstheme="minorHAnsi"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E7613C"/>
    <w:pPr>
      <w:spacing w:before="360" w:after="0"/>
    </w:pPr>
    <w:rPr>
      <w:bCs/>
      <w:caps/>
    </w:rPr>
  </w:style>
  <w:style w:type="paragraph" w:styleId="BalloonText">
    <w:name w:val="Balloon Text"/>
    <w:basedOn w:val="Normal"/>
    <w:link w:val="BalloonTextChar"/>
    <w:uiPriority w:val="99"/>
    <w:semiHidden/>
    <w:rsid w:val="00AB0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0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06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643"/>
  </w:style>
  <w:style w:type="paragraph" w:customStyle="1" w:styleId="xmsolistparagraph">
    <w:name w:val="x_msolistparagraph"/>
    <w:basedOn w:val="Normal"/>
    <w:rsid w:val="00D10A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default">
    <w:name w:val="x_default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450B8A"/>
    <w:pPr>
      <w:autoSpaceDE w:val="0"/>
      <w:autoSpaceDN w:val="0"/>
      <w:adjustRightInd w:val="0"/>
    </w:pPr>
    <w:rPr>
      <w:color w:val="000000"/>
    </w:rPr>
  </w:style>
  <w:style w:type="character" w:styleId="Strong">
    <w:name w:val="Strong"/>
    <w:uiPriority w:val="22"/>
    <w:qFormat/>
    <w:rsid w:val="00450B8A"/>
    <w:rPr>
      <w:b/>
      <w:bCs/>
    </w:rPr>
  </w:style>
  <w:style w:type="paragraph" w:styleId="NormalWeb">
    <w:name w:val="Normal (Web)"/>
    <w:basedOn w:val="Normal"/>
    <w:uiPriority w:val="99"/>
    <w:rsid w:val="00450B8A"/>
    <w:pPr>
      <w:spacing w:before="100" w:beforeAutospacing="1" w:after="100" w:afterAutospacing="1"/>
    </w:pPr>
  </w:style>
  <w:style w:type="paragraph" w:customStyle="1" w:styleId="Pa12">
    <w:name w:val="Pa1+2"/>
    <w:basedOn w:val="Default"/>
    <w:next w:val="Default"/>
    <w:uiPriority w:val="99"/>
    <w:rsid w:val="00450B8A"/>
    <w:pPr>
      <w:spacing w:line="231" w:lineRule="atLeast"/>
    </w:pPr>
    <w:rPr>
      <w:rFonts w:ascii="Adobe Garamond Pro Bold" w:hAnsi="Adobe Garamond Pro Bold"/>
      <w:color w:val="auto"/>
    </w:rPr>
  </w:style>
  <w:style w:type="character" w:customStyle="1" w:styleId="A21">
    <w:name w:val="A2+1"/>
    <w:rsid w:val="00450B8A"/>
    <w:rPr>
      <w:rFonts w:ascii="Adobe Garamond Pro" w:hAnsi="Adobe Garamond Pro" w:cs="Adobe Garamond Pro"/>
      <w:color w:val="000000"/>
      <w:sz w:val="13"/>
      <w:szCs w:val="13"/>
    </w:rPr>
  </w:style>
  <w:style w:type="paragraph" w:styleId="ListParagraph">
    <w:name w:val="List Paragraph"/>
    <w:basedOn w:val="Normal"/>
    <w:uiPriority w:val="34"/>
    <w:qFormat/>
    <w:rsid w:val="00B40D04"/>
    <w:pPr>
      <w:spacing w:after="60"/>
      <w:ind w:left="72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11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lockText">
    <w:name w:val="Block Text"/>
    <w:basedOn w:val="Normal"/>
    <w:semiHidden/>
    <w:rsid w:val="00A26CAC"/>
    <w:pPr>
      <w:tabs>
        <w:tab w:val="left" w:pos="1800"/>
        <w:tab w:val="left" w:pos="8910"/>
      </w:tabs>
      <w:ind w:left="90" w:right="18"/>
    </w:pPr>
    <w:rPr>
      <w:rFonts w:ascii="Bookman Old Style" w:eastAsia="Calibri" w:hAnsi="Bookman Old Style"/>
      <w:szCs w:val="20"/>
    </w:rPr>
  </w:style>
  <w:style w:type="character" w:customStyle="1" w:styleId="Heading2Char">
    <w:name w:val="Heading 2 Char"/>
    <w:link w:val="Heading2"/>
    <w:uiPriority w:val="9"/>
    <w:locked/>
    <w:rsid w:val="00DC1C00"/>
    <w:rPr>
      <w:rFonts w:ascii="Arial" w:hAnsi="Arial" w:cs="Arial"/>
      <w:b/>
      <w:bCs/>
      <w:iCs/>
      <w:sz w:val="32"/>
      <w:szCs w:val="28"/>
    </w:rPr>
  </w:style>
  <w:style w:type="character" w:customStyle="1" w:styleId="HeaderChar">
    <w:name w:val="Header Char"/>
    <w:link w:val="Head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6F6886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rsid w:val="006F6886"/>
    <w:rPr>
      <w:rFonts w:cs="Times New Roman"/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tabs>
        <w:tab w:val="left" w:pos="288"/>
        <w:tab w:val="left" w:pos="1008"/>
        <w:tab w:val="left" w:pos="1728"/>
        <w:tab w:val="left" w:pos="1928"/>
        <w:tab w:val="left" w:pos="2144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ind w:right="-720"/>
    </w:pPr>
    <w:rPr>
      <w:b/>
    </w:rPr>
  </w:style>
  <w:style w:type="character" w:customStyle="1" w:styleId="SubtitleChar">
    <w:name w:val="Subtitle Char"/>
    <w:link w:val="Subtitle"/>
    <w:locked/>
    <w:rsid w:val="006F6886"/>
    <w:rPr>
      <w:rFonts w:ascii="Arial" w:eastAsia="Calibri" w:hAnsi="Arial"/>
      <w:b/>
      <w:sz w:val="24"/>
      <w:lang w:val="en-US" w:eastAsia="en-US" w:bidi="ar-SA"/>
    </w:rPr>
  </w:style>
  <w:style w:type="character" w:customStyle="1" w:styleId="Heading1Char">
    <w:name w:val="Heading 1 Char"/>
    <w:link w:val="Heading1"/>
    <w:locked/>
    <w:rsid w:val="006F688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9Char">
    <w:name w:val="Heading 9 Char"/>
    <w:link w:val="Heading9"/>
    <w:semiHidden/>
    <w:locked/>
    <w:rsid w:val="006F6886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semiHidden/>
    <w:rsid w:val="006F6886"/>
    <w:rPr>
      <w:rFonts w:ascii="Bookman Old Style" w:eastAsia="Calibri" w:hAnsi="Bookman Old Style"/>
      <w:b/>
      <w:i/>
      <w:sz w:val="26"/>
      <w:szCs w:val="20"/>
    </w:rPr>
  </w:style>
  <w:style w:type="character" w:customStyle="1" w:styleId="BodyText3Char">
    <w:name w:val="Body Text 3 Char"/>
    <w:link w:val="BodyText3"/>
    <w:semiHidden/>
    <w:locked/>
    <w:rsid w:val="006F6886"/>
    <w:rPr>
      <w:rFonts w:ascii="Bookman Old Style" w:eastAsia="Calibri" w:hAnsi="Bookman Old Style"/>
      <w:b/>
      <w:i/>
      <w:sz w:val="26"/>
      <w:lang w:val="en-US" w:eastAsia="en-US" w:bidi="ar-SA"/>
    </w:rPr>
  </w:style>
  <w:style w:type="paragraph" w:styleId="BodyText">
    <w:name w:val="Body Text"/>
    <w:basedOn w:val="Normal"/>
    <w:link w:val="BodyTextChar"/>
    <w:rsid w:val="006F6886"/>
    <w:pPr>
      <w:spacing w:after="120"/>
    </w:pPr>
    <w:rPr>
      <w:rFonts w:eastAsia="Calibri"/>
    </w:rPr>
  </w:style>
  <w:style w:type="character" w:customStyle="1" w:styleId="BodyTextChar">
    <w:name w:val="Body Text Char"/>
    <w:link w:val="BodyText"/>
    <w:semiHidden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paragraph" w:styleId="BodyTextFirstIndent">
    <w:name w:val="Body Text First Indent"/>
    <w:basedOn w:val="BodyText"/>
    <w:link w:val="BodyTextFirstIndentChar"/>
    <w:rsid w:val="006F6886"/>
    <w:pPr>
      <w:ind w:firstLine="21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link w:val="BodyTextFirstIndent"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"/>
    <w:locked/>
    <w:rsid w:val="003D6A34"/>
    <w:rPr>
      <w:rFonts w:ascii="Arial" w:hAnsi="Arial" w:cs="Arial"/>
      <w:b/>
      <w:bCs/>
      <w:sz w:val="28"/>
      <w:szCs w:val="26"/>
    </w:rPr>
  </w:style>
  <w:style w:type="character" w:customStyle="1" w:styleId="Heading6Char">
    <w:name w:val="Heading 6 Char"/>
    <w:link w:val="Heading6"/>
    <w:semiHidden/>
    <w:locked/>
    <w:rsid w:val="006F6886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locked/>
    <w:rsid w:val="006F688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F6886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6F6886"/>
    <w:rPr>
      <w:rFonts w:eastAsia="Calibri"/>
      <w:lang w:val="en-US" w:eastAsia="en-US" w:bidi="ar-SA"/>
    </w:rPr>
  </w:style>
  <w:style w:type="character" w:styleId="CommentReference">
    <w:name w:val="annotation reference"/>
    <w:uiPriority w:val="99"/>
    <w:rsid w:val="006F68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6886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F6886"/>
    <w:rPr>
      <w:rFonts w:ascii="Arial" w:eastAsia="Calibri" w:hAnsi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688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F6886"/>
    <w:rPr>
      <w:rFonts w:ascii="Arial" w:eastAsia="Calibri" w:hAnsi="Arial"/>
      <w:b/>
      <w:bCs/>
      <w:lang w:val="en-US" w:eastAsia="en-US" w:bidi="ar-SA"/>
    </w:rPr>
  </w:style>
  <w:style w:type="character" w:customStyle="1" w:styleId="A2">
    <w:name w:val="A2"/>
    <w:rsid w:val="00CB2E40"/>
    <w:rPr>
      <w:rFonts w:cs="Gill Sans M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0409DF"/>
    <w:rPr>
      <w:rFonts w:eastAsia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lIn">
    <w:name w:val="Fill In"/>
    <w:basedOn w:val="Normal"/>
    <w:rsid w:val="00A65518"/>
    <w:pPr>
      <w:overflowPunct w:val="0"/>
      <w:autoSpaceDE w:val="0"/>
      <w:autoSpaceDN w:val="0"/>
      <w:adjustRightInd w:val="0"/>
      <w:spacing w:line="240" w:lineRule="exact"/>
    </w:pPr>
    <w:rPr>
      <w:rFonts w:ascii="Times New Roman" w:hAnsi="Times New Roman"/>
      <w:color w:val="000000"/>
      <w:sz w:val="20"/>
      <w:szCs w:val="20"/>
    </w:rPr>
  </w:style>
  <w:style w:type="character" w:customStyle="1" w:styleId="68">
    <w:name w:val="6/8"/>
    <w:rsid w:val="00A65518"/>
    <w:rPr>
      <w:rFonts w:ascii="Arial" w:hAnsi="Arial" w:cs="Arial" w:hint="default"/>
      <w:b/>
      <w:bCs w:val="0"/>
      <w:caps/>
      <w:strike w:val="0"/>
      <w:dstrike w:val="0"/>
      <w:color w:val="0000FF"/>
      <w:sz w:val="12"/>
      <w:u w:val="none"/>
      <w:effect w:val="none"/>
      <w:vertAlign w:val="baseline"/>
    </w:rPr>
  </w:style>
  <w:style w:type="character" w:customStyle="1" w:styleId="HTMLPreformattedChar">
    <w:name w:val="HTML Preformatted Char"/>
    <w:link w:val="HTMLPreformatted"/>
    <w:uiPriority w:val="99"/>
    <w:rsid w:val="00950239"/>
    <w:rPr>
      <w:rFonts w:ascii="Courier New" w:hAnsi="Courier New" w:cs="Courier New"/>
    </w:rPr>
  </w:style>
  <w:style w:type="character" w:styleId="Emphasis">
    <w:name w:val="Emphasis"/>
    <w:uiPriority w:val="20"/>
    <w:qFormat/>
    <w:rsid w:val="00950239"/>
    <w:rPr>
      <w:i/>
      <w:iCs/>
    </w:rPr>
  </w:style>
  <w:style w:type="paragraph" w:customStyle="1" w:styleId="Default1">
    <w:name w:val="Default1"/>
    <w:basedOn w:val="Default"/>
    <w:next w:val="Default"/>
    <w:uiPriority w:val="99"/>
    <w:rsid w:val="00400E69"/>
    <w:rPr>
      <w:color w:val="auto"/>
    </w:rPr>
  </w:style>
  <w:style w:type="paragraph" w:styleId="BodyTextIndent3">
    <w:name w:val="Body Text Indent 3"/>
    <w:basedOn w:val="Normal"/>
    <w:link w:val="BodyTextIndent3Char"/>
    <w:rsid w:val="00833D3C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33D3C"/>
    <w:rPr>
      <w:rFonts w:ascii="Arial" w:hAnsi="Arial"/>
      <w:sz w:val="16"/>
      <w:szCs w:val="16"/>
    </w:rPr>
  </w:style>
  <w:style w:type="numbering" w:customStyle="1" w:styleId="NoList1">
    <w:name w:val="No List1"/>
    <w:next w:val="NoList"/>
    <w:semiHidden/>
    <w:rsid w:val="00227544"/>
  </w:style>
  <w:style w:type="paragraph" w:styleId="BodyTextIndent2">
    <w:name w:val="Body Text Indent 2"/>
    <w:basedOn w:val="Normal"/>
    <w:link w:val="BodyTextIndent2Char"/>
    <w:rsid w:val="00227544"/>
    <w:pPr>
      <w:widowControl w:val="0"/>
      <w:autoSpaceDE w:val="0"/>
      <w:autoSpaceDN w:val="0"/>
      <w:adjustRightInd w:val="0"/>
      <w:spacing w:line="288" w:lineRule="atLeast"/>
      <w:ind w:left="600"/>
    </w:pPr>
    <w:rPr>
      <w:b/>
      <w:bCs/>
      <w:sz w:val="22"/>
      <w:szCs w:val="22"/>
    </w:rPr>
  </w:style>
  <w:style w:type="character" w:customStyle="1" w:styleId="BodyTextIndent2Char">
    <w:name w:val="Body Text Indent 2 Char"/>
    <w:link w:val="BodyTextIndent2"/>
    <w:rsid w:val="00227544"/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2275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styleId="BodyTextIndent">
    <w:name w:val="Body Text Indent"/>
    <w:basedOn w:val="Normal"/>
    <w:link w:val="BodyTextIndentChar"/>
    <w:rsid w:val="00227544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227544"/>
    <w:rPr>
      <w:sz w:val="24"/>
      <w:szCs w:val="24"/>
    </w:rPr>
  </w:style>
  <w:style w:type="paragraph" w:styleId="ListBullet">
    <w:name w:val="List Bullet"/>
    <w:basedOn w:val="Normal"/>
    <w:rsid w:val="00037B12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47ACD"/>
  </w:style>
  <w:style w:type="character" w:customStyle="1" w:styleId="questions1">
    <w:name w:val="questions1"/>
    <w:rsid w:val="00B75CBD"/>
    <w:rPr>
      <w:b/>
      <w:bCs/>
      <w:vanish w:val="0"/>
      <w:webHidden w:val="0"/>
      <w:specVanish w:val="0"/>
    </w:rPr>
  </w:style>
  <w:style w:type="table" w:customStyle="1" w:styleId="TableGrid1">
    <w:name w:val="Table Grid1"/>
    <w:basedOn w:val="TableNormal"/>
    <w:next w:val="TableGrid"/>
    <w:uiPriority w:val="59"/>
    <w:rsid w:val="00A8360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url1">
    <w:name w:val="printurl1"/>
    <w:rsid w:val="00D1457E"/>
    <w:rPr>
      <w:vanish/>
      <w:webHidden w:val="0"/>
      <w:shd w:val="clear" w:color="auto" w:fill="FFFFFF"/>
      <w:specVanish w:val="0"/>
    </w:rPr>
  </w:style>
  <w:style w:type="table" w:styleId="GridTable1Light">
    <w:name w:val="Grid Table 1 Light"/>
    <w:basedOn w:val="TableNormal"/>
    <w:uiPriority w:val="46"/>
    <w:rsid w:val="00FF29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FF29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1042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140F6"/>
    <w:pPr>
      <w:tabs>
        <w:tab w:val="right" w:leader="dot" w:pos="9350"/>
      </w:tabs>
      <w:spacing w:after="60"/>
      <w:ind w:left="245"/>
    </w:pPr>
    <w:rPr>
      <w:rFonts w:cstheme="minorHAnsi"/>
      <w:szCs w:val="20"/>
    </w:rPr>
  </w:style>
  <w:style w:type="character" w:styleId="FootnoteReference">
    <w:name w:val="footnote reference"/>
    <w:basedOn w:val="DefaultParagraphFont"/>
    <w:semiHidden/>
    <w:unhideWhenUsed/>
    <w:rsid w:val="0037341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3A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F6D3E"/>
  </w:style>
  <w:style w:type="character" w:customStyle="1" w:styleId="eop">
    <w:name w:val="eop"/>
    <w:basedOn w:val="DefaultParagraphFont"/>
    <w:rsid w:val="004F6D3E"/>
  </w:style>
  <w:style w:type="paragraph" w:styleId="Revision">
    <w:name w:val="Revision"/>
    <w:hidden/>
    <w:uiPriority w:val="99"/>
    <w:semiHidden/>
    <w:rsid w:val="00875EEA"/>
  </w:style>
  <w:style w:type="paragraph" w:styleId="TOC4">
    <w:name w:val="toc 4"/>
    <w:basedOn w:val="Normal"/>
    <w:next w:val="Normal"/>
    <w:autoRedefine/>
    <w:uiPriority w:val="39"/>
    <w:unhideWhenUsed/>
    <w:rsid w:val="00026295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026295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026295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026295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026295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026295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933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mplaryartsawards@cde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emplaryartsawards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EAEA Sample Application - California Exemplary Arts Education Award (CA Dept of Education)</vt:lpstr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EAEA Sample Application - California Exemplary Arts Education Award (CA Dept of Education)</dc:title>
  <dc:subject>2026 Exemplary Arts Education Award Sample Application.</dc:subject>
  <dc:creator/>
  <cp:lastModifiedBy/>
  <cp:revision>1</cp:revision>
  <dcterms:created xsi:type="dcterms:W3CDTF">2024-12-13T17:56:00Z</dcterms:created>
  <dcterms:modified xsi:type="dcterms:W3CDTF">2024-12-13T23:27:00Z</dcterms:modified>
</cp:coreProperties>
</file>