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7F813" w14:textId="77777777" w:rsidR="006E06C6" w:rsidRPr="00FC6EF2" w:rsidRDefault="00D5115F" w:rsidP="00B723BE">
      <w:bookmarkStart w:id="0" w:name="_GoBack"/>
      <w:bookmarkEnd w:id="0"/>
      <w:r w:rsidRPr="00FC6EF2">
        <w:rPr>
          <w:noProof/>
        </w:rPr>
        <w:drawing>
          <wp:inline distT="0" distB="0" distL="0" distR="0" wp14:anchorId="3FD9A3F5" wp14:editId="1B73B5DD">
            <wp:extent cx="941731" cy="942975"/>
            <wp:effectExtent l="0" t="0" r="0" b="0"/>
            <wp:docPr id="2" name="Picture 2"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e seal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0933" cy="982229"/>
                    </a:xfrm>
                    <a:prstGeom prst="rect">
                      <a:avLst/>
                    </a:prstGeom>
                  </pic:spPr>
                </pic:pic>
              </a:graphicData>
            </a:graphic>
          </wp:inline>
        </w:drawing>
      </w:r>
    </w:p>
    <w:p w14:paraId="77C4A6B1" w14:textId="77777777" w:rsidR="00B723BE" w:rsidRPr="00FC6EF2" w:rsidRDefault="00FC1FCE" w:rsidP="00B723BE">
      <w:pPr>
        <w:jc w:val="right"/>
      </w:pPr>
      <w:r w:rsidRPr="00FC6EF2">
        <w:t>California Department of Education</w:t>
      </w:r>
    </w:p>
    <w:p w14:paraId="4E3BDCE5" w14:textId="77777777" w:rsidR="00B723BE" w:rsidRPr="00FC6EF2" w:rsidRDefault="00FC1FCE" w:rsidP="00B723BE">
      <w:pPr>
        <w:jc w:val="right"/>
      </w:pPr>
      <w:r w:rsidRPr="00FC6EF2">
        <w:t>Executive Office</w:t>
      </w:r>
    </w:p>
    <w:p w14:paraId="69961C20" w14:textId="77777777" w:rsidR="002B4B14" w:rsidRPr="00FC6EF2" w:rsidRDefault="00692300" w:rsidP="00B723BE">
      <w:pPr>
        <w:jc w:val="right"/>
      </w:pPr>
      <w:r w:rsidRPr="00FC6EF2">
        <w:t>SBE-00</w:t>
      </w:r>
      <w:r w:rsidR="000324AD" w:rsidRPr="00FC6EF2">
        <w:t>3</w:t>
      </w:r>
      <w:r w:rsidRPr="00FC6EF2">
        <w:t xml:space="preserve"> (REV. 1</w:t>
      </w:r>
      <w:r w:rsidR="00C27D57" w:rsidRPr="00FC6EF2">
        <w:t>1</w:t>
      </w:r>
      <w:r w:rsidRPr="00FC6EF2">
        <w:t>/2017</w:t>
      </w:r>
      <w:r w:rsidR="00FC1FCE" w:rsidRPr="00FC6EF2">
        <w:t>)</w:t>
      </w:r>
    </w:p>
    <w:p w14:paraId="3EC1D6C9" w14:textId="77777777" w:rsidR="00B723BE" w:rsidRPr="00FC6EF2" w:rsidRDefault="00103BC6" w:rsidP="00B723BE">
      <w:pPr>
        <w:jc w:val="right"/>
      </w:pPr>
      <w:r w:rsidRPr="00FC6EF2">
        <w:t>im</w:t>
      </w:r>
      <w:r w:rsidR="00D90A04" w:rsidRPr="00FC6EF2">
        <w:t>a</w:t>
      </w:r>
      <w:r w:rsidRPr="00FC6EF2">
        <w:t>b-adad-</w:t>
      </w:r>
      <w:r w:rsidR="00D90A04" w:rsidRPr="00FC6EF2">
        <w:t>mar</w:t>
      </w:r>
      <w:r w:rsidR="00AB5BFD" w:rsidRPr="00FC6EF2">
        <w:t>22</w:t>
      </w:r>
      <w:r w:rsidRPr="00FC6EF2">
        <w:t>item0</w:t>
      </w:r>
      <w:r w:rsidR="001E13EC" w:rsidRPr="00FC6EF2">
        <w:t>2</w:t>
      </w:r>
    </w:p>
    <w:p w14:paraId="435DC9B3" w14:textId="77777777" w:rsidR="00B723BE" w:rsidRPr="00FC6EF2" w:rsidRDefault="00B723BE" w:rsidP="00FC1FCE">
      <w:pPr>
        <w:pStyle w:val="Heading1"/>
        <w:jc w:val="center"/>
        <w:rPr>
          <w:sz w:val="40"/>
          <w:szCs w:val="40"/>
        </w:rPr>
        <w:sectPr w:rsidR="00B723BE" w:rsidRPr="00FC6EF2" w:rsidSect="00C82CBA">
          <w:headerReference w:type="default" r:id="rId12"/>
          <w:footerReference w:type="default" r:id="rId13"/>
          <w:type w:val="continuous"/>
          <w:pgSz w:w="12240" w:h="15840"/>
          <w:pgMar w:top="720" w:right="1440" w:bottom="1440" w:left="1440" w:header="720" w:footer="720" w:gutter="0"/>
          <w:cols w:num="2" w:space="720"/>
          <w:titlePg/>
          <w:docGrid w:linePitch="360"/>
        </w:sectPr>
      </w:pPr>
    </w:p>
    <w:p w14:paraId="4B4BE647" w14:textId="77777777" w:rsidR="006E06C6" w:rsidRPr="00FC6EF2" w:rsidRDefault="006E06C6" w:rsidP="00FC1FCE">
      <w:pPr>
        <w:pStyle w:val="Heading1"/>
        <w:jc w:val="center"/>
        <w:rPr>
          <w:sz w:val="40"/>
          <w:szCs w:val="40"/>
        </w:rPr>
        <w:sectPr w:rsidR="006E06C6" w:rsidRPr="00FC6EF2" w:rsidSect="0091117B">
          <w:footerReference w:type="default" r:id="rId14"/>
          <w:type w:val="continuous"/>
          <w:pgSz w:w="12240" w:h="15840"/>
          <w:pgMar w:top="720" w:right="1440" w:bottom="1440" w:left="1440" w:header="720" w:footer="720" w:gutter="0"/>
          <w:cols w:space="720"/>
          <w:docGrid w:linePitch="360"/>
        </w:sectPr>
      </w:pPr>
    </w:p>
    <w:p w14:paraId="39CDFDB2" w14:textId="45DF8D5A" w:rsidR="00FC1FCE" w:rsidRPr="00FC6EF2" w:rsidRDefault="0091117B" w:rsidP="002B4B14">
      <w:pPr>
        <w:pStyle w:val="Heading1"/>
        <w:spacing w:before="240" w:after="240"/>
        <w:jc w:val="center"/>
        <w:rPr>
          <w:sz w:val="40"/>
          <w:szCs w:val="40"/>
        </w:rPr>
      </w:pPr>
      <w:r w:rsidRPr="00FC6EF2">
        <w:rPr>
          <w:sz w:val="40"/>
          <w:szCs w:val="40"/>
        </w:rPr>
        <w:t>Californ</w:t>
      </w:r>
      <w:r w:rsidR="00693951" w:rsidRPr="00FC6EF2">
        <w:rPr>
          <w:sz w:val="40"/>
          <w:szCs w:val="40"/>
        </w:rPr>
        <w:t>ia State Board of Education</w:t>
      </w:r>
      <w:r w:rsidR="00693951" w:rsidRPr="00FC6EF2">
        <w:rPr>
          <w:sz w:val="40"/>
          <w:szCs w:val="40"/>
        </w:rPr>
        <w:br/>
      </w:r>
      <w:r w:rsidR="00D90A04" w:rsidRPr="00FC6EF2">
        <w:rPr>
          <w:sz w:val="40"/>
          <w:szCs w:val="40"/>
        </w:rPr>
        <w:t>March</w:t>
      </w:r>
      <w:r w:rsidR="00130059" w:rsidRPr="00FC6EF2">
        <w:rPr>
          <w:sz w:val="40"/>
          <w:szCs w:val="40"/>
        </w:rPr>
        <w:t xml:space="preserve"> </w:t>
      </w:r>
      <w:r w:rsidR="00103BC6" w:rsidRPr="00FC6EF2">
        <w:rPr>
          <w:sz w:val="40"/>
          <w:szCs w:val="40"/>
        </w:rPr>
        <w:t>202</w:t>
      </w:r>
      <w:r w:rsidR="00AB5BFD" w:rsidRPr="00FC6EF2">
        <w:rPr>
          <w:sz w:val="40"/>
          <w:szCs w:val="40"/>
        </w:rPr>
        <w:t>2</w:t>
      </w:r>
      <w:r w:rsidRPr="00FC6EF2">
        <w:rPr>
          <w:sz w:val="40"/>
          <w:szCs w:val="40"/>
        </w:rPr>
        <w:t xml:space="preserve"> Agenda</w:t>
      </w:r>
      <w:r w:rsidR="00FC1FCE" w:rsidRPr="00FC6EF2">
        <w:rPr>
          <w:sz w:val="40"/>
          <w:szCs w:val="40"/>
        </w:rPr>
        <w:br/>
        <w:t>Item</w:t>
      </w:r>
      <w:r w:rsidR="00692300" w:rsidRPr="00FC6EF2">
        <w:rPr>
          <w:sz w:val="40"/>
          <w:szCs w:val="40"/>
        </w:rPr>
        <w:t xml:space="preserve"> #</w:t>
      </w:r>
      <w:r w:rsidR="00130059" w:rsidRPr="00FC6EF2">
        <w:rPr>
          <w:sz w:val="40"/>
          <w:szCs w:val="40"/>
        </w:rPr>
        <w:t>0</w:t>
      </w:r>
      <w:r w:rsidR="00FC6EF2">
        <w:rPr>
          <w:sz w:val="40"/>
          <w:szCs w:val="40"/>
        </w:rPr>
        <w:t>3</w:t>
      </w:r>
    </w:p>
    <w:p w14:paraId="2E8A6F94" w14:textId="3750F9BF" w:rsidR="00FC1FCE" w:rsidRPr="00FC6EF2" w:rsidRDefault="3281744E" w:rsidP="002460C1">
      <w:pPr>
        <w:pStyle w:val="Heading2"/>
        <w:jc w:val="left"/>
        <w:rPr>
          <w:sz w:val="36"/>
        </w:rPr>
      </w:pPr>
      <w:r w:rsidRPr="00FC6EF2">
        <w:rPr>
          <w:sz w:val="36"/>
        </w:rPr>
        <w:t>Subject</w:t>
      </w:r>
    </w:p>
    <w:p w14:paraId="5C9D8152" w14:textId="1CA5032B" w:rsidR="25E03ED5" w:rsidRPr="00FC6EF2" w:rsidRDefault="0DADE020" w:rsidP="3ADA127A">
      <w:pPr>
        <w:spacing w:after="480"/>
      </w:pPr>
      <w:r w:rsidRPr="00FC6EF2">
        <w:rPr>
          <w:rFonts w:eastAsia="Arial"/>
          <w:color w:val="000000" w:themeColor="text1"/>
        </w:rPr>
        <w:t xml:space="preserve">The </w:t>
      </w:r>
      <w:r w:rsidR="2F894A61" w:rsidRPr="00FC6EF2">
        <w:rPr>
          <w:rFonts w:eastAsia="Arial"/>
          <w:color w:val="000000" w:themeColor="text1"/>
        </w:rPr>
        <w:t xml:space="preserve">Federal </w:t>
      </w:r>
      <w:r w:rsidRPr="00FC6EF2">
        <w:rPr>
          <w:rFonts w:eastAsia="Arial"/>
          <w:color w:val="000000" w:themeColor="text1"/>
        </w:rPr>
        <w:t>Every Student Succeeds Act: Authorization to Pursue a Waiver for the 2021–22 School Year of the 1</w:t>
      </w:r>
      <w:r w:rsidR="00742D04" w:rsidRPr="00FC6EF2">
        <w:rPr>
          <w:rFonts w:eastAsia="Arial"/>
          <w:color w:val="000000" w:themeColor="text1"/>
        </w:rPr>
        <w:t>.0</w:t>
      </w:r>
      <w:r w:rsidRPr="00FC6EF2">
        <w:rPr>
          <w:rFonts w:eastAsia="Arial"/>
          <w:color w:val="000000" w:themeColor="text1"/>
        </w:rPr>
        <w:t xml:space="preserve"> Percent Cap on the Percentage of </w:t>
      </w:r>
      <w:r w:rsidR="493E5673" w:rsidRPr="00FC6EF2">
        <w:rPr>
          <w:rFonts w:eastAsia="Arial"/>
          <w:color w:val="000000" w:themeColor="text1"/>
        </w:rPr>
        <w:t xml:space="preserve">Eligible </w:t>
      </w:r>
      <w:r w:rsidRPr="00FC6EF2">
        <w:rPr>
          <w:rFonts w:eastAsia="Arial"/>
          <w:color w:val="000000" w:themeColor="text1"/>
        </w:rPr>
        <w:t>Students with the Most Significant Cognitive Disabilities Who May Be Assessed with an Alternate Assessment Aligned with Alternate Academic Achievement Standards for English Language Arts/Literacy, Mathematics, and Science and Other Related Waivers.</w:t>
      </w:r>
    </w:p>
    <w:p w14:paraId="21771563" w14:textId="77777777" w:rsidR="00FC1FCE" w:rsidRPr="00FC6EF2" w:rsidRDefault="00FC1FCE" w:rsidP="002460C1">
      <w:pPr>
        <w:pStyle w:val="Heading2"/>
        <w:jc w:val="left"/>
        <w:rPr>
          <w:sz w:val="36"/>
        </w:rPr>
      </w:pPr>
      <w:r w:rsidRPr="00FC6EF2">
        <w:rPr>
          <w:sz w:val="36"/>
        </w:rPr>
        <w:t>Type of Action</w:t>
      </w:r>
    </w:p>
    <w:p w14:paraId="707C2E56" w14:textId="3F16A91B" w:rsidR="0091117B" w:rsidRPr="00FC6EF2" w:rsidRDefault="63E5FDCC" w:rsidP="000E09DC">
      <w:pPr>
        <w:spacing w:after="480"/>
      </w:pPr>
      <w:r w:rsidRPr="00FC6EF2">
        <w:t>Action, Information</w:t>
      </w:r>
    </w:p>
    <w:p w14:paraId="1843CF10" w14:textId="77777777" w:rsidR="00FC1FCE" w:rsidRPr="00FC6EF2" w:rsidRDefault="00FC1FCE" w:rsidP="002460C1">
      <w:pPr>
        <w:pStyle w:val="Heading2"/>
        <w:jc w:val="left"/>
        <w:rPr>
          <w:sz w:val="36"/>
        </w:rPr>
      </w:pPr>
      <w:r w:rsidRPr="00FC6EF2">
        <w:rPr>
          <w:sz w:val="36"/>
        </w:rPr>
        <w:t>Summary of the Issue(s)</w:t>
      </w:r>
    </w:p>
    <w:p w14:paraId="7C6B6217" w14:textId="77777777" w:rsidR="5993E4A6" w:rsidRPr="00FC6EF2" w:rsidRDefault="0D6997EC" w:rsidP="0025228C">
      <w:pPr>
        <w:spacing w:after="240"/>
        <w:rPr>
          <w:rFonts w:eastAsia="Arial" w:cs="Arial"/>
          <w:color w:val="333333"/>
        </w:rPr>
      </w:pPr>
      <w:r w:rsidRPr="00FC6EF2">
        <w:rPr>
          <w:rFonts w:eastAsia="Arial" w:cs="Arial"/>
          <w:color w:val="333333"/>
        </w:rPr>
        <w:t xml:space="preserve">Pursuant to </w:t>
      </w:r>
      <w:r w:rsidRPr="00FC6EF2">
        <w:rPr>
          <w:rFonts w:eastAsia="Arial" w:cs="Arial"/>
          <w:i/>
          <w:iCs/>
          <w:color w:val="333333"/>
        </w:rPr>
        <w:t>Code of Federal Regulations</w:t>
      </w:r>
      <w:r w:rsidRPr="00FC6EF2">
        <w:rPr>
          <w:rFonts w:eastAsia="Arial" w:cs="Arial"/>
          <w:color w:val="333333"/>
        </w:rPr>
        <w:t xml:space="preserve">, Title 34 (34 </w:t>
      </w:r>
      <w:r w:rsidRPr="00FC6EF2">
        <w:rPr>
          <w:rFonts w:eastAsia="Arial" w:cs="Arial"/>
          <w:i/>
          <w:iCs/>
          <w:color w:val="333333"/>
        </w:rPr>
        <w:t>CFR</w:t>
      </w:r>
      <w:r w:rsidRPr="00FC6EF2">
        <w:rPr>
          <w:rFonts w:eastAsia="Arial" w:cs="Arial"/>
          <w:color w:val="333333"/>
        </w:rPr>
        <w:t xml:space="preserve">), Section 200.6(c)(4), a state may request a waiver of the 1.0 percent cap on the percentage of </w:t>
      </w:r>
      <w:r w:rsidR="493E5673" w:rsidRPr="00FC6EF2">
        <w:rPr>
          <w:rFonts w:eastAsia="Arial" w:cs="Arial"/>
          <w:color w:val="333333"/>
        </w:rPr>
        <w:t xml:space="preserve">eligible </w:t>
      </w:r>
      <w:r w:rsidRPr="00FC6EF2">
        <w:rPr>
          <w:rFonts w:eastAsia="Arial" w:cs="Arial"/>
          <w:color w:val="333333"/>
        </w:rPr>
        <w:t>students with the most significant cognitive disabilities who may be assessed with an alternate assessment aligned with alternate academic achievement standards for English language arts/literacy</w:t>
      </w:r>
      <w:r w:rsidR="2C5A6C3D" w:rsidRPr="00FC6EF2">
        <w:rPr>
          <w:rFonts w:eastAsia="Arial" w:cs="Arial"/>
          <w:color w:val="333333"/>
        </w:rPr>
        <w:t xml:space="preserve"> (ELA)</w:t>
      </w:r>
      <w:r w:rsidRPr="00FC6EF2">
        <w:rPr>
          <w:rFonts w:eastAsia="Arial" w:cs="Arial"/>
          <w:color w:val="333333"/>
        </w:rPr>
        <w:t>, mathematics, and science</w:t>
      </w:r>
      <w:r w:rsidR="0668ABCA" w:rsidRPr="00FC6EF2">
        <w:rPr>
          <w:rFonts w:eastAsia="Arial" w:cs="Arial"/>
          <w:color w:val="333333"/>
        </w:rPr>
        <w:t>, hereafter referred to as alternate assessments</w:t>
      </w:r>
      <w:r w:rsidR="61A11847" w:rsidRPr="00FC6EF2">
        <w:rPr>
          <w:rFonts w:eastAsia="Arial" w:cs="Arial"/>
          <w:color w:val="333333"/>
        </w:rPr>
        <w:t xml:space="preserve">. </w:t>
      </w:r>
      <w:r w:rsidR="264762EC" w:rsidRPr="00FC6EF2">
        <w:rPr>
          <w:rFonts w:eastAsia="Arial" w:cs="Arial"/>
          <w:color w:val="333333"/>
        </w:rPr>
        <w:t>The alternate assessments for California are the California Alternate Assessment</w:t>
      </w:r>
      <w:r w:rsidR="76EE9452" w:rsidRPr="00FC6EF2">
        <w:rPr>
          <w:rFonts w:eastAsia="Arial" w:cs="Arial"/>
          <w:color w:val="333333"/>
        </w:rPr>
        <w:t>s</w:t>
      </w:r>
      <w:r w:rsidR="0D23DCFD" w:rsidRPr="00FC6EF2">
        <w:rPr>
          <w:rFonts w:eastAsia="Arial" w:cs="Arial"/>
          <w:color w:val="333333"/>
        </w:rPr>
        <w:t xml:space="preserve"> </w:t>
      </w:r>
      <w:r w:rsidR="264762EC" w:rsidRPr="00FC6EF2">
        <w:rPr>
          <w:rFonts w:eastAsia="Arial" w:cs="Arial"/>
          <w:color w:val="333333"/>
        </w:rPr>
        <w:t>(CAA</w:t>
      </w:r>
      <w:r w:rsidR="76EE9452" w:rsidRPr="00FC6EF2">
        <w:rPr>
          <w:rFonts w:eastAsia="Arial" w:cs="Arial"/>
          <w:color w:val="333333"/>
        </w:rPr>
        <w:t>s</w:t>
      </w:r>
      <w:r w:rsidR="264762EC" w:rsidRPr="00FC6EF2">
        <w:rPr>
          <w:rFonts w:eastAsia="Arial" w:cs="Arial"/>
          <w:color w:val="333333"/>
        </w:rPr>
        <w:t>)</w:t>
      </w:r>
      <w:r w:rsidR="21318118" w:rsidRPr="00FC6EF2">
        <w:rPr>
          <w:rFonts w:eastAsia="Arial" w:cs="Arial"/>
          <w:color w:val="333333"/>
        </w:rPr>
        <w:t xml:space="preserve"> for ELA, mathematics, and science</w:t>
      </w:r>
      <w:r w:rsidR="264762EC" w:rsidRPr="00FC6EF2">
        <w:rPr>
          <w:rFonts w:eastAsia="Arial" w:cs="Arial"/>
          <w:color w:val="333333"/>
        </w:rPr>
        <w:t>.</w:t>
      </w:r>
    </w:p>
    <w:p w14:paraId="09F2DFF1" w14:textId="221DBBD9" w:rsidR="5993E4A6" w:rsidRPr="00FC6EF2" w:rsidRDefault="5FF82039" w:rsidP="57EEB976">
      <w:pPr>
        <w:spacing w:after="240"/>
        <w:rPr>
          <w:rFonts w:eastAsia="Arial" w:cs="Arial"/>
          <w:color w:val="333333"/>
        </w:rPr>
      </w:pPr>
      <w:r w:rsidRPr="00FC6EF2">
        <w:rPr>
          <w:rFonts w:eastAsia="Arial" w:cs="Arial"/>
          <w:color w:val="333333"/>
        </w:rPr>
        <w:t xml:space="preserve">In order for California to be eligible for a </w:t>
      </w:r>
      <w:r w:rsidR="00364C0F" w:rsidRPr="00FC6EF2">
        <w:rPr>
          <w:rFonts w:eastAsia="Arial" w:cs="Arial"/>
          <w:color w:val="333333"/>
        </w:rPr>
        <w:t xml:space="preserve">waiver of the </w:t>
      </w:r>
      <w:r w:rsidRPr="00FC6EF2">
        <w:rPr>
          <w:rFonts w:eastAsia="Arial" w:cs="Arial"/>
          <w:color w:val="333333"/>
        </w:rPr>
        <w:t xml:space="preserve">1.0 percent </w:t>
      </w:r>
      <w:r w:rsidR="00364C0F" w:rsidRPr="00FC6EF2">
        <w:rPr>
          <w:rFonts w:eastAsia="Arial" w:cs="Arial"/>
          <w:color w:val="333333"/>
        </w:rPr>
        <w:t>cap on</w:t>
      </w:r>
      <w:r w:rsidRPr="00FC6EF2">
        <w:rPr>
          <w:rFonts w:eastAsia="Arial" w:cs="Arial"/>
          <w:color w:val="333333"/>
        </w:rPr>
        <w:t xml:space="preserve"> </w:t>
      </w:r>
      <w:r w:rsidR="684B0AB6" w:rsidRPr="00FC6EF2">
        <w:rPr>
          <w:rFonts w:eastAsia="Arial" w:cs="Arial"/>
          <w:color w:val="333333"/>
        </w:rPr>
        <w:t>alternate assessment</w:t>
      </w:r>
      <w:r w:rsidRPr="00FC6EF2">
        <w:rPr>
          <w:rFonts w:eastAsia="Arial" w:cs="Arial"/>
          <w:color w:val="333333"/>
        </w:rPr>
        <w:t>, it must have assessed at least 95 percent of all students enrolled and 95 percent of students with disabilities in the previous year. Due to testing disruptions brought about by the novel coronavirus disease 2019 (COVID-19). California did not meet the 95 percent participation requirements</w:t>
      </w:r>
      <w:r w:rsidR="2B7436B7" w:rsidRPr="00FC6EF2">
        <w:rPr>
          <w:rFonts w:eastAsia="Arial" w:cs="Arial"/>
          <w:color w:val="333333"/>
        </w:rPr>
        <w:t xml:space="preserve"> in 2020</w:t>
      </w:r>
      <w:r w:rsidR="004803F3" w:rsidRPr="00FC6EF2">
        <w:rPr>
          <w:rFonts w:eastAsia="Arial" w:cs="Arial"/>
          <w:color w:val="333333"/>
        </w:rPr>
        <w:t>–</w:t>
      </w:r>
      <w:r w:rsidR="2B7436B7" w:rsidRPr="00FC6EF2">
        <w:rPr>
          <w:rFonts w:eastAsia="Arial" w:cs="Arial"/>
          <w:color w:val="333333"/>
        </w:rPr>
        <w:t>21</w:t>
      </w:r>
      <w:r w:rsidRPr="00FC6EF2">
        <w:rPr>
          <w:rFonts w:eastAsia="Arial" w:cs="Arial"/>
          <w:color w:val="333333"/>
        </w:rPr>
        <w:t xml:space="preserve">. Furthermore, a request for a waiver of the 1.0 percent cap requirement must be submitted 90 days before the beginning of California’s </w:t>
      </w:r>
      <w:r w:rsidR="2B7436B7" w:rsidRPr="00FC6EF2">
        <w:rPr>
          <w:rFonts w:eastAsia="Arial" w:cs="Arial"/>
          <w:color w:val="333333"/>
        </w:rPr>
        <w:t xml:space="preserve">annual </w:t>
      </w:r>
      <w:r w:rsidRPr="00FC6EF2">
        <w:rPr>
          <w:rFonts w:eastAsia="Arial" w:cs="Arial"/>
          <w:color w:val="333333"/>
        </w:rPr>
        <w:t>testing window, which began on January 11, 2022. Based on the</w:t>
      </w:r>
      <w:r w:rsidR="7A355909" w:rsidRPr="00FC6EF2">
        <w:rPr>
          <w:rFonts w:eastAsia="Arial" w:cs="Arial"/>
          <w:color w:val="333333"/>
        </w:rPr>
        <w:t xml:space="preserve"> California Department of Education</w:t>
      </w:r>
      <w:r w:rsidR="7CC1AE10" w:rsidRPr="00FC6EF2">
        <w:rPr>
          <w:rFonts w:eastAsia="Arial" w:cs="Arial"/>
          <w:color w:val="333333"/>
        </w:rPr>
        <w:t>’s</w:t>
      </w:r>
      <w:r w:rsidRPr="00FC6EF2">
        <w:rPr>
          <w:rFonts w:eastAsia="Arial" w:cs="Arial"/>
          <w:color w:val="333333"/>
        </w:rPr>
        <w:t xml:space="preserve"> </w:t>
      </w:r>
      <w:r w:rsidR="7CC1AE10" w:rsidRPr="00FC6EF2">
        <w:rPr>
          <w:rFonts w:eastAsia="Arial" w:cs="Arial"/>
          <w:color w:val="333333"/>
        </w:rPr>
        <w:t>(</w:t>
      </w:r>
      <w:r w:rsidRPr="00FC6EF2">
        <w:rPr>
          <w:rFonts w:eastAsia="Arial" w:cs="Arial"/>
          <w:color w:val="333333"/>
        </w:rPr>
        <w:t>CDE’s</w:t>
      </w:r>
      <w:r w:rsidR="7CC1AE10" w:rsidRPr="00FC6EF2">
        <w:rPr>
          <w:rFonts w:eastAsia="Arial" w:cs="Arial"/>
          <w:color w:val="333333"/>
        </w:rPr>
        <w:t>)</w:t>
      </w:r>
      <w:r w:rsidRPr="00FC6EF2">
        <w:rPr>
          <w:rFonts w:eastAsia="Arial" w:cs="Arial"/>
          <w:color w:val="333333"/>
        </w:rPr>
        <w:t xml:space="preserve"> data analysis and survey results from local educational agencies (LEAs), the CDE anticipates that California will exceed the 1.0 percent cap for the 2021–22 school year. </w:t>
      </w:r>
    </w:p>
    <w:p w14:paraId="4585D8BF" w14:textId="77777777" w:rsidR="00E16594" w:rsidRPr="00FC6EF2" w:rsidRDefault="00E16594" w:rsidP="002460C1">
      <w:pPr>
        <w:pStyle w:val="Heading2"/>
        <w:jc w:val="left"/>
        <w:rPr>
          <w:sz w:val="36"/>
        </w:rPr>
      </w:pPr>
      <w:r w:rsidRPr="00FC6EF2">
        <w:rPr>
          <w:sz w:val="36"/>
        </w:rPr>
        <w:lastRenderedPageBreak/>
        <w:t>Recommendation</w:t>
      </w:r>
    </w:p>
    <w:p w14:paraId="3AD8FA11" w14:textId="740144C0" w:rsidR="00E16594" w:rsidRPr="00FC6EF2" w:rsidRDefault="0DAA8D86" w:rsidP="00E16594">
      <w:pPr>
        <w:spacing w:after="240"/>
        <w:rPr>
          <w:rFonts w:eastAsia="Arial"/>
        </w:rPr>
      </w:pPr>
      <w:bookmarkStart w:id="1" w:name="_Hlk94707203"/>
      <w:r w:rsidRPr="00FC6EF2">
        <w:rPr>
          <w:rFonts w:eastAsia="Arial"/>
        </w:rPr>
        <w:t>The CDE recommends that the</w:t>
      </w:r>
      <w:r w:rsidR="300CC20B" w:rsidRPr="00FC6EF2">
        <w:rPr>
          <w:rFonts w:eastAsia="Arial"/>
        </w:rPr>
        <w:t xml:space="preserve"> California State Board of Education (</w:t>
      </w:r>
      <w:r w:rsidRPr="00FC6EF2">
        <w:rPr>
          <w:rFonts w:eastAsia="Arial"/>
        </w:rPr>
        <w:t>SBE</w:t>
      </w:r>
      <w:r w:rsidR="300CC20B" w:rsidRPr="00FC6EF2">
        <w:rPr>
          <w:rFonts w:eastAsia="Arial"/>
        </w:rPr>
        <w:t>)</w:t>
      </w:r>
      <w:r w:rsidRPr="00FC6EF2">
        <w:rPr>
          <w:rFonts w:eastAsia="Arial"/>
        </w:rPr>
        <w:t xml:space="preserve"> authorize the CDE to submit</w:t>
      </w:r>
      <w:r w:rsidR="4D99CB5F" w:rsidRPr="00FC6EF2">
        <w:rPr>
          <w:rFonts w:eastAsia="Arial"/>
        </w:rPr>
        <w:t xml:space="preserve"> to the U.S. Department of Education (ED)</w:t>
      </w:r>
      <w:r w:rsidRPr="00FC6EF2">
        <w:rPr>
          <w:rFonts w:eastAsia="Arial"/>
        </w:rPr>
        <w:t xml:space="preserve"> the </w:t>
      </w:r>
      <w:r w:rsidR="2B7436B7" w:rsidRPr="00FC6EF2">
        <w:rPr>
          <w:rFonts w:eastAsia="Arial"/>
        </w:rPr>
        <w:t xml:space="preserve">draft </w:t>
      </w:r>
      <w:r w:rsidR="6F401E03" w:rsidRPr="00FC6EF2">
        <w:rPr>
          <w:rFonts w:eastAsia="Arial"/>
        </w:rPr>
        <w:t>waiver package</w:t>
      </w:r>
      <w:r w:rsidR="1E78E726" w:rsidRPr="00FC6EF2">
        <w:rPr>
          <w:rFonts w:eastAsia="Arial"/>
        </w:rPr>
        <w:t xml:space="preserve"> </w:t>
      </w:r>
      <w:r w:rsidR="001B36E3" w:rsidRPr="00FC6EF2">
        <w:rPr>
          <w:rFonts w:eastAsia="Arial"/>
        </w:rPr>
        <w:t xml:space="preserve">found in </w:t>
      </w:r>
      <w:r w:rsidR="15B5A029" w:rsidRPr="00FC6EF2">
        <w:rPr>
          <w:rFonts w:eastAsia="Arial"/>
        </w:rPr>
        <w:t>Attachment </w:t>
      </w:r>
      <w:r w:rsidR="0CD29ACB" w:rsidRPr="00FC6EF2">
        <w:rPr>
          <w:rFonts w:eastAsia="Arial"/>
        </w:rPr>
        <w:t>1</w:t>
      </w:r>
      <w:r w:rsidR="001B36E3" w:rsidRPr="00FC6EF2">
        <w:rPr>
          <w:rFonts w:eastAsia="Arial"/>
        </w:rPr>
        <w:t xml:space="preserve">, which </w:t>
      </w:r>
      <w:r w:rsidR="1E78E726" w:rsidRPr="00FC6EF2">
        <w:rPr>
          <w:rFonts w:eastAsia="Arial"/>
        </w:rPr>
        <w:t>contain</w:t>
      </w:r>
      <w:r w:rsidR="001B36E3" w:rsidRPr="00FC6EF2">
        <w:rPr>
          <w:rFonts w:eastAsia="Arial"/>
        </w:rPr>
        <w:t>s</w:t>
      </w:r>
      <w:r w:rsidR="1E78E726" w:rsidRPr="00FC6EF2">
        <w:rPr>
          <w:rFonts w:eastAsia="Arial"/>
        </w:rPr>
        <w:t xml:space="preserve"> the </w:t>
      </w:r>
      <w:r w:rsidRPr="00FC6EF2">
        <w:rPr>
          <w:rFonts w:eastAsia="Arial"/>
        </w:rPr>
        <w:t>following:</w:t>
      </w:r>
    </w:p>
    <w:p w14:paraId="24FC9483" w14:textId="77777777" w:rsidR="0087507E" w:rsidRPr="00FC6EF2" w:rsidRDefault="00A31260" w:rsidP="003C3E81">
      <w:pPr>
        <w:pStyle w:val="ListParagraph"/>
        <w:numPr>
          <w:ilvl w:val="0"/>
          <w:numId w:val="4"/>
        </w:numPr>
        <w:spacing w:after="240"/>
        <w:contextualSpacing w:val="0"/>
        <w:rPr>
          <w:rFonts w:asciiTheme="minorHAnsi" w:eastAsiaTheme="minorEastAsia" w:hAnsiTheme="minorHAnsi" w:cstheme="minorBidi"/>
        </w:rPr>
      </w:pPr>
      <w:r w:rsidRPr="00FC6EF2">
        <w:rPr>
          <w:rFonts w:eastAsia="Arial"/>
        </w:rPr>
        <w:t>R</w:t>
      </w:r>
      <w:r w:rsidR="4731D1CC" w:rsidRPr="00FC6EF2">
        <w:rPr>
          <w:rFonts w:eastAsia="Arial"/>
        </w:rPr>
        <w:t xml:space="preserve">equest for a </w:t>
      </w:r>
      <w:r w:rsidR="3C402183" w:rsidRPr="00FC6EF2">
        <w:rPr>
          <w:rFonts w:eastAsia="Arial"/>
        </w:rPr>
        <w:t xml:space="preserve">waiver of </w:t>
      </w:r>
      <w:r w:rsidR="5BB10FCF" w:rsidRPr="00FC6EF2">
        <w:rPr>
          <w:rFonts w:eastAsia="Arial"/>
        </w:rPr>
        <w:t xml:space="preserve">the requirement to </w:t>
      </w:r>
      <w:r w:rsidR="16A49E6E" w:rsidRPr="00FC6EF2">
        <w:rPr>
          <w:rFonts w:eastAsia="Arial"/>
        </w:rPr>
        <w:t>assess</w:t>
      </w:r>
      <w:r w:rsidR="5BB10FCF" w:rsidRPr="00FC6EF2">
        <w:rPr>
          <w:rFonts w:eastAsia="Arial"/>
        </w:rPr>
        <w:t xml:space="preserve"> 95 percent of all eligible students in ELA</w:t>
      </w:r>
      <w:r w:rsidR="00357F14" w:rsidRPr="00FC6EF2">
        <w:rPr>
          <w:rFonts w:eastAsia="Arial"/>
        </w:rPr>
        <w:t xml:space="preserve">, </w:t>
      </w:r>
      <w:r w:rsidR="5BB10FCF" w:rsidRPr="00FC6EF2">
        <w:rPr>
          <w:rFonts w:eastAsia="Arial"/>
        </w:rPr>
        <w:t>mathematics</w:t>
      </w:r>
      <w:r w:rsidR="00357F14" w:rsidRPr="00FC6EF2">
        <w:rPr>
          <w:rFonts w:eastAsia="Arial"/>
        </w:rPr>
        <w:t>, and</w:t>
      </w:r>
      <w:r w:rsidR="5BB10FCF" w:rsidRPr="00FC6EF2">
        <w:rPr>
          <w:rFonts w:eastAsia="Arial"/>
        </w:rPr>
        <w:t xml:space="preserve"> </w:t>
      </w:r>
      <w:r w:rsidR="00357F14" w:rsidRPr="00FC6EF2">
        <w:rPr>
          <w:rFonts w:eastAsia="Arial"/>
        </w:rPr>
        <w:t xml:space="preserve">science </w:t>
      </w:r>
      <w:r w:rsidR="5BB10FCF" w:rsidRPr="00FC6EF2">
        <w:rPr>
          <w:rFonts w:eastAsia="Arial"/>
        </w:rPr>
        <w:t>for 2020–21</w:t>
      </w:r>
    </w:p>
    <w:p w14:paraId="08DA39AA" w14:textId="1202217D" w:rsidR="00463EC7" w:rsidRPr="00FC6EF2" w:rsidRDefault="0F1301F2" w:rsidP="003C3E81">
      <w:pPr>
        <w:pStyle w:val="ListParagraph"/>
        <w:numPr>
          <w:ilvl w:val="0"/>
          <w:numId w:val="4"/>
        </w:numPr>
        <w:spacing w:after="240"/>
        <w:contextualSpacing w:val="0"/>
        <w:rPr>
          <w:rFonts w:asciiTheme="minorHAnsi" w:eastAsiaTheme="minorEastAsia" w:hAnsiTheme="minorHAnsi" w:cstheme="minorBidi"/>
        </w:rPr>
      </w:pPr>
      <w:r w:rsidRPr="00FC6EF2">
        <w:rPr>
          <w:rFonts w:eastAsia="Arial"/>
        </w:rPr>
        <w:t>R</w:t>
      </w:r>
      <w:r w:rsidR="7D7A2943" w:rsidRPr="00FC6EF2">
        <w:rPr>
          <w:rFonts w:eastAsia="Arial"/>
        </w:rPr>
        <w:t xml:space="preserve">equest for a waiver of </w:t>
      </w:r>
      <w:r w:rsidR="2131ACCA" w:rsidRPr="00FC6EF2">
        <w:rPr>
          <w:rFonts w:eastAsia="Arial"/>
        </w:rPr>
        <w:t xml:space="preserve">the requirement that a request </w:t>
      </w:r>
      <w:r w:rsidR="3AEB409E" w:rsidRPr="00FC6EF2">
        <w:rPr>
          <w:rFonts w:eastAsia="Arial"/>
        </w:rPr>
        <w:t>for</w:t>
      </w:r>
      <w:r w:rsidR="2131ACCA" w:rsidRPr="00FC6EF2">
        <w:rPr>
          <w:rFonts w:eastAsia="Arial"/>
        </w:rPr>
        <w:t xml:space="preserve"> </w:t>
      </w:r>
      <w:r w:rsidR="3AEB409E" w:rsidRPr="00FC6EF2">
        <w:rPr>
          <w:rFonts w:eastAsia="Arial"/>
        </w:rPr>
        <w:t xml:space="preserve">a waiver of the </w:t>
      </w:r>
      <w:r w:rsidR="2131ACCA" w:rsidRPr="00FC6EF2">
        <w:rPr>
          <w:rFonts w:eastAsia="Arial"/>
        </w:rPr>
        <w:t xml:space="preserve">requirement to assess less than </w:t>
      </w:r>
      <w:r w:rsidR="60CD637D" w:rsidRPr="00FC6EF2">
        <w:rPr>
          <w:rFonts w:eastAsia="Arial"/>
        </w:rPr>
        <w:t>1</w:t>
      </w:r>
      <w:r w:rsidR="2131ACCA" w:rsidRPr="00FC6EF2">
        <w:rPr>
          <w:rFonts w:eastAsia="Arial"/>
        </w:rPr>
        <w:t xml:space="preserve"> percent of </w:t>
      </w:r>
      <w:r w:rsidR="59FA41DC" w:rsidRPr="00FC6EF2">
        <w:rPr>
          <w:rFonts w:eastAsia="Arial"/>
        </w:rPr>
        <w:t xml:space="preserve">eligible </w:t>
      </w:r>
      <w:r w:rsidR="2131ACCA" w:rsidRPr="00FC6EF2">
        <w:rPr>
          <w:rFonts w:eastAsia="Arial"/>
        </w:rPr>
        <w:t xml:space="preserve">students with </w:t>
      </w:r>
      <w:r w:rsidR="0E3C130D" w:rsidRPr="00FC6EF2">
        <w:rPr>
          <w:rFonts w:eastAsia="Arial"/>
        </w:rPr>
        <w:t>alternate assessment</w:t>
      </w:r>
      <w:r w:rsidR="59FA41DC" w:rsidRPr="00FC6EF2">
        <w:rPr>
          <w:rFonts w:eastAsia="Arial"/>
        </w:rPr>
        <w:t>s</w:t>
      </w:r>
      <w:r w:rsidR="2131ACCA" w:rsidRPr="00FC6EF2">
        <w:rPr>
          <w:rFonts w:eastAsia="Arial"/>
        </w:rPr>
        <w:t xml:space="preserve"> be submitted at least </w:t>
      </w:r>
      <w:r w:rsidR="3AEB409E" w:rsidRPr="00FC6EF2">
        <w:rPr>
          <w:rFonts w:eastAsia="Arial"/>
        </w:rPr>
        <w:t>90</w:t>
      </w:r>
      <w:r w:rsidR="2131ACCA" w:rsidRPr="00FC6EF2">
        <w:rPr>
          <w:rFonts w:eastAsia="Arial"/>
        </w:rPr>
        <w:t xml:space="preserve"> days </w:t>
      </w:r>
      <w:r w:rsidR="712627F0" w:rsidRPr="00FC6EF2">
        <w:rPr>
          <w:rFonts w:eastAsia="Arial"/>
        </w:rPr>
        <w:t>before</w:t>
      </w:r>
      <w:r w:rsidR="2131ACCA" w:rsidRPr="00FC6EF2">
        <w:rPr>
          <w:rFonts w:eastAsia="Arial"/>
        </w:rPr>
        <w:t xml:space="preserve"> the beginning of </w:t>
      </w:r>
      <w:r w:rsidR="3AEB409E" w:rsidRPr="00FC6EF2">
        <w:rPr>
          <w:rFonts w:eastAsia="Arial"/>
        </w:rPr>
        <w:t>the</w:t>
      </w:r>
      <w:r w:rsidR="59FA41DC" w:rsidRPr="00FC6EF2">
        <w:rPr>
          <w:rFonts w:eastAsia="Arial"/>
        </w:rPr>
        <w:t xml:space="preserve"> annual</w:t>
      </w:r>
      <w:r w:rsidR="3AEB409E" w:rsidRPr="00FC6EF2">
        <w:rPr>
          <w:rFonts w:eastAsia="Arial"/>
        </w:rPr>
        <w:t xml:space="preserve"> </w:t>
      </w:r>
      <w:r w:rsidR="2131ACCA" w:rsidRPr="00FC6EF2">
        <w:rPr>
          <w:rFonts w:eastAsia="Arial"/>
        </w:rPr>
        <w:t>testing</w:t>
      </w:r>
      <w:r w:rsidR="3AEB409E" w:rsidRPr="00FC6EF2">
        <w:rPr>
          <w:rFonts w:eastAsia="Arial"/>
        </w:rPr>
        <w:t xml:space="preserve"> window for the administration of the statewide assessments</w:t>
      </w:r>
    </w:p>
    <w:p w14:paraId="36E2DA97" w14:textId="76CB7DCA" w:rsidR="00E16594" w:rsidRPr="00FC6EF2" w:rsidRDefault="20FBF5DE" w:rsidP="003C3E81">
      <w:pPr>
        <w:pStyle w:val="ListParagraph"/>
        <w:numPr>
          <w:ilvl w:val="0"/>
          <w:numId w:val="4"/>
        </w:numPr>
        <w:spacing w:after="240"/>
        <w:contextualSpacing w:val="0"/>
        <w:rPr>
          <w:rFonts w:asciiTheme="minorHAnsi" w:eastAsiaTheme="minorEastAsia" w:hAnsiTheme="minorHAnsi" w:cstheme="minorBidi"/>
        </w:rPr>
      </w:pPr>
      <w:r w:rsidRPr="00FC6EF2">
        <w:rPr>
          <w:rFonts w:eastAsia="Arial"/>
        </w:rPr>
        <w:t>R</w:t>
      </w:r>
      <w:r w:rsidR="0FB6FEDD" w:rsidRPr="00FC6EF2">
        <w:rPr>
          <w:rFonts w:eastAsia="Arial"/>
        </w:rPr>
        <w:t xml:space="preserve">equest for a waiver of </w:t>
      </w:r>
      <w:r w:rsidR="4A2C4E82" w:rsidRPr="00FC6EF2">
        <w:rPr>
          <w:rFonts w:eastAsia="Arial"/>
        </w:rPr>
        <w:t xml:space="preserve">the requirement to assess less than </w:t>
      </w:r>
      <w:r w:rsidR="181C8471" w:rsidRPr="00FC6EF2">
        <w:rPr>
          <w:rFonts w:eastAsia="Arial"/>
        </w:rPr>
        <w:t>1</w:t>
      </w:r>
      <w:r w:rsidR="4A2C4E82" w:rsidRPr="00FC6EF2">
        <w:rPr>
          <w:rFonts w:eastAsia="Arial"/>
        </w:rPr>
        <w:t xml:space="preserve"> percent of </w:t>
      </w:r>
      <w:r w:rsidR="493E5673" w:rsidRPr="00FC6EF2">
        <w:rPr>
          <w:rFonts w:eastAsia="Arial"/>
        </w:rPr>
        <w:t xml:space="preserve">eligible </w:t>
      </w:r>
      <w:r w:rsidR="4A2C4E82" w:rsidRPr="00FC6EF2">
        <w:rPr>
          <w:rFonts w:eastAsia="Arial"/>
        </w:rPr>
        <w:t xml:space="preserve">students with an </w:t>
      </w:r>
      <w:r w:rsidR="4C0772F7" w:rsidRPr="00FC6EF2">
        <w:rPr>
          <w:rFonts w:eastAsia="Arial"/>
        </w:rPr>
        <w:t>alternate assessment</w:t>
      </w:r>
      <w:r w:rsidR="4A2C4E82" w:rsidRPr="00FC6EF2">
        <w:rPr>
          <w:rFonts w:eastAsia="Arial"/>
        </w:rPr>
        <w:t xml:space="preserve"> </w:t>
      </w:r>
      <w:r w:rsidR="19B548E5" w:rsidRPr="00FC6EF2">
        <w:rPr>
          <w:rFonts w:eastAsia="Arial"/>
        </w:rPr>
        <w:t xml:space="preserve">for </w:t>
      </w:r>
      <w:r w:rsidR="228C2F58" w:rsidRPr="00FC6EF2">
        <w:rPr>
          <w:rFonts w:eastAsia="Arial"/>
        </w:rPr>
        <w:t>ELA</w:t>
      </w:r>
      <w:r w:rsidR="19B548E5" w:rsidRPr="00FC6EF2">
        <w:rPr>
          <w:rFonts w:eastAsia="Arial"/>
        </w:rPr>
        <w:t xml:space="preserve">, mathematics, and science </w:t>
      </w:r>
      <w:r w:rsidR="4A2C4E82" w:rsidRPr="00FC6EF2">
        <w:rPr>
          <w:rFonts w:eastAsia="Arial"/>
        </w:rPr>
        <w:t>for the 2021–22 administration</w:t>
      </w:r>
    </w:p>
    <w:p w14:paraId="37E8B6A9" w14:textId="31E10AB2" w:rsidR="00E16594" w:rsidRPr="00FC6EF2" w:rsidRDefault="06E623E9" w:rsidP="003C3E81">
      <w:pPr>
        <w:pStyle w:val="ListParagraph"/>
        <w:numPr>
          <w:ilvl w:val="0"/>
          <w:numId w:val="4"/>
        </w:numPr>
        <w:spacing w:after="240"/>
      </w:pPr>
      <w:r w:rsidRPr="00FC6EF2">
        <w:rPr>
          <w:rFonts w:eastAsia="Arial"/>
        </w:rPr>
        <w:t>R</w:t>
      </w:r>
      <w:r w:rsidR="2567F5E6" w:rsidRPr="00FC6EF2">
        <w:rPr>
          <w:rFonts w:eastAsia="Arial"/>
        </w:rPr>
        <w:t>equest an</w:t>
      </w:r>
      <w:r w:rsidR="0DAA8D86" w:rsidRPr="00FC6EF2">
        <w:rPr>
          <w:rFonts w:eastAsia="Arial"/>
        </w:rPr>
        <w:t xml:space="preserve"> extension of </w:t>
      </w:r>
      <w:r w:rsidR="2D6F526E" w:rsidRPr="00FC6EF2">
        <w:rPr>
          <w:rFonts w:eastAsia="Arial"/>
        </w:rPr>
        <w:t xml:space="preserve">the </w:t>
      </w:r>
      <w:r w:rsidR="0DAA8D86" w:rsidRPr="00FC6EF2">
        <w:rPr>
          <w:rFonts w:eastAsia="Arial"/>
        </w:rPr>
        <w:t xml:space="preserve">plan to report preliminary indicator results for the 2020–21 administration </w:t>
      </w:r>
      <w:r w:rsidR="623F8B01" w:rsidRPr="00FC6EF2">
        <w:rPr>
          <w:rFonts w:eastAsia="Arial"/>
        </w:rPr>
        <w:t xml:space="preserve">of </w:t>
      </w:r>
      <w:r w:rsidR="0DAA8D86" w:rsidRPr="00FC6EF2">
        <w:rPr>
          <w:rFonts w:eastAsia="Arial"/>
        </w:rPr>
        <w:t>the CAA for Science</w:t>
      </w:r>
    </w:p>
    <w:bookmarkEnd w:id="1"/>
    <w:p w14:paraId="75B44922" w14:textId="77777777" w:rsidR="00E16594" w:rsidRPr="00FC6EF2" w:rsidRDefault="00E16594" w:rsidP="00811B33">
      <w:pPr>
        <w:pStyle w:val="Heading2"/>
        <w:jc w:val="left"/>
        <w:rPr>
          <w:sz w:val="36"/>
        </w:rPr>
      </w:pPr>
      <w:r w:rsidRPr="00FC6EF2">
        <w:rPr>
          <w:sz w:val="36"/>
        </w:rPr>
        <w:t>Brief History of Key Issues</w:t>
      </w:r>
    </w:p>
    <w:p w14:paraId="20669218" w14:textId="77777777" w:rsidR="00E16594" w:rsidRPr="00FC6EF2" w:rsidRDefault="00E16594" w:rsidP="003C5669">
      <w:pPr>
        <w:spacing w:after="240"/>
        <w:rPr>
          <w:rFonts w:eastAsia="Arial"/>
        </w:rPr>
      </w:pPr>
      <w:r w:rsidRPr="00FC6EF2">
        <w:rPr>
          <w:rFonts w:eastAsia="Arial"/>
        </w:rPr>
        <w:t>The 2019–20 and 2020–21 school years presented unprecedented challenges for communities, educators, students, and parents/guardians. The schooling experience was disrupted and different from any other year due to the impacts of the COVID-19</w:t>
      </w:r>
      <w:r w:rsidR="00BA0D2F" w:rsidRPr="00FC6EF2">
        <w:rPr>
          <w:rFonts w:eastAsia="Arial"/>
        </w:rPr>
        <w:t xml:space="preserve"> </w:t>
      </w:r>
      <w:r w:rsidRPr="00FC6EF2">
        <w:rPr>
          <w:rFonts w:eastAsia="Arial"/>
        </w:rPr>
        <w:t xml:space="preserve">pandemic. Although the federal testing requirement was waived for the 2019–20 school year, the ED informed states that, for the 2020–21 school year, they were required to administer statewide academic assessments </w:t>
      </w:r>
      <w:r w:rsidR="00BA0D2F" w:rsidRPr="00FC6EF2">
        <w:rPr>
          <w:rFonts w:eastAsia="Arial"/>
        </w:rPr>
        <w:t>for</w:t>
      </w:r>
      <w:r w:rsidRPr="00FC6EF2">
        <w:rPr>
          <w:rFonts w:eastAsia="Arial"/>
        </w:rPr>
        <w:t xml:space="preserve"> ELA, mathematics, and science as well as the English language proficiency assessments. With those requirements, however, the ED provided states the following flexibilities to support the administration of assessments:</w:t>
      </w:r>
    </w:p>
    <w:p w14:paraId="19FF5632" w14:textId="77777777" w:rsidR="00E16594" w:rsidRPr="00FC6EF2" w:rsidRDefault="00E16594" w:rsidP="003C3E81">
      <w:pPr>
        <w:pStyle w:val="ListParagraph"/>
        <w:numPr>
          <w:ilvl w:val="0"/>
          <w:numId w:val="3"/>
        </w:numPr>
        <w:spacing w:after="240"/>
        <w:rPr>
          <w:rFonts w:eastAsia="Arial"/>
        </w:rPr>
      </w:pPr>
      <w:r w:rsidRPr="00FC6EF2">
        <w:rPr>
          <w:rFonts w:eastAsia="Arial"/>
        </w:rPr>
        <w:t xml:space="preserve">Administering a shortened version of statewide assessments </w:t>
      </w:r>
    </w:p>
    <w:p w14:paraId="739A8DD5" w14:textId="77777777" w:rsidR="00E16594" w:rsidRPr="00FC6EF2" w:rsidRDefault="00E16594" w:rsidP="003C3E81">
      <w:pPr>
        <w:pStyle w:val="ListParagraph"/>
        <w:numPr>
          <w:ilvl w:val="0"/>
          <w:numId w:val="3"/>
        </w:numPr>
        <w:spacing w:after="240"/>
        <w:rPr>
          <w:rFonts w:eastAsia="Arial"/>
        </w:rPr>
      </w:pPr>
      <w:r w:rsidRPr="00FC6EF2">
        <w:rPr>
          <w:rFonts w:eastAsia="Arial"/>
        </w:rPr>
        <w:t>Offering remote administration, where feasible</w:t>
      </w:r>
    </w:p>
    <w:p w14:paraId="0B402423" w14:textId="77777777" w:rsidR="00E16594" w:rsidRPr="00FC6EF2" w:rsidRDefault="00E16594" w:rsidP="003C3E81">
      <w:pPr>
        <w:pStyle w:val="ListParagraph"/>
        <w:numPr>
          <w:ilvl w:val="0"/>
          <w:numId w:val="3"/>
        </w:numPr>
        <w:spacing w:after="240"/>
        <w:rPr>
          <w:rFonts w:eastAsia="Arial"/>
        </w:rPr>
      </w:pPr>
      <w:r w:rsidRPr="00FC6EF2">
        <w:rPr>
          <w:rFonts w:eastAsia="Arial"/>
        </w:rPr>
        <w:t>Extending the testing window to the greatest extent practicable</w:t>
      </w:r>
    </w:p>
    <w:p w14:paraId="36B6FAA7" w14:textId="60B07F03" w:rsidR="00E16594" w:rsidRPr="00FC6EF2" w:rsidRDefault="2B5124C4" w:rsidP="003C5669">
      <w:pPr>
        <w:spacing w:after="240"/>
        <w:rPr>
          <w:rFonts w:eastAsia="Arial"/>
        </w:rPr>
      </w:pPr>
      <w:r w:rsidRPr="00FC6EF2">
        <w:rPr>
          <w:rFonts w:eastAsia="Arial"/>
        </w:rPr>
        <w:t>The</w:t>
      </w:r>
      <w:r w:rsidR="0B71D5A0" w:rsidRPr="00FC6EF2">
        <w:rPr>
          <w:rFonts w:eastAsia="Arial"/>
        </w:rPr>
        <w:t xml:space="preserve"> </w:t>
      </w:r>
      <w:r w:rsidRPr="00FC6EF2">
        <w:rPr>
          <w:rFonts w:eastAsia="Arial"/>
        </w:rPr>
        <w:t xml:space="preserve">SBE and the CDE took full advantage of all the flexibilities offered, recognizing the challenges LEAs faced in administering the state assessments during the pandemic. While the CDE made available all assessments within the California Assessment of Student Performance and Progress (CAASPP) and supported LEAs in the administration of these assessments, the SBE and CDE recognized that for some LEAs, administration of the designated state assessments could prove an insurmountable challenge. This was true because most districts </w:t>
      </w:r>
      <w:r w:rsidR="493E5673" w:rsidRPr="00FC6EF2">
        <w:rPr>
          <w:rFonts w:eastAsia="Arial"/>
        </w:rPr>
        <w:t>provided</w:t>
      </w:r>
      <w:r w:rsidRPr="00FC6EF2">
        <w:rPr>
          <w:rFonts w:eastAsia="Arial"/>
        </w:rPr>
        <w:t xml:space="preserve"> remote learning </w:t>
      </w:r>
      <w:r w:rsidR="04AC4FDE" w:rsidRPr="00FC6EF2">
        <w:rPr>
          <w:rFonts w:eastAsia="Arial"/>
        </w:rPr>
        <w:t xml:space="preserve">instruction </w:t>
      </w:r>
      <w:r w:rsidRPr="00FC6EF2">
        <w:rPr>
          <w:rFonts w:eastAsia="Arial"/>
        </w:rPr>
        <w:t xml:space="preserve">until well into the spring. Many students lacked computers with secure browsers that </w:t>
      </w:r>
      <w:r w:rsidRPr="00FC6EF2">
        <w:rPr>
          <w:rFonts w:eastAsia="Arial"/>
        </w:rPr>
        <w:lastRenderedPageBreak/>
        <w:t xml:space="preserve">would allow </w:t>
      </w:r>
      <w:r w:rsidR="493E5673" w:rsidRPr="00FC6EF2">
        <w:rPr>
          <w:rFonts w:eastAsia="Arial"/>
        </w:rPr>
        <w:t xml:space="preserve">for the </w:t>
      </w:r>
      <w:r w:rsidRPr="00FC6EF2">
        <w:rPr>
          <w:rFonts w:eastAsia="Arial"/>
        </w:rPr>
        <w:t xml:space="preserve">remote administration of the test, and many experienced </w:t>
      </w:r>
      <w:r w:rsidR="493E5673" w:rsidRPr="00FC6EF2">
        <w:rPr>
          <w:rFonts w:eastAsia="Arial"/>
        </w:rPr>
        <w:t xml:space="preserve">broadband or connectivity </w:t>
      </w:r>
      <w:r w:rsidRPr="00FC6EF2">
        <w:rPr>
          <w:rFonts w:eastAsia="Arial"/>
        </w:rPr>
        <w:t>problems that made</w:t>
      </w:r>
      <w:r w:rsidR="0274D5B2" w:rsidRPr="00FC6EF2">
        <w:rPr>
          <w:rFonts w:eastAsia="Arial"/>
        </w:rPr>
        <w:t xml:space="preserve"> remote</w:t>
      </w:r>
      <w:r w:rsidRPr="00FC6EF2">
        <w:rPr>
          <w:rFonts w:eastAsia="Arial"/>
        </w:rPr>
        <w:t xml:space="preserve"> testing infeasible.</w:t>
      </w:r>
    </w:p>
    <w:p w14:paraId="284DE330" w14:textId="77777777" w:rsidR="00E16594" w:rsidRPr="00FC6EF2" w:rsidRDefault="2B5124C4" w:rsidP="003C5669">
      <w:pPr>
        <w:spacing w:after="240"/>
        <w:rPr>
          <w:rFonts w:eastAsia="Arial"/>
          <w:sz w:val="21"/>
          <w:szCs w:val="21"/>
        </w:rPr>
      </w:pPr>
      <w:r w:rsidRPr="00FC6EF2">
        <w:rPr>
          <w:rFonts w:eastAsia="Arial"/>
        </w:rPr>
        <w:t xml:space="preserve">Therefore, to maximize the collection of evidence of student performance, LEAs that could not viably administer the CAASPP </w:t>
      </w:r>
      <w:r w:rsidR="493E5673" w:rsidRPr="00FC6EF2">
        <w:rPr>
          <w:rFonts w:eastAsia="Arial"/>
        </w:rPr>
        <w:t xml:space="preserve">ELA and mathematics </w:t>
      </w:r>
      <w:r w:rsidRPr="00FC6EF2">
        <w:rPr>
          <w:rFonts w:eastAsia="Arial"/>
        </w:rPr>
        <w:t>tests were required to administer local assessments that met specific criteria approved by the SBE during its March 2021 meeting. The SBE required that local assessments meet the following criteria:</w:t>
      </w:r>
    </w:p>
    <w:p w14:paraId="4F116355" w14:textId="77777777" w:rsidR="00E16594" w:rsidRPr="00FC6EF2" w:rsidRDefault="00E16594" w:rsidP="003C3E81">
      <w:pPr>
        <w:pStyle w:val="ListParagraph"/>
        <w:numPr>
          <w:ilvl w:val="0"/>
          <w:numId w:val="4"/>
        </w:numPr>
        <w:spacing w:after="240"/>
        <w:contextualSpacing w:val="0"/>
        <w:rPr>
          <w:rFonts w:eastAsia="Arial"/>
        </w:rPr>
      </w:pPr>
      <w:r w:rsidRPr="00FC6EF2">
        <w:rPr>
          <w:rFonts w:eastAsia="Arial"/>
        </w:rPr>
        <w:t>Aligned with California Common Core State Standards for ELA and mathematics.</w:t>
      </w:r>
    </w:p>
    <w:p w14:paraId="691C84E0" w14:textId="77777777" w:rsidR="00E16594" w:rsidRPr="00FC6EF2" w:rsidRDefault="00E16594" w:rsidP="003C3E81">
      <w:pPr>
        <w:pStyle w:val="ListParagraph"/>
        <w:numPr>
          <w:ilvl w:val="0"/>
          <w:numId w:val="4"/>
        </w:numPr>
        <w:spacing w:after="240"/>
        <w:contextualSpacing w:val="0"/>
        <w:rPr>
          <w:rFonts w:eastAsia="Arial"/>
        </w:rPr>
      </w:pPr>
      <w:r w:rsidRPr="00FC6EF2">
        <w:rPr>
          <w:rFonts w:eastAsia="Arial"/>
        </w:rPr>
        <w:t>Available to assess students in grades three through eight and grade eleven.</w:t>
      </w:r>
    </w:p>
    <w:p w14:paraId="06226CC8" w14:textId="77777777" w:rsidR="00E16594" w:rsidRPr="00FC6EF2" w:rsidRDefault="00E16594" w:rsidP="003C3E81">
      <w:pPr>
        <w:pStyle w:val="ListParagraph"/>
        <w:numPr>
          <w:ilvl w:val="0"/>
          <w:numId w:val="4"/>
        </w:numPr>
        <w:spacing w:after="240"/>
        <w:contextualSpacing w:val="0"/>
        <w:rPr>
          <w:rFonts w:eastAsia="Arial"/>
        </w:rPr>
      </w:pPr>
      <w:r w:rsidRPr="00FC6EF2">
        <w:rPr>
          <w:rFonts w:eastAsia="Arial"/>
        </w:rPr>
        <w:t>Uniformly administered across a grade level, grade span, school, or district.</w:t>
      </w:r>
    </w:p>
    <w:p w14:paraId="71B3DB3E" w14:textId="544387BD" w:rsidR="00E16594" w:rsidRPr="00FC6EF2" w:rsidRDefault="2B5124C4" w:rsidP="003C3E81">
      <w:pPr>
        <w:pStyle w:val="ListParagraph"/>
        <w:numPr>
          <w:ilvl w:val="0"/>
          <w:numId w:val="4"/>
        </w:numPr>
        <w:spacing w:after="240"/>
        <w:rPr>
          <w:rFonts w:eastAsia="Arial"/>
        </w:rPr>
      </w:pPr>
      <w:r w:rsidRPr="00FC6EF2">
        <w:rPr>
          <w:rFonts w:eastAsia="Arial"/>
        </w:rPr>
        <w:t>Produce results that c</w:t>
      </w:r>
      <w:r w:rsidR="493E5673" w:rsidRPr="00FC6EF2">
        <w:rPr>
          <w:rFonts w:eastAsia="Arial"/>
        </w:rPr>
        <w:t>ould</w:t>
      </w:r>
      <w:r w:rsidRPr="00FC6EF2">
        <w:rPr>
          <w:rFonts w:eastAsia="Arial"/>
        </w:rPr>
        <w:t xml:space="preserve"> be reported to parents/guardians and educators about individual students, and to the public by school and by district, disaggregated by student subgroup. </w:t>
      </w:r>
    </w:p>
    <w:p w14:paraId="1BEEC845" w14:textId="25DF77AF" w:rsidR="00E16594" w:rsidRPr="00FC6EF2" w:rsidRDefault="2B5124C4" w:rsidP="003C5669">
      <w:pPr>
        <w:spacing w:after="240"/>
        <w:rPr>
          <w:rFonts w:eastAsia="Arial"/>
          <w:color w:val="000000" w:themeColor="text1"/>
        </w:rPr>
      </w:pPr>
      <w:r w:rsidRPr="00FC6EF2">
        <w:rPr>
          <w:rFonts w:eastAsia="Arial"/>
          <w:color w:val="000000" w:themeColor="text1"/>
        </w:rPr>
        <w:t xml:space="preserve">The CDE recognized that it would not be viable for many schools to locate a local assessment in place of the state science test, or a local alternate assessment for students with the most significant cognitive disabilities who require an </w:t>
      </w:r>
      <w:r w:rsidR="4C0772F7" w:rsidRPr="00FC6EF2">
        <w:rPr>
          <w:rFonts w:eastAsia="Arial"/>
          <w:color w:val="000000" w:themeColor="text1"/>
        </w:rPr>
        <w:t>alternate assessment</w:t>
      </w:r>
      <w:r w:rsidRPr="00FC6EF2">
        <w:rPr>
          <w:rFonts w:eastAsia="Arial"/>
          <w:color w:val="000000" w:themeColor="text1"/>
        </w:rPr>
        <w:t>. As such, the CDE’s guidance was</w:t>
      </w:r>
      <w:r w:rsidR="3A1719B0" w:rsidRPr="00FC6EF2">
        <w:rPr>
          <w:rFonts w:eastAsia="Arial"/>
          <w:color w:val="000000" w:themeColor="text1"/>
        </w:rPr>
        <w:t xml:space="preserve"> that</w:t>
      </w:r>
      <w:r w:rsidR="770D8E08" w:rsidRPr="00FC6EF2">
        <w:rPr>
          <w:rFonts w:eastAsia="Arial"/>
          <w:color w:val="000000" w:themeColor="text1"/>
        </w:rPr>
        <w:t xml:space="preserve"> </w:t>
      </w:r>
      <w:r w:rsidRPr="00FC6EF2">
        <w:rPr>
          <w:rFonts w:eastAsia="Arial"/>
          <w:color w:val="000000" w:themeColor="text1"/>
        </w:rPr>
        <w:t xml:space="preserve">students </w:t>
      </w:r>
      <w:r w:rsidR="493E5673" w:rsidRPr="00FC6EF2">
        <w:rPr>
          <w:rFonts w:eastAsia="Arial"/>
          <w:color w:val="000000" w:themeColor="text1"/>
        </w:rPr>
        <w:t xml:space="preserve">who were required or </w:t>
      </w:r>
      <w:r w:rsidRPr="00FC6EF2">
        <w:rPr>
          <w:rFonts w:eastAsia="Arial"/>
          <w:color w:val="000000" w:themeColor="text1"/>
        </w:rPr>
        <w:t xml:space="preserve">eligible </w:t>
      </w:r>
      <w:r w:rsidR="493E5673" w:rsidRPr="00FC6EF2">
        <w:rPr>
          <w:rFonts w:eastAsia="Arial"/>
          <w:color w:val="000000" w:themeColor="text1"/>
        </w:rPr>
        <w:t xml:space="preserve">to take </w:t>
      </w:r>
      <w:r w:rsidRPr="00FC6EF2">
        <w:rPr>
          <w:rFonts w:eastAsia="Arial"/>
          <w:color w:val="000000" w:themeColor="text1"/>
        </w:rPr>
        <w:t>the</w:t>
      </w:r>
      <w:r w:rsidR="07306844" w:rsidRPr="00FC6EF2">
        <w:rPr>
          <w:rFonts w:eastAsia="Arial"/>
          <w:color w:val="000000" w:themeColor="text1"/>
        </w:rPr>
        <w:t xml:space="preserve"> California Science Test</w:t>
      </w:r>
      <w:r w:rsidRPr="00FC6EF2">
        <w:rPr>
          <w:rFonts w:eastAsia="Arial"/>
          <w:color w:val="000000" w:themeColor="text1"/>
        </w:rPr>
        <w:t xml:space="preserve"> </w:t>
      </w:r>
      <w:r w:rsidR="07306844" w:rsidRPr="00FC6EF2">
        <w:rPr>
          <w:rFonts w:eastAsia="Arial"/>
          <w:color w:val="000000" w:themeColor="text1"/>
        </w:rPr>
        <w:t>(</w:t>
      </w:r>
      <w:r w:rsidRPr="00FC6EF2">
        <w:rPr>
          <w:rFonts w:eastAsia="Arial"/>
          <w:color w:val="000000" w:themeColor="text1"/>
        </w:rPr>
        <w:t>CAST</w:t>
      </w:r>
      <w:r w:rsidR="07306844" w:rsidRPr="00FC6EF2">
        <w:rPr>
          <w:rFonts w:eastAsia="Arial"/>
          <w:color w:val="000000" w:themeColor="text1"/>
        </w:rPr>
        <w:t>)</w:t>
      </w:r>
      <w:r w:rsidRPr="00FC6EF2">
        <w:rPr>
          <w:rFonts w:eastAsia="Arial"/>
          <w:color w:val="000000" w:themeColor="text1"/>
        </w:rPr>
        <w:t xml:space="preserve"> or </w:t>
      </w:r>
      <w:r w:rsidR="493E5673" w:rsidRPr="00FC6EF2">
        <w:rPr>
          <w:rFonts w:eastAsia="Arial"/>
          <w:color w:val="000000" w:themeColor="text1"/>
        </w:rPr>
        <w:t xml:space="preserve">eligible for </w:t>
      </w:r>
      <w:r w:rsidRPr="00FC6EF2">
        <w:rPr>
          <w:rFonts w:eastAsia="Arial"/>
          <w:color w:val="000000" w:themeColor="text1"/>
        </w:rPr>
        <w:t>any of the C</w:t>
      </w:r>
      <w:r w:rsidR="7A122024" w:rsidRPr="00FC6EF2">
        <w:rPr>
          <w:rFonts w:eastAsia="Arial"/>
          <w:color w:val="000000" w:themeColor="text1"/>
        </w:rPr>
        <w:t>AAs</w:t>
      </w:r>
      <w:r w:rsidRPr="00FC6EF2">
        <w:rPr>
          <w:rFonts w:eastAsia="Arial"/>
          <w:color w:val="000000" w:themeColor="text1"/>
        </w:rPr>
        <w:t xml:space="preserve"> w</w:t>
      </w:r>
      <w:r w:rsidR="493E5673" w:rsidRPr="00FC6EF2">
        <w:rPr>
          <w:rFonts w:eastAsia="Arial"/>
          <w:color w:val="000000" w:themeColor="text1"/>
        </w:rPr>
        <w:t>ould</w:t>
      </w:r>
      <w:r w:rsidRPr="00FC6EF2">
        <w:rPr>
          <w:rFonts w:eastAsia="Arial"/>
          <w:color w:val="000000" w:themeColor="text1"/>
        </w:rPr>
        <w:t xml:space="preserve"> not </w:t>
      </w:r>
      <w:r w:rsidR="493E5673" w:rsidRPr="00FC6EF2">
        <w:rPr>
          <w:rFonts w:eastAsia="Arial"/>
          <w:color w:val="000000" w:themeColor="text1"/>
        </w:rPr>
        <w:t>be administered</w:t>
      </w:r>
      <w:r w:rsidRPr="00FC6EF2">
        <w:rPr>
          <w:rFonts w:eastAsia="Arial"/>
          <w:color w:val="000000" w:themeColor="text1"/>
        </w:rPr>
        <w:t xml:space="preserve"> a local assessment. Due to the importance of an in-person test examiner in the administration of </w:t>
      </w:r>
      <w:r w:rsidR="22958A29" w:rsidRPr="00FC6EF2">
        <w:rPr>
          <w:rFonts w:eastAsia="Arial"/>
          <w:color w:val="000000" w:themeColor="text1"/>
        </w:rPr>
        <w:t>the CAAs</w:t>
      </w:r>
      <w:r w:rsidRPr="00FC6EF2">
        <w:rPr>
          <w:rFonts w:eastAsia="Arial"/>
          <w:color w:val="000000" w:themeColor="text1"/>
        </w:rPr>
        <w:t xml:space="preserve">, schools were not </w:t>
      </w:r>
      <w:r w:rsidR="22252701" w:rsidRPr="00FC6EF2">
        <w:rPr>
          <w:rFonts w:eastAsia="Arial"/>
          <w:color w:val="000000" w:themeColor="text1"/>
        </w:rPr>
        <w:t xml:space="preserve">permitted </w:t>
      </w:r>
      <w:r w:rsidRPr="00FC6EF2">
        <w:rPr>
          <w:rFonts w:eastAsia="Arial"/>
          <w:color w:val="000000" w:themeColor="text1"/>
        </w:rPr>
        <w:t>to administer any alternate assessments in a remote administration.</w:t>
      </w:r>
    </w:p>
    <w:p w14:paraId="6179614E" w14:textId="742BE5DE" w:rsidR="0704EF8F" w:rsidRPr="00FC6EF2" w:rsidRDefault="0704EF8F" w:rsidP="43EE78E1">
      <w:pPr>
        <w:spacing w:after="240"/>
        <w:rPr>
          <w:rFonts w:eastAsia="Arial" w:cs="Arial"/>
          <w:color w:val="000000" w:themeColor="text1"/>
        </w:rPr>
      </w:pPr>
      <w:r w:rsidRPr="00FC6EF2">
        <w:rPr>
          <w:rFonts w:eastAsia="Arial" w:cs="Arial"/>
          <w:color w:val="000000" w:themeColor="text1"/>
        </w:rPr>
        <w:t xml:space="preserve">In September 2020, </w:t>
      </w:r>
      <w:r w:rsidR="00AD6F19" w:rsidRPr="00FC6EF2">
        <w:rPr>
          <w:rFonts w:eastAsia="Arial" w:cs="Arial"/>
          <w:color w:val="000000" w:themeColor="text1"/>
        </w:rPr>
        <w:t>the SBE authorized CDE to</w:t>
      </w:r>
      <w:r w:rsidRPr="00FC6EF2">
        <w:rPr>
          <w:rFonts w:eastAsia="Arial" w:cs="Arial"/>
          <w:color w:val="000000" w:themeColor="text1"/>
        </w:rPr>
        <w:t xml:space="preserve"> </w:t>
      </w:r>
      <w:r w:rsidR="004B5265" w:rsidRPr="00FC6EF2">
        <w:rPr>
          <w:rFonts w:eastAsia="Arial" w:cs="Arial"/>
          <w:color w:val="000000" w:themeColor="text1"/>
        </w:rPr>
        <w:t>submit to ED</w:t>
      </w:r>
      <w:r w:rsidRPr="00FC6EF2">
        <w:rPr>
          <w:rFonts w:eastAsia="Arial" w:cs="Arial"/>
          <w:color w:val="000000" w:themeColor="text1"/>
        </w:rPr>
        <w:t xml:space="preserve"> a waiver </w:t>
      </w:r>
      <w:r w:rsidR="6AAD9342" w:rsidRPr="00FC6EF2">
        <w:rPr>
          <w:rFonts w:eastAsia="Arial"/>
        </w:rPr>
        <w:t xml:space="preserve">of </w:t>
      </w:r>
      <w:r w:rsidR="228105CE" w:rsidRPr="00FC6EF2">
        <w:rPr>
          <w:rFonts w:eastAsia="Arial"/>
        </w:rPr>
        <w:t xml:space="preserve">the requirement to assess less than </w:t>
      </w:r>
      <w:r w:rsidR="76EBE241" w:rsidRPr="00FC6EF2">
        <w:rPr>
          <w:rFonts w:eastAsia="Arial"/>
        </w:rPr>
        <w:t>1.0</w:t>
      </w:r>
      <w:r w:rsidR="228105CE" w:rsidRPr="00FC6EF2">
        <w:rPr>
          <w:rFonts w:eastAsia="Arial"/>
        </w:rPr>
        <w:t xml:space="preserve"> percent of </w:t>
      </w:r>
      <w:r w:rsidR="1B5DB174" w:rsidRPr="00FC6EF2">
        <w:rPr>
          <w:rFonts w:eastAsia="Arial"/>
        </w:rPr>
        <w:t xml:space="preserve">eligible </w:t>
      </w:r>
      <w:r w:rsidR="228105CE" w:rsidRPr="00FC6EF2">
        <w:rPr>
          <w:rFonts w:eastAsia="Arial"/>
        </w:rPr>
        <w:t xml:space="preserve">students with an </w:t>
      </w:r>
      <w:r w:rsidR="664526F6" w:rsidRPr="00FC6EF2">
        <w:rPr>
          <w:rFonts w:eastAsia="Arial"/>
        </w:rPr>
        <w:t>alternate assessment</w:t>
      </w:r>
      <w:r w:rsidR="228105CE" w:rsidRPr="00FC6EF2">
        <w:rPr>
          <w:rFonts w:eastAsia="Arial"/>
        </w:rPr>
        <w:t xml:space="preserve"> </w:t>
      </w:r>
      <w:r w:rsidR="732921F8" w:rsidRPr="00FC6EF2">
        <w:rPr>
          <w:rFonts w:eastAsia="Arial"/>
        </w:rPr>
        <w:t xml:space="preserve">for </w:t>
      </w:r>
      <w:r w:rsidR="7BABBE6C" w:rsidRPr="00FC6EF2">
        <w:rPr>
          <w:rFonts w:eastAsia="Arial"/>
        </w:rPr>
        <w:t>ELA</w:t>
      </w:r>
      <w:r w:rsidR="732921F8" w:rsidRPr="00FC6EF2">
        <w:rPr>
          <w:rFonts w:eastAsia="Arial"/>
        </w:rPr>
        <w:t xml:space="preserve">, mathematics, and science </w:t>
      </w:r>
      <w:r w:rsidR="228105CE" w:rsidRPr="00FC6EF2">
        <w:rPr>
          <w:rFonts w:eastAsia="Arial"/>
        </w:rPr>
        <w:t xml:space="preserve">for the 2020–21 administration. </w:t>
      </w:r>
      <w:r w:rsidR="00245BD1" w:rsidRPr="00FC6EF2">
        <w:rPr>
          <w:rFonts w:eastAsia="Arial"/>
        </w:rPr>
        <w:t xml:space="preserve">The </w:t>
      </w:r>
      <w:r w:rsidR="00F82EFB" w:rsidRPr="00FC6EF2">
        <w:rPr>
          <w:rFonts w:eastAsia="Arial"/>
        </w:rPr>
        <w:t xml:space="preserve">waiver was submitted in November 2020. </w:t>
      </w:r>
      <w:r w:rsidR="228105CE" w:rsidRPr="00FC6EF2">
        <w:rPr>
          <w:rFonts w:eastAsia="Arial"/>
        </w:rPr>
        <w:t xml:space="preserve">In January 2021, </w:t>
      </w:r>
      <w:r w:rsidR="0045021F" w:rsidRPr="00FC6EF2">
        <w:rPr>
          <w:rFonts w:eastAsia="Arial"/>
        </w:rPr>
        <w:t xml:space="preserve">the </w:t>
      </w:r>
      <w:r w:rsidR="228105CE" w:rsidRPr="00FC6EF2">
        <w:rPr>
          <w:rFonts w:eastAsia="Arial"/>
        </w:rPr>
        <w:t>ED denied this waiver request</w:t>
      </w:r>
      <w:r w:rsidRPr="00FC6EF2">
        <w:rPr>
          <w:rFonts w:eastAsia="Arial" w:cs="Arial"/>
          <w:color w:val="000000" w:themeColor="text1"/>
        </w:rPr>
        <w:t xml:space="preserve"> due to California</w:t>
      </w:r>
      <w:r w:rsidR="008503E5" w:rsidRPr="00FC6EF2">
        <w:rPr>
          <w:rFonts w:eastAsia="Arial" w:cs="Arial"/>
          <w:color w:val="000000" w:themeColor="text1"/>
        </w:rPr>
        <w:t>’s</w:t>
      </w:r>
      <w:r w:rsidRPr="00FC6EF2">
        <w:rPr>
          <w:rFonts w:eastAsia="Arial" w:cs="Arial"/>
          <w:color w:val="000000" w:themeColor="text1"/>
        </w:rPr>
        <w:t xml:space="preserve"> not </w:t>
      </w:r>
      <w:r w:rsidR="00021B68" w:rsidRPr="00FC6EF2">
        <w:rPr>
          <w:rFonts w:eastAsia="Arial" w:cs="Arial"/>
          <w:color w:val="000000" w:themeColor="text1"/>
        </w:rPr>
        <w:t xml:space="preserve">having </w:t>
      </w:r>
      <w:r w:rsidRPr="00FC6EF2">
        <w:rPr>
          <w:rFonts w:eastAsia="Arial" w:cs="Arial"/>
          <w:color w:val="000000" w:themeColor="text1"/>
        </w:rPr>
        <w:t>demonstrat</w:t>
      </w:r>
      <w:r w:rsidR="00021B68" w:rsidRPr="00FC6EF2">
        <w:rPr>
          <w:rFonts w:eastAsia="Arial" w:cs="Arial"/>
          <w:color w:val="000000" w:themeColor="text1"/>
        </w:rPr>
        <w:t>ed</w:t>
      </w:r>
      <w:r w:rsidRPr="00FC6EF2">
        <w:rPr>
          <w:rFonts w:eastAsia="Arial" w:cs="Arial"/>
          <w:color w:val="000000" w:themeColor="text1"/>
        </w:rPr>
        <w:t xml:space="preserve"> that it assessed 95</w:t>
      </w:r>
      <w:r w:rsidR="72E4272B" w:rsidRPr="00FC6EF2">
        <w:rPr>
          <w:rFonts w:eastAsia="Arial" w:cs="Arial"/>
          <w:color w:val="000000" w:themeColor="text1"/>
        </w:rPr>
        <w:t xml:space="preserve"> percent</w:t>
      </w:r>
      <w:r w:rsidRPr="00FC6EF2">
        <w:rPr>
          <w:rFonts w:eastAsia="Arial" w:cs="Arial"/>
          <w:color w:val="000000" w:themeColor="text1"/>
        </w:rPr>
        <w:t xml:space="preserve"> of all students in science and 95</w:t>
      </w:r>
      <w:r w:rsidR="72E4272B" w:rsidRPr="00FC6EF2">
        <w:rPr>
          <w:rFonts w:eastAsia="Arial" w:cs="Arial"/>
          <w:color w:val="000000" w:themeColor="text1"/>
        </w:rPr>
        <w:t xml:space="preserve"> percent</w:t>
      </w:r>
      <w:r w:rsidR="65D44BBF" w:rsidRPr="00FC6EF2">
        <w:rPr>
          <w:rFonts w:eastAsia="Arial" w:cs="Arial"/>
          <w:color w:val="000000" w:themeColor="text1"/>
        </w:rPr>
        <w:t xml:space="preserve"> of </w:t>
      </w:r>
      <w:r w:rsidRPr="00FC6EF2">
        <w:rPr>
          <w:rFonts w:eastAsia="Arial" w:cs="Arial"/>
          <w:color w:val="000000" w:themeColor="text1"/>
        </w:rPr>
        <w:t>students with disabilities</w:t>
      </w:r>
      <w:r w:rsidR="65D44BBF" w:rsidRPr="00FC6EF2">
        <w:rPr>
          <w:rFonts w:eastAsia="Arial" w:cs="Arial"/>
          <w:color w:val="000000" w:themeColor="text1"/>
        </w:rPr>
        <w:t xml:space="preserve"> </w:t>
      </w:r>
      <w:r w:rsidRPr="00FC6EF2">
        <w:rPr>
          <w:rFonts w:eastAsia="Arial" w:cs="Arial"/>
          <w:color w:val="000000" w:themeColor="text1"/>
        </w:rPr>
        <w:t>in ELA, mathematics, and science in 2018–19</w:t>
      </w:r>
      <w:r w:rsidR="53F8B4B9" w:rsidRPr="00FC6EF2">
        <w:rPr>
          <w:rFonts w:eastAsia="Arial" w:cs="Arial"/>
          <w:color w:val="000000" w:themeColor="text1"/>
        </w:rPr>
        <w:t>.</w:t>
      </w:r>
      <w:r w:rsidR="55E3DAE6" w:rsidRPr="00FC6EF2">
        <w:rPr>
          <w:rFonts w:eastAsia="Arial" w:cs="Arial"/>
          <w:color w:val="000000" w:themeColor="text1"/>
        </w:rPr>
        <w:t xml:space="preserve"> </w:t>
      </w:r>
    </w:p>
    <w:p w14:paraId="3285C487" w14:textId="77777777" w:rsidR="00E16594" w:rsidRPr="00FC6EF2" w:rsidRDefault="00E16594" w:rsidP="008171F4">
      <w:pPr>
        <w:pStyle w:val="Heading3"/>
      </w:pPr>
      <w:r w:rsidRPr="00FC6EF2">
        <w:t>The 95 Percent Participation Rate</w:t>
      </w:r>
    </w:p>
    <w:p w14:paraId="50D13121" w14:textId="4CD2218E" w:rsidR="00E16594" w:rsidRPr="00FC6EF2" w:rsidRDefault="6F401E03" w:rsidP="003C5669">
      <w:pPr>
        <w:spacing w:after="240"/>
        <w:rPr>
          <w:rFonts w:eastAsia="Arial"/>
          <w:color w:val="000000" w:themeColor="text1"/>
        </w:rPr>
      </w:pPr>
      <w:r w:rsidRPr="00FC6EF2">
        <w:rPr>
          <w:rFonts w:eastAsia="Arial"/>
          <w:color w:val="000000" w:themeColor="text1"/>
        </w:rPr>
        <w:t xml:space="preserve">Per 34 </w:t>
      </w:r>
      <w:r w:rsidRPr="00FC6EF2">
        <w:rPr>
          <w:rFonts w:eastAsia="Arial"/>
          <w:i/>
          <w:iCs/>
          <w:color w:val="000000" w:themeColor="text1"/>
        </w:rPr>
        <w:t>CFR</w:t>
      </w:r>
      <w:r w:rsidRPr="00FC6EF2">
        <w:rPr>
          <w:rFonts w:eastAsia="Arial"/>
          <w:color w:val="000000" w:themeColor="text1"/>
        </w:rPr>
        <w:t xml:space="preserve"> </w:t>
      </w:r>
      <w:r w:rsidR="13F7D3B9" w:rsidRPr="00FC6EF2">
        <w:rPr>
          <w:rFonts w:eastAsia="Arial"/>
          <w:color w:val="000000" w:themeColor="text1"/>
        </w:rPr>
        <w:t xml:space="preserve">Section </w:t>
      </w:r>
      <w:r w:rsidRPr="00FC6EF2">
        <w:rPr>
          <w:rFonts w:eastAsia="Arial"/>
          <w:color w:val="000000" w:themeColor="text1"/>
        </w:rPr>
        <w:t>200.6(c)(4)(ii)(B), f</w:t>
      </w:r>
      <w:r w:rsidR="0828AA7D" w:rsidRPr="00FC6EF2">
        <w:rPr>
          <w:rFonts w:eastAsia="Arial"/>
          <w:color w:val="000000" w:themeColor="text1"/>
        </w:rPr>
        <w:t xml:space="preserve">or a </w:t>
      </w:r>
      <w:r w:rsidR="704F7DCA" w:rsidRPr="00FC6EF2">
        <w:rPr>
          <w:rFonts w:eastAsia="Arial"/>
          <w:color w:val="000000" w:themeColor="text1"/>
        </w:rPr>
        <w:t>s</w:t>
      </w:r>
      <w:r w:rsidR="0828AA7D" w:rsidRPr="00FC6EF2">
        <w:rPr>
          <w:rFonts w:eastAsia="Arial"/>
          <w:color w:val="000000" w:themeColor="text1"/>
        </w:rPr>
        <w:t xml:space="preserve">tate to be eligible </w:t>
      </w:r>
      <w:r w:rsidR="0843C234" w:rsidRPr="00FC6EF2">
        <w:rPr>
          <w:rFonts w:eastAsia="Arial"/>
          <w:color w:val="000000" w:themeColor="text1"/>
        </w:rPr>
        <w:t xml:space="preserve">to apply </w:t>
      </w:r>
      <w:r w:rsidR="0828AA7D" w:rsidRPr="00FC6EF2">
        <w:rPr>
          <w:rFonts w:eastAsia="Arial"/>
          <w:color w:val="000000" w:themeColor="text1"/>
        </w:rPr>
        <w:t xml:space="preserve">for a </w:t>
      </w:r>
      <w:r w:rsidR="006A49A8" w:rsidRPr="00FC6EF2">
        <w:rPr>
          <w:rFonts w:eastAsia="Arial"/>
          <w:color w:val="000000" w:themeColor="text1"/>
        </w:rPr>
        <w:t>waiver of the</w:t>
      </w:r>
      <w:r w:rsidR="0828AA7D" w:rsidRPr="00FC6EF2">
        <w:rPr>
          <w:rFonts w:eastAsia="Arial"/>
          <w:color w:val="000000" w:themeColor="text1"/>
        </w:rPr>
        <w:t xml:space="preserve"> 1.0 percent </w:t>
      </w:r>
      <w:r w:rsidR="006A49A8" w:rsidRPr="00FC6EF2">
        <w:rPr>
          <w:rFonts w:eastAsia="Arial"/>
          <w:color w:val="000000" w:themeColor="text1"/>
        </w:rPr>
        <w:t xml:space="preserve">cap on </w:t>
      </w:r>
      <w:r w:rsidR="438ACFD8" w:rsidRPr="00FC6EF2">
        <w:rPr>
          <w:rFonts w:eastAsia="Arial"/>
          <w:color w:val="000000" w:themeColor="text1"/>
        </w:rPr>
        <w:t>alternate assessment</w:t>
      </w:r>
      <w:r w:rsidR="0843C234" w:rsidRPr="00FC6EF2">
        <w:rPr>
          <w:rFonts w:eastAsia="Arial"/>
          <w:color w:val="000000" w:themeColor="text1"/>
        </w:rPr>
        <w:t xml:space="preserve"> from </w:t>
      </w:r>
      <w:r w:rsidR="00A17720" w:rsidRPr="00FC6EF2">
        <w:rPr>
          <w:rFonts w:eastAsia="Arial"/>
          <w:color w:val="000000" w:themeColor="text1"/>
        </w:rPr>
        <w:t xml:space="preserve">the </w:t>
      </w:r>
      <w:r w:rsidR="0843C234" w:rsidRPr="00FC6EF2">
        <w:rPr>
          <w:rFonts w:eastAsia="Arial"/>
          <w:color w:val="000000" w:themeColor="text1"/>
        </w:rPr>
        <w:t>ED</w:t>
      </w:r>
      <w:r w:rsidR="0828AA7D" w:rsidRPr="00FC6EF2">
        <w:rPr>
          <w:rFonts w:eastAsia="Arial"/>
          <w:color w:val="000000" w:themeColor="text1"/>
        </w:rPr>
        <w:t xml:space="preserve">, it must have assessed at least 95 percent of all students enrolled and 95 percent of </w:t>
      </w:r>
      <w:r w:rsidR="0843C234" w:rsidRPr="00FC6EF2">
        <w:rPr>
          <w:rFonts w:eastAsia="Arial"/>
          <w:color w:val="000000" w:themeColor="text1"/>
        </w:rPr>
        <w:t xml:space="preserve">eligible students </w:t>
      </w:r>
      <w:r w:rsidR="0828AA7D" w:rsidRPr="00FC6EF2">
        <w:rPr>
          <w:rFonts w:eastAsia="Arial"/>
          <w:color w:val="000000" w:themeColor="text1"/>
        </w:rPr>
        <w:t xml:space="preserve">with disabilities in the previous year. </w:t>
      </w:r>
      <w:r w:rsidR="589BBAA1" w:rsidRPr="00FC6EF2">
        <w:rPr>
          <w:rFonts w:eastAsia="Arial"/>
          <w:color w:val="000000" w:themeColor="text1"/>
        </w:rPr>
        <w:t xml:space="preserve">CAASPP testing participation in 2020–21 was significantly lower than in 2018–19. Less than 25 percent of students completed the </w:t>
      </w:r>
      <w:r w:rsidR="571CC70C" w:rsidRPr="00FC6EF2">
        <w:rPr>
          <w:rFonts w:eastAsia="Arial"/>
          <w:color w:val="000000" w:themeColor="text1"/>
        </w:rPr>
        <w:t xml:space="preserve">Smarter Balanced </w:t>
      </w:r>
      <w:r w:rsidR="11D333A1" w:rsidRPr="00FC6EF2">
        <w:rPr>
          <w:rFonts w:eastAsia="Arial"/>
          <w:color w:val="000000" w:themeColor="text1"/>
        </w:rPr>
        <w:t>s</w:t>
      </w:r>
      <w:r w:rsidR="571CC70C" w:rsidRPr="00FC6EF2">
        <w:rPr>
          <w:rFonts w:eastAsia="Arial"/>
          <w:color w:val="000000" w:themeColor="text1"/>
        </w:rPr>
        <w:t xml:space="preserve">ummative </w:t>
      </w:r>
      <w:r w:rsidR="11D333A1" w:rsidRPr="00FC6EF2">
        <w:rPr>
          <w:rFonts w:eastAsia="Arial"/>
          <w:color w:val="000000" w:themeColor="text1"/>
        </w:rPr>
        <w:t>a</w:t>
      </w:r>
      <w:r w:rsidR="571CC70C" w:rsidRPr="00FC6EF2">
        <w:rPr>
          <w:rFonts w:eastAsia="Arial"/>
          <w:color w:val="000000" w:themeColor="text1"/>
        </w:rPr>
        <w:t>ssessment</w:t>
      </w:r>
      <w:r w:rsidR="0843C234" w:rsidRPr="00FC6EF2">
        <w:rPr>
          <w:rFonts w:eastAsia="Arial"/>
          <w:color w:val="000000" w:themeColor="text1"/>
        </w:rPr>
        <w:t>s</w:t>
      </w:r>
      <w:r w:rsidR="589BBAA1" w:rsidRPr="00FC6EF2">
        <w:rPr>
          <w:rFonts w:eastAsia="Arial"/>
          <w:color w:val="000000" w:themeColor="text1"/>
        </w:rPr>
        <w:t xml:space="preserve">. </w:t>
      </w:r>
      <w:r w:rsidR="11ED03A2" w:rsidRPr="00FC6EF2">
        <w:rPr>
          <w:rFonts w:ascii="Tahoma" w:eastAsia="Arial" w:hAnsi="Tahoma" w:cs="Tahoma"/>
          <w:color w:val="000000" w:themeColor="text1"/>
        </w:rPr>
        <w:t xml:space="preserve">That low percentage </w:t>
      </w:r>
      <w:r w:rsidR="732F43E0" w:rsidRPr="00FC6EF2">
        <w:rPr>
          <w:rFonts w:ascii="Tahoma" w:eastAsia="Arial" w:hAnsi="Tahoma" w:cs="Tahoma"/>
          <w:color w:val="000000" w:themeColor="text1"/>
        </w:rPr>
        <w:t>wa</w:t>
      </w:r>
      <w:r w:rsidR="11ED03A2" w:rsidRPr="00FC6EF2">
        <w:rPr>
          <w:rFonts w:ascii="Tahoma" w:eastAsia="Arial" w:hAnsi="Tahoma" w:cs="Tahoma"/>
          <w:color w:val="000000" w:themeColor="text1"/>
        </w:rPr>
        <w:t>s</w:t>
      </w:r>
      <w:r w:rsidR="589BBAA1" w:rsidRPr="00FC6EF2">
        <w:rPr>
          <w:rFonts w:eastAsia="Arial"/>
          <w:color w:val="000000" w:themeColor="text1"/>
        </w:rPr>
        <w:t xml:space="preserve"> due </w:t>
      </w:r>
      <w:r w:rsidR="11ED03A2" w:rsidRPr="00FC6EF2">
        <w:rPr>
          <w:rFonts w:eastAsia="Arial"/>
          <w:color w:val="000000" w:themeColor="text1"/>
        </w:rPr>
        <w:t>i</w:t>
      </w:r>
      <w:r w:rsidR="732F43E0" w:rsidRPr="00FC6EF2">
        <w:rPr>
          <w:rFonts w:eastAsia="Arial"/>
          <w:color w:val="000000" w:themeColor="text1"/>
        </w:rPr>
        <w:t>n</w:t>
      </w:r>
      <w:r w:rsidR="11ED03A2" w:rsidRPr="00FC6EF2">
        <w:rPr>
          <w:rFonts w:eastAsia="Arial"/>
          <w:color w:val="000000" w:themeColor="text1"/>
        </w:rPr>
        <w:t xml:space="preserve"> great part </w:t>
      </w:r>
      <w:r w:rsidR="589BBAA1" w:rsidRPr="00FC6EF2">
        <w:rPr>
          <w:rFonts w:eastAsia="Arial"/>
          <w:color w:val="000000" w:themeColor="text1"/>
        </w:rPr>
        <w:t xml:space="preserve">to the significant number of schools </w:t>
      </w:r>
      <w:r w:rsidR="732F43E0" w:rsidRPr="00FC6EF2">
        <w:rPr>
          <w:rFonts w:eastAsia="Arial"/>
          <w:color w:val="000000" w:themeColor="text1"/>
        </w:rPr>
        <w:t>that</w:t>
      </w:r>
      <w:r w:rsidR="46588DDD" w:rsidRPr="00FC6EF2">
        <w:rPr>
          <w:rFonts w:eastAsia="Arial"/>
          <w:color w:val="000000" w:themeColor="text1"/>
        </w:rPr>
        <w:t xml:space="preserve"> </w:t>
      </w:r>
      <w:r w:rsidR="589BBAA1" w:rsidRPr="00FC6EF2">
        <w:rPr>
          <w:rFonts w:eastAsia="Arial"/>
          <w:color w:val="000000" w:themeColor="text1"/>
        </w:rPr>
        <w:t>assess</w:t>
      </w:r>
      <w:r w:rsidR="1A1A6D22" w:rsidRPr="00FC6EF2">
        <w:rPr>
          <w:rFonts w:eastAsia="Arial"/>
          <w:color w:val="000000" w:themeColor="text1"/>
        </w:rPr>
        <w:t>ed</w:t>
      </w:r>
      <w:r w:rsidR="589BBAA1" w:rsidRPr="00FC6EF2">
        <w:rPr>
          <w:rFonts w:eastAsia="Arial"/>
          <w:color w:val="000000" w:themeColor="text1"/>
        </w:rPr>
        <w:t xml:space="preserve"> students in ELA and mathematics </w:t>
      </w:r>
      <w:r w:rsidR="589BBAA1" w:rsidRPr="00FC6EF2">
        <w:rPr>
          <w:rFonts w:eastAsia="Arial"/>
          <w:color w:val="000000" w:themeColor="text1"/>
        </w:rPr>
        <w:lastRenderedPageBreak/>
        <w:t xml:space="preserve">with a local assessment where administration of the Smarter Balanced </w:t>
      </w:r>
      <w:r w:rsidR="11D333A1" w:rsidRPr="00FC6EF2">
        <w:rPr>
          <w:rFonts w:eastAsia="Arial"/>
          <w:color w:val="000000" w:themeColor="text1"/>
        </w:rPr>
        <w:t>s</w:t>
      </w:r>
      <w:r w:rsidR="589BBAA1" w:rsidRPr="00FC6EF2">
        <w:rPr>
          <w:rFonts w:eastAsia="Arial"/>
          <w:color w:val="000000" w:themeColor="text1"/>
        </w:rPr>
        <w:t xml:space="preserve">ummative </w:t>
      </w:r>
      <w:r w:rsidR="11D333A1" w:rsidRPr="00FC6EF2">
        <w:rPr>
          <w:rFonts w:eastAsia="Arial"/>
          <w:color w:val="000000" w:themeColor="text1"/>
        </w:rPr>
        <w:t>a</w:t>
      </w:r>
      <w:r w:rsidR="589BBAA1" w:rsidRPr="00FC6EF2">
        <w:rPr>
          <w:rFonts w:eastAsia="Arial"/>
          <w:color w:val="000000" w:themeColor="text1"/>
        </w:rPr>
        <w:t xml:space="preserve">ssessments was not </w:t>
      </w:r>
      <w:r w:rsidR="5A914A6C" w:rsidRPr="00FC6EF2">
        <w:rPr>
          <w:rFonts w:eastAsia="Arial"/>
          <w:color w:val="000000" w:themeColor="text1"/>
        </w:rPr>
        <w:t xml:space="preserve">considered </w:t>
      </w:r>
      <w:r w:rsidR="589BBAA1" w:rsidRPr="00FC6EF2">
        <w:rPr>
          <w:rFonts w:eastAsia="Arial"/>
          <w:color w:val="000000" w:themeColor="text1"/>
        </w:rPr>
        <w:t xml:space="preserve">viable. </w:t>
      </w:r>
    </w:p>
    <w:p w14:paraId="0A6280FC" w14:textId="742A8B3C" w:rsidR="00E16594" w:rsidRPr="00FC6EF2" w:rsidRDefault="14944ADB" w:rsidP="003C5669">
      <w:pPr>
        <w:spacing w:after="240"/>
        <w:rPr>
          <w:rFonts w:eastAsia="Arial"/>
          <w:color w:val="000000" w:themeColor="text1"/>
        </w:rPr>
      </w:pPr>
      <w:r w:rsidRPr="00FC6EF2">
        <w:rPr>
          <w:rFonts w:eastAsia="Arial"/>
          <w:color w:val="000000" w:themeColor="text1"/>
        </w:rPr>
        <w:t>In its memo</w:t>
      </w:r>
      <w:r w:rsidR="00C51338" w:rsidRPr="00FC6EF2">
        <w:rPr>
          <w:rFonts w:eastAsia="Arial"/>
          <w:color w:val="000000" w:themeColor="text1"/>
        </w:rPr>
        <w:t>randum</w:t>
      </w:r>
      <w:r w:rsidRPr="00FC6EF2">
        <w:rPr>
          <w:rFonts w:eastAsia="Arial"/>
          <w:color w:val="000000" w:themeColor="text1"/>
        </w:rPr>
        <w:t xml:space="preserve"> d</w:t>
      </w:r>
      <w:r w:rsidR="3C849028" w:rsidRPr="00FC6EF2">
        <w:rPr>
          <w:rFonts w:eastAsia="Arial"/>
          <w:color w:val="000000" w:themeColor="text1"/>
        </w:rPr>
        <w:t>ated</w:t>
      </w:r>
      <w:r w:rsidRPr="00FC6EF2">
        <w:rPr>
          <w:rFonts w:eastAsia="Arial"/>
          <w:color w:val="000000" w:themeColor="text1"/>
        </w:rPr>
        <w:t xml:space="preserve"> October 29, 2021, the ED acknowledged that, due to COVID-related testing disruptions, many states might not be able to meet the 95 percent participation requirement. Therefore, the ED </w:t>
      </w:r>
      <w:r w:rsidR="058F0CBD" w:rsidRPr="00FC6EF2">
        <w:rPr>
          <w:rFonts w:eastAsia="Arial"/>
          <w:color w:val="000000" w:themeColor="text1"/>
        </w:rPr>
        <w:t xml:space="preserve">has </w:t>
      </w:r>
      <w:r w:rsidRPr="00FC6EF2">
        <w:rPr>
          <w:rFonts w:eastAsia="Arial"/>
          <w:color w:val="000000" w:themeColor="text1"/>
        </w:rPr>
        <w:t xml:space="preserve">invited states to request a waiver </w:t>
      </w:r>
      <w:r w:rsidR="00C51338" w:rsidRPr="00FC6EF2">
        <w:rPr>
          <w:rFonts w:eastAsia="Arial"/>
          <w:color w:val="000000" w:themeColor="text1"/>
        </w:rPr>
        <w:t xml:space="preserve">of </w:t>
      </w:r>
      <w:r w:rsidRPr="00FC6EF2">
        <w:rPr>
          <w:rFonts w:eastAsia="Arial"/>
          <w:color w:val="000000" w:themeColor="text1"/>
        </w:rPr>
        <w:t xml:space="preserve">the 95 percent participation rate requirement. The </w:t>
      </w:r>
      <w:r w:rsidR="7F7317D7" w:rsidRPr="00FC6EF2">
        <w:rPr>
          <w:rFonts w:eastAsia="Arial"/>
          <w:color w:val="000000" w:themeColor="text1"/>
        </w:rPr>
        <w:t xml:space="preserve">ED </w:t>
      </w:r>
      <w:r w:rsidRPr="00FC6EF2">
        <w:rPr>
          <w:rFonts w:eastAsia="Arial"/>
          <w:color w:val="000000" w:themeColor="text1"/>
        </w:rPr>
        <w:t>memo</w:t>
      </w:r>
      <w:r w:rsidR="6362EF61" w:rsidRPr="00FC6EF2">
        <w:rPr>
          <w:rFonts w:eastAsia="Arial"/>
          <w:color w:val="000000" w:themeColor="text1"/>
        </w:rPr>
        <w:t>randum</w:t>
      </w:r>
      <w:r w:rsidRPr="00FC6EF2">
        <w:rPr>
          <w:rFonts w:eastAsia="Arial"/>
          <w:color w:val="000000" w:themeColor="text1"/>
        </w:rPr>
        <w:t xml:space="preserve"> is included as </w:t>
      </w:r>
      <w:r w:rsidR="11F4A603" w:rsidRPr="00FC6EF2">
        <w:rPr>
          <w:rFonts w:eastAsia="Arial"/>
          <w:color w:val="000000" w:themeColor="text1"/>
        </w:rPr>
        <w:t>A</w:t>
      </w:r>
      <w:r w:rsidRPr="00FC6EF2">
        <w:rPr>
          <w:rFonts w:eastAsia="Arial"/>
          <w:color w:val="000000" w:themeColor="text1"/>
        </w:rPr>
        <w:t xml:space="preserve">ttachment </w:t>
      </w:r>
      <w:r w:rsidR="13C7656D" w:rsidRPr="00FC6EF2">
        <w:rPr>
          <w:rFonts w:eastAsia="Arial"/>
          <w:color w:val="000000" w:themeColor="text1"/>
        </w:rPr>
        <w:t>2</w:t>
      </w:r>
      <w:r w:rsidRPr="00FC6EF2">
        <w:rPr>
          <w:rFonts w:eastAsia="Arial"/>
          <w:color w:val="000000" w:themeColor="text1"/>
        </w:rPr>
        <w:t>.</w:t>
      </w:r>
    </w:p>
    <w:p w14:paraId="57990D3C" w14:textId="77777777" w:rsidR="00E16594" w:rsidRPr="00FC6EF2" w:rsidRDefault="00E16594" w:rsidP="006F589B">
      <w:pPr>
        <w:pStyle w:val="Heading3"/>
        <w:rPr>
          <w:rFonts w:eastAsia="Arial"/>
        </w:rPr>
      </w:pPr>
      <w:r w:rsidRPr="00FC6EF2">
        <w:rPr>
          <w:rFonts w:eastAsia="Arial"/>
        </w:rPr>
        <w:t>Ninety-</w:t>
      </w:r>
      <w:r w:rsidR="006C2EE5" w:rsidRPr="00FC6EF2">
        <w:rPr>
          <w:rFonts w:eastAsia="Arial"/>
        </w:rPr>
        <w:t>D</w:t>
      </w:r>
      <w:r w:rsidRPr="00FC6EF2">
        <w:rPr>
          <w:rFonts w:eastAsia="Arial"/>
        </w:rPr>
        <w:t xml:space="preserve">ay Timeline for Request of </w:t>
      </w:r>
      <w:r w:rsidR="00846189" w:rsidRPr="00FC6EF2">
        <w:rPr>
          <w:rFonts w:eastAsia="Arial"/>
        </w:rPr>
        <w:t>t</w:t>
      </w:r>
      <w:r w:rsidRPr="00FC6EF2">
        <w:rPr>
          <w:rFonts w:eastAsia="Arial"/>
        </w:rPr>
        <w:t xml:space="preserve">he </w:t>
      </w:r>
      <w:r w:rsidR="00846189" w:rsidRPr="00FC6EF2">
        <w:rPr>
          <w:rFonts w:eastAsia="Arial"/>
        </w:rPr>
        <w:t xml:space="preserve">1 </w:t>
      </w:r>
      <w:r w:rsidRPr="00FC6EF2">
        <w:rPr>
          <w:rFonts w:eastAsia="Arial"/>
        </w:rPr>
        <w:t>Percent Waiver</w:t>
      </w:r>
    </w:p>
    <w:p w14:paraId="259D8D0B" w14:textId="07E10186" w:rsidR="00E16594" w:rsidRPr="00FC6EF2" w:rsidRDefault="51D3397A" w:rsidP="40EF3957">
      <w:pPr>
        <w:spacing w:after="240"/>
        <w:rPr>
          <w:rFonts w:eastAsia="Arial"/>
        </w:rPr>
      </w:pPr>
      <w:r w:rsidRPr="00FC6EF2">
        <w:rPr>
          <w:rFonts w:eastAsia="Arial"/>
        </w:rPr>
        <w:t xml:space="preserve">Per 34 </w:t>
      </w:r>
      <w:r w:rsidRPr="00FC6EF2">
        <w:rPr>
          <w:rFonts w:eastAsia="Arial"/>
          <w:i/>
          <w:iCs/>
        </w:rPr>
        <w:t>CFR</w:t>
      </w:r>
      <w:r w:rsidRPr="00FC6EF2">
        <w:rPr>
          <w:rFonts w:eastAsia="Arial"/>
        </w:rPr>
        <w:t xml:space="preserve"> </w:t>
      </w:r>
      <w:r w:rsidR="4DD93F36" w:rsidRPr="00FC6EF2">
        <w:rPr>
          <w:rFonts w:eastAsia="Arial"/>
        </w:rPr>
        <w:t>Section</w:t>
      </w:r>
      <w:r w:rsidRPr="00FC6EF2">
        <w:rPr>
          <w:rFonts w:eastAsia="Arial"/>
        </w:rPr>
        <w:t xml:space="preserve"> 200.6(c)(4)(i), the deadline from the ED for requesting a waiver of the requirement to assess less than </w:t>
      </w:r>
      <w:r w:rsidR="46937548" w:rsidRPr="00FC6EF2">
        <w:rPr>
          <w:rFonts w:eastAsia="Arial"/>
        </w:rPr>
        <w:t xml:space="preserve">1 </w:t>
      </w:r>
      <w:r w:rsidRPr="00FC6EF2">
        <w:rPr>
          <w:rFonts w:eastAsia="Arial"/>
        </w:rPr>
        <w:t xml:space="preserve">percent of students with an alternate assessment is </w:t>
      </w:r>
      <w:r w:rsidR="46937548" w:rsidRPr="00FC6EF2">
        <w:rPr>
          <w:rFonts w:eastAsia="Arial"/>
        </w:rPr>
        <w:t xml:space="preserve">90 </w:t>
      </w:r>
      <w:r w:rsidRPr="00FC6EF2">
        <w:rPr>
          <w:rFonts w:eastAsia="Arial"/>
        </w:rPr>
        <w:t xml:space="preserve">days prior to the beginning of testing. </w:t>
      </w:r>
      <w:r w:rsidR="46937548" w:rsidRPr="00FC6EF2">
        <w:rPr>
          <w:rFonts w:eastAsia="Arial"/>
        </w:rPr>
        <w:t>Because</w:t>
      </w:r>
      <w:r w:rsidRPr="00FC6EF2">
        <w:rPr>
          <w:rFonts w:eastAsia="Arial"/>
        </w:rPr>
        <w:t xml:space="preserve"> the testing window for the CAASPP has already begun, the CDE </w:t>
      </w:r>
      <w:r w:rsidR="1F383A63" w:rsidRPr="00FC6EF2">
        <w:rPr>
          <w:rFonts w:eastAsia="Arial"/>
        </w:rPr>
        <w:t>cannot</w:t>
      </w:r>
      <w:r w:rsidRPr="00FC6EF2">
        <w:rPr>
          <w:rFonts w:eastAsia="Arial"/>
        </w:rPr>
        <w:t xml:space="preserve"> </w:t>
      </w:r>
      <w:r w:rsidR="4D73505D" w:rsidRPr="00FC6EF2">
        <w:rPr>
          <w:rFonts w:eastAsia="Arial"/>
        </w:rPr>
        <w:t>meet the notification timeline</w:t>
      </w:r>
      <w:r w:rsidRPr="00FC6EF2">
        <w:rPr>
          <w:rFonts w:eastAsia="Arial"/>
        </w:rPr>
        <w:t>. For this reason, the CDE recommends</w:t>
      </w:r>
      <w:r w:rsidR="4D73505D" w:rsidRPr="00FC6EF2">
        <w:rPr>
          <w:rFonts w:eastAsia="Arial"/>
        </w:rPr>
        <w:t xml:space="preserve"> that the SBE authorize the submission</w:t>
      </w:r>
      <w:r w:rsidRPr="00FC6EF2">
        <w:rPr>
          <w:rFonts w:eastAsia="Arial"/>
        </w:rPr>
        <w:t xml:space="preserve"> </w:t>
      </w:r>
      <w:r w:rsidR="1F383A63" w:rsidRPr="00FC6EF2">
        <w:rPr>
          <w:rFonts w:eastAsia="Arial"/>
        </w:rPr>
        <w:t xml:space="preserve">of </w:t>
      </w:r>
      <w:r w:rsidRPr="00FC6EF2">
        <w:rPr>
          <w:rFonts w:eastAsia="Arial"/>
        </w:rPr>
        <w:t xml:space="preserve">a waiver </w:t>
      </w:r>
      <w:r w:rsidR="4D73505D" w:rsidRPr="00FC6EF2">
        <w:rPr>
          <w:rFonts w:eastAsia="Arial"/>
        </w:rPr>
        <w:t xml:space="preserve">request </w:t>
      </w:r>
      <w:r w:rsidRPr="00FC6EF2">
        <w:rPr>
          <w:rFonts w:eastAsia="Arial"/>
        </w:rPr>
        <w:t>of th</w:t>
      </w:r>
      <w:r w:rsidR="4D73505D" w:rsidRPr="00FC6EF2">
        <w:rPr>
          <w:rFonts w:eastAsia="Arial"/>
        </w:rPr>
        <w:t>e</w:t>
      </w:r>
      <w:r w:rsidRPr="00FC6EF2">
        <w:rPr>
          <w:rFonts w:eastAsia="Arial"/>
        </w:rPr>
        <w:t xml:space="preserve"> 90-day timeline in </w:t>
      </w:r>
      <w:r w:rsidR="4D73505D" w:rsidRPr="00FC6EF2">
        <w:rPr>
          <w:rFonts w:eastAsia="Arial"/>
        </w:rPr>
        <w:t xml:space="preserve">addition </w:t>
      </w:r>
      <w:r w:rsidRPr="00FC6EF2">
        <w:rPr>
          <w:rFonts w:eastAsia="Arial"/>
        </w:rPr>
        <w:t xml:space="preserve">to </w:t>
      </w:r>
      <w:r w:rsidR="4D73505D" w:rsidRPr="00FC6EF2">
        <w:rPr>
          <w:rFonts w:eastAsia="Arial"/>
        </w:rPr>
        <w:t xml:space="preserve">a </w:t>
      </w:r>
      <w:r w:rsidRPr="00FC6EF2">
        <w:rPr>
          <w:rFonts w:eastAsia="Arial"/>
        </w:rPr>
        <w:t xml:space="preserve">request </w:t>
      </w:r>
      <w:r w:rsidR="0058112B" w:rsidRPr="00FC6EF2">
        <w:rPr>
          <w:rFonts w:eastAsia="Arial"/>
        </w:rPr>
        <w:t xml:space="preserve">for </w:t>
      </w:r>
      <w:r w:rsidRPr="00FC6EF2">
        <w:rPr>
          <w:rFonts w:eastAsia="Arial"/>
        </w:rPr>
        <w:t>a waiver</w:t>
      </w:r>
      <w:r w:rsidR="7EF8AB3E" w:rsidRPr="00FC6EF2">
        <w:rPr>
          <w:rFonts w:eastAsia="Arial"/>
        </w:rPr>
        <w:t xml:space="preserve"> </w:t>
      </w:r>
      <w:r w:rsidRPr="00FC6EF2">
        <w:rPr>
          <w:rFonts w:eastAsia="Arial"/>
        </w:rPr>
        <w:t xml:space="preserve">of the </w:t>
      </w:r>
      <w:r w:rsidR="1F383A63" w:rsidRPr="00FC6EF2">
        <w:rPr>
          <w:rFonts w:eastAsia="Arial"/>
        </w:rPr>
        <w:t>1</w:t>
      </w:r>
      <w:r w:rsidR="0058112B" w:rsidRPr="00FC6EF2">
        <w:rPr>
          <w:rFonts w:eastAsia="Arial"/>
        </w:rPr>
        <w:t>.0</w:t>
      </w:r>
      <w:r w:rsidR="1F383A63" w:rsidRPr="00FC6EF2">
        <w:rPr>
          <w:rFonts w:eastAsia="Arial"/>
        </w:rPr>
        <w:t xml:space="preserve"> </w:t>
      </w:r>
      <w:r w:rsidRPr="00FC6EF2">
        <w:rPr>
          <w:rFonts w:eastAsia="Arial"/>
        </w:rPr>
        <w:t xml:space="preserve">percent </w:t>
      </w:r>
      <w:r w:rsidR="6EB03EDC" w:rsidRPr="00FC6EF2">
        <w:rPr>
          <w:rFonts w:eastAsia="Arial"/>
        </w:rPr>
        <w:t xml:space="preserve">cap on </w:t>
      </w:r>
      <w:r w:rsidR="4D73505D" w:rsidRPr="00FC6EF2">
        <w:rPr>
          <w:rFonts w:eastAsia="Arial"/>
        </w:rPr>
        <w:t xml:space="preserve">eligible </w:t>
      </w:r>
      <w:r w:rsidR="6EB03EDC" w:rsidRPr="00FC6EF2">
        <w:rPr>
          <w:rFonts w:eastAsia="Arial"/>
        </w:rPr>
        <w:t xml:space="preserve">students </w:t>
      </w:r>
      <w:r w:rsidRPr="00FC6EF2">
        <w:rPr>
          <w:rFonts w:eastAsia="Arial"/>
        </w:rPr>
        <w:t>tested with an alternate assessment.</w:t>
      </w:r>
    </w:p>
    <w:p w14:paraId="28389519" w14:textId="336350A8" w:rsidR="00E16594" w:rsidRPr="00FC6EF2" w:rsidRDefault="181C8471" w:rsidP="006F589B">
      <w:pPr>
        <w:pStyle w:val="Heading3"/>
      </w:pPr>
      <w:r w:rsidRPr="00FC6EF2">
        <w:t>The 1</w:t>
      </w:r>
      <w:r w:rsidR="00965120" w:rsidRPr="00FC6EF2">
        <w:t>.0</w:t>
      </w:r>
      <w:r w:rsidRPr="00FC6EF2">
        <w:t xml:space="preserve"> </w:t>
      </w:r>
      <w:r w:rsidR="2B5124C4" w:rsidRPr="00FC6EF2">
        <w:t xml:space="preserve">Percent Cap </w:t>
      </w:r>
      <w:r w:rsidR="736E9417" w:rsidRPr="00FC6EF2">
        <w:t xml:space="preserve">on </w:t>
      </w:r>
      <w:r w:rsidR="6B21B0C7" w:rsidRPr="00FC6EF2">
        <w:t xml:space="preserve">Eligible </w:t>
      </w:r>
      <w:r w:rsidR="2B5124C4" w:rsidRPr="00FC6EF2">
        <w:t>Students Assigned the Alternate Assessment for the 2021–22 Administration</w:t>
      </w:r>
    </w:p>
    <w:p w14:paraId="1DBC991B" w14:textId="646BB637" w:rsidR="00E16594" w:rsidRPr="00FC6EF2" w:rsidRDefault="13F7D3B9" w:rsidP="40EF3957">
      <w:pPr>
        <w:spacing w:after="240"/>
        <w:rPr>
          <w:rFonts w:eastAsia="Arial"/>
          <w:color w:val="000000" w:themeColor="text1"/>
        </w:rPr>
      </w:pPr>
      <w:r w:rsidRPr="00FC6EF2">
        <w:rPr>
          <w:rFonts w:eastAsia="Arial"/>
        </w:rPr>
        <w:t xml:space="preserve">Per 34 </w:t>
      </w:r>
      <w:r w:rsidRPr="00FC6EF2">
        <w:rPr>
          <w:rFonts w:eastAsia="Arial"/>
          <w:i/>
          <w:iCs/>
        </w:rPr>
        <w:t xml:space="preserve">CFR </w:t>
      </w:r>
      <w:r w:rsidR="4DD93F36" w:rsidRPr="00FC6EF2">
        <w:rPr>
          <w:rFonts w:eastAsia="Arial"/>
        </w:rPr>
        <w:t>Section</w:t>
      </w:r>
      <w:r w:rsidRPr="00FC6EF2">
        <w:rPr>
          <w:rFonts w:eastAsia="Arial"/>
        </w:rPr>
        <w:t xml:space="preserve"> 200.6(c)(2), the total number of students assessed using an alternate assessment aligned with alternate academic achievement standards may not exceed 1.0 percent of the total number of students assessed in the state. </w:t>
      </w:r>
      <w:r w:rsidR="51D3397A" w:rsidRPr="00FC6EF2">
        <w:rPr>
          <w:rFonts w:eastAsia="Arial"/>
        </w:rPr>
        <w:t xml:space="preserve">The CDE has collected survey responses from all LEAs regarding their expected </w:t>
      </w:r>
      <w:r w:rsidR="4D73505D" w:rsidRPr="00FC6EF2">
        <w:rPr>
          <w:rFonts w:eastAsia="Arial"/>
        </w:rPr>
        <w:t xml:space="preserve">eligible </w:t>
      </w:r>
      <w:r w:rsidR="51D3397A" w:rsidRPr="00FC6EF2">
        <w:rPr>
          <w:rFonts w:eastAsia="Arial"/>
        </w:rPr>
        <w:t xml:space="preserve">student participation in alternate assessments for the 2021–22 school year. Furthermore, the CDE has reviewed alternate assessment participation data from 2018–19 and 2020–21. After reviewing this data, the CDE expects that the state will exceed the </w:t>
      </w:r>
      <w:r w:rsidR="614326DF" w:rsidRPr="00FC6EF2">
        <w:rPr>
          <w:rFonts w:eastAsia="Arial"/>
        </w:rPr>
        <w:t>1</w:t>
      </w:r>
      <w:r w:rsidR="00457FB6" w:rsidRPr="00FC6EF2">
        <w:rPr>
          <w:rFonts w:eastAsia="Arial"/>
        </w:rPr>
        <w:t>.0</w:t>
      </w:r>
      <w:r w:rsidR="614326DF" w:rsidRPr="00FC6EF2">
        <w:rPr>
          <w:rFonts w:eastAsia="Arial"/>
        </w:rPr>
        <w:t xml:space="preserve"> </w:t>
      </w:r>
      <w:r w:rsidR="51D3397A" w:rsidRPr="00FC6EF2">
        <w:rPr>
          <w:rFonts w:eastAsia="Arial"/>
        </w:rPr>
        <w:t xml:space="preserve">percent cap on the percentage of </w:t>
      </w:r>
      <w:r w:rsidR="4D73505D" w:rsidRPr="00FC6EF2">
        <w:rPr>
          <w:rFonts w:eastAsia="Arial"/>
        </w:rPr>
        <w:t xml:space="preserve">eligible </w:t>
      </w:r>
      <w:r w:rsidR="51D3397A" w:rsidRPr="00FC6EF2">
        <w:rPr>
          <w:rFonts w:eastAsia="Arial"/>
        </w:rPr>
        <w:t xml:space="preserve">students with the most significant cognitive disabilities who may be assessed with an </w:t>
      </w:r>
      <w:r w:rsidR="684B0AB6" w:rsidRPr="00FC6EF2">
        <w:rPr>
          <w:rFonts w:eastAsia="Arial"/>
        </w:rPr>
        <w:t>alternate assessment</w:t>
      </w:r>
      <w:r w:rsidR="51D3397A" w:rsidRPr="00FC6EF2">
        <w:rPr>
          <w:rFonts w:eastAsia="Arial"/>
        </w:rPr>
        <w:t xml:space="preserve">. For this </w:t>
      </w:r>
      <w:r w:rsidR="51D3397A" w:rsidRPr="00FC6EF2">
        <w:rPr>
          <w:rFonts w:eastAsia="Arial"/>
          <w:color w:val="000000" w:themeColor="text1"/>
        </w:rPr>
        <w:t xml:space="preserve">reason, the CDE requests the </w:t>
      </w:r>
      <w:r w:rsidR="4D73505D" w:rsidRPr="00FC6EF2">
        <w:rPr>
          <w:rFonts w:eastAsia="Arial"/>
          <w:color w:val="000000" w:themeColor="text1"/>
        </w:rPr>
        <w:t xml:space="preserve">SBE’s </w:t>
      </w:r>
      <w:r w:rsidR="51D3397A" w:rsidRPr="00FC6EF2">
        <w:rPr>
          <w:rFonts w:eastAsia="Arial"/>
          <w:color w:val="000000" w:themeColor="text1"/>
        </w:rPr>
        <w:t xml:space="preserve">authorization to submit a waiver </w:t>
      </w:r>
      <w:r w:rsidR="6AB467D8" w:rsidRPr="00FC6EF2">
        <w:rPr>
          <w:rFonts w:eastAsia="Arial"/>
          <w:color w:val="000000" w:themeColor="text1"/>
        </w:rPr>
        <w:t xml:space="preserve">request </w:t>
      </w:r>
      <w:r w:rsidR="51D3397A" w:rsidRPr="00FC6EF2">
        <w:rPr>
          <w:rFonts w:eastAsia="Arial"/>
          <w:color w:val="000000" w:themeColor="text1"/>
        </w:rPr>
        <w:t xml:space="preserve">for </w:t>
      </w:r>
      <w:r w:rsidR="4D73505D" w:rsidRPr="00FC6EF2">
        <w:rPr>
          <w:rFonts w:eastAsia="Arial"/>
          <w:color w:val="000000" w:themeColor="text1"/>
        </w:rPr>
        <w:t>exceeding the 1</w:t>
      </w:r>
      <w:r w:rsidR="00457FB6" w:rsidRPr="00FC6EF2">
        <w:rPr>
          <w:rFonts w:eastAsia="Arial"/>
          <w:color w:val="000000" w:themeColor="text1"/>
        </w:rPr>
        <w:t>.0</w:t>
      </w:r>
      <w:r w:rsidR="4D73505D" w:rsidRPr="00FC6EF2">
        <w:rPr>
          <w:rFonts w:eastAsia="Arial"/>
          <w:color w:val="000000" w:themeColor="text1"/>
        </w:rPr>
        <w:t xml:space="preserve"> percent cap in </w:t>
      </w:r>
      <w:r w:rsidR="51D3397A" w:rsidRPr="00FC6EF2">
        <w:rPr>
          <w:rFonts w:eastAsia="Arial"/>
          <w:color w:val="000000" w:themeColor="text1"/>
        </w:rPr>
        <w:t>the 2021–22 school year.</w:t>
      </w:r>
    </w:p>
    <w:p w14:paraId="674A5D0D" w14:textId="77777777" w:rsidR="00EB22FA" w:rsidRPr="00FC6EF2" w:rsidRDefault="00EB22FA" w:rsidP="009C5BD9">
      <w:pPr>
        <w:pStyle w:val="Heading3"/>
      </w:pPr>
      <w:r w:rsidRPr="00FC6EF2">
        <w:t xml:space="preserve">Extension to Use Preliminary Indicators for Reporting the </w:t>
      </w:r>
      <w:r w:rsidR="0067589C" w:rsidRPr="00FC6EF2">
        <w:t xml:space="preserve">2020–21 </w:t>
      </w:r>
      <w:r w:rsidRPr="00FC6EF2">
        <w:t>CAA for Science Results</w:t>
      </w:r>
    </w:p>
    <w:p w14:paraId="33667681" w14:textId="77777777" w:rsidR="00CE7220" w:rsidRPr="00FC6EF2" w:rsidRDefault="00EB22FA" w:rsidP="00B22E64">
      <w:pPr>
        <w:spacing w:after="240"/>
      </w:pPr>
      <w:r w:rsidRPr="00FC6EF2">
        <w:rPr>
          <w:rFonts w:eastAsia="Arial"/>
          <w:color w:val="000000" w:themeColor="text1"/>
        </w:rPr>
        <w:t>In November 2017, the CDE submitted a plan</w:t>
      </w:r>
      <w:r w:rsidR="006F0013" w:rsidRPr="00FC6EF2">
        <w:rPr>
          <w:rFonts w:eastAsia="Arial"/>
          <w:color w:val="000000" w:themeColor="text1"/>
        </w:rPr>
        <w:t xml:space="preserve"> </w:t>
      </w:r>
      <w:r w:rsidR="006F0013" w:rsidRPr="00FC6EF2">
        <w:rPr>
          <w:rFonts w:eastAsia="Arial"/>
        </w:rPr>
        <w:t>to the ED</w:t>
      </w:r>
      <w:r w:rsidRPr="00FC6EF2">
        <w:rPr>
          <w:rFonts w:eastAsia="Arial"/>
          <w:color w:val="000000" w:themeColor="text1"/>
        </w:rPr>
        <w:t xml:space="preserve"> to comply with</w:t>
      </w:r>
      <w:r w:rsidR="00CB2742" w:rsidRPr="00FC6EF2">
        <w:rPr>
          <w:rFonts w:eastAsia="Arial"/>
          <w:color w:val="000000" w:themeColor="text1"/>
        </w:rPr>
        <w:t xml:space="preserve"> </w:t>
      </w:r>
      <w:r w:rsidR="008F0A7D" w:rsidRPr="00FC6EF2">
        <w:rPr>
          <w:rStyle w:val="Emphasis"/>
          <w:rFonts w:eastAsiaTheme="majorEastAsia" w:cs="Arial"/>
          <w:i w:val="0"/>
          <w:iCs w:val="0"/>
          <w:shd w:val="clear" w:color="auto" w:fill="FFFFFF"/>
        </w:rPr>
        <w:t>Elementary and Secondary Education Act</w:t>
      </w:r>
      <w:r w:rsidRPr="00FC6EF2">
        <w:rPr>
          <w:rFonts w:eastAsia="Arial"/>
        </w:rPr>
        <w:t xml:space="preserve"> </w:t>
      </w:r>
      <w:r w:rsidR="00E23259" w:rsidRPr="00FC6EF2">
        <w:rPr>
          <w:rFonts w:eastAsia="Arial"/>
          <w:color w:val="000000" w:themeColor="text1"/>
        </w:rPr>
        <w:t>(</w:t>
      </w:r>
      <w:r w:rsidRPr="00FC6EF2">
        <w:rPr>
          <w:rFonts w:eastAsia="Arial"/>
          <w:color w:val="000000" w:themeColor="text1"/>
        </w:rPr>
        <w:t>ESEA</w:t>
      </w:r>
      <w:r w:rsidR="00E23259" w:rsidRPr="00FC6EF2">
        <w:rPr>
          <w:rFonts w:eastAsia="Arial"/>
          <w:color w:val="000000" w:themeColor="text1"/>
        </w:rPr>
        <w:t>)</w:t>
      </w:r>
      <w:r w:rsidRPr="00FC6EF2">
        <w:rPr>
          <w:rFonts w:eastAsia="Arial"/>
          <w:color w:val="000000" w:themeColor="text1"/>
        </w:rPr>
        <w:t xml:space="preserve"> sections and subsections within</w:t>
      </w:r>
      <w:r w:rsidRPr="00FC6EF2">
        <w:rPr>
          <w:rFonts w:eastAsia="Arial"/>
        </w:rPr>
        <w:t xml:space="preserve"> 1111(b)(1) and 1111(b)(3) in lieu of receiving a two-year waiver from double testing. This plan outlined how the CDE would comply with the ESEA requirements for both the CAST and the CAA for Science</w:t>
      </w:r>
      <w:r w:rsidR="00A93551" w:rsidRPr="00FC6EF2">
        <w:rPr>
          <w:rFonts w:eastAsia="Arial"/>
        </w:rPr>
        <w:t xml:space="preserve"> until both became operational</w:t>
      </w:r>
      <w:r w:rsidR="00A444DC" w:rsidRPr="00FC6EF2">
        <w:rPr>
          <w:rFonts w:eastAsia="Arial"/>
        </w:rPr>
        <w:t xml:space="preserve"> </w:t>
      </w:r>
      <w:r w:rsidR="47CB5413" w:rsidRPr="00FC6EF2">
        <w:t>(</w:t>
      </w:r>
      <w:hyperlink r:id="rId15" w:tooltip="This link opens the plan CDE submitted in November 2017, to the ED to comply with Elementary and Secondary Education Act (ESEA) sections and subsections.">
        <w:r w:rsidR="47CB5413" w:rsidRPr="00FC6EF2">
          <w:rPr>
            <w:rStyle w:val="Hyperlink"/>
          </w:rPr>
          <w:t>https://www.cde.ca.gov/be/pn/im/memo-pptb-adad-dec17item01a01.asp</w:t>
        </w:r>
      </w:hyperlink>
      <w:r w:rsidR="0587FFF2" w:rsidRPr="00FC6EF2">
        <w:t xml:space="preserve">). </w:t>
      </w:r>
    </w:p>
    <w:p w14:paraId="60BEBD66" w14:textId="1C1D4C40" w:rsidR="00B22E64" w:rsidRPr="00FC6EF2" w:rsidRDefault="009C7AE7" w:rsidP="00B22E64">
      <w:pPr>
        <w:pStyle w:val="CommentText"/>
        <w:spacing w:after="240"/>
        <w:rPr>
          <w:sz w:val="24"/>
          <w:szCs w:val="24"/>
        </w:rPr>
      </w:pPr>
      <w:r w:rsidRPr="00FC6EF2">
        <w:rPr>
          <w:sz w:val="24"/>
          <w:szCs w:val="24"/>
        </w:rPr>
        <w:lastRenderedPageBreak/>
        <w:t xml:space="preserve">The CDE and the SBE requested a waiver from double </w:t>
      </w:r>
      <w:r w:rsidR="00602447" w:rsidRPr="00FC6EF2">
        <w:rPr>
          <w:sz w:val="24"/>
          <w:szCs w:val="24"/>
        </w:rPr>
        <w:t xml:space="preserve">testing for the CAST and the CAA for Science while </w:t>
      </w:r>
      <w:r w:rsidR="001C2167" w:rsidRPr="00FC6EF2">
        <w:rPr>
          <w:sz w:val="24"/>
          <w:szCs w:val="24"/>
        </w:rPr>
        <w:t xml:space="preserve">the </w:t>
      </w:r>
      <w:r w:rsidR="00602447" w:rsidRPr="00FC6EF2">
        <w:rPr>
          <w:sz w:val="24"/>
          <w:szCs w:val="24"/>
        </w:rPr>
        <w:t>CDE was developing the</w:t>
      </w:r>
      <w:r w:rsidR="00A23E2F" w:rsidRPr="00FC6EF2">
        <w:rPr>
          <w:sz w:val="24"/>
          <w:szCs w:val="24"/>
        </w:rPr>
        <w:t>se</w:t>
      </w:r>
      <w:r w:rsidR="00602447" w:rsidRPr="00FC6EF2">
        <w:rPr>
          <w:sz w:val="24"/>
          <w:szCs w:val="24"/>
        </w:rPr>
        <w:t xml:space="preserve"> new </w:t>
      </w:r>
      <w:r w:rsidR="00A23E2F" w:rsidRPr="00FC6EF2">
        <w:rPr>
          <w:sz w:val="24"/>
          <w:szCs w:val="24"/>
        </w:rPr>
        <w:t xml:space="preserve">science </w:t>
      </w:r>
      <w:r w:rsidR="00602447" w:rsidRPr="00FC6EF2">
        <w:rPr>
          <w:sz w:val="24"/>
          <w:szCs w:val="24"/>
        </w:rPr>
        <w:t>assessments</w:t>
      </w:r>
      <w:r w:rsidR="00A50255" w:rsidRPr="00FC6EF2">
        <w:rPr>
          <w:sz w:val="24"/>
          <w:szCs w:val="24"/>
        </w:rPr>
        <w:t>, requesting</w:t>
      </w:r>
      <w:r w:rsidR="00DD7641" w:rsidRPr="00FC6EF2">
        <w:rPr>
          <w:sz w:val="24"/>
          <w:szCs w:val="24"/>
        </w:rPr>
        <w:t xml:space="preserve"> a two-year waiver </w:t>
      </w:r>
      <w:r w:rsidR="00CD5F4E" w:rsidRPr="00FC6EF2">
        <w:rPr>
          <w:sz w:val="24"/>
          <w:szCs w:val="24"/>
        </w:rPr>
        <w:t>that would begin</w:t>
      </w:r>
      <w:r w:rsidR="00CC0AC2" w:rsidRPr="00FC6EF2">
        <w:rPr>
          <w:sz w:val="24"/>
          <w:szCs w:val="24"/>
        </w:rPr>
        <w:t xml:space="preserve"> with the 2016</w:t>
      </w:r>
      <w:r w:rsidR="00FF339E" w:rsidRPr="00FC6EF2">
        <w:rPr>
          <w:sz w:val="24"/>
          <w:szCs w:val="24"/>
        </w:rPr>
        <w:t>–17 school year</w:t>
      </w:r>
      <w:r w:rsidR="00CD5F4E" w:rsidRPr="00FC6EF2">
        <w:rPr>
          <w:sz w:val="24"/>
          <w:szCs w:val="24"/>
        </w:rPr>
        <w:t>.</w:t>
      </w:r>
      <w:r w:rsidR="009A4DD0" w:rsidRPr="00FC6EF2">
        <w:rPr>
          <w:sz w:val="24"/>
          <w:szCs w:val="24"/>
        </w:rPr>
        <w:t xml:space="preserve"> </w:t>
      </w:r>
      <w:r w:rsidR="00E87E42" w:rsidRPr="00FC6EF2">
        <w:rPr>
          <w:sz w:val="24"/>
          <w:szCs w:val="24"/>
        </w:rPr>
        <w:t xml:space="preserve">The </w:t>
      </w:r>
      <w:r w:rsidR="004305F2" w:rsidRPr="00FC6EF2">
        <w:rPr>
          <w:sz w:val="24"/>
          <w:szCs w:val="24"/>
        </w:rPr>
        <w:t>E</w:t>
      </w:r>
      <w:r w:rsidR="008C6F81" w:rsidRPr="00FC6EF2">
        <w:rPr>
          <w:sz w:val="24"/>
          <w:szCs w:val="24"/>
        </w:rPr>
        <w:t xml:space="preserve">D </w:t>
      </w:r>
      <w:r w:rsidR="004305F2" w:rsidRPr="00FC6EF2">
        <w:rPr>
          <w:sz w:val="24"/>
          <w:szCs w:val="24"/>
        </w:rPr>
        <w:t>denied this request</w:t>
      </w:r>
      <w:r w:rsidR="00FC39FB" w:rsidRPr="00FC6EF2">
        <w:rPr>
          <w:sz w:val="24"/>
          <w:szCs w:val="24"/>
        </w:rPr>
        <w:t>;</w:t>
      </w:r>
      <w:r w:rsidR="00CE7220" w:rsidRPr="00FC6EF2">
        <w:rPr>
          <w:sz w:val="24"/>
          <w:szCs w:val="24"/>
        </w:rPr>
        <w:t xml:space="preserve"> </w:t>
      </w:r>
      <w:r w:rsidR="00FC39FB" w:rsidRPr="00FC6EF2">
        <w:rPr>
          <w:sz w:val="24"/>
          <w:szCs w:val="24"/>
        </w:rPr>
        <w:t>h</w:t>
      </w:r>
      <w:r w:rsidR="00A868C1" w:rsidRPr="00FC6EF2">
        <w:rPr>
          <w:sz w:val="24"/>
          <w:szCs w:val="24"/>
        </w:rPr>
        <w:t xml:space="preserve">owever, </w:t>
      </w:r>
      <w:r w:rsidR="00F94BA6" w:rsidRPr="00FC6EF2">
        <w:rPr>
          <w:sz w:val="24"/>
          <w:szCs w:val="24"/>
        </w:rPr>
        <w:t>t</w:t>
      </w:r>
      <w:r w:rsidR="004A4DEB" w:rsidRPr="00FC6EF2">
        <w:rPr>
          <w:sz w:val="24"/>
          <w:szCs w:val="24"/>
        </w:rPr>
        <w:t xml:space="preserve">he </w:t>
      </w:r>
      <w:r w:rsidR="00CE7220" w:rsidRPr="00FC6EF2">
        <w:rPr>
          <w:sz w:val="24"/>
          <w:szCs w:val="24"/>
        </w:rPr>
        <w:t xml:space="preserve">ED </w:t>
      </w:r>
      <w:r w:rsidR="00A868C1" w:rsidRPr="00FC6EF2">
        <w:rPr>
          <w:sz w:val="24"/>
          <w:szCs w:val="24"/>
        </w:rPr>
        <w:t xml:space="preserve">did </w:t>
      </w:r>
      <w:r w:rsidR="00DB6FDC" w:rsidRPr="00FC6EF2">
        <w:rPr>
          <w:sz w:val="24"/>
          <w:szCs w:val="24"/>
        </w:rPr>
        <w:t>approve</w:t>
      </w:r>
      <w:r w:rsidR="00CE7220" w:rsidRPr="00FC6EF2">
        <w:rPr>
          <w:sz w:val="24"/>
          <w:szCs w:val="24"/>
        </w:rPr>
        <w:t xml:space="preserve"> a one-year waiver </w:t>
      </w:r>
      <w:r w:rsidR="00A868C1" w:rsidRPr="00FC6EF2">
        <w:rPr>
          <w:sz w:val="24"/>
          <w:szCs w:val="24"/>
        </w:rPr>
        <w:t xml:space="preserve">(i.e., </w:t>
      </w:r>
      <w:r w:rsidR="00022B66" w:rsidRPr="00FC6EF2">
        <w:rPr>
          <w:sz w:val="24"/>
          <w:szCs w:val="24"/>
        </w:rPr>
        <w:t xml:space="preserve">2016–17 school year) </w:t>
      </w:r>
      <w:r w:rsidR="00CE7220" w:rsidRPr="00FC6EF2">
        <w:rPr>
          <w:sz w:val="24"/>
          <w:szCs w:val="24"/>
        </w:rPr>
        <w:t xml:space="preserve">and </w:t>
      </w:r>
      <w:r w:rsidR="00D82492" w:rsidRPr="00FC6EF2">
        <w:rPr>
          <w:sz w:val="24"/>
          <w:szCs w:val="24"/>
        </w:rPr>
        <w:t xml:space="preserve">indicated that the CDE </w:t>
      </w:r>
      <w:r w:rsidR="004C542F" w:rsidRPr="00FC6EF2">
        <w:rPr>
          <w:sz w:val="24"/>
          <w:szCs w:val="24"/>
        </w:rPr>
        <w:t xml:space="preserve">would </w:t>
      </w:r>
      <w:r w:rsidR="00D82492" w:rsidRPr="00FC6EF2">
        <w:rPr>
          <w:sz w:val="24"/>
          <w:szCs w:val="24"/>
        </w:rPr>
        <w:t xml:space="preserve">need to submit a </w:t>
      </w:r>
      <w:r w:rsidR="00CE7220" w:rsidRPr="00FC6EF2">
        <w:rPr>
          <w:sz w:val="24"/>
          <w:szCs w:val="24"/>
        </w:rPr>
        <w:t xml:space="preserve">plan on how </w:t>
      </w:r>
      <w:r w:rsidR="00D82492" w:rsidRPr="00FC6EF2">
        <w:rPr>
          <w:sz w:val="24"/>
          <w:szCs w:val="24"/>
        </w:rPr>
        <w:t xml:space="preserve">the CDE </w:t>
      </w:r>
      <w:r w:rsidR="00CE7220" w:rsidRPr="00FC6EF2">
        <w:rPr>
          <w:sz w:val="24"/>
          <w:szCs w:val="24"/>
        </w:rPr>
        <w:t>would meet ES</w:t>
      </w:r>
      <w:r w:rsidR="0021282B" w:rsidRPr="00FC6EF2">
        <w:rPr>
          <w:sz w:val="24"/>
          <w:szCs w:val="24"/>
        </w:rPr>
        <w:t xml:space="preserve">EA requirements for </w:t>
      </w:r>
      <w:r w:rsidR="00446C84" w:rsidRPr="00FC6EF2">
        <w:rPr>
          <w:sz w:val="24"/>
          <w:szCs w:val="24"/>
        </w:rPr>
        <w:t xml:space="preserve">producing individual student scores </w:t>
      </w:r>
      <w:r w:rsidR="00403B30" w:rsidRPr="00FC6EF2">
        <w:rPr>
          <w:sz w:val="24"/>
          <w:szCs w:val="24"/>
        </w:rPr>
        <w:t xml:space="preserve">and </w:t>
      </w:r>
      <w:r w:rsidR="0021282B" w:rsidRPr="00FC6EF2">
        <w:rPr>
          <w:sz w:val="24"/>
          <w:szCs w:val="24"/>
        </w:rPr>
        <w:t xml:space="preserve">reporting </w:t>
      </w:r>
      <w:r w:rsidR="00446C84" w:rsidRPr="00FC6EF2">
        <w:rPr>
          <w:sz w:val="24"/>
          <w:szCs w:val="24"/>
        </w:rPr>
        <w:t>re</w:t>
      </w:r>
      <w:r w:rsidR="0021282B" w:rsidRPr="00FC6EF2">
        <w:rPr>
          <w:sz w:val="24"/>
          <w:szCs w:val="24"/>
        </w:rPr>
        <w:t xml:space="preserve">sults </w:t>
      </w:r>
      <w:r w:rsidR="00446C84" w:rsidRPr="00FC6EF2">
        <w:rPr>
          <w:sz w:val="24"/>
          <w:szCs w:val="24"/>
        </w:rPr>
        <w:t xml:space="preserve">to parents, teachers, </w:t>
      </w:r>
      <w:r w:rsidR="00B22E64" w:rsidRPr="00FC6EF2">
        <w:rPr>
          <w:sz w:val="24"/>
          <w:szCs w:val="24"/>
        </w:rPr>
        <w:t xml:space="preserve">schools, </w:t>
      </w:r>
      <w:r w:rsidR="00446C84" w:rsidRPr="00FC6EF2">
        <w:rPr>
          <w:sz w:val="24"/>
          <w:szCs w:val="24"/>
        </w:rPr>
        <w:t xml:space="preserve">and the public </w:t>
      </w:r>
      <w:r w:rsidR="005816B2" w:rsidRPr="00FC6EF2">
        <w:rPr>
          <w:sz w:val="24"/>
          <w:szCs w:val="24"/>
        </w:rPr>
        <w:t xml:space="preserve">for the </w:t>
      </w:r>
      <w:r w:rsidR="00CE7220" w:rsidRPr="00FC6EF2">
        <w:rPr>
          <w:sz w:val="24"/>
          <w:szCs w:val="24"/>
        </w:rPr>
        <w:t>2017</w:t>
      </w:r>
      <w:r w:rsidR="00915FA7" w:rsidRPr="00FC6EF2">
        <w:rPr>
          <w:sz w:val="24"/>
          <w:szCs w:val="24"/>
        </w:rPr>
        <w:t>–</w:t>
      </w:r>
      <w:r w:rsidR="00CE7220" w:rsidRPr="00FC6EF2">
        <w:rPr>
          <w:sz w:val="24"/>
          <w:szCs w:val="24"/>
        </w:rPr>
        <w:t>18</w:t>
      </w:r>
      <w:r w:rsidR="005816B2" w:rsidRPr="00FC6EF2">
        <w:rPr>
          <w:sz w:val="24"/>
          <w:szCs w:val="24"/>
        </w:rPr>
        <w:t xml:space="preserve"> school year</w:t>
      </w:r>
      <w:r w:rsidR="00CE7220" w:rsidRPr="00FC6EF2">
        <w:rPr>
          <w:sz w:val="24"/>
          <w:szCs w:val="24"/>
        </w:rPr>
        <w:t xml:space="preserve">. </w:t>
      </w:r>
      <w:r w:rsidR="003F5F83" w:rsidRPr="00FC6EF2">
        <w:rPr>
          <w:sz w:val="24"/>
          <w:szCs w:val="24"/>
        </w:rPr>
        <w:t>In November 2017</w:t>
      </w:r>
      <w:r w:rsidR="0022207A" w:rsidRPr="00FC6EF2">
        <w:rPr>
          <w:sz w:val="24"/>
          <w:szCs w:val="24"/>
        </w:rPr>
        <w:t>, t</w:t>
      </w:r>
      <w:r w:rsidR="00565AE2" w:rsidRPr="00FC6EF2">
        <w:rPr>
          <w:sz w:val="24"/>
          <w:szCs w:val="24"/>
        </w:rPr>
        <w:t>he CDE submitted t</w:t>
      </w:r>
      <w:r w:rsidR="00CE7220" w:rsidRPr="00FC6EF2">
        <w:rPr>
          <w:sz w:val="24"/>
          <w:szCs w:val="24"/>
        </w:rPr>
        <w:t xml:space="preserve">he preliminary indicator plan </w:t>
      </w:r>
      <w:r w:rsidR="00B22E64" w:rsidRPr="00FC6EF2">
        <w:rPr>
          <w:sz w:val="24"/>
          <w:szCs w:val="24"/>
        </w:rPr>
        <w:t xml:space="preserve">to </w:t>
      </w:r>
      <w:r w:rsidR="00403B30" w:rsidRPr="00FC6EF2">
        <w:rPr>
          <w:sz w:val="24"/>
          <w:szCs w:val="24"/>
        </w:rPr>
        <w:t xml:space="preserve">the </w:t>
      </w:r>
      <w:r w:rsidR="00B22E64" w:rsidRPr="00FC6EF2">
        <w:rPr>
          <w:sz w:val="24"/>
          <w:szCs w:val="24"/>
        </w:rPr>
        <w:t>ED</w:t>
      </w:r>
      <w:r w:rsidR="00CE7220" w:rsidRPr="00FC6EF2">
        <w:rPr>
          <w:sz w:val="24"/>
          <w:szCs w:val="24"/>
        </w:rPr>
        <w:t xml:space="preserve"> </w:t>
      </w:r>
      <w:r w:rsidR="00B22E64" w:rsidRPr="00FC6EF2">
        <w:rPr>
          <w:sz w:val="24"/>
          <w:szCs w:val="24"/>
        </w:rPr>
        <w:t xml:space="preserve">to </w:t>
      </w:r>
      <w:r w:rsidR="00EA0870" w:rsidRPr="00FC6EF2">
        <w:rPr>
          <w:sz w:val="24"/>
          <w:szCs w:val="24"/>
        </w:rPr>
        <w:t>explain how</w:t>
      </w:r>
      <w:r w:rsidR="00B22E64" w:rsidRPr="00FC6EF2">
        <w:rPr>
          <w:sz w:val="24"/>
          <w:szCs w:val="24"/>
        </w:rPr>
        <w:t xml:space="preserve"> the CDE </w:t>
      </w:r>
      <w:r w:rsidR="00EA0870" w:rsidRPr="00FC6EF2">
        <w:rPr>
          <w:sz w:val="24"/>
          <w:szCs w:val="24"/>
        </w:rPr>
        <w:t>would meet the ESEA requirements</w:t>
      </w:r>
      <w:r w:rsidR="007744DA" w:rsidRPr="00FC6EF2">
        <w:rPr>
          <w:sz w:val="24"/>
          <w:szCs w:val="24"/>
        </w:rPr>
        <w:t>. T</w:t>
      </w:r>
      <w:r w:rsidR="00C05160" w:rsidRPr="00FC6EF2">
        <w:rPr>
          <w:sz w:val="24"/>
          <w:szCs w:val="24"/>
        </w:rPr>
        <w:t xml:space="preserve">he CDE did not take any action </w:t>
      </w:r>
      <w:r w:rsidR="000B340F" w:rsidRPr="00FC6EF2">
        <w:rPr>
          <w:sz w:val="24"/>
          <w:szCs w:val="24"/>
        </w:rPr>
        <w:t>to</w:t>
      </w:r>
      <w:r w:rsidR="00C05160" w:rsidRPr="00FC6EF2">
        <w:rPr>
          <w:sz w:val="24"/>
          <w:szCs w:val="24"/>
        </w:rPr>
        <w:t xml:space="preserve"> the board on this matter but</w:t>
      </w:r>
      <w:r w:rsidR="00403B30" w:rsidRPr="00FC6EF2">
        <w:rPr>
          <w:sz w:val="24"/>
          <w:szCs w:val="24"/>
        </w:rPr>
        <w:t>,</w:t>
      </w:r>
      <w:r w:rsidR="00C05160" w:rsidRPr="00FC6EF2">
        <w:rPr>
          <w:sz w:val="24"/>
          <w:szCs w:val="24"/>
        </w:rPr>
        <w:t xml:space="preserve"> instead</w:t>
      </w:r>
      <w:r w:rsidR="00403B30" w:rsidRPr="00FC6EF2">
        <w:rPr>
          <w:sz w:val="24"/>
          <w:szCs w:val="24"/>
        </w:rPr>
        <w:t>,</w:t>
      </w:r>
      <w:r w:rsidR="00C05160" w:rsidRPr="00FC6EF2">
        <w:rPr>
          <w:sz w:val="24"/>
          <w:szCs w:val="24"/>
        </w:rPr>
        <w:t xml:space="preserve"> brought </w:t>
      </w:r>
      <w:r w:rsidR="00C74D86" w:rsidRPr="00FC6EF2">
        <w:rPr>
          <w:sz w:val="24"/>
          <w:szCs w:val="24"/>
        </w:rPr>
        <w:t xml:space="preserve">the </w:t>
      </w:r>
      <w:r w:rsidR="00C05160" w:rsidRPr="00FC6EF2">
        <w:rPr>
          <w:sz w:val="24"/>
          <w:szCs w:val="24"/>
        </w:rPr>
        <w:t xml:space="preserve">request and plan via an SBE memo from </w:t>
      </w:r>
      <w:proofErr w:type="spellStart"/>
      <w:r w:rsidR="00C05160" w:rsidRPr="00FC6EF2">
        <w:rPr>
          <w:sz w:val="24"/>
          <w:szCs w:val="24"/>
        </w:rPr>
        <w:t>Keric</w:t>
      </w:r>
      <w:proofErr w:type="spellEnd"/>
      <w:r w:rsidR="00C05160" w:rsidRPr="00FC6EF2">
        <w:rPr>
          <w:sz w:val="24"/>
          <w:szCs w:val="24"/>
        </w:rPr>
        <w:t xml:space="preserve"> Ashley, Deputy Superintendent. </w:t>
      </w:r>
      <w:r w:rsidR="00403B30" w:rsidRPr="00FC6EF2">
        <w:rPr>
          <w:sz w:val="24"/>
          <w:szCs w:val="24"/>
        </w:rPr>
        <w:t xml:space="preserve">The </w:t>
      </w:r>
      <w:r w:rsidR="00C05160" w:rsidRPr="00FC6EF2">
        <w:rPr>
          <w:sz w:val="24"/>
          <w:szCs w:val="24"/>
        </w:rPr>
        <w:t>ED did not respond to our plan</w:t>
      </w:r>
      <w:r w:rsidR="00EA0870" w:rsidRPr="00FC6EF2">
        <w:rPr>
          <w:sz w:val="24"/>
          <w:szCs w:val="24"/>
        </w:rPr>
        <w:t>.</w:t>
      </w:r>
    </w:p>
    <w:p w14:paraId="05100467" w14:textId="1B1E29CC" w:rsidR="00EB22FA" w:rsidRPr="00FC6EF2" w:rsidRDefault="00B22E64" w:rsidP="007C5B61">
      <w:pPr>
        <w:pStyle w:val="CommentText"/>
        <w:spacing w:after="240"/>
        <w:rPr>
          <w:sz w:val="24"/>
          <w:szCs w:val="24"/>
        </w:rPr>
      </w:pPr>
      <w:r w:rsidRPr="00FC6EF2">
        <w:rPr>
          <w:sz w:val="24"/>
          <w:szCs w:val="24"/>
        </w:rPr>
        <w:t>T</w:t>
      </w:r>
      <w:r w:rsidR="00CE7220" w:rsidRPr="00FC6EF2">
        <w:rPr>
          <w:sz w:val="24"/>
          <w:szCs w:val="24"/>
        </w:rPr>
        <w:t>he CDE provided preliminary indicators in 2017</w:t>
      </w:r>
      <w:r w:rsidR="00D713E3" w:rsidRPr="00FC6EF2">
        <w:rPr>
          <w:sz w:val="24"/>
          <w:szCs w:val="24"/>
        </w:rPr>
        <w:t>–</w:t>
      </w:r>
      <w:r w:rsidR="00CE7220" w:rsidRPr="00FC6EF2">
        <w:rPr>
          <w:sz w:val="24"/>
          <w:szCs w:val="24"/>
        </w:rPr>
        <w:t xml:space="preserve">18 for both the </w:t>
      </w:r>
      <w:r w:rsidR="004D31A5" w:rsidRPr="00FC6EF2">
        <w:rPr>
          <w:sz w:val="24"/>
          <w:szCs w:val="24"/>
        </w:rPr>
        <w:t xml:space="preserve">CAST </w:t>
      </w:r>
      <w:r w:rsidR="00CE7220" w:rsidRPr="00FC6EF2">
        <w:rPr>
          <w:sz w:val="24"/>
          <w:szCs w:val="24"/>
        </w:rPr>
        <w:t>census field test and the year</w:t>
      </w:r>
      <w:r w:rsidR="00E37399" w:rsidRPr="00FC6EF2">
        <w:rPr>
          <w:sz w:val="24"/>
          <w:szCs w:val="24"/>
        </w:rPr>
        <w:t>-</w:t>
      </w:r>
      <w:r w:rsidR="00CE7220" w:rsidRPr="00FC6EF2">
        <w:rPr>
          <w:sz w:val="24"/>
          <w:szCs w:val="24"/>
        </w:rPr>
        <w:t xml:space="preserve">two </w:t>
      </w:r>
      <w:r w:rsidR="006C1120" w:rsidRPr="00FC6EF2">
        <w:rPr>
          <w:sz w:val="24"/>
          <w:szCs w:val="24"/>
        </w:rPr>
        <w:t xml:space="preserve">pilot test </w:t>
      </w:r>
      <w:r w:rsidR="00CE7220" w:rsidRPr="00FC6EF2">
        <w:rPr>
          <w:sz w:val="24"/>
          <w:szCs w:val="24"/>
        </w:rPr>
        <w:t>for the CAA for Science.</w:t>
      </w:r>
      <w:r w:rsidR="00BC716F" w:rsidRPr="00FC6EF2">
        <w:rPr>
          <w:sz w:val="24"/>
          <w:szCs w:val="24"/>
        </w:rPr>
        <w:t xml:space="preserve"> </w:t>
      </w:r>
      <w:r w:rsidR="00CE7220" w:rsidRPr="00FC6EF2">
        <w:rPr>
          <w:sz w:val="24"/>
          <w:szCs w:val="24"/>
        </w:rPr>
        <w:t xml:space="preserve">The CDE </w:t>
      </w:r>
      <w:r w:rsidR="00F10263" w:rsidRPr="00FC6EF2">
        <w:rPr>
          <w:sz w:val="24"/>
          <w:szCs w:val="24"/>
        </w:rPr>
        <w:t xml:space="preserve">also </w:t>
      </w:r>
      <w:r w:rsidR="00CE7220" w:rsidRPr="00FC6EF2">
        <w:rPr>
          <w:sz w:val="24"/>
          <w:szCs w:val="24"/>
        </w:rPr>
        <w:t xml:space="preserve">provided preliminary indicators for the </w:t>
      </w:r>
      <w:r w:rsidR="00427E02" w:rsidRPr="00FC6EF2">
        <w:rPr>
          <w:sz w:val="24"/>
          <w:szCs w:val="24"/>
        </w:rPr>
        <w:t>2018–19</w:t>
      </w:r>
      <w:r w:rsidR="00421C03" w:rsidRPr="00FC6EF2">
        <w:rPr>
          <w:sz w:val="24"/>
          <w:szCs w:val="24"/>
        </w:rPr>
        <w:t xml:space="preserve"> CAA for Science census</w:t>
      </w:r>
      <w:r w:rsidR="00427E02" w:rsidRPr="00FC6EF2">
        <w:rPr>
          <w:sz w:val="24"/>
          <w:szCs w:val="24"/>
        </w:rPr>
        <w:t xml:space="preserve"> </w:t>
      </w:r>
      <w:r w:rsidR="001A6721" w:rsidRPr="00FC6EF2">
        <w:rPr>
          <w:sz w:val="24"/>
          <w:szCs w:val="24"/>
        </w:rPr>
        <w:t>field test</w:t>
      </w:r>
      <w:r w:rsidR="00CE7220" w:rsidRPr="00FC6EF2">
        <w:rPr>
          <w:sz w:val="24"/>
          <w:szCs w:val="24"/>
        </w:rPr>
        <w:t xml:space="preserve">. </w:t>
      </w:r>
      <w:r w:rsidR="47CB5413" w:rsidRPr="00FC6EF2">
        <w:rPr>
          <w:sz w:val="24"/>
          <w:szCs w:val="24"/>
        </w:rPr>
        <w:t>The suspension of testing</w:t>
      </w:r>
      <w:r w:rsidR="00C321BF" w:rsidRPr="00FC6EF2">
        <w:rPr>
          <w:sz w:val="24"/>
          <w:szCs w:val="24"/>
        </w:rPr>
        <w:t xml:space="preserve"> </w:t>
      </w:r>
      <w:r w:rsidR="47CB5413" w:rsidRPr="00FC6EF2">
        <w:rPr>
          <w:sz w:val="24"/>
          <w:szCs w:val="24"/>
        </w:rPr>
        <w:t>for the 2019–20 administration due to the COVID-19 pandemic and the</w:t>
      </w:r>
      <w:r w:rsidR="00C321BF" w:rsidRPr="00FC6EF2">
        <w:rPr>
          <w:sz w:val="24"/>
          <w:szCs w:val="24"/>
        </w:rPr>
        <w:t xml:space="preserve"> </w:t>
      </w:r>
      <w:r w:rsidR="47CB5413" w:rsidRPr="00FC6EF2">
        <w:rPr>
          <w:sz w:val="24"/>
          <w:szCs w:val="24"/>
        </w:rPr>
        <w:t xml:space="preserve">limited number of </w:t>
      </w:r>
      <w:r w:rsidR="4D73505D" w:rsidRPr="00FC6EF2">
        <w:rPr>
          <w:sz w:val="24"/>
          <w:szCs w:val="24"/>
        </w:rPr>
        <w:t xml:space="preserve">eligible </w:t>
      </w:r>
      <w:r w:rsidR="47CB5413" w:rsidRPr="00FC6EF2">
        <w:rPr>
          <w:sz w:val="24"/>
          <w:szCs w:val="24"/>
        </w:rPr>
        <w:t>students who completed testing in the 2020–21 administration of the CAA for Science</w:t>
      </w:r>
      <w:r w:rsidR="00B155BD" w:rsidRPr="00FC6EF2">
        <w:rPr>
          <w:sz w:val="24"/>
          <w:szCs w:val="24"/>
        </w:rPr>
        <w:t xml:space="preserve"> operational field test </w:t>
      </w:r>
      <w:r w:rsidR="47CB5413" w:rsidRPr="00FC6EF2">
        <w:rPr>
          <w:sz w:val="24"/>
          <w:szCs w:val="24"/>
        </w:rPr>
        <w:t>required the CDE</w:t>
      </w:r>
      <w:r w:rsidR="00C321BF" w:rsidRPr="00FC6EF2">
        <w:rPr>
          <w:sz w:val="24"/>
          <w:szCs w:val="24"/>
        </w:rPr>
        <w:t xml:space="preserve"> </w:t>
      </w:r>
      <w:r w:rsidR="47CB5413" w:rsidRPr="00FC6EF2">
        <w:rPr>
          <w:sz w:val="24"/>
          <w:szCs w:val="24"/>
        </w:rPr>
        <w:t>to delay the operational</w:t>
      </w:r>
      <w:r w:rsidR="00DF08A3" w:rsidRPr="00FC6EF2">
        <w:rPr>
          <w:sz w:val="24"/>
          <w:szCs w:val="24"/>
        </w:rPr>
        <w:t>iz</w:t>
      </w:r>
      <w:r w:rsidR="00D62D76" w:rsidRPr="00FC6EF2">
        <w:rPr>
          <w:sz w:val="24"/>
          <w:szCs w:val="24"/>
        </w:rPr>
        <w:t>ation</w:t>
      </w:r>
      <w:r w:rsidR="00FA4939" w:rsidRPr="00FC6EF2">
        <w:rPr>
          <w:sz w:val="24"/>
          <w:szCs w:val="24"/>
        </w:rPr>
        <w:t xml:space="preserve"> of the</w:t>
      </w:r>
      <w:r w:rsidR="47CB5413" w:rsidRPr="00FC6EF2">
        <w:rPr>
          <w:sz w:val="24"/>
          <w:szCs w:val="24"/>
        </w:rPr>
        <w:t xml:space="preserve"> test </w:t>
      </w:r>
      <w:r w:rsidR="00C74D86" w:rsidRPr="00FC6EF2">
        <w:rPr>
          <w:sz w:val="24"/>
          <w:szCs w:val="24"/>
        </w:rPr>
        <w:t xml:space="preserve">for </w:t>
      </w:r>
      <w:r w:rsidR="47CB5413" w:rsidRPr="00FC6EF2">
        <w:rPr>
          <w:sz w:val="24"/>
          <w:szCs w:val="24"/>
        </w:rPr>
        <w:t>an additional year.</w:t>
      </w:r>
      <w:r w:rsidR="00C321BF" w:rsidRPr="00FC6EF2">
        <w:rPr>
          <w:sz w:val="24"/>
          <w:szCs w:val="24"/>
        </w:rPr>
        <w:t xml:space="preserve"> </w:t>
      </w:r>
      <w:r w:rsidR="47CB5413" w:rsidRPr="00FC6EF2">
        <w:rPr>
          <w:sz w:val="24"/>
          <w:szCs w:val="24"/>
        </w:rPr>
        <w:t>As such, the CDE recommends that the SBE authorize the CDE to request an extension to use preliminary indicator</w:t>
      </w:r>
      <w:r w:rsidR="4D73505D" w:rsidRPr="00FC6EF2">
        <w:rPr>
          <w:sz w:val="24"/>
          <w:szCs w:val="24"/>
        </w:rPr>
        <w:t xml:space="preserve"> result</w:t>
      </w:r>
      <w:r w:rsidR="47CB5413" w:rsidRPr="00FC6EF2">
        <w:rPr>
          <w:sz w:val="24"/>
          <w:szCs w:val="24"/>
        </w:rPr>
        <w:t xml:space="preserve">s </w:t>
      </w:r>
      <w:r w:rsidR="4D73505D" w:rsidRPr="00FC6EF2">
        <w:rPr>
          <w:sz w:val="24"/>
          <w:szCs w:val="24"/>
        </w:rPr>
        <w:t>for</w:t>
      </w:r>
      <w:r w:rsidR="47CB5413" w:rsidRPr="00FC6EF2">
        <w:rPr>
          <w:sz w:val="24"/>
          <w:szCs w:val="24"/>
        </w:rPr>
        <w:t xml:space="preserve"> meeting the reporting requirements for the 2020–21 administration of the CAA for Science.</w:t>
      </w:r>
    </w:p>
    <w:p w14:paraId="528590C0" w14:textId="77777777" w:rsidR="003E4DF7" w:rsidRPr="00FC6EF2" w:rsidRDefault="003E4DF7" w:rsidP="00811B33">
      <w:pPr>
        <w:pStyle w:val="Heading2"/>
        <w:jc w:val="left"/>
        <w:rPr>
          <w:sz w:val="36"/>
        </w:rPr>
      </w:pPr>
      <w:r w:rsidRPr="00FC6EF2">
        <w:rPr>
          <w:sz w:val="36"/>
        </w:rPr>
        <w:t>Summary of Previous State Board of Education Discussion and Action</w:t>
      </w:r>
    </w:p>
    <w:p w14:paraId="690EEB77" w14:textId="43CADB1A" w:rsidR="00E16594" w:rsidRPr="00FC6EF2" w:rsidRDefault="12DC427F" w:rsidP="2D7D7EB4">
      <w:pPr>
        <w:spacing w:after="240"/>
        <w:rPr>
          <w:rFonts w:eastAsia="Arial"/>
          <w:color w:val="000000" w:themeColor="text1"/>
        </w:rPr>
      </w:pPr>
      <w:r w:rsidRPr="00FC6EF2">
        <w:rPr>
          <w:rFonts w:eastAsia="Arial"/>
          <w:color w:val="000000" w:themeColor="text1"/>
        </w:rPr>
        <w:t>In February 2021, the CDE provided the SBE with updates on the guidance released by the ED on assessing student learning during the pandemic. The SBE directed the CDE to provide next steps on applying for additional flexibility from the ED (</w:t>
      </w:r>
      <w:hyperlink r:id="rId16" w:tooltip="This link opens the February 2021 SBE Information Memorandum.">
        <w:r w:rsidRPr="00FC6EF2">
          <w:rPr>
            <w:rStyle w:val="Hyperlink"/>
            <w:rFonts w:eastAsia="Arial"/>
          </w:rPr>
          <w:t>https://www.cde.ca.gov/be/ag/ag/yr21/documents/feb2124item02.docx</w:t>
        </w:r>
      </w:hyperlink>
      <w:r w:rsidRPr="00FC6EF2">
        <w:rPr>
          <w:rFonts w:eastAsia="Arial"/>
          <w:color w:val="000000" w:themeColor="text1"/>
        </w:rPr>
        <w:t>).</w:t>
      </w:r>
    </w:p>
    <w:p w14:paraId="7C6C2CA3" w14:textId="77777777" w:rsidR="00E16594" w:rsidRPr="00FC6EF2" w:rsidRDefault="00E16594" w:rsidP="40EF3957">
      <w:pPr>
        <w:spacing w:after="240"/>
        <w:rPr>
          <w:rFonts w:eastAsia="Arial"/>
        </w:rPr>
      </w:pPr>
      <w:r w:rsidRPr="00FC6EF2">
        <w:rPr>
          <w:rFonts w:eastAsia="Arial"/>
        </w:rPr>
        <w:t>In January 2021, the CDE provided the SBE with a summary of updates related to the CAASPP</w:t>
      </w:r>
      <w:r w:rsidR="00AB0302" w:rsidRPr="00FC6EF2">
        <w:rPr>
          <w:rFonts w:eastAsia="Arial"/>
        </w:rPr>
        <w:t>;</w:t>
      </w:r>
      <w:r w:rsidR="29862B84" w:rsidRPr="00FC6EF2">
        <w:rPr>
          <w:rFonts w:eastAsia="Arial"/>
        </w:rPr>
        <w:t xml:space="preserve"> </w:t>
      </w:r>
      <w:r w:rsidR="00AB0302" w:rsidRPr="00FC6EF2">
        <w:rPr>
          <w:rFonts w:eastAsia="Arial"/>
        </w:rPr>
        <w:t>t</w:t>
      </w:r>
      <w:r w:rsidRPr="00FC6EF2">
        <w:rPr>
          <w:rFonts w:eastAsia="Arial"/>
        </w:rPr>
        <w:t>he SBE engaged in preliminary discussions about testing flexibilities (</w:t>
      </w:r>
      <w:hyperlink r:id="rId17" w:tooltip="This link opens the January 2021 SBE Agenda Item.">
        <w:r w:rsidRPr="00FC6EF2">
          <w:rPr>
            <w:rStyle w:val="Hyperlink"/>
            <w:rFonts w:eastAsia="Arial"/>
          </w:rPr>
          <w:t>https://www.cde.ca.gov/be/ag/ag/yr21/documents/jan21item03.docx</w:t>
        </w:r>
      </w:hyperlink>
      <w:r w:rsidRPr="00FC6EF2">
        <w:rPr>
          <w:rFonts w:eastAsia="Arial"/>
        </w:rPr>
        <w:t>).</w:t>
      </w:r>
    </w:p>
    <w:p w14:paraId="5CF96572" w14:textId="2AD1A60F" w:rsidR="00E16594" w:rsidRPr="00FC6EF2" w:rsidRDefault="51D3397A" w:rsidP="003C5669">
      <w:pPr>
        <w:spacing w:after="240"/>
        <w:rPr>
          <w:rFonts w:eastAsia="Arial"/>
          <w:color w:val="000000" w:themeColor="text1"/>
        </w:rPr>
      </w:pPr>
      <w:r w:rsidRPr="00FC6EF2">
        <w:rPr>
          <w:rFonts w:eastAsia="Arial"/>
          <w:color w:val="000000" w:themeColor="text1"/>
        </w:rPr>
        <w:t xml:space="preserve">In November 2020, the CDE provided the SBE with updates related to the CAASPP, including the approval of the proposed Smarter Balanced </w:t>
      </w:r>
      <w:r w:rsidR="0E7281AD" w:rsidRPr="00FC6EF2">
        <w:rPr>
          <w:rFonts w:eastAsia="Arial"/>
          <w:color w:val="000000" w:themeColor="text1"/>
        </w:rPr>
        <w:t>s</w:t>
      </w:r>
      <w:r w:rsidRPr="00FC6EF2">
        <w:rPr>
          <w:rFonts w:eastAsia="Arial"/>
          <w:color w:val="000000" w:themeColor="text1"/>
        </w:rPr>
        <w:t xml:space="preserve">ummative </w:t>
      </w:r>
      <w:r w:rsidR="0E7281AD" w:rsidRPr="00FC6EF2">
        <w:rPr>
          <w:rFonts w:eastAsia="Arial"/>
          <w:color w:val="000000" w:themeColor="text1"/>
        </w:rPr>
        <w:t>a</w:t>
      </w:r>
      <w:r w:rsidRPr="00FC6EF2">
        <w:rPr>
          <w:rFonts w:eastAsia="Arial"/>
          <w:color w:val="000000" w:themeColor="text1"/>
        </w:rPr>
        <w:t>ssessments for ELA and mathematics blueprints (</w:t>
      </w:r>
      <w:hyperlink r:id="rId18" w:tooltip="This link opens the November 2020 SBE Agenda Item.">
        <w:r w:rsidR="0E16D512" w:rsidRPr="00FC6EF2">
          <w:rPr>
            <w:rStyle w:val="Hyperlink"/>
            <w:rFonts w:eastAsia="Arial"/>
          </w:rPr>
          <w:t>https://www.cde.ca.gov/be/ag/ag/yr20/documents/nov20item04.docx</w:t>
        </w:r>
      </w:hyperlink>
      <w:r w:rsidRPr="00FC6EF2">
        <w:rPr>
          <w:rFonts w:eastAsia="Arial"/>
          <w:color w:val="000000" w:themeColor="text1"/>
        </w:rPr>
        <w:t>).</w:t>
      </w:r>
    </w:p>
    <w:p w14:paraId="007FB26C" w14:textId="4C408226" w:rsidR="0292105B" w:rsidRPr="00FC6EF2" w:rsidRDefault="0292105B" w:rsidP="0292105B">
      <w:pPr>
        <w:spacing w:after="240"/>
        <w:rPr>
          <w:rFonts w:eastAsia="Arial" w:cs="Arial"/>
          <w:color w:val="000000" w:themeColor="text1"/>
        </w:rPr>
      </w:pPr>
      <w:r w:rsidRPr="00FC6EF2">
        <w:rPr>
          <w:rFonts w:eastAsia="Arial"/>
        </w:rPr>
        <w:t>In September 2020, the SBE provided approval for the CDE to r</w:t>
      </w:r>
      <w:r w:rsidRPr="00FC6EF2">
        <w:rPr>
          <w:rFonts w:eastAsia="Arial" w:cs="Arial"/>
          <w:color w:val="000000" w:themeColor="text1"/>
        </w:rPr>
        <w:t xml:space="preserve">equest a waiver under Every Student Succeeds Act, </w:t>
      </w:r>
      <w:r w:rsidR="00BA082A" w:rsidRPr="00FC6EF2">
        <w:rPr>
          <w:rFonts w:eastAsia="Arial" w:cs="Arial"/>
          <w:i/>
          <w:color w:val="000000" w:themeColor="text1"/>
        </w:rPr>
        <w:t>CFR</w:t>
      </w:r>
      <w:r w:rsidRPr="00FC6EF2">
        <w:rPr>
          <w:rFonts w:eastAsia="Arial" w:cs="Arial"/>
          <w:color w:val="000000" w:themeColor="text1"/>
        </w:rPr>
        <w:t xml:space="preserve"> Section 200.6(c)(4) to waive the 1.0 percent threshold for the 2020–21 </w:t>
      </w:r>
      <w:r w:rsidR="00FB2E20" w:rsidRPr="00FC6EF2">
        <w:rPr>
          <w:rFonts w:eastAsia="Arial" w:cs="Arial"/>
          <w:color w:val="000000" w:themeColor="text1"/>
        </w:rPr>
        <w:t>CAAs</w:t>
      </w:r>
      <w:r w:rsidRPr="00FC6EF2">
        <w:rPr>
          <w:rFonts w:eastAsia="Arial" w:cs="Arial"/>
          <w:color w:val="000000" w:themeColor="text1"/>
        </w:rPr>
        <w:t xml:space="preserve"> for </w:t>
      </w:r>
      <w:r w:rsidR="006336C4" w:rsidRPr="00FC6EF2">
        <w:rPr>
          <w:rFonts w:eastAsia="Arial" w:cs="Arial"/>
          <w:color w:val="000000" w:themeColor="text1"/>
        </w:rPr>
        <w:t>ELA</w:t>
      </w:r>
      <w:r w:rsidRPr="00FC6EF2">
        <w:rPr>
          <w:rFonts w:eastAsia="Arial" w:cs="Arial"/>
          <w:color w:val="000000" w:themeColor="text1"/>
        </w:rPr>
        <w:t>, mathematics, and science (</w:t>
      </w:r>
      <w:hyperlink r:id="rId19" w:tooltip="This link opens the September 2020 SBE Agenda Item.">
        <w:r w:rsidRPr="00FC6EF2">
          <w:rPr>
            <w:rStyle w:val="Hyperlink"/>
            <w:rFonts w:eastAsia="Arial" w:cs="Arial"/>
          </w:rPr>
          <w:t>https://www.cde.ca.gov/be/ag/ag/yr20/documents/sep20item07.docx</w:t>
        </w:r>
      </w:hyperlink>
      <w:r w:rsidRPr="00FC6EF2">
        <w:rPr>
          <w:rFonts w:eastAsia="Arial" w:cs="Arial"/>
          <w:color w:val="000000" w:themeColor="text1"/>
        </w:rPr>
        <w:t>)</w:t>
      </w:r>
      <w:r w:rsidR="006336C4" w:rsidRPr="00FC6EF2">
        <w:rPr>
          <w:rFonts w:eastAsia="Arial" w:cs="Arial"/>
          <w:color w:val="000000" w:themeColor="text1"/>
        </w:rPr>
        <w:t>.</w:t>
      </w:r>
    </w:p>
    <w:p w14:paraId="66B5A68C" w14:textId="0400270A" w:rsidR="00E16594" w:rsidRPr="00FC6EF2" w:rsidRDefault="2B5124C4" w:rsidP="00BC6A8A">
      <w:pPr>
        <w:keepLines/>
        <w:spacing w:after="240"/>
        <w:rPr>
          <w:rFonts w:eastAsia="Arial"/>
        </w:rPr>
      </w:pPr>
      <w:r w:rsidRPr="00FC6EF2">
        <w:rPr>
          <w:rFonts w:eastAsia="Arial"/>
        </w:rPr>
        <w:lastRenderedPageBreak/>
        <w:t>In August 2020, the CDE provided the SBE with information and updates regarding the first operational administration of the CAA for Science and the release of the 2019–20 science assessment results (</w:t>
      </w:r>
      <w:hyperlink r:id="rId20" w:tooltip="This link opens the August 2020 SBE Information Memorandum.">
        <w:r w:rsidRPr="00FC6EF2">
          <w:rPr>
            <w:rStyle w:val="Hyperlink"/>
            <w:rFonts w:eastAsia="Arial"/>
          </w:rPr>
          <w:t>https://www.cde.ca.gov/be/pn/im/documents/aug20adad01.docx</w:t>
        </w:r>
      </w:hyperlink>
      <w:r w:rsidRPr="00FC6EF2">
        <w:rPr>
          <w:rFonts w:eastAsia="Arial"/>
        </w:rPr>
        <w:t>).</w:t>
      </w:r>
    </w:p>
    <w:p w14:paraId="61C3246C" w14:textId="14C6CF3D" w:rsidR="00E16594" w:rsidRPr="00FC6EF2" w:rsidRDefault="00E16594" w:rsidP="003C5669">
      <w:pPr>
        <w:spacing w:after="240" w:line="259" w:lineRule="auto"/>
        <w:rPr>
          <w:rFonts w:eastAsia="Arial"/>
          <w:color w:val="000000" w:themeColor="text1"/>
        </w:rPr>
      </w:pPr>
      <w:r w:rsidRPr="00FC6EF2">
        <w:rPr>
          <w:rFonts w:eastAsia="Arial"/>
          <w:color w:val="000000" w:themeColor="text1"/>
        </w:rPr>
        <w:t>In July 2020, the CDE provided the SBE with a summary of developments and updates related to the CAASPP, including summary data for the 2019–20 test administration year (</w:t>
      </w:r>
      <w:hyperlink r:id="rId21" w:tooltip="This link opens the July 2020 SBE Agenda Item.">
        <w:r w:rsidRPr="00FC6EF2">
          <w:rPr>
            <w:rStyle w:val="Hyperlink"/>
            <w:rFonts w:eastAsia="Arial"/>
          </w:rPr>
          <w:t>https://www.cde.ca.gov/be/ag/ag/yr20/documents/jul20item05.docx</w:t>
        </w:r>
      </w:hyperlink>
      <w:r w:rsidRPr="00FC6EF2">
        <w:rPr>
          <w:rFonts w:eastAsia="Arial"/>
          <w:color w:val="000000" w:themeColor="text1"/>
        </w:rPr>
        <w:t>).</w:t>
      </w:r>
    </w:p>
    <w:p w14:paraId="16591BBA" w14:textId="77777777" w:rsidR="00E16594" w:rsidRPr="00FC6EF2" w:rsidRDefault="00E16594" w:rsidP="003C5669">
      <w:pPr>
        <w:spacing w:after="240"/>
        <w:rPr>
          <w:rFonts w:eastAsia="Arial"/>
        </w:rPr>
      </w:pPr>
      <w:r w:rsidRPr="00FC6EF2">
        <w:rPr>
          <w:rFonts w:eastAsia="Arial"/>
        </w:rPr>
        <w:t xml:space="preserve">In April 2020, the CDE provided the SBE with the notification from the </w:t>
      </w:r>
      <w:r w:rsidR="00A34B66" w:rsidRPr="00FC6EF2">
        <w:rPr>
          <w:rFonts w:eastAsia="Arial"/>
        </w:rPr>
        <w:t>ED’s</w:t>
      </w:r>
      <w:r w:rsidRPr="00FC6EF2">
        <w:rPr>
          <w:rFonts w:eastAsia="Arial"/>
        </w:rPr>
        <w:t xml:space="preserve"> Office of Elementary and Secondary Education, which indicated that the state had exceeded the 1.0 percent threshold of students taking alternate assessments. In addition, the CDE provided the SBE with the CDE’s response, which included an update to the plan to come into compliance (</w:t>
      </w:r>
      <w:hyperlink r:id="rId22" w:tooltip="This link opens the April 2020 SBE Memo.">
        <w:r w:rsidRPr="00FC6EF2">
          <w:rPr>
            <w:rFonts w:eastAsia="Arial"/>
            <w:color w:val="0000FF"/>
            <w:u w:val="single"/>
          </w:rPr>
          <w:t>https://www.cde.ca.gov/be/pn/im/documents/apr20memoadad02.docx</w:t>
        </w:r>
      </w:hyperlink>
      <w:r w:rsidRPr="00FC6EF2">
        <w:rPr>
          <w:rFonts w:eastAsia="Arial"/>
        </w:rPr>
        <w:t>).</w:t>
      </w:r>
    </w:p>
    <w:p w14:paraId="738975E6" w14:textId="7BF9BCE8" w:rsidR="00E16594" w:rsidRPr="00FC6EF2" w:rsidRDefault="00E16594" w:rsidP="003C5669">
      <w:pPr>
        <w:spacing w:after="240"/>
        <w:rPr>
          <w:rFonts w:eastAsia="Arial"/>
        </w:rPr>
      </w:pPr>
      <w:r w:rsidRPr="00FC6EF2">
        <w:rPr>
          <w:rFonts w:eastAsia="Arial"/>
        </w:rPr>
        <w:t xml:space="preserve">In January 2018, the SBE approved the CAA for Science test blueprint, general </w:t>
      </w:r>
      <w:r w:rsidR="007278ED" w:rsidRPr="00FC6EF2">
        <w:rPr>
          <w:rFonts w:eastAsia="Arial"/>
        </w:rPr>
        <w:t>achievement level descriptors</w:t>
      </w:r>
      <w:r w:rsidRPr="00FC6EF2">
        <w:rPr>
          <w:rFonts w:eastAsia="Arial"/>
        </w:rPr>
        <w:t>, and score reporting structure (</w:t>
      </w:r>
      <w:hyperlink r:id="rId23" w:tooltip="This link opens the January 2018 SBE Agenda Item." w:history="1">
        <w:r w:rsidRPr="00FC6EF2">
          <w:rPr>
            <w:rStyle w:val="Hyperlink"/>
            <w:rFonts w:eastAsia="Arial"/>
          </w:rPr>
          <w:t>https://www.cde.ca.gov/be/ag/ag/yr18/documents/jan18item06.docx</w:t>
        </w:r>
      </w:hyperlink>
      <w:r w:rsidRPr="00FC6EF2">
        <w:rPr>
          <w:rFonts w:eastAsia="Arial"/>
        </w:rPr>
        <w:t>).</w:t>
      </w:r>
    </w:p>
    <w:p w14:paraId="7B7CF5C2" w14:textId="499075C0" w:rsidR="00E16594" w:rsidRPr="00FC6EF2" w:rsidRDefault="1471224D" w:rsidP="003C5669">
      <w:pPr>
        <w:spacing w:after="240"/>
      </w:pPr>
      <w:r w:rsidRPr="00FC6EF2">
        <w:rPr>
          <w:rFonts w:eastAsia="Arial"/>
        </w:rPr>
        <w:t>In December 2017, the CDE updated the SBE with a summary of recent developments related to the science waiver for the field test of the CAST</w:t>
      </w:r>
      <w:r w:rsidR="0CC714B7" w:rsidRPr="00FC6EF2">
        <w:rPr>
          <w:rFonts w:eastAsia="Arial"/>
        </w:rPr>
        <w:t>,</w:t>
      </w:r>
      <w:r w:rsidRPr="00FC6EF2">
        <w:rPr>
          <w:rFonts w:eastAsia="Arial"/>
        </w:rPr>
        <w:t xml:space="preserve"> the second</w:t>
      </w:r>
      <w:r w:rsidR="0CC714B7" w:rsidRPr="00FC6EF2">
        <w:rPr>
          <w:rFonts w:eastAsia="Arial"/>
        </w:rPr>
        <w:t>-</w:t>
      </w:r>
      <w:r w:rsidRPr="00FC6EF2">
        <w:rPr>
          <w:rFonts w:eastAsia="Arial"/>
        </w:rPr>
        <w:t>year pilot test of the CAA for Science (</w:t>
      </w:r>
      <w:hyperlink r:id="rId24" w:tooltip="This link opens the December 2017 SBE Information Memorandum.">
        <w:r w:rsidRPr="00FC6EF2">
          <w:rPr>
            <w:rStyle w:val="Hyperlink"/>
            <w:rFonts w:eastAsia="Arial"/>
          </w:rPr>
          <w:t>https://www.cde.ca.gov/be/pn/im/documents/memo-pptb-adad-dec17item01.doc</w:t>
        </w:r>
      </w:hyperlink>
      <w:r w:rsidRPr="00FC6EF2">
        <w:rPr>
          <w:rFonts w:eastAsia="Arial"/>
        </w:rPr>
        <w:t>)</w:t>
      </w:r>
      <w:r w:rsidR="0CC714B7" w:rsidRPr="00FC6EF2">
        <w:rPr>
          <w:rFonts w:eastAsia="Arial"/>
        </w:rPr>
        <w:t>,</w:t>
      </w:r>
      <w:r w:rsidRPr="00FC6EF2">
        <w:rPr>
          <w:rFonts w:eastAsia="Arial"/>
        </w:rPr>
        <w:t xml:space="preserve"> and </w:t>
      </w:r>
      <w:r w:rsidR="0CC714B7" w:rsidRPr="00FC6EF2">
        <w:rPr>
          <w:rFonts w:eastAsia="Arial"/>
        </w:rPr>
        <w:t>a letter</w:t>
      </w:r>
      <w:r w:rsidRPr="00FC6EF2">
        <w:rPr>
          <w:rFonts w:eastAsia="Arial"/>
        </w:rPr>
        <w:t xml:space="preserve"> to</w:t>
      </w:r>
      <w:r w:rsidR="0CC714B7" w:rsidRPr="00FC6EF2">
        <w:rPr>
          <w:rFonts w:eastAsia="Arial"/>
        </w:rPr>
        <w:t xml:space="preserve"> the</w:t>
      </w:r>
      <w:r w:rsidRPr="00FC6EF2">
        <w:rPr>
          <w:rFonts w:eastAsia="Arial"/>
        </w:rPr>
        <w:t xml:space="preserve"> ED outlin</w:t>
      </w:r>
      <w:r w:rsidR="0CC714B7" w:rsidRPr="00FC6EF2">
        <w:rPr>
          <w:rFonts w:eastAsia="Arial"/>
        </w:rPr>
        <w:t>ing</w:t>
      </w:r>
      <w:r w:rsidRPr="00FC6EF2">
        <w:rPr>
          <w:rFonts w:eastAsia="Arial"/>
        </w:rPr>
        <w:t xml:space="preserve"> the plan to provide preliminary indicators to students taking the science assessments (</w:t>
      </w:r>
      <w:hyperlink r:id="rId25" w:tooltip="This link opens the December 2017 SBE Information Memorandum.">
        <w:r w:rsidRPr="00FC6EF2">
          <w:rPr>
            <w:rStyle w:val="Hyperlink"/>
          </w:rPr>
          <w:t>https://www.cde.ca.gov/be/pn/im/memo-pptb-adad-dec17item01a01.asp</w:t>
        </w:r>
      </w:hyperlink>
      <w:r w:rsidRPr="00FC6EF2">
        <w:t>).</w:t>
      </w:r>
    </w:p>
    <w:p w14:paraId="365B6B84" w14:textId="1FFF86F7" w:rsidR="00E16594" w:rsidRPr="00FC6EF2" w:rsidRDefault="00E16594" w:rsidP="0073516C">
      <w:pPr>
        <w:spacing w:after="480"/>
        <w:rPr>
          <w:rFonts w:eastAsia="Arial"/>
        </w:rPr>
      </w:pPr>
      <w:r w:rsidRPr="00FC6EF2">
        <w:rPr>
          <w:rFonts w:eastAsia="Arial"/>
        </w:rPr>
        <w:t xml:space="preserve">In May 2016, the SBE approved the CDE recommendation to eliminate </w:t>
      </w:r>
      <w:r w:rsidR="00FB1DB9" w:rsidRPr="00FC6EF2">
        <w:rPr>
          <w:rFonts w:eastAsia="Arial"/>
        </w:rPr>
        <w:t xml:space="preserve">the </w:t>
      </w:r>
      <w:r w:rsidRPr="00FC6EF2">
        <w:rPr>
          <w:rFonts w:eastAsia="Arial"/>
        </w:rPr>
        <w:t xml:space="preserve">California Standards Tests, California Modified Assessment, and California Alternate Performance Assessment and to submit a letter to </w:t>
      </w:r>
      <w:r w:rsidR="003D147D" w:rsidRPr="00FC6EF2">
        <w:rPr>
          <w:rFonts w:eastAsia="Arial"/>
        </w:rPr>
        <w:t xml:space="preserve">the </w:t>
      </w:r>
      <w:r w:rsidRPr="00FC6EF2">
        <w:rPr>
          <w:rFonts w:eastAsia="Arial"/>
        </w:rPr>
        <w:t xml:space="preserve">ED requesting a waiver </w:t>
      </w:r>
      <w:r w:rsidR="003D147D" w:rsidRPr="00FC6EF2">
        <w:rPr>
          <w:rFonts w:eastAsia="Arial"/>
        </w:rPr>
        <w:t xml:space="preserve">of </w:t>
      </w:r>
      <w:r w:rsidRPr="00FC6EF2">
        <w:rPr>
          <w:rFonts w:eastAsia="Arial"/>
        </w:rPr>
        <w:t>double testing while conducting pilot and field testing (</w:t>
      </w:r>
      <w:hyperlink r:id="rId26" w:tooltip="This link opens the May 2016 SBE Agenda Item.">
        <w:r w:rsidR="00A231E5" w:rsidRPr="00FC6EF2">
          <w:rPr>
            <w:rStyle w:val="Hyperlink"/>
            <w:rFonts w:eastAsia="Arial"/>
          </w:rPr>
          <w:t>https://www.cde.ca.gov/be/ag/ag/yr16/documents/may16item08.doc</w:t>
        </w:r>
      </w:hyperlink>
      <w:r w:rsidRPr="00FC6EF2">
        <w:rPr>
          <w:rFonts w:eastAsia="Arial"/>
        </w:rPr>
        <w:t>).</w:t>
      </w:r>
    </w:p>
    <w:p w14:paraId="6C38690A" w14:textId="77777777" w:rsidR="003E4DF7" w:rsidRPr="00FC6EF2" w:rsidRDefault="003E4DF7" w:rsidP="00811B33">
      <w:pPr>
        <w:pStyle w:val="Heading2"/>
        <w:jc w:val="left"/>
        <w:rPr>
          <w:sz w:val="36"/>
        </w:rPr>
      </w:pPr>
      <w:r w:rsidRPr="00FC6EF2">
        <w:rPr>
          <w:sz w:val="36"/>
        </w:rPr>
        <w:t>Fiscal Analysis (as appropriate)</w:t>
      </w:r>
    </w:p>
    <w:p w14:paraId="4B22866A" w14:textId="20A65A2E" w:rsidR="00CE70BD" w:rsidRPr="00FC6EF2" w:rsidRDefault="77B89FC6" w:rsidP="00B8062A">
      <w:pPr>
        <w:spacing w:after="480"/>
      </w:pPr>
      <w:r w:rsidRPr="00FC6EF2">
        <w:t>The information presented in this agenda item does not contain an economic or fiscal impact.</w:t>
      </w:r>
      <w:r w:rsidR="00CE70BD" w:rsidRPr="00FC6EF2">
        <w:br w:type="page"/>
      </w:r>
    </w:p>
    <w:p w14:paraId="068B6C00" w14:textId="77777777" w:rsidR="009B04E1" w:rsidRPr="00FC6EF2" w:rsidRDefault="00406F50" w:rsidP="00811B33">
      <w:pPr>
        <w:pStyle w:val="Heading2"/>
        <w:jc w:val="left"/>
        <w:rPr>
          <w:sz w:val="36"/>
        </w:rPr>
      </w:pPr>
      <w:r w:rsidRPr="00FC6EF2">
        <w:rPr>
          <w:sz w:val="36"/>
        </w:rPr>
        <w:lastRenderedPageBreak/>
        <w:t>Attachment(s)</w:t>
      </w:r>
    </w:p>
    <w:p w14:paraId="2DBAE729" w14:textId="35F254C6" w:rsidR="003165FD" w:rsidRPr="00FC6EF2" w:rsidRDefault="779C51F9" w:rsidP="003C3E81">
      <w:pPr>
        <w:pStyle w:val="ListParagraph"/>
        <w:numPr>
          <w:ilvl w:val="0"/>
          <w:numId w:val="2"/>
        </w:numPr>
        <w:spacing w:after="240"/>
        <w:rPr>
          <w:rFonts w:eastAsia="Arial"/>
        </w:rPr>
      </w:pPr>
      <w:r w:rsidRPr="00FC6EF2">
        <w:rPr>
          <w:rFonts w:eastAsia="Arial"/>
        </w:rPr>
        <w:t xml:space="preserve">Attachment 1: </w:t>
      </w:r>
      <w:r w:rsidR="590DDDA1" w:rsidRPr="00FC6EF2">
        <w:rPr>
          <w:rFonts w:eastAsia="Arial"/>
        </w:rPr>
        <w:t xml:space="preserve">DRAFT </w:t>
      </w:r>
      <w:r w:rsidRPr="00FC6EF2">
        <w:rPr>
          <w:rFonts w:eastAsia="Arial"/>
        </w:rPr>
        <w:t xml:space="preserve">Letter from </w:t>
      </w:r>
      <w:r w:rsidR="590DDDA1" w:rsidRPr="00FC6EF2">
        <w:rPr>
          <w:rFonts w:eastAsia="Arial"/>
        </w:rPr>
        <w:t xml:space="preserve">State Superintendent of Public Instruction Thurmond and State Board President Darling-Hammond </w:t>
      </w:r>
      <w:r w:rsidRPr="00FC6EF2">
        <w:rPr>
          <w:rFonts w:eastAsia="Arial"/>
        </w:rPr>
        <w:t>to ED Regarding Waiver Requests (</w:t>
      </w:r>
      <w:r w:rsidR="0018126E" w:rsidRPr="00FC6EF2">
        <w:rPr>
          <w:rFonts w:eastAsia="Arial"/>
        </w:rPr>
        <w:t>2</w:t>
      </w:r>
      <w:r w:rsidR="00051FB2">
        <w:rPr>
          <w:rFonts w:eastAsia="Arial"/>
        </w:rPr>
        <w:t>0</w:t>
      </w:r>
      <w:r w:rsidR="0018126E" w:rsidRPr="00FC6EF2">
        <w:rPr>
          <w:rFonts w:eastAsia="Arial"/>
        </w:rPr>
        <w:t xml:space="preserve"> </w:t>
      </w:r>
      <w:r w:rsidR="499FB53C" w:rsidRPr="00FC6EF2">
        <w:rPr>
          <w:rFonts w:eastAsia="Arial"/>
        </w:rPr>
        <w:t>Pages</w:t>
      </w:r>
      <w:r w:rsidRPr="00FC6EF2">
        <w:rPr>
          <w:rFonts w:eastAsia="Arial"/>
        </w:rPr>
        <w:t>)</w:t>
      </w:r>
    </w:p>
    <w:p w14:paraId="7DE5BBCC" w14:textId="4B914AF7" w:rsidR="00E16594" w:rsidRPr="00FC6EF2" w:rsidRDefault="3F092E47" w:rsidP="003C3E81">
      <w:pPr>
        <w:pStyle w:val="Default"/>
        <w:numPr>
          <w:ilvl w:val="0"/>
          <w:numId w:val="2"/>
        </w:numPr>
      </w:pPr>
      <w:r w:rsidRPr="00FC6EF2">
        <w:rPr>
          <w:rFonts w:ascii="Arial" w:eastAsia="Arial" w:hAnsi="Arial" w:cs="Arial"/>
        </w:rPr>
        <w:t xml:space="preserve">Attachment </w:t>
      </w:r>
      <w:r w:rsidR="0D1FA84D" w:rsidRPr="00FC6EF2">
        <w:rPr>
          <w:rFonts w:ascii="Arial" w:eastAsia="Arial" w:hAnsi="Arial" w:cs="Arial"/>
        </w:rPr>
        <w:t>2</w:t>
      </w:r>
      <w:r w:rsidRPr="00FC6EF2">
        <w:rPr>
          <w:rFonts w:ascii="Arial" w:eastAsia="Arial" w:hAnsi="Arial" w:cs="Arial"/>
        </w:rPr>
        <w:t xml:space="preserve">: </w:t>
      </w:r>
      <w:r w:rsidR="65B15E2A" w:rsidRPr="00FC6EF2">
        <w:rPr>
          <w:rFonts w:ascii="Arial" w:eastAsia="Arial" w:hAnsi="Arial" w:cs="Arial"/>
        </w:rPr>
        <w:t xml:space="preserve">October 29, 2021 </w:t>
      </w:r>
      <w:r w:rsidRPr="00FC6EF2">
        <w:rPr>
          <w:rFonts w:ascii="Arial" w:eastAsia="Arial" w:hAnsi="Arial" w:cs="Arial"/>
        </w:rPr>
        <w:t>Memo</w:t>
      </w:r>
      <w:r w:rsidR="2FC7F297" w:rsidRPr="00FC6EF2">
        <w:rPr>
          <w:rFonts w:ascii="Arial" w:eastAsia="Arial" w:hAnsi="Arial" w:cs="Arial"/>
        </w:rPr>
        <w:t>randum</w:t>
      </w:r>
      <w:r w:rsidRPr="00FC6EF2">
        <w:rPr>
          <w:rFonts w:ascii="Arial" w:eastAsia="Arial" w:hAnsi="Arial" w:cs="Arial"/>
        </w:rPr>
        <w:t xml:space="preserve"> from the ED to States</w:t>
      </w:r>
      <w:r w:rsidR="65B15E2A" w:rsidRPr="00FC6EF2">
        <w:rPr>
          <w:rFonts w:ascii="Arial" w:eastAsia="Arial" w:hAnsi="Arial" w:cs="Arial"/>
        </w:rPr>
        <w:t xml:space="preserve"> titled “</w:t>
      </w:r>
      <w:r w:rsidR="65B15E2A" w:rsidRPr="00FC6EF2">
        <w:rPr>
          <w:rFonts w:ascii="Arial" w:hAnsi="Arial" w:cs="Arial"/>
        </w:rPr>
        <w:t>Information Regarding the Requirements to Request a Waiver for the 2021</w:t>
      </w:r>
      <w:r w:rsidR="112B7284" w:rsidRPr="00FC6EF2">
        <w:rPr>
          <w:rFonts w:ascii="Arial" w:hAnsi="Arial" w:cs="Arial"/>
        </w:rPr>
        <w:t>–</w:t>
      </w:r>
      <w:r w:rsidR="65B15E2A" w:rsidRPr="00FC6EF2">
        <w:rPr>
          <w:rFonts w:ascii="Arial" w:hAnsi="Arial" w:cs="Arial"/>
        </w:rPr>
        <w:t>22 School Year (SY) from the One Percent Cap on the Percentage of Students with the Most Significant Cognitive Disabilities Who May Be Assessed with an Alternate Assessment Aligned with Alternate Academic Achievement Standards (AA-AAAS)”</w:t>
      </w:r>
      <w:r w:rsidRPr="00FC6EF2">
        <w:rPr>
          <w:rFonts w:ascii="Arial" w:eastAsia="Arial" w:hAnsi="Arial" w:cs="Arial"/>
        </w:rPr>
        <w:t xml:space="preserve"> </w:t>
      </w:r>
      <w:r w:rsidR="0D1FA84D" w:rsidRPr="00FC6EF2">
        <w:rPr>
          <w:rFonts w:ascii="Arial" w:eastAsia="Arial" w:hAnsi="Arial" w:cs="Arial"/>
        </w:rPr>
        <w:t>(</w:t>
      </w:r>
      <w:r w:rsidR="4E581FE4" w:rsidRPr="00FC6EF2">
        <w:rPr>
          <w:rFonts w:ascii="Arial" w:eastAsia="Arial" w:hAnsi="Arial" w:cs="Arial"/>
        </w:rPr>
        <w:t>7 Pages</w:t>
      </w:r>
      <w:r w:rsidR="0D1FA84D" w:rsidRPr="00FC6EF2">
        <w:rPr>
          <w:rFonts w:ascii="Arial" w:eastAsia="Arial" w:hAnsi="Arial" w:cs="Arial"/>
        </w:rPr>
        <w:t>)</w:t>
      </w:r>
    </w:p>
    <w:p w14:paraId="4936A50F" w14:textId="77777777" w:rsidR="004A7368" w:rsidRPr="00FC6EF2" w:rsidRDefault="004A7368" w:rsidP="57EEB976">
      <w:pPr>
        <w:pStyle w:val="ListParagraph"/>
        <w:spacing w:after="240"/>
        <w:ind w:left="0"/>
        <w:rPr>
          <w:rFonts w:eastAsia="Arial"/>
        </w:rPr>
        <w:sectPr w:rsidR="004A7368" w:rsidRPr="00FC6EF2" w:rsidSect="00407E9B">
          <w:headerReference w:type="default" r:id="rId27"/>
          <w:footerReference w:type="default" r:id="rId28"/>
          <w:type w:val="continuous"/>
          <w:pgSz w:w="12240" w:h="15840"/>
          <w:pgMar w:top="720" w:right="1440" w:bottom="1440" w:left="1440" w:header="720" w:footer="720" w:gutter="0"/>
          <w:cols w:space="720"/>
          <w:docGrid w:linePitch="360"/>
        </w:sectPr>
      </w:pPr>
    </w:p>
    <w:p w14:paraId="5067172D" w14:textId="77777777" w:rsidR="00401F86" w:rsidRPr="00FC6EF2" w:rsidRDefault="00401F86" w:rsidP="00401F86">
      <w:pPr>
        <w:spacing w:after="720"/>
        <w:ind w:left="360" w:right="360"/>
        <w:jc w:val="center"/>
        <w:rPr>
          <w:rFonts w:eastAsiaTheme="majorEastAsia" w:cs="Arial"/>
          <w:spacing w:val="-10"/>
          <w:kern w:val="28"/>
        </w:rPr>
      </w:pPr>
      <w:r w:rsidRPr="00FC6EF2">
        <w:rPr>
          <w:rFonts w:eastAsiaTheme="majorEastAsia" w:cs="Arial"/>
          <w:noProof/>
          <w:color w:val="2B579A"/>
          <w:spacing w:val="-10"/>
          <w:kern w:val="28"/>
          <w:shd w:val="clear" w:color="auto" w:fill="E6E6E6"/>
        </w:rPr>
        <w:lastRenderedPageBreak/>
        <w:drawing>
          <wp:inline distT="0" distB="0" distL="0" distR="0" wp14:anchorId="661B14EA" wp14:editId="37FE3537">
            <wp:extent cx="7319010" cy="2152650"/>
            <wp:effectExtent l="0" t="0" r="0" b="0"/>
            <wp:docPr id="3" name="Picture 3" descr="Letterhead for the California Department of Education and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CDE SBE-v2.jpg"/>
                    <pic:cNvPicPr/>
                  </pic:nvPicPr>
                  <pic:blipFill>
                    <a:blip r:embed="rId29">
                      <a:extLst>
                        <a:ext uri="{28A0092B-C50C-407E-A947-70E740481C1C}">
                          <a14:useLocalDpi xmlns:a14="http://schemas.microsoft.com/office/drawing/2010/main" val="0"/>
                        </a:ext>
                      </a:extLst>
                    </a:blip>
                    <a:stretch>
                      <a:fillRect/>
                    </a:stretch>
                  </pic:blipFill>
                  <pic:spPr>
                    <a:xfrm>
                      <a:off x="0" y="0"/>
                      <a:ext cx="7324161" cy="2154165"/>
                    </a:xfrm>
                    <a:prstGeom prst="rect">
                      <a:avLst/>
                    </a:prstGeom>
                  </pic:spPr>
                </pic:pic>
              </a:graphicData>
            </a:graphic>
          </wp:inline>
        </w:drawing>
      </w:r>
      <w:proofErr w:type="spellStart"/>
      <w:r w:rsidRPr="00FC6EF2">
        <w:rPr>
          <w:rFonts w:eastAsiaTheme="majorEastAsia" w:cs="Arial"/>
          <w:spacing w:val="-10"/>
          <w:kern w:val="28"/>
        </w:rPr>
        <w:t>DRAFTMarch</w:t>
      </w:r>
      <w:proofErr w:type="spellEnd"/>
      <w:r w:rsidRPr="00FC6EF2">
        <w:rPr>
          <w:rFonts w:eastAsiaTheme="majorEastAsia" w:cs="Arial"/>
          <w:spacing w:val="-10"/>
          <w:kern w:val="28"/>
        </w:rPr>
        <w:t xml:space="preserve"> XX, 2022</w:t>
      </w:r>
    </w:p>
    <w:p w14:paraId="3FA63C2C" w14:textId="1F80F3CC" w:rsidR="00401F86" w:rsidRPr="00FC6EF2" w:rsidRDefault="2D7D7EB4" w:rsidP="2D7D7EB4">
      <w:pPr>
        <w:ind w:left="1440" w:right="1440"/>
        <w:rPr>
          <w:rFonts w:eastAsia="Calibri" w:cs="Arial"/>
        </w:rPr>
      </w:pPr>
      <w:r w:rsidRPr="00FC6EF2">
        <w:rPr>
          <w:rFonts w:eastAsia="Calibri" w:cs="Arial"/>
        </w:rPr>
        <w:t xml:space="preserve">David Cantrell, Ph.D. Acting Director </w:t>
      </w:r>
    </w:p>
    <w:p w14:paraId="718E156D" w14:textId="600AEAA1" w:rsidR="00401F86" w:rsidRPr="00FC6EF2" w:rsidRDefault="2D7D7EB4" w:rsidP="2D7D7EB4">
      <w:pPr>
        <w:ind w:left="1440" w:right="1440"/>
        <w:rPr>
          <w:rFonts w:eastAsia="Calibri" w:cs="Arial"/>
        </w:rPr>
      </w:pPr>
      <w:r w:rsidRPr="00FC6EF2">
        <w:rPr>
          <w:rFonts w:eastAsia="Calibri" w:cs="Arial"/>
        </w:rPr>
        <w:t>Office of Special Education Programs</w:t>
      </w:r>
    </w:p>
    <w:p w14:paraId="4FEFF642" w14:textId="5E4B3EA3" w:rsidR="00401F86" w:rsidRPr="00FC6EF2" w:rsidRDefault="2D7D7EB4" w:rsidP="2D7D7EB4">
      <w:pPr>
        <w:ind w:left="1440" w:right="1440"/>
        <w:rPr>
          <w:rFonts w:eastAsia="Calibri" w:cs="Arial"/>
        </w:rPr>
      </w:pPr>
      <w:r w:rsidRPr="00FC6EF2">
        <w:rPr>
          <w:rFonts w:eastAsia="Calibri" w:cs="Arial"/>
        </w:rPr>
        <w:t xml:space="preserve">Office of Special Education and Rehabilitative Services </w:t>
      </w:r>
    </w:p>
    <w:p w14:paraId="7DD92268" w14:textId="04B1161B" w:rsidR="00401F86" w:rsidRPr="00FC6EF2" w:rsidRDefault="00401F86" w:rsidP="2D7D7EB4">
      <w:pPr>
        <w:ind w:left="1440" w:right="1440"/>
      </w:pPr>
    </w:p>
    <w:p w14:paraId="66E78421" w14:textId="50232B5B" w:rsidR="00401F86" w:rsidRPr="00FC6EF2" w:rsidRDefault="2D7D7EB4" w:rsidP="2D7D7EB4">
      <w:pPr>
        <w:ind w:left="1440" w:right="1440"/>
        <w:rPr>
          <w:rFonts w:eastAsia="Arial" w:cs="Arial"/>
        </w:rPr>
      </w:pPr>
      <w:r w:rsidRPr="00FC6EF2">
        <w:rPr>
          <w:rFonts w:eastAsia="Arial" w:cs="Arial"/>
        </w:rPr>
        <w:t>Patrick Rooney, Director</w:t>
      </w:r>
    </w:p>
    <w:p w14:paraId="6942A3E9" w14:textId="08C300E4" w:rsidR="00401F86" w:rsidRPr="00FC6EF2" w:rsidRDefault="2D7D7EB4" w:rsidP="2D7D7EB4">
      <w:pPr>
        <w:ind w:left="1440" w:right="1440"/>
        <w:rPr>
          <w:rFonts w:eastAsia="Arial" w:cs="Arial"/>
        </w:rPr>
      </w:pPr>
      <w:r w:rsidRPr="00FC6EF2">
        <w:rPr>
          <w:rFonts w:eastAsia="Arial" w:cs="Arial"/>
        </w:rPr>
        <w:t xml:space="preserve">School Support and Accountability </w:t>
      </w:r>
    </w:p>
    <w:p w14:paraId="385A9959" w14:textId="10550149" w:rsidR="00401F86" w:rsidRPr="00FC6EF2" w:rsidRDefault="2D7D7EB4" w:rsidP="2D7D7EB4">
      <w:pPr>
        <w:ind w:left="1440" w:right="1440"/>
      </w:pPr>
      <w:r w:rsidRPr="00FC6EF2">
        <w:rPr>
          <w:rFonts w:eastAsia="Arial" w:cs="Arial"/>
        </w:rPr>
        <w:t>Office of Elementary and Secondary Education</w:t>
      </w:r>
    </w:p>
    <w:p w14:paraId="0684581B" w14:textId="631CA48F" w:rsidR="00401F86" w:rsidRPr="00FC6EF2" w:rsidRDefault="00401F86" w:rsidP="2D7D7EB4">
      <w:pPr>
        <w:ind w:left="1440" w:right="1440"/>
      </w:pPr>
    </w:p>
    <w:p w14:paraId="5BCFD09D" w14:textId="0C4865B7" w:rsidR="00401F86" w:rsidRPr="00FC6EF2" w:rsidRDefault="274B97E8" w:rsidP="2D7D7EB4">
      <w:pPr>
        <w:ind w:left="1440" w:right="1440"/>
        <w:rPr>
          <w:rFonts w:eastAsia="Calibri" w:cs="Arial"/>
        </w:rPr>
      </w:pPr>
      <w:r w:rsidRPr="00FC6EF2">
        <w:rPr>
          <w:rFonts w:eastAsia="Calibri" w:cs="Arial"/>
        </w:rPr>
        <w:t>United States Department of Education</w:t>
      </w:r>
    </w:p>
    <w:p w14:paraId="4E830D0C" w14:textId="77777777" w:rsidR="00401F86" w:rsidRPr="00FC6EF2" w:rsidRDefault="00401F86" w:rsidP="00401F86">
      <w:pPr>
        <w:ind w:left="1440" w:right="1440"/>
        <w:rPr>
          <w:rFonts w:eastAsia="Calibri" w:cs="Arial"/>
        </w:rPr>
      </w:pPr>
      <w:r w:rsidRPr="00FC6EF2">
        <w:rPr>
          <w:rFonts w:eastAsia="Calibri" w:cs="Arial"/>
        </w:rPr>
        <w:t>400 Maryland Avenue SW</w:t>
      </w:r>
    </w:p>
    <w:p w14:paraId="1498626C" w14:textId="6BE61905" w:rsidR="00401F86" w:rsidRPr="00FC6EF2" w:rsidRDefault="00401F86" w:rsidP="00401F86">
      <w:pPr>
        <w:ind w:left="1440" w:right="1440"/>
        <w:rPr>
          <w:rFonts w:eastAsia="Calibri" w:cs="Arial"/>
        </w:rPr>
      </w:pPr>
      <w:r w:rsidRPr="00FC6EF2">
        <w:rPr>
          <w:rFonts w:eastAsia="Calibri" w:cs="Arial"/>
        </w:rPr>
        <w:t>Washington, DC 20202</w:t>
      </w:r>
    </w:p>
    <w:p w14:paraId="350493A4" w14:textId="77777777" w:rsidR="00401F86" w:rsidRPr="00FC6EF2" w:rsidRDefault="00401F86" w:rsidP="00401F86">
      <w:pPr>
        <w:ind w:left="1440" w:right="1440"/>
        <w:rPr>
          <w:rFonts w:eastAsia="Calibri" w:cs="Arial"/>
        </w:rPr>
      </w:pPr>
    </w:p>
    <w:p w14:paraId="0BA0BC38" w14:textId="77777777" w:rsidR="00401F86" w:rsidRPr="00FC6EF2" w:rsidRDefault="00401F86" w:rsidP="00401F86">
      <w:pPr>
        <w:spacing w:after="240"/>
        <w:ind w:left="1440" w:right="1440"/>
        <w:rPr>
          <w:rFonts w:eastAsia="Calibri" w:cs="Arial"/>
        </w:rPr>
      </w:pPr>
      <w:r w:rsidRPr="00FC6EF2">
        <w:rPr>
          <w:rFonts w:eastAsia="Calibri" w:cs="Arial"/>
        </w:rPr>
        <w:t>Dear Director Rooney and Dr. Cantrell:</w:t>
      </w:r>
    </w:p>
    <w:p w14:paraId="30616851" w14:textId="45DF4F6C" w:rsidR="00401F86" w:rsidRPr="00FC6EF2" w:rsidRDefault="37EBC86D" w:rsidP="00401F86">
      <w:pPr>
        <w:spacing w:after="160" w:line="259" w:lineRule="auto"/>
        <w:ind w:left="1440" w:right="1440"/>
        <w:rPr>
          <w:rFonts w:eastAsia="Arial" w:cs="Arial"/>
          <w:color w:val="000000" w:themeColor="text1"/>
        </w:rPr>
      </w:pPr>
      <w:r w:rsidRPr="00FC6EF2">
        <w:rPr>
          <w:rFonts w:eastAsia="Arial" w:cs="Arial"/>
          <w:color w:val="000000" w:themeColor="text1"/>
        </w:rPr>
        <w:t xml:space="preserve">Please find </w:t>
      </w:r>
      <w:r w:rsidR="6ED9C3F3" w:rsidRPr="00FC6EF2">
        <w:rPr>
          <w:rFonts w:eastAsia="Arial" w:cs="Arial"/>
          <w:color w:val="000000" w:themeColor="text1"/>
        </w:rPr>
        <w:t>attached</w:t>
      </w:r>
      <w:r w:rsidRPr="00FC6EF2">
        <w:rPr>
          <w:rFonts w:eastAsia="Arial" w:cs="Arial"/>
          <w:color w:val="000000" w:themeColor="text1"/>
        </w:rPr>
        <w:t xml:space="preserve"> California’s waiver request pursuant to </w:t>
      </w:r>
      <w:r w:rsidRPr="00FC6EF2">
        <w:rPr>
          <w:rFonts w:eastAsia="Arial" w:cs="Arial"/>
          <w:i/>
          <w:iCs/>
          <w:color w:val="000000" w:themeColor="text1"/>
        </w:rPr>
        <w:t>Code of Federal Regulations</w:t>
      </w:r>
      <w:r w:rsidRPr="00FC6EF2">
        <w:rPr>
          <w:rFonts w:eastAsia="Arial" w:cs="Arial"/>
          <w:color w:val="000000" w:themeColor="text1"/>
        </w:rPr>
        <w:t xml:space="preserve">, Title 34 (34 </w:t>
      </w:r>
      <w:r w:rsidRPr="00FC6EF2">
        <w:rPr>
          <w:rFonts w:eastAsia="Arial" w:cs="Arial"/>
          <w:i/>
          <w:iCs/>
          <w:color w:val="000000" w:themeColor="text1"/>
        </w:rPr>
        <w:t>CFR</w:t>
      </w:r>
      <w:r w:rsidRPr="00FC6EF2">
        <w:rPr>
          <w:rFonts w:eastAsia="Arial" w:cs="Arial"/>
          <w:color w:val="000000" w:themeColor="text1"/>
        </w:rPr>
        <w:t xml:space="preserve">), Section 200.6(c)(4), which requires that, for each subject for which assessments are administered, the total number of </w:t>
      </w:r>
      <w:r w:rsidR="376E96C2" w:rsidRPr="00FC6EF2">
        <w:rPr>
          <w:rFonts w:eastAsia="Arial" w:cs="Arial"/>
          <w:color w:val="000000" w:themeColor="text1"/>
        </w:rPr>
        <w:t xml:space="preserve">eligible </w:t>
      </w:r>
      <w:r w:rsidRPr="00FC6EF2">
        <w:rPr>
          <w:rFonts w:eastAsia="Arial" w:cs="Arial"/>
          <w:color w:val="000000" w:themeColor="text1"/>
        </w:rPr>
        <w:t>students assessed in that subject using an alternate assessment aligned with alternate academic achievement standards (AA-AAAS) may not exceed 1.0 percent of the total number of students in California who are assessed in that subject. Data analysis indicates that the submission of a waiver is warranted for English language arts (ELA), mathematics, and science for the 2021–22 school year (</w:t>
      </w:r>
      <w:r w:rsidR="008D6CC5" w:rsidRPr="00FC6EF2">
        <w:rPr>
          <w:rFonts w:eastAsia="Arial" w:cs="Arial"/>
          <w:color w:val="000000" w:themeColor="text1"/>
        </w:rPr>
        <w:t>p</w:t>
      </w:r>
      <w:r w:rsidRPr="00FC6EF2">
        <w:rPr>
          <w:rFonts w:eastAsia="Arial" w:cs="Arial"/>
          <w:color w:val="000000" w:themeColor="text1"/>
        </w:rPr>
        <w:t xml:space="preserve">age 3). </w:t>
      </w:r>
    </w:p>
    <w:p w14:paraId="42090ADE" w14:textId="454EF70E" w:rsidR="00401F86" w:rsidRPr="00FC6EF2" w:rsidRDefault="60CB5E39" w:rsidP="00401F86">
      <w:pPr>
        <w:spacing w:after="160" w:line="259" w:lineRule="auto"/>
        <w:ind w:left="1440" w:right="1440"/>
        <w:rPr>
          <w:rFonts w:eastAsia="Arial" w:cs="Arial"/>
          <w:color w:val="000000" w:themeColor="text1"/>
        </w:rPr>
      </w:pPr>
      <w:r w:rsidRPr="00FC6EF2">
        <w:rPr>
          <w:rFonts w:eastAsia="Arial" w:cs="Arial"/>
          <w:color w:val="000000" w:themeColor="text1"/>
        </w:rPr>
        <w:t>In addition, the California Department of Education (CDE) and California State Board of Education (SBE) are requesting an extension of California’s Plan for Compliance with the Elementary and Secondary Education Act (ESEA) for the California Alternate Assessment (CAA) for Science for the 2020–21 administration (</w:t>
      </w:r>
      <w:r w:rsidR="002771F5" w:rsidRPr="00FC6EF2">
        <w:rPr>
          <w:rFonts w:eastAsia="Arial" w:cs="Arial"/>
          <w:color w:val="000000" w:themeColor="text1"/>
        </w:rPr>
        <w:t>p</w:t>
      </w:r>
      <w:r w:rsidRPr="00FC6EF2">
        <w:rPr>
          <w:rFonts w:eastAsia="Arial" w:cs="Arial"/>
          <w:color w:val="000000" w:themeColor="text1"/>
        </w:rPr>
        <w:t>age 20).</w:t>
      </w:r>
    </w:p>
    <w:p w14:paraId="4F8744CE" w14:textId="1DA7C62F" w:rsidR="00401F86" w:rsidRPr="00FC6EF2" w:rsidRDefault="00401F86" w:rsidP="00401F86">
      <w:pPr>
        <w:spacing w:after="160" w:line="259" w:lineRule="auto"/>
        <w:ind w:left="1440" w:right="1440"/>
        <w:rPr>
          <w:rFonts w:eastAsia="Arial" w:cs="Arial"/>
          <w:color w:val="000000" w:themeColor="text1"/>
        </w:rPr>
      </w:pPr>
      <w:r w:rsidRPr="00FC6EF2">
        <w:rPr>
          <w:rFonts w:eastAsia="Arial" w:cs="Arial"/>
          <w:color w:val="000000" w:themeColor="text1"/>
        </w:rPr>
        <w:lastRenderedPageBreak/>
        <w:t xml:space="preserve">For more information or questions about the attached waiver requests for </w:t>
      </w:r>
      <w:r w:rsidR="002771F5" w:rsidRPr="00FC6EF2">
        <w:rPr>
          <w:rFonts w:eastAsia="Arial" w:cs="Arial"/>
          <w:color w:val="000000" w:themeColor="text1"/>
        </w:rPr>
        <w:t xml:space="preserve">the </w:t>
      </w:r>
      <w:r w:rsidRPr="00FC6EF2">
        <w:rPr>
          <w:rFonts w:eastAsia="Arial" w:cs="Arial"/>
          <w:color w:val="000000" w:themeColor="text1"/>
        </w:rPr>
        <w:t>2021–22 school year, please contact Cheryl Cotton, Deputy Superintendent</w:t>
      </w:r>
      <w:r w:rsidR="002771F5" w:rsidRPr="00FC6EF2">
        <w:rPr>
          <w:rFonts w:eastAsia="Arial" w:cs="Arial"/>
          <w:color w:val="000000" w:themeColor="text1"/>
        </w:rPr>
        <w:t>,</w:t>
      </w:r>
      <w:r w:rsidRPr="00FC6EF2">
        <w:rPr>
          <w:rFonts w:eastAsia="Arial" w:cs="Arial"/>
          <w:color w:val="000000" w:themeColor="text1"/>
        </w:rPr>
        <w:t xml:space="preserve"> by email at </w:t>
      </w:r>
      <w:hyperlink r:id="rId30" w:history="1">
        <w:r w:rsidRPr="00FC6EF2">
          <w:rPr>
            <w:rFonts w:eastAsia="Calibri" w:cs="Arial"/>
            <w:color w:val="0000FF"/>
            <w:u w:val="single"/>
          </w:rPr>
          <w:t>CCotton@cde.ca.gov</w:t>
        </w:r>
      </w:hyperlink>
      <w:r w:rsidRPr="00FC6EF2">
        <w:rPr>
          <w:rFonts w:eastAsia="Calibri" w:cs="Arial"/>
        </w:rPr>
        <w:t xml:space="preserve"> </w:t>
      </w:r>
      <w:r w:rsidRPr="00FC6EF2">
        <w:rPr>
          <w:rFonts w:eastAsia="Arial" w:cs="Arial"/>
          <w:color w:val="000000" w:themeColor="text1"/>
        </w:rPr>
        <w:t>or by phone at 916-323-6398.</w:t>
      </w:r>
    </w:p>
    <w:p w14:paraId="1367712C" w14:textId="77777777" w:rsidR="00401F86" w:rsidRPr="00FC6EF2" w:rsidRDefault="00401F86" w:rsidP="00401F86">
      <w:pPr>
        <w:spacing w:after="160" w:line="259" w:lineRule="auto"/>
        <w:ind w:left="1440" w:right="1440"/>
        <w:rPr>
          <w:rFonts w:eastAsia="Arial" w:cs="Arial"/>
          <w:color w:val="000000" w:themeColor="text1"/>
        </w:rPr>
      </w:pPr>
    </w:p>
    <w:p w14:paraId="026D72C4" w14:textId="77777777" w:rsidR="00401F86" w:rsidRPr="00FC6EF2" w:rsidRDefault="00401F86" w:rsidP="00401F86">
      <w:pPr>
        <w:spacing w:after="240"/>
        <w:ind w:left="1440" w:right="1440"/>
        <w:rPr>
          <w:rFonts w:eastAsia="Calibri" w:cs="Arial"/>
        </w:rPr>
      </w:pPr>
      <w:r w:rsidRPr="00FC6EF2">
        <w:rPr>
          <w:rFonts w:eastAsia="Calibri" w:cs="Arial"/>
        </w:rPr>
        <w:t>Sincerely,</w:t>
      </w:r>
    </w:p>
    <w:p w14:paraId="3BD86B25" w14:textId="77777777" w:rsidR="00401F86" w:rsidRPr="00FC6EF2" w:rsidRDefault="00401F86" w:rsidP="00401F86">
      <w:pPr>
        <w:tabs>
          <w:tab w:val="left" w:pos="7920"/>
        </w:tabs>
        <w:ind w:left="1440" w:right="1440"/>
        <w:rPr>
          <w:rFonts w:eastAsia="Calibri" w:cs="Arial"/>
        </w:rPr>
      </w:pPr>
      <w:r w:rsidRPr="00FC6EF2">
        <w:rPr>
          <w:rFonts w:eastAsia="Calibri" w:cs="Arial"/>
        </w:rPr>
        <w:t>[</w:t>
      </w:r>
      <w:r w:rsidRPr="00FC6EF2">
        <w:rPr>
          <w:rFonts w:eastAsia="Calibri" w:cs="Arial"/>
          <w:b/>
          <w:color w:val="CC0000"/>
        </w:rPr>
        <w:t>Signature</w:t>
      </w:r>
      <w:r w:rsidRPr="00FC6EF2">
        <w:rPr>
          <w:rFonts w:eastAsia="Calibri" w:cs="Arial"/>
        </w:rPr>
        <w:t>]</w:t>
      </w:r>
      <w:r w:rsidRPr="00FC6EF2">
        <w:rPr>
          <w:rFonts w:eastAsia="Calibri" w:cs="Arial"/>
        </w:rPr>
        <w:tab/>
        <w:t>[</w:t>
      </w:r>
      <w:r w:rsidRPr="00FC6EF2">
        <w:rPr>
          <w:rFonts w:eastAsia="Calibri" w:cs="Arial"/>
          <w:b/>
          <w:color w:val="CC0000"/>
        </w:rPr>
        <w:t>Signature]</w:t>
      </w:r>
    </w:p>
    <w:p w14:paraId="78934F25" w14:textId="77777777" w:rsidR="00401F86" w:rsidRPr="00FC6EF2" w:rsidRDefault="00401F86" w:rsidP="00401F86">
      <w:pPr>
        <w:tabs>
          <w:tab w:val="left" w:pos="7920"/>
        </w:tabs>
        <w:ind w:left="1440" w:right="1440"/>
        <w:rPr>
          <w:rFonts w:eastAsia="Calibri" w:cs="Arial"/>
        </w:rPr>
      </w:pPr>
      <w:r w:rsidRPr="00FC6EF2">
        <w:rPr>
          <w:rFonts w:eastAsia="Calibri" w:cs="Arial"/>
        </w:rPr>
        <w:t>Tony Thurmond</w:t>
      </w:r>
      <w:r w:rsidRPr="00FC6EF2">
        <w:rPr>
          <w:rFonts w:eastAsia="Calibri" w:cs="Arial"/>
        </w:rPr>
        <w:tab/>
        <w:t>Linda Darling-Hammond</w:t>
      </w:r>
    </w:p>
    <w:p w14:paraId="46503414" w14:textId="77777777" w:rsidR="00401F86" w:rsidRPr="00FC6EF2" w:rsidRDefault="00401F86" w:rsidP="00401F86">
      <w:pPr>
        <w:tabs>
          <w:tab w:val="left" w:pos="7920"/>
        </w:tabs>
        <w:ind w:left="1440" w:right="1440"/>
        <w:rPr>
          <w:rFonts w:eastAsia="Calibri" w:cs="Arial"/>
        </w:rPr>
      </w:pPr>
      <w:r w:rsidRPr="00FC6EF2">
        <w:rPr>
          <w:rFonts w:eastAsia="Calibri" w:cs="Arial"/>
        </w:rPr>
        <w:t>State Superintendent of Public Instruction</w:t>
      </w:r>
      <w:r w:rsidRPr="00FC6EF2">
        <w:rPr>
          <w:rFonts w:eastAsia="Calibri" w:cs="Arial"/>
        </w:rPr>
        <w:tab/>
        <w:t>President</w:t>
      </w:r>
    </w:p>
    <w:p w14:paraId="0DEAC400" w14:textId="77777777" w:rsidR="00401F86" w:rsidRPr="00FC6EF2" w:rsidRDefault="00401F86" w:rsidP="00401F86">
      <w:pPr>
        <w:tabs>
          <w:tab w:val="left" w:pos="7920"/>
        </w:tabs>
        <w:spacing w:after="240"/>
        <w:ind w:left="1440" w:right="1440"/>
        <w:rPr>
          <w:rFonts w:eastAsia="Calibri" w:cs="Arial"/>
        </w:rPr>
      </w:pPr>
      <w:r w:rsidRPr="00FC6EF2">
        <w:rPr>
          <w:rFonts w:eastAsia="Calibri" w:cs="Arial"/>
        </w:rPr>
        <w:t>California Department of Education</w:t>
      </w:r>
      <w:r w:rsidRPr="00FC6EF2">
        <w:rPr>
          <w:rFonts w:eastAsia="Calibri" w:cs="Arial"/>
        </w:rPr>
        <w:tab/>
        <w:t>State Board of Education</w:t>
      </w:r>
    </w:p>
    <w:p w14:paraId="026DFA96" w14:textId="77777777" w:rsidR="00401F86" w:rsidRPr="00FC6EF2" w:rsidRDefault="00401F86" w:rsidP="0026412F">
      <w:pPr>
        <w:ind w:left="1440" w:right="1440"/>
        <w:rPr>
          <w:rFonts w:eastAsia="Calibri" w:cs="Arial"/>
        </w:rPr>
      </w:pPr>
      <w:r w:rsidRPr="00FC6EF2">
        <w:rPr>
          <w:rFonts w:eastAsia="Calibri" w:cs="Arial"/>
        </w:rPr>
        <w:t>TT/</w:t>
      </w:r>
      <w:proofErr w:type="spellStart"/>
      <w:r w:rsidRPr="00FC6EF2">
        <w:rPr>
          <w:rFonts w:eastAsia="Calibri" w:cs="Arial"/>
        </w:rPr>
        <w:t>LDH:tdb</w:t>
      </w:r>
      <w:proofErr w:type="spellEnd"/>
    </w:p>
    <w:p w14:paraId="50330403" w14:textId="77777777" w:rsidR="00401F86" w:rsidRPr="00FC6EF2" w:rsidRDefault="00401F86" w:rsidP="00401F86">
      <w:pPr>
        <w:spacing w:after="240"/>
        <w:ind w:left="1440" w:right="1440"/>
        <w:rPr>
          <w:rFonts w:eastAsia="Calibri" w:cs="Arial"/>
        </w:rPr>
      </w:pPr>
      <w:r w:rsidRPr="00FC6EF2">
        <w:rPr>
          <w:rFonts w:eastAsia="Calibri" w:cs="Arial"/>
        </w:rPr>
        <w:t>Attachments</w:t>
      </w:r>
    </w:p>
    <w:p w14:paraId="502DD7C9" w14:textId="77777777" w:rsidR="00401F86" w:rsidRPr="00FC6EF2" w:rsidRDefault="00401F86" w:rsidP="00401F86">
      <w:pPr>
        <w:spacing w:after="160" w:line="259" w:lineRule="auto"/>
        <w:ind w:left="1440" w:right="1440"/>
        <w:rPr>
          <w:rFonts w:eastAsia="Arial" w:cs="Arial"/>
          <w:color w:val="000000" w:themeColor="text1"/>
        </w:rPr>
      </w:pPr>
    </w:p>
    <w:p w14:paraId="47BACD4B" w14:textId="77777777" w:rsidR="00401F86" w:rsidRPr="00FC6EF2" w:rsidRDefault="00401F86" w:rsidP="00401F86">
      <w:pPr>
        <w:spacing w:after="160" w:line="259" w:lineRule="auto"/>
        <w:ind w:left="1440" w:right="1440"/>
        <w:rPr>
          <w:rFonts w:eastAsia="Calibri" w:cs="Arial"/>
        </w:rPr>
        <w:sectPr w:rsidR="00401F86" w:rsidRPr="00FC6EF2" w:rsidSect="00401F86">
          <w:headerReference w:type="default" r:id="rId31"/>
          <w:footerReference w:type="default" r:id="rId32"/>
          <w:headerReference w:type="first" r:id="rId33"/>
          <w:pgSz w:w="12240" w:h="15840" w:code="1"/>
          <w:pgMar w:top="0" w:right="0" w:bottom="1440" w:left="0" w:header="720" w:footer="720" w:gutter="0"/>
          <w:pgNumType w:start="1"/>
          <w:cols w:space="720"/>
          <w:docGrid w:linePitch="360"/>
        </w:sectPr>
      </w:pPr>
    </w:p>
    <w:p w14:paraId="6462994D" w14:textId="77777777" w:rsidR="00401F86" w:rsidRPr="00FC6EF2" w:rsidRDefault="00401F86" w:rsidP="00804D1F">
      <w:pPr>
        <w:pStyle w:val="Heading2"/>
      </w:pPr>
      <w:r w:rsidRPr="00FC6EF2">
        <w:lastRenderedPageBreak/>
        <w:t>Waiver Requests</w:t>
      </w:r>
    </w:p>
    <w:p w14:paraId="359FFDC2" w14:textId="77777777" w:rsidR="00401F86" w:rsidRPr="00FC6EF2" w:rsidRDefault="00401F86" w:rsidP="00401F86">
      <w:pPr>
        <w:spacing w:after="240"/>
        <w:contextualSpacing/>
        <w:jc w:val="center"/>
        <w:rPr>
          <w:rFonts w:eastAsia="Arial" w:cs="Arial"/>
          <w:color w:val="000000" w:themeColor="text1"/>
        </w:rPr>
      </w:pPr>
      <w:r w:rsidRPr="00FC6EF2">
        <w:rPr>
          <w:rFonts w:eastAsia="Arial" w:cs="Arial"/>
          <w:color w:val="000000" w:themeColor="text1"/>
        </w:rPr>
        <w:t>California Department of Education</w:t>
      </w:r>
    </w:p>
    <w:p w14:paraId="55D6CCB3" w14:textId="77777777" w:rsidR="00401F86" w:rsidRPr="00FC6EF2" w:rsidRDefault="00401F86" w:rsidP="00401F86">
      <w:pPr>
        <w:spacing w:after="240"/>
        <w:contextualSpacing/>
        <w:jc w:val="center"/>
        <w:rPr>
          <w:rFonts w:eastAsia="Arial" w:cs="Arial"/>
          <w:color w:val="000000" w:themeColor="text1"/>
        </w:rPr>
      </w:pPr>
      <w:r w:rsidRPr="00FC6EF2">
        <w:rPr>
          <w:rFonts w:eastAsia="Arial" w:cs="Arial"/>
          <w:color w:val="000000" w:themeColor="text1"/>
        </w:rPr>
        <w:t>Alternate Assessment Aligned with Alternate Academic Achievement Standards</w:t>
      </w:r>
    </w:p>
    <w:p w14:paraId="2C77C4F9" w14:textId="162CED91" w:rsidR="00401F86" w:rsidRPr="00FC6EF2" w:rsidRDefault="00401F86" w:rsidP="00401F86">
      <w:pPr>
        <w:spacing w:after="240"/>
        <w:jc w:val="center"/>
        <w:rPr>
          <w:rFonts w:eastAsia="Arial" w:cs="Arial"/>
          <w:color w:val="000000" w:themeColor="text1"/>
        </w:rPr>
      </w:pPr>
      <w:r w:rsidRPr="00FC6EF2">
        <w:rPr>
          <w:rFonts w:eastAsia="Arial" w:cs="Arial"/>
          <w:color w:val="000000" w:themeColor="text1"/>
        </w:rPr>
        <w:t xml:space="preserve">Pursuant to </w:t>
      </w:r>
      <w:r w:rsidRPr="00FC6EF2">
        <w:rPr>
          <w:rFonts w:eastAsia="Arial" w:cs="Arial"/>
          <w:i/>
          <w:iCs/>
          <w:color w:val="000000" w:themeColor="text1"/>
        </w:rPr>
        <w:t>Code of Federal Regulations</w:t>
      </w:r>
      <w:r w:rsidRPr="00FC6EF2">
        <w:rPr>
          <w:rFonts w:eastAsia="Arial" w:cs="Arial"/>
          <w:color w:val="000000" w:themeColor="text1"/>
        </w:rPr>
        <w:t>, Title 34, Section 200.6 (c)(4)</w:t>
      </w:r>
    </w:p>
    <w:p w14:paraId="09CC450D" w14:textId="77777777" w:rsidR="00401F86" w:rsidRPr="00FC6EF2" w:rsidRDefault="00401F86" w:rsidP="00401F86">
      <w:pPr>
        <w:spacing w:after="160" w:line="259" w:lineRule="auto"/>
        <w:jc w:val="center"/>
        <w:rPr>
          <w:rFonts w:eastAsia="Arial" w:cs="Arial"/>
          <w:color w:val="000000" w:themeColor="text1"/>
        </w:rPr>
      </w:pPr>
      <w:r w:rsidRPr="00FC6EF2">
        <w:rPr>
          <w:rFonts w:eastAsia="Arial" w:cs="Arial"/>
          <w:color w:val="000000" w:themeColor="text1"/>
        </w:rPr>
        <w:t>March XX, 2022</w:t>
      </w:r>
    </w:p>
    <w:p w14:paraId="7C81A6DC" w14:textId="77777777" w:rsidR="00401F86" w:rsidRPr="00FC6EF2" w:rsidRDefault="60CB5E39" w:rsidP="0097249C">
      <w:pPr>
        <w:spacing w:after="240"/>
        <w:rPr>
          <w:rFonts w:eastAsia="Arial" w:cs="Arial"/>
          <w:color w:val="000000" w:themeColor="text1"/>
        </w:rPr>
      </w:pPr>
      <w:r w:rsidRPr="00FC6EF2">
        <w:rPr>
          <w:rFonts w:eastAsia="Arial" w:cs="Arial"/>
          <w:color w:val="000000" w:themeColor="text1"/>
        </w:rPr>
        <w:t xml:space="preserve">Title 1 of the Elementary and Secondary Education Act of 1965 (ESEA), as amended by the Every Student Succeeds Act of 2015 (ESSA) (ESEA Section111[b][2][D] and </w:t>
      </w:r>
      <w:r w:rsidRPr="00FC6EF2">
        <w:rPr>
          <w:rFonts w:eastAsia="Arial" w:cs="Arial"/>
          <w:i/>
          <w:iCs/>
          <w:color w:val="000000" w:themeColor="text1"/>
        </w:rPr>
        <w:t>Code of Federal Regulations</w:t>
      </w:r>
      <w:r w:rsidRPr="00FC6EF2">
        <w:rPr>
          <w:rFonts w:eastAsia="Arial" w:cs="Arial"/>
          <w:color w:val="000000" w:themeColor="text1"/>
        </w:rPr>
        <w:t xml:space="preserve">, Title 34 [34 </w:t>
      </w:r>
      <w:r w:rsidRPr="00FC6EF2">
        <w:rPr>
          <w:rFonts w:eastAsia="Arial" w:cs="Arial"/>
          <w:i/>
          <w:iCs/>
          <w:color w:val="000000" w:themeColor="text1"/>
        </w:rPr>
        <w:t>CFR</w:t>
      </w:r>
      <w:r w:rsidRPr="00FC6EF2">
        <w:rPr>
          <w:rFonts w:eastAsia="Arial" w:cs="Arial"/>
          <w:color w:val="000000" w:themeColor="text1"/>
        </w:rPr>
        <w:t xml:space="preserve">] Section 200.6[c] and [d]), modifies the provision that </w:t>
      </w:r>
      <w:r w:rsidR="753C19A0" w:rsidRPr="00FC6EF2">
        <w:rPr>
          <w:rFonts w:eastAsia="Arial" w:cs="Arial"/>
          <w:color w:val="000000" w:themeColor="text1"/>
        </w:rPr>
        <w:t xml:space="preserve">eligible </w:t>
      </w:r>
      <w:r w:rsidRPr="00FC6EF2">
        <w:rPr>
          <w:rFonts w:eastAsia="Arial" w:cs="Arial"/>
          <w:color w:val="000000" w:themeColor="text1"/>
        </w:rPr>
        <w:t xml:space="preserve">students with the most significant cognitive disabilities may participate in alternate assessments based on alternate academic achievement standards (AA-AAAS). ESSA places a 1.0 percent cap on the number of </w:t>
      </w:r>
      <w:r w:rsidR="753C19A0" w:rsidRPr="00FC6EF2">
        <w:rPr>
          <w:rFonts w:eastAsia="Arial" w:cs="Arial"/>
          <w:color w:val="000000" w:themeColor="text1"/>
        </w:rPr>
        <w:t xml:space="preserve">eligible </w:t>
      </w:r>
      <w:r w:rsidRPr="00FC6EF2">
        <w:rPr>
          <w:rFonts w:eastAsia="Arial" w:cs="Arial"/>
          <w:color w:val="000000" w:themeColor="text1"/>
        </w:rPr>
        <w:t>students who may participate in alternate assessments. States that anticipate exceeding the 1.0 percent cap must submit a waiver request to the U.S. Department of Education (ED).</w:t>
      </w:r>
    </w:p>
    <w:p w14:paraId="14EB4D65" w14:textId="1F443408" w:rsidR="00401F86" w:rsidRPr="00FC6EF2" w:rsidRDefault="60CB5E39" w:rsidP="0097249C">
      <w:pPr>
        <w:spacing w:after="240"/>
        <w:rPr>
          <w:rFonts w:eastAsia="Arial" w:cs="Arial"/>
          <w:color w:val="000000" w:themeColor="text1"/>
        </w:rPr>
      </w:pPr>
      <w:r w:rsidRPr="00FC6EF2">
        <w:rPr>
          <w:rFonts w:eastAsia="Arial" w:cs="Arial"/>
          <w:color w:val="000000" w:themeColor="text1"/>
        </w:rPr>
        <w:t>On October 29, 2021, the ED sent all states a memo</w:t>
      </w:r>
      <w:r w:rsidR="0047016F" w:rsidRPr="00FC6EF2">
        <w:rPr>
          <w:rFonts w:eastAsia="Arial" w:cs="Arial"/>
          <w:color w:val="000000" w:themeColor="text1"/>
        </w:rPr>
        <w:t>randum</w:t>
      </w:r>
      <w:r w:rsidRPr="00FC6EF2">
        <w:rPr>
          <w:rFonts w:eastAsia="Arial" w:cs="Arial"/>
          <w:color w:val="000000" w:themeColor="text1"/>
        </w:rPr>
        <w:t xml:space="preserve"> with information on requesting a waiver of the 1.0 percent cap on the percentage of </w:t>
      </w:r>
      <w:r w:rsidR="753C19A0" w:rsidRPr="00FC6EF2">
        <w:rPr>
          <w:rFonts w:eastAsia="Arial" w:cs="Arial"/>
          <w:color w:val="000000" w:themeColor="text1"/>
        </w:rPr>
        <w:t xml:space="preserve">eligible </w:t>
      </w:r>
      <w:r w:rsidRPr="00FC6EF2">
        <w:rPr>
          <w:rFonts w:eastAsia="Arial" w:cs="Arial"/>
          <w:color w:val="000000" w:themeColor="text1"/>
        </w:rPr>
        <w:t>students with the most significant cognitive disabilities who may be assessed with an AA-AAAS. In that memo</w:t>
      </w:r>
      <w:r w:rsidR="0047016F" w:rsidRPr="00FC6EF2">
        <w:rPr>
          <w:rFonts w:eastAsia="Arial" w:cs="Arial"/>
          <w:color w:val="000000" w:themeColor="text1"/>
        </w:rPr>
        <w:t>randum</w:t>
      </w:r>
      <w:r w:rsidRPr="00FC6EF2">
        <w:rPr>
          <w:rFonts w:eastAsia="Arial" w:cs="Arial"/>
          <w:color w:val="000000" w:themeColor="text1"/>
        </w:rPr>
        <w:t>, the ED invited states that did not meet the 95 percent participation rate requirement in 2020–21 to apply for a waiver of that requirement as a condition of requesting the waiver of the 1.0 percent cap.</w:t>
      </w:r>
      <w:r w:rsidR="006B400C" w:rsidRPr="00FC6EF2">
        <w:rPr>
          <w:rFonts w:eastAsia="Arial" w:cs="Arial"/>
          <w:color w:val="000000" w:themeColor="text1"/>
        </w:rPr>
        <w:t xml:space="preserve"> California’s </w:t>
      </w:r>
      <w:r w:rsidR="00FB0642" w:rsidRPr="00FC6EF2">
        <w:rPr>
          <w:rFonts w:eastAsia="Arial" w:cs="Arial"/>
          <w:color w:val="000000" w:themeColor="text1"/>
        </w:rPr>
        <w:t>request for a</w:t>
      </w:r>
      <w:r w:rsidR="006B400C" w:rsidRPr="00FC6EF2">
        <w:rPr>
          <w:rFonts w:eastAsia="Arial" w:cs="Arial"/>
          <w:color w:val="000000" w:themeColor="text1"/>
        </w:rPr>
        <w:t xml:space="preserve"> waiver </w:t>
      </w:r>
      <w:r w:rsidR="00952732" w:rsidRPr="00FC6EF2">
        <w:rPr>
          <w:rFonts w:eastAsia="Arial" w:cs="Arial"/>
          <w:color w:val="000000" w:themeColor="text1"/>
        </w:rPr>
        <w:t>of</w:t>
      </w:r>
      <w:r w:rsidR="006B400C" w:rsidRPr="00FC6EF2">
        <w:rPr>
          <w:rFonts w:eastAsia="Arial" w:cs="Arial"/>
          <w:color w:val="000000" w:themeColor="text1"/>
        </w:rPr>
        <w:t xml:space="preserve"> the 1</w:t>
      </w:r>
      <w:r w:rsidR="006D1C48" w:rsidRPr="00FC6EF2">
        <w:rPr>
          <w:rFonts w:eastAsia="Arial" w:cs="Arial"/>
          <w:color w:val="000000" w:themeColor="text1"/>
        </w:rPr>
        <w:t>.0 percent</w:t>
      </w:r>
      <w:r w:rsidR="006B400C" w:rsidRPr="00FC6EF2">
        <w:rPr>
          <w:rFonts w:eastAsia="Arial" w:cs="Arial"/>
          <w:color w:val="000000" w:themeColor="text1"/>
        </w:rPr>
        <w:t xml:space="preserve"> cap was denied for 2020–21 due </w:t>
      </w:r>
      <w:r w:rsidR="0030600F" w:rsidRPr="00FC6EF2">
        <w:rPr>
          <w:rFonts w:eastAsia="Arial" w:cs="Arial"/>
          <w:color w:val="000000" w:themeColor="text1"/>
        </w:rPr>
        <w:t>California’s</w:t>
      </w:r>
      <w:r w:rsidR="006B400C" w:rsidRPr="00FC6EF2">
        <w:rPr>
          <w:rFonts w:eastAsia="Arial" w:cs="Arial"/>
          <w:color w:val="000000" w:themeColor="text1"/>
        </w:rPr>
        <w:t xml:space="preserve"> not </w:t>
      </w:r>
      <w:r w:rsidR="0030600F" w:rsidRPr="00FC6EF2">
        <w:rPr>
          <w:rFonts w:eastAsia="Arial" w:cs="Arial"/>
          <w:color w:val="000000" w:themeColor="text1"/>
        </w:rPr>
        <w:t xml:space="preserve">having </w:t>
      </w:r>
      <w:r w:rsidR="006B400C" w:rsidRPr="00FC6EF2">
        <w:rPr>
          <w:rFonts w:eastAsia="Arial" w:cs="Arial"/>
          <w:color w:val="000000" w:themeColor="text1"/>
        </w:rPr>
        <w:t>me</w:t>
      </w:r>
      <w:r w:rsidR="0030600F" w:rsidRPr="00FC6EF2">
        <w:rPr>
          <w:rFonts w:eastAsia="Arial" w:cs="Arial"/>
          <w:color w:val="000000" w:themeColor="text1"/>
        </w:rPr>
        <w:t>t</w:t>
      </w:r>
      <w:r w:rsidR="006B400C" w:rsidRPr="00FC6EF2">
        <w:rPr>
          <w:rFonts w:eastAsia="Arial" w:cs="Arial"/>
          <w:color w:val="000000" w:themeColor="text1"/>
        </w:rPr>
        <w:t xml:space="preserve"> the 95</w:t>
      </w:r>
      <w:r w:rsidR="006D1C48" w:rsidRPr="00FC6EF2">
        <w:rPr>
          <w:rFonts w:eastAsia="Arial" w:cs="Arial"/>
          <w:color w:val="000000" w:themeColor="text1"/>
        </w:rPr>
        <w:t xml:space="preserve"> percent</w:t>
      </w:r>
      <w:r w:rsidR="006B400C" w:rsidRPr="00FC6EF2">
        <w:rPr>
          <w:rFonts w:eastAsia="Arial" w:cs="Arial"/>
          <w:color w:val="000000" w:themeColor="text1"/>
        </w:rPr>
        <w:t xml:space="preserve"> participation rate in science for all students and in all subjects for students with disabilities</w:t>
      </w:r>
      <w:r w:rsidR="003B427B" w:rsidRPr="00FC6EF2">
        <w:rPr>
          <w:rFonts w:eastAsia="Arial" w:cs="Arial"/>
          <w:color w:val="000000" w:themeColor="text1"/>
        </w:rPr>
        <w:t xml:space="preserve"> (</w:t>
      </w:r>
      <w:hyperlink r:id="rId34" w:tooltip="This link opens the CA One Percent Waiver Letter.">
        <w:r w:rsidR="24E473AF" w:rsidRPr="00FC6EF2">
          <w:rPr>
            <w:rStyle w:val="Hyperlink"/>
            <w:rFonts w:eastAsia="Arial" w:cs="Arial"/>
          </w:rPr>
          <w:t>https://oese.ed.gov/files/2021/01/ca-one-percent-waiver-letter.pdf</w:t>
        </w:r>
      </w:hyperlink>
      <w:r w:rsidR="24E473AF" w:rsidRPr="00FC6EF2">
        <w:rPr>
          <w:rFonts w:eastAsia="Arial" w:cs="Arial"/>
          <w:color w:val="000000" w:themeColor="text1"/>
        </w:rPr>
        <w:t>)</w:t>
      </w:r>
      <w:r w:rsidR="1244F21C" w:rsidRPr="00FC6EF2">
        <w:rPr>
          <w:rFonts w:eastAsia="Arial" w:cs="Arial"/>
          <w:color w:val="000000" w:themeColor="text1"/>
        </w:rPr>
        <w:t>.</w:t>
      </w:r>
      <w:r w:rsidR="24E473AF" w:rsidRPr="00FC6EF2">
        <w:rPr>
          <w:rFonts w:eastAsia="Arial" w:cs="Arial"/>
          <w:color w:val="000000" w:themeColor="text1"/>
        </w:rPr>
        <w:t xml:space="preserve"> </w:t>
      </w:r>
      <w:r w:rsidR="003B427B" w:rsidRPr="00FC6EF2">
        <w:rPr>
          <w:rFonts w:eastAsia="Arial" w:cs="Arial"/>
          <w:color w:val="000000" w:themeColor="text1"/>
        </w:rPr>
        <w:t xml:space="preserve">Given the </w:t>
      </w:r>
      <w:r w:rsidR="24E473AF" w:rsidRPr="00FC6EF2">
        <w:rPr>
          <w:rFonts w:eastAsia="Arial" w:cs="Arial"/>
          <w:color w:val="000000" w:themeColor="text1"/>
        </w:rPr>
        <w:t>additional</w:t>
      </w:r>
      <w:r w:rsidR="003B427B" w:rsidRPr="00FC6EF2">
        <w:rPr>
          <w:rFonts w:eastAsia="Arial" w:cs="Arial"/>
          <w:color w:val="000000" w:themeColor="text1"/>
        </w:rPr>
        <w:t xml:space="preserve"> flexibility afforded by the ED</w:t>
      </w:r>
      <w:r w:rsidR="0047016F" w:rsidRPr="00FC6EF2">
        <w:rPr>
          <w:rFonts w:eastAsia="Arial" w:cs="Arial"/>
          <w:color w:val="000000" w:themeColor="text1"/>
        </w:rPr>
        <w:t xml:space="preserve"> per the October 2021 memorandum</w:t>
      </w:r>
      <w:r w:rsidR="003B427B" w:rsidRPr="00FC6EF2">
        <w:rPr>
          <w:rFonts w:eastAsia="Arial" w:cs="Arial"/>
          <w:color w:val="000000" w:themeColor="text1"/>
        </w:rPr>
        <w:t xml:space="preserve">, California is submitting this waiver request package. </w:t>
      </w:r>
    </w:p>
    <w:p w14:paraId="2204DEC1" w14:textId="64DD55E3" w:rsidR="00401F86" w:rsidRPr="00FC6EF2" w:rsidRDefault="60CB5E39" w:rsidP="0097249C">
      <w:pPr>
        <w:spacing w:after="240"/>
        <w:rPr>
          <w:rFonts w:eastAsia="Arial" w:cs="Arial"/>
          <w:color w:val="000000" w:themeColor="text1"/>
        </w:rPr>
      </w:pPr>
      <w:r w:rsidRPr="00FC6EF2">
        <w:rPr>
          <w:rFonts w:eastAsia="Arial" w:cs="Arial"/>
          <w:color w:val="000000" w:themeColor="text1"/>
        </w:rPr>
        <w:t xml:space="preserve">The California Alternate Assessments (CAAs) are California’s AA-AAAS. </w:t>
      </w:r>
      <w:r w:rsidR="21AD02E5" w:rsidRPr="00FC6EF2">
        <w:rPr>
          <w:rFonts w:eastAsia="Arial" w:cs="Arial"/>
          <w:color w:val="000000" w:themeColor="text1"/>
        </w:rPr>
        <w:t>O</w:t>
      </w:r>
      <w:r w:rsidR="4EDD5CE2" w:rsidRPr="00FC6EF2">
        <w:rPr>
          <w:rFonts w:eastAsia="Arial" w:cs="Arial"/>
          <w:color w:val="000000" w:themeColor="text1"/>
        </w:rPr>
        <w:t>n</w:t>
      </w:r>
      <w:r w:rsidR="753C19A0" w:rsidRPr="00FC6EF2">
        <w:rPr>
          <w:rFonts w:eastAsia="Arial" w:cs="Arial"/>
          <w:color w:val="000000" w:themeColor="text1"/>
        </w:rPr>
        <w:t xml:space="preserve"> behalf of the </w:t>
      </w:r>
      <w:r w:rsidR="0096715E" w:rsidRPr="00FC6EF2">
        <w:rPr>
          <w:rFonts w:eastAsia="Arial" w:cs="Arial"/>
          <w:color w:val="000000" w:themeColor="text1"/>
        </w:rPr>
        <w:t>California</w:t>
      </w:r>
      <w:r w:rsidR="753C19A0" w:rsidRPr="00FC6EF2">
        <w:rPr>
          <w:rFonts w:eastAsia="Arial" w:cs="Arial"/>
          <w:color w:val="000000" w:themeColor="text1"/>
        </w:rPr>
        <w:t xml:space="preserve"> State Board of Education (SBE), t</w:t>
      </w:r>
      <w:r w:rsidRPr="00FC6EF2">
        <w:rPr>
          <w:rFonts w:eastAsia="Arial" w:cs="Arial"/>
          <w:color w:val="000000" w:themeColor="text1"/>
        </w:rPr>
        <w:t>he California Department of Education (CDE) is submitting the required waiver request for the anticipated greater than 1 percent participation in the CAAs for English language arts/literacy (ELA), mathematics, and science for the 2021–22 school year. The CDE anticipates that participation rates for the CAAs for 2021–22 will be 1.02 percent for ELA and mathematics and 1.06 percent for science.</w:t>
      </w:r>
    </w:p>
    <w:p w14:paraId="2FE25B65" w14:textId="72DB9F94" w:rsidR="00401F86" w:rsidRPr="00FC6EF2" w:rsidRDefault="00401F86" w:rsidP="0097249C">
      <w:pPr>
        <w:spacing w:after="240"/>
        <w:rPr>
          <w:rFonts w:eastAsia="Arial" w:cs="Arial"/>
          <w:color w:val="000000" w:themeColor="text1"/>
        </w:rPr>
      </w:pPr>
      <w:r w:rsidRPr="00FC6EF2">
        <w:rPr>
          <w:rFonts w:eastAsia="Arial" w:cs="Arial"/>
          <w:color w:val="000000" w:themeColor="text1"/>
        </w:rPr>
        <w:t>The CDE and SBE are requesting each of the following waivers related to the 1.0 percent cap:</w:t>
      </w:r>
    </w:p>
    <w:p w14:paraId="19D8FDE5" w14:textId="45728130" w:rsidR="00401F86" w:rsidRPr="00FC6EF2" w:rsidRDefault="60CB5E39" w:rsidP="0097249C">
      <w:pPr>
        <w:numPr>
          <w:ilvl w:val="0"/>
          <w:numId w:val="5"/>
        </w:numPr>
        <w:spacing w:after="240"/>
        <w:ind w:right="1440"/>
        <w:rPr>
          <w:rFonts w:eastAsia="Arial" w:cs="Arial"/>
          <w:color w:val="000000" w:themeColor="text1"/>
        </w:rPr>
      </w:pPr>
      <w:bookmarkStart w:id="2" w:name="_Hlk94803431"/>
      <w:r w:rsidRPr="00FC6EF2">
        <w:rPr>
          <w:rFonts w:eastAsia="Arial" w:cs="Arial"/>
          <w:color w:val="000000" w:themeColor="text1"/>
        </w:rPr>
        <w:t xml:space="preserve">Waiver of the requirement in 34 </w:t>
      </w:r>
      <w:r w:rsidRPr="00FC6EF2">
        <w:rPr>
          <w:rFonts w:eastAsia="Arial" w:cs="Arial"/>
          <w:i/>
          <w:iCs/>
          <w:color w:val="000000" w:themeColor="text1"/>
        </w:rPr>
        <w:t>CFR</w:t>
      </w:r>
      <w:r w:rsidRPr="00FC6EF2">
        <w:rPr>
          <w:rFonts w:eastAsia="Arial" w:cs="Arial"/>
          <w:color w:val="000000" w:themeColor="text1"/>
        </w:rPr>
        <w:t xml:space="preserve"> Section 200.6(c)(4)(ii)(B) to assess 95 percent of all eligible students in ELA, mathematics, and science for </w:t>
      </w:r>
      <w:r w:rsidR="753C19A0" w:rsidRPr="00FC6EF2">
        <w:rPr>
          <w:rFonts w:eastAsia="Arial" w:cs="Arial"/>
          <w:color w:val="000000" w:themeColor="text1"/>
        </w:rPr>
        <w:t xml:space="preserve">the </w:t>
      </w:r>
      <w:r w:rsidRPr="00FC6EF2">
        <w:rPr>
          <w:rFonts w:eastAsia="Arial" w:cs="Arial"/>
          <w:color w:val="000000" w:themeColor="text1"/>
        </w:rPr>
        <w:t>2020–21</w:t>
      </w:r>
      <w:bookmarkEnd w:id="2"/>
      <w:r w:rsidR="753C19A0" w:rsidRPr="00FC6EF2">
        <w:rPr>
          <w:rFonts w:eastAsia="Arial" w:cs="Arial"/>
          <w:color w:val="000000" w:themeColor="text1"/>
        </w:rPr>
        <w:t xml:space="preserve"> test administration</w:t>
      </w:r>
      <w:r w:rsidRPr="00FC6EF2">
        <w:rPr>
          <w:rFonts w:eastAsia="Arial" w:cs="Arial"/>
          <w:color w:val="000000" w:themeColor="text1"/>
        </w:rPr>
        <w:t xml:space="preserve"> </w:t>
      </w:r>
    </w:p>
    <w:p w14:paraId="3491099E" w14:textId="6E0AA3BD" w:rsidR="00401F86" w:rsidRPr="00FC6EF2" w:rsidRDefault="60CB5E39" w:rsidP="0097249C">
      <w:pPr>
        <w:numPr>
          <w:ilvl w:val="0"/>
          <w:numId w:val="5"/>
        </w:numPr>
        <w:spacing w:after="240"/>
        <w:ind w:right="1440"/>
        <w:rPr>
          <w:rFonts w:eastAsia="Arial" w:cs="Arial"/>
          <w:color w:val="000000" w:themeColor="text1"/>
        </w:rPr>
      </w:pPr>
      <w:r w:rsidRPr="00FC6EF2">
        <w:rPr>
          <w:rFonts w:eastAsia="Arial" w:cs="Arial"/>
          <w:color w:val="000000" w:themeColor="text1"/>
        </w:rPr>
        <w:lastRenderedPageBreak/>
        <w:t xml:space="preserve">Waiver of the requirement in 34 </w:t>
      </w:r>
      <w:r w:rsidRPr="00FC6EF2">
        <w:rPr>
          <w:rFonts w:eastAsia="Arial" w:cs="Arial"/>
          <w:i/>
          <w:iCs/>
          <w:color w:val="000000" w:themeColor="text1"/>
        </w:rPr>
        <w:t>CFR</w:t>
      </w:r>
      <w:r w:rsidRPr="00FC6EF2">
        <w:rPr>
          <w:rFonts w:eastAsia="Arial" w:cs="Arial"/>
          <w:color w:val="000000" w:themeColor="text1"/>
        </w:rPr>
        <w:t xml:space="preserve"> Section 200.6(c)(4)(i) that a request for a waiver of the requirement to assess less than 1 percent of </w:t>
      </w:r>
      <w:r w:rsidR="753C19A0" w:rsidRPr="00FC6EF2">
        <w:rPr>
          <w:rFonts w:eastAsia="Arial" w:cs="Arial"/>
          <w:color w:val="000000" w:themeColor="text1"/>
        </w:rPr>
        <w:t xml:space="preserve">eligible </w:t>
      </w:r>
      <w:r w:rsidRPr="00FC6EF2">
        <w:rPr>
          <w:rFonts w:eastAsia="Arial" w:cs="Arial"/>
          <w:color w:val="000000" w:themeColor="text1"/>
        </w:rPr>
        <w:t xml:space="preserve">students with an AA-AAAS be submitted at least 90 days prior to the beginning of </w:t>
      </w:r>
      <w:r w:rsidR="753C19A0" w:rsidRPr="00FC6EF2">
        <w:rPr>
          <w:rFonts w:eastAsia="Arial" w:cs="Arial"/>
          <w:color w:val="000000" w:themeColor="text1"/>
        </w:rPr>
        <w:t xml:space="preserve">the annual </w:t>
      </w:r>
      <w:r w:rsidRPr="00FC6EF2">
        <w:rPr>
          <w:rFonts w:eastAsia="Arial" w:cs="Arial"/>
          <w:color w:val="000000" w:themeColor="text1"/>
        </w:rPr>
        <w:t>test</w:t>
      </w:r>
      <w:r w:rsidR="753C19A0" w:rsidRPr="00FC6EF2">
        <w:rPr>
          <w:rFonts w:eastAsia="Arial" w:cs="Arial"/>
          <w:color w:val="000000" w:themeColor="text1"/>
        </w:rPr>
        <w:t xml:space="preserve"> administration</w:t>
      </w:r>
      <w:r w:rsidRPr="00FC6EF2">
        <w:rPr>
          <w:rFonts w:eastAsia="Arial" w:cs="Arial"/>
          <w:color w:val="000000" w:themeColor="text1"/>
        </w:rPr>
        <w:t xml:space="preserve"> </w:t>
      </w:r>
    </w:p>
    <w:p w14:paraId="3B2ABA8E" w14:textId="1E5C1C07" w:rsidR="00401F86" w:rsidRPr="00FC6EF2" w:rsidRDefault="59AB21F8" w:rsidP="0097249C">
      <w:pPr>
        <w:numPr>
          <w:ilvl w:val="0"/>
          <w:numId w:val="5"/>
        </w:numPr>
        <w:spacing w:after="240"/>
        <w:ind w:right="1440"/>
        <w:rPr>
          <w:rFonts w:eastAsia="Arial" w:cs="Arial"/>
          <w:color w:val="000000" w:themeColor="text1"/>
        </w:rPr>
      </w:pPr>
      <w:r w:rsidRPr="00FC6EF2">
        <w:rPr>
          <w:rFonts w:eastAsia="Arial" w:cs="Arial"/>
          <w:color w:val="000000" w:themeColor="text1"/>
        </w:rPr>
        <w:t xml:space="preserve">Waiver of the requirement in 34 </w:t>
      </w:r>
      <w:r w:rsidRPr="00FC6EF2">
        <w:rPr>
          <w:rFonts w:eastAsia="Arial" w:cs="Arial"/>
          <w:i/>
          <w:iCs/>
          <w:color w:val="000000" w:themeColor="text1"/>
        </w:rPr>
        <w:t>CFR</w:t>
      </w:r>
      <w:r w:rsidRPr="00FC6EF2">
        <w:rPr>
          <w:rFonts w:eastAsia="Arial" w:cs="Arial"/>
          <w:color w:val="000000" w:themeColor="text1"/>
        </w:rPr>
        <w:t xml:space="preserve"> Section 200.6(c)(2) to assess less than 1 percent of </w:t>
      </w:r>
      <w:r w:rsidR="0E300E3B" w:rsidRPr="00FC6EF2">
        <w:rPr>
          <w:rFonts w:eastAsia="Arial" w:cs="Arial"/>
          <w:color w:val="000000" w:themeColor="text1"/>
        </w:rPr>
        <w:t xml:space="preserve">eligible </w:t>
      </w:r>
      <w:r w:rsidRPr="00FC6EF2">
        <w:rPr>
          <w:rFonts w:eastAsia="Arial" w:cs="Arial"/>
          <w:color w:val="000000" w:themeColor="text1"/>
        </w:rPr>
        <w:t xml:space="preserve">students with an AA-AAAS for the 2021–22 </w:t>
      </w:r>
      <w:r w:rsidR="0E300E3B" w:rsidRPr="00FC6EF2">
        <w:rPr>
          <w:rFonts w:eastAsia="Arial" w:cs="Arial"/>
          <w:color w:val="000000" w:themeColor="text1"/>
        </w:rPr>
        <w:t xml:space="preserve">test </w:t>
      </w:r>
      <w:r w:rsidRPr="00FC6EF2">
        <w:rPr>
          <w:rFonts w:eastAsia="Arial" w:cs="Arial"/>
          <w:color w:val="000000" w:themeColor="text1"/>
        </w:rPr>
        <w:t xml:space="preserve">administration </w:t>
      </w:r>
    </w:p>
    <w:p w14:paraId="4CD15392" w14:textId="51A9E636" w:rsidR="00401F86" w:rsidRPr="00FC6EF2" w:rsidRDefault="00401F86" w:rsidP="00804D1F">
      <w:pPr>
        <w:pStyle w:val="Heading3"/>
        <w:rPr>
          <w:rFonts w:eastAsia="Arial"/>
        </w:rPr>
      </w:pPr>
      <w:r w:rsidRPr="00FC6EF2">
        <w:rPr>
          <w:rFonts w:eastAsia="Arial"/>
        </w:rPr>
        <w:t>Overview</w:t>
      </w:r>
    </w:p>
    <w:p w14:paraId="157FF104" w14:textId="7EF0F886" w:rsidR="00401F86" w:rsidRPr="00FC6EF2" w:rsidRDefault="60CB5E39" w:rsidP="0097249C">
      <w:pPr>
        <w:spacing w:after="160"/>
        <w:rPr>
          <w:rFonts w:eastAsia="Arial" w:cs="Arial"/>
        </w:rPr>
      </w:pPr>
      <w:r w:rsidRPr="00FC6EF2">
        <w:rPr>
          <w:rFonts w:eastAsia="Arial" w:cs="Arial"/>
        </w:rPr>
        <w:t xml:space="preserve">The 2019–20 and 2020–21 school years presented unprecedented challenges for communities, educators, students, and parents/guardians. The schooling experience was disrupted and different from any other years due to the impacts of the novel coronavirus </w:t>
      </w:r>
      <w:r w:rsidR="008549BD" w:rsidRPr="00FC6EF2">
        <w:rPr>
          <w:rFonts w:eastAsia="Arial" w:cs="Arial"/>
        </w:rPr>
        <w:t>2019</w:t>
      </w:r>
      <w:r w:rsidRPr="00FC6EF2">
        <w:rPr>
          <w:rFonts w:eastAsia="Arial" w:cs="Arial"/>
        </w:rPr>
        <w:t xml:space="preserve"> (COVID-19) pandemic. Although the federal testing requirement was waived for the 2019–20 school year, the ED informed states that, for the 2020–21 school year, they were required to administer statewide academic assessments for ELA, mathematics, and science as well as the English language proficiency assessments. With those requirements, the ED provided states the following flexibilities to support the administration of assessments: </w:t>
      </w:r>
    </w:p>
    <w:p w14:paraId="684DEC49" w14:textId="77777777" w:rsidR="00401F86" w:rsidRPr="00FC6EF2" w:rsidRDefault="00401F86" w:rsidP="0097249C">
      <w:pPr>
        <w:numPr>
          <w:ilvl w:val="0"/>
          <w:numId w:val="8"/>
        </w:numPr>
        <w:ind w:right="1440"/>
        <w:rPr>
          <w:rFonts w:eastAsia="Arial" w:cs="Arial"/>
        </w:rPr>
      </w:pPr>
      <w:r w:rsidRPr="00FC6EF2">
        <w:rPr>
          <w:rFonts w:eastAsia="Arial" w:cs="Arial"/>
        </w:rPr>
        <w:t xml:space="preserve">Administering a shortened version of statewide assessments  </w:t>
      </w:r>
    </w:p>
    <w:p w14:paraId="106E9173" w14:textId="77777777" w:rsidR="00401F86" w:rsidRPr="00FC6EF2" w:rsidRDefault="00401F86" w:rsidP="0097249C">
      <w:pPr>
        <w:numPr>
          <w:ilvl w:val="0"/>
          <w:numId w:val="8"/>
        </w:numPr>
        <w:ind w:right="1440"/>
        <w:rPr>
          <w:rFonts w:eastAsia="Arial" w:cs="Arial"/>
        </w:rPr>
      </w:pPr>
      <w:r w:rsidRPr="00FC6EF2">
        <w:rPr>
          <w:rFonts w:eastAsia="Arial" w:cs="Arial"/>
        </w:rPr>
        <w:t xml:space="preserve">Offering remote administration, where feasible </w:t>
      </w:r>
    </w:p>
    <w:p w14:paraId="7CCEB5F3" w14:textId="77777777" w:rsidR="00401F86" w:rsidRPr="00FC6EF2" w:rsidRDefault="00401F86" w:rsidP="003C3E81">
      <w:pPr>
        <w:numPr>
          <w:ilvl w:val="0"/>
          <w:numId w:val="8"/>
        </w:numPr>
        <w:spacing w:after="240"/>
        <w:ind w:right="1440"/>
        <w:rPr>
          <w:rFonts w:eastAsia="Arial" w:cs="Arial"/>
        </w:rPr>
      </w:pPr>
      <w:r w:rsidRPr="00FC6EF2">
        <w:rPr>
          <w:rFonts w:eastAsia="Arial" w:cs="Arial"/>
        </w:rPr>
        <w:t xml:space="preserve">Extending the testing window to the greatest extent practicable </w:t>
      </w:r>
    </w:p>
    <w:p w14:paraId="21272EEE" w14:textId="2561841D" w:rsidR="00401F86" w:rsidRPr="00FC6EF2" w:rsidRDefault="60CB5E39" w:rsidP="0097249C">
      <w:pPr>
        <w:spacing w:after="240"/>
        <w:rPr>
          <w:rFonts w:eastAsia="Arial" w:cs="Arial"/>
        </w:rPr>
      </w:pPr>
      <w:r w:rsidRPr="00FC6EF2">
        <w:rPr>
          <w:rFonts w:eastAsia="Arial" w:cs="Arial"/>
        </w:rPr>
        <w:t xml:space="preserve">The CDE and SBE took full advantage of all the flexibilities offered, recognizing the challenges local education agencies (LEAs) faced in administering the state assessments during the pandemic. While the CDE made available all assessments within the California Assessment of Student Performance and Progress (CAASPP) and supported LEAs in the administration of these assessments, the SBE and </w:t>
      </w:r>
      <w:r w:rsidR="009D6D83" w:rsidRPr="00FC6EF2">
        <w:rPr>
          <w:rFonts w:eastAsia="Arial" w:cs="Arial"/>
        </w:rPr>
        <w:t xml:space="preserve">the </w:t>
      </w:r>
      <w:r w:rsidRPr="00FC6EF2">
        <w:rPr>
          <w:rFonts w:eastAsia="Arial" w:cs="Arial"/>
        </w:rPr>
        <w:t xml:space="preserve">CDE recognized that for some LEAs, administration of the designated state assessments could prove an insurmountable challenge. This was true because most districts </w:t>
      </w:r>
      <w:r w:rsidR="753C19A0" w:rsidRPr="00FC6EF2">
        <w:rPr>
          <w:rFonts w:eastAsia="Arial" w:cs="Arial"/>
        </w:rPr>
        <w:t>provided</w:t>
      </w:r>
      <w:r w:rsidRPr="00FC6EF2">
        <w:rPr>
          <w:rFonts w:eastAsia="Arial" w:cs="Arial"/>
        </w:rPr>
        <w:t xml:space="preserve"> remote learning</w:t>
      </w:r>
      <w:r w:rsidR="04AC4FDE" w:rsidRPr="00FC6EF2">
        <w:rPr>
          <w:rFonts w:eastAsia="Arial" w:cs="Arial"/>
        </w:rPr>
        <w:t xml:space="preserve"> instruction</w:t>
      </w:r>
      <w:r w:rsidRPr="00FC6EF2">
        <w:rPr>
          <w:rFonts w:eastAsia="Arial" w:cs="Arial"/>
        </w:rPr>
        <w:t xml:space="preserve"> until well into the spring. Many students lacked computers with secure browsers that would allow </w:t>
      </w:r>
      <w:r w:rsidR="04AC4FDE" w:rsidRPr="00FC6EF2">
        <w:rPr>
          <w:rFonts w:eastAsia="Arial" w:cs="Arial"/>
        </w:rPr>
        <w:t xml:space="preserve">for </w:t>
      </w:r>
      <w:r w:rsidRPr="00FC6EF2">
        <w:rPr>
          <w:rFonts w:eastAsia="Arial" w:cs="Arial"/>
        </w:rPr>
        <w:t xml:space="preserve">remote administration of the test, and many experienced </w:t>
      </w:r>
      <w:r w:rsidR="04AC4FDE" w:rsidRPr="00FC6EF2">
        <w:rPr>
          <w:rFonts w:eastAsia="Arial" w:cs="Arial"/>
        </w:rPr>
        <w:t xml:space="preserve">broadband or connectivity </w:t>
      </w:r>
      <w:r w:rsidRPr="00FC6EF2">
        <w:rPr>
          <w:rFonts w:eastAsia="Arial" w:cs="Arial"/>
        </w:rPr>
        <w:t xml:space="preserve">problems that made remote testing infeasible. </w:t>
      </w:r>
    </w:p>
    <w:p w14:paraId="7740197A" w14:textId="77777777" w:rsidR="00401F86" w:rsidRPr="00FC6EF2" w:rsidRDefault="60CB5E39" w:rsidP="0097249C">
      <w:pPr>
        <w:spacing w:after="240"/>
        <w:rPr>
          <w:rFonts w:eastAsia="Arial" w:cs="Arial"/>
        </w:rPr>
      </w:pPr>
      <w:r w:rsidRPr="00FC6EF2">
        <w:rPr>
          <w:rFonts w:eastAsia="Arial" w:cs="Arial"/>
        </w:rPr>
        <w:t xml:space="preserve">Therefore, to maximize the collection of evidence of student performance, LEAs that could not viably administer the CAASPP </w:t>
      </w:r>
      <w:r w:rsidR="04AC4FDE" w:rsidRPr="00FC6EF2">
        <w:rPr>
          <w:rFonts w:eastAsia="Arial" w:cs="Arial"/>
        </w:rPr>
        <w:t xml:space="preserve">ELA and mathematics </w:t>
      </w:r>
      <w:r w:rsidRPr="00FC6EF2">
        <w:rPr>
          <w:rFonts w:eastAsia="Arial" w:cs="Arial"/>
        </w:rPr>
        <w:t xml:space="preserve">tests were required to administer local assessments that met specific criteria approved by the SBE during its March 2021 meeting. The SBE required that local assessments meet the following criteria: </w:t>
      </w:r>
    </w:p>
    <w:p w14:paraId="711E6649" w14:textId="40169551" w:rsidR="00401F86" w:rsidRPr="00FC6EF2" w:rsidRDefault="00401F86" w:rsidP="0097249C">
      <w:pPr>
        <w:numPr>
          <w:ilvl w:val="2"/>
          <w:numId w:val="7"/>
        </w:numPr>
        <w:spacing w:after="240"/>
        <w:ind w:left="720" w:right="1440"/>
        <w:rPr>
          <w:rFonts w:eastAsia="Arial" w:cs="Arial"/>
        </w:rPr>
      </w:pPr>
      <w:r w:rsidRPr="00FC6EF2">
        <w:rPr>
          <w:rFonts w:eastAsia="Arial" w:cs="Arial"/>
        </w:rPr>
        <w:t>Aligned with California Common Core State Standards for ELA and mathematics</w:t>
      </w:r>
      <w:r w:rsidR="000C5D42" w:rsidRPr="00FC6EF2">
        <w:rPr>
          <w:rFonts w:eastAsia="Arial" w:cs="Arial"/>
        </w:rPr>
        <w:t>.</w:t>
      </w:r>
      <w:r w:rsidRPr="00FC6EF2">
        <w:rPr>
          <w:rFonts w:eastAsia="Arial" w:cs="Arial"/>
        </w:rPr>
        <w:t xml:space="preserve"> </w:t>
      </w:r>
    </w:p>
    <w:p w14:paraId="36470039" w14:textId="3D6B1918" w:rsidR="00401F86" w:rsidRPr="00FC6EF2" w:rsidRDefault="00401F86" w:rsidP="0097249C">
      <w:pPr>
        <w:numPr>
          <w:ilvl w:val="2"/>
          <w:numId w:val="7"/>
        </w:numPr>
        <w:spacing w:after="240"/>
        <w:ind w:left="720" w:right="1440"/>
        <w:rPr>
          <w:rFonts w:eastAsia="Arial" w:cs="Arial"/>
        </w:rPr>
      </w:pPr>
      <w:r w:rsidRPr="00FC6EF2">
        <w:rPr>
          <w:rFonts w:eastAsia="Arial" w:cs="Arial"/>
        </w:rPr>
        <w:lastRenderedPageBreak/>
        <w:t>Available to assess students in grades three through eight and grade eleven</w:t>
      </w:r>
      <w:r w:rsidR="000B7537" w:rsidRPr="00FC6EF2">
        <w:rPr>
          <w:rFonts w:eastAsia="Arial" w:cs="Arial"/>
        </w:rPr>
        <w:t>.</w:t>
      </w:r>
    </w:p>
    <w:p w14:paraId="5CE04E5E" w14:textId="50AE914C" w:rsidR="00401F86" w:rsidRPr="00FC6EF2" w:rsidRDefault="00401F86" w:rsidP="0097249C">
      <w:pPr>
        <w:numPr>
          <w:ilvl w:val="2"/>
          <w:numId w:val="7"/>
        </w:numPr>
        <w:spacing w:after="240"/>
        <w:ind w:left="720" w:right="1440"/>
        <w:rPr>
          <w:rFonts w:eastAsia="Arial" w:cs="Arial"/>
        </w:rPr>
      </w:pPr>
      <w:r w:rsidRPr="00FC6EF2">
        <w:rPr>
          <w:rFonts w:eastAsia="Arial" w:cs="Arial"/>
        </w:rPr>
        <w:t>Uniformly administered across a grade level, grade span, school, or district</w:t>
      </w:r>
      <w:r w:rsidR="000B7537" w:rsidRPr="00FC6EF2">
        <w:rPr>
          <w:rFonts w:eastAsia="Arial" w:cs="Arial"/>
        </w:rPr>
        <w:t>.</w:t>
      </w:r>
    </w:p>
    <w:p w14:paraId="242B46D0" w14:textId="112E423A" w:rsidR="00401F86" w:rsidRPr="00FC6EF2" w:rsidRDefault="60CB5E39" w:rsidP="0097249C">
      <w:pPr>
        <w:numPr>
          <w:ilvl w:val="2"/>
          <w:numId w:val="7"/>
        </w:numPr>
        <w:spacing w:after="240"/>
        <w:ind w:left="720" w:right="1440"/>
        <w:rPr>
          <w:rFonts w:eastAsia="Arial" w:cs="Arial"/>
        </w:rPr>
      </w:pPr>
      <w:r w:rsidRPr="00FC6EF2">
        <w:rPr>
          <w:rFonts w:eastAsia="Arial" w:cs="Arial"/>
        </w:rPr>
        <w:t>Produce results that c</w:t>
      </w:r>
      <w:r w:rsidR="04AC4FDE" w:rsidRPr="00FC6EF2">
        <w:rPr>
          <w:rFonts w:eastAsia="Arial" w:cs="Arial"/>
        </w:rPr>
        <w:t>ould</w:t>
      </w:r>
      <w:r w:rsidRPr="00FC6EF2">
        <w:rPr>
          <w:rFonts w:eastAsia="Arial" w:cs="Arial"/>
        </w:rPr>
        <w:t xml:space="preserve"> be reported to parents/guardians and educators about individual students, and to the public by school and by district, disaggregated by student group.  </w:t>
      </w:r>
    </w:p>
    <w:p w14:paraId="1B3C0683" w14:textId="27BD9F44" w:rsidR="00273596" w:rsidRPr="00FC6EF2" w:rsidRDefault="208C8888" w:rsidP="0097249C">
      <w:pPr>
        <w:spacing w:after="240"/>
        <w:rPr>
          <w:rFonts w:eastAsia="Arial" w:cs="Arial"/>
        </w:rPr>
      </w:pPr>
      <w:r w:rsidRPr="00FC6EF2">
        <w:rPr>
          <w:rFonts w:eastAsia="Arial" w:cs="Arial"/>
        </w:rPr>
        <w:t xml:space="preserve">The CDE recognized that it would not be viable for many schools to locate a local assessment to administer in place of the state science test, or a local alternate assessment for </w:t>
      </w:r>
      <w:r w:rsidR="57B45E05" w:rsidRPr="00FC6EF2">
        <w:rPr>
          <w:rFonts w:eastAsia="Arial" w:cs="Arial"/>
        </w:rPr>
        <w:t xml:space="preserve">eligible </w:t>
      </w:r>
      <w:r w:rsidRPr="00FC6EF2">
        <w:rPr>
          <w:rFonts w:eastAsia="Arial" w:cs="Arial"/>
        </w:rPr>
        <w:t xml:space="preserve">students with the most significant cognitive disabilities who require an AA-AAAS. As such, the CDE’s guidance was that students </w:t>
      </w:r>
      <w:r w:rsidR="57B45E05" w:rsidRPr="00FC6EF2">
        <w:rPr>
          <w:rFonts w:eastAsia="Arial" w:cs="Arial"/>
        </w:rPr>
        <w:t xml:space="preserve">who were required or </w:t>
      </w:r>
      <w:r w:rsidRPr="00FC6EF2">
        <w:rPr>
          <w:rFonts w:eastAsia="Arial" w:cs="Arial"/>
        </w:rPr>
        <w:t xml:space="preserve">eligible </w:t>
      </w:r>
      <w:r w:rsidR="57B45E05" w:rsidRPr="00FC6EF2">
        <w:rPr>
          <w:rFonts w:eastAsia="Arial" w:cs="Arial"/>
        </w:rPr>
        <w:t xml:space="preserve">to take </w:t>
      </w:r>
      <w:r w:rsidRPr="00FC6EF2">
        <w:rPr>
          <w:rFonts w:eastAsia="Arial" w:cs="Arial"/>
        </w:rPr>
        <w:t xml:space="preserve">the </w:t>
      </w:r>
      <w:r w:rsidR="00A53B76" w:rsidRPr="00FC6EF2">
        <w:rPr>
          <w:rFonts w:eastAsia="Arial" w:cs="Arial"/>
        </w:rPr>
        <w:t>California Science Test (</w:t>
      </w:r>
      <w:r w:rsidRPr="00FC6EF2">
        <w:rPr>
          <w:rFonts w:eastAsia="Arial" w:cs="Arial"/>
        </w:rPr>
        <w:t>CAST</w:t>
      </w:r>
      <w:r w:rsidR="00A53B76" w:rsidRPr="00FC6EF2">
        <w:rPr>
          <w:rFonts w:eastAsia="Arial" w:cs="Arial"/>
        </w:rPr>
        <w:t>)</w:t>
      </w:r>
      <w:r w:rsidRPr="00FC6EF2">
        <w:rPr>
          <w:rFonts w:eastAsia="Arial" w:cs="Arial"/>
        </w:rPr>
        <w:t xml:space="preserve"> or any of the California alternate assessments w</w:t>
      </w:r>
      <w:r w:rsidR="57B45E05" w:rsidRPr="00FC6EF2">
        <w:rPr>
          <w:rFonts w:eastAsia="Arial" w:cs="Arial"/>
        </w:rPr>
        <w:t>ould</w:t>
      </w:r>
      <w:r w:rsidRPr="00FC6EF2">
        <w:rPr>
          <w:rFonts w:eastAsia="Arial" w:cs="Arial"/>
        </w:rPr>
        <w:t xml:space="preserve"> not </w:t>
      </w:r>
      <w:r w:rsidR="57B45E05" w:rsidRPr="00FC6EF2">
        <w:rPr>
          <w:rFonts w:eastAsia="Arial" w:cs="Arial"/>
        </w:rPr>
        <w:t xml:space="preserve">be administered </w:t>
      </w:r>
      <w:r w:rsidRPr="00FC6EF2">
        <w:rPr>
          <w:rFonts w:eastAsia="Arial" w:cs="Arial"/>
        </w:rPr>
        <w:t>a local assessment. Due to the importance of an in-person test examiner in the administration of alternate assessments, LEAs were advised not to administer any alternate assessments in a remote administration.</w:t>
      </w:r>
    </w:p>
    <w:p w14:paraId="14015706" w14:textId="30276BD8" w:rsidR="00503984" w:rsidRPr="00FC6EF2" w:rsidRDefault="00503984" w:rsidP="0097249C">
      <w:pPr>
        <w:spacing w:after="240"/>
        <w:rPr>
          <w:rFonts w:eastAsia="Calibri" w:cs="Arial"/>
        </w:rPr>
      </w:pPr>
      <w:r w:rsidRPr="00FC6EF2">
        <w:rPr>
          <w:rFonts w:eastAsia="Arial" w:cs="Arial"/>
        </w:rPr>
        <w:t>Testing participation in 2020–21 was significantly lower than in 2018–19. Less than 25 percent of students completed the statewide summative assessments in all subject areas in 2020–21. Much of th</w:t>
      </w:r>
      <w:r w:rsidR="007776A9" w:rsidRPr="00FC6EF2">
        <w:rPr>
          <w:rFonts w:eastAsia="Arial" w:cs="Arial"/>
        </w:rPr>
        <w:t>at was</w:t>
      </w:r>
      <w:r w:rsidRPr="00FC6EF2">
        <w:rPr>
          <w:rFonts w:eastAsia="Arial" w:cs="Arial"/>
        </w:rPr>
        <w:t xml:space="preserve"> due to COVID-related testing disruptions and the significant number of schools </w:t>
      </w:r>
      <w:r w:rsidR="00484B05" w:rsidRPr="00FC6EF2">
        <w:rPr>
          <w:rFonts w:eastAsia="Arial" w:cs="Arial"/>
        </w:rPr>
        <w:t>that</w:t>
      </w:r>
      <w:r w:rsidRPr="00FC6EF2">
        <w:rPr>
          <w:rFonts w:eastAsia="Arial" w:cs="Arial"/>
        </w:rPr>
        <w:t xml:space="preserve"> assessed students in ELA and mathematics with a local assessment where administration of the Smarter Balanced summative assessments was considered not viable.</w:t>
      </w:r>
      <w:r w:rsidRPr="00FC6EF2">
        <w:rPr>
          <w:rFonts w:eastAsia="Calibri" w:cs="Arial"/>
        </w:rPr>
        <w:t xml:space="preserve"> </w:t>
      </w:r>
    </w:p>
    <w:p w14:paraId="656BEC87" w14:textId="6676F5BB" w:rsidR="57EEB976" w:rsidRPr="00FC6EF2" w:rsidRDefault="7619E4A3" w:rsidP="0097249C">
      <w:pPr>
        <w:spacing w:after="240"/>
      </w:pPr>
      <w:r w:rsidRPr="00FC6EF2">
        <w:t xml:space="preserve">Table 1 and </w:t>
      </w:r>
      <w:r w:rsidR="00760F12" w:rsidRPr="00FC6EF2">
        <w:t>t</w:t>
      </w:r>
      <w:r w:rsidRPr="00FC6EF2">
        <w:t>able 2 display the 2020</w:t>
      </w:r>
      <w:r w:rsidR="0AF4B89B" w:rsidRPr="00FC6EF2">
        <w:rPr>
          <w:rFonts w:eastAsia="Arial" w:cs="Arial"/>
        </w:rPr>
        <w:t>–</w:t>
      </w:r>
      <w:r w:rsidRPr="00FC6EF2">
        <w:t xml:space="preserve">21 overall participation rates </w:t>
      </w:r>
      <w:r w:rsidR="005916C6" w:rsidRPr="00FC6EF2">
        <w:t>for all students</w:t>
      </w:r>
      <w:r w:rsidRPr="00FC6EF2">
        <w:t xml:space="preserve"> and </w:t>
      </w:r>
      <w:r w:rsidR="0017160B" w:rsidRPr="00FC6EF2">
        <w:t xml:space="preserve">overall participation </w:t>
      </w:r>
      <w:r w:rsidR="00FC4C28" w:rsidRPr="00FC6EF2">
        <w:t>rates</w:t>
      </w:r>
      <w:r w:rsidRPr="00FC6EF2">
        <w:t xml:space="preserve"> for students with disabilities </w:t>
      </w:r>
      <w:r w:rsidR="001B0B48" w:rsidRPr="00FC6EF2">
        <w:t>by content area</w:t>
      </w:r>
      <w:r w:rsidRPr="00FC6EF2">
        <w:t>.</w:t>
      </w:r>
    </w:p>
    <w:p w14:paraId="05E0E5CC" w14:textId="4E1E35DB" w:rsidR="231891FD" w:rsidRPr="00FC6EF2" w:rsidRDefault="231891FD" w:rsidP="57EEB976">
      <w:pPr>
        <w:spacing w:after="60"/>
        <w:rPr>
          <w:rFonts w:cs="Arial"/>
          <w:color w:val="000000" w:themeColor="text1"/>
        </w:rPr>
      </w:pPr>
      <w:r w:rsidRPr="00FC6EF2">
        <w:rPr>
          <w:rFonts w:cs="Arial"/>
          <w:color w:val="000000" w:themeColor="text1"/>
        </w:rPr>
        <w:t xml:space="preserve">Table 1. </w:t>
      </w:r>
      <w:r w:rsidR="002932D9" w:rsidRPr="00FC6EF2">
        <w:rPr>
          <w:rFonts w:cs="Arial"/>
          <w:color w:val="000000" w:themeColor="text1"/>
        </w:rPr>
        <w:t xml:space="preserve">Overall </w:t>
      </w:r>
      <w:r w:rsidRPr="00FC6EF2">
        <w:rPr>
          <w:rFonts w:cs="Arial"/>
          <w:color w:val="000000" w:themeColor="text1"/>
        </w:rPr>
        <w:t>Participation Rates for All Students by Content Area, 2020</w:t>
      </w:r>
      <w:r w:rsidR="42B4A8D4" w:rsidRPr="00FC6EF2">
        <w:rPr>
          <w:rFonts w:eastAsia="Arial" w:cs="Arial"/>
        </w:rPr>
        <w:t>–</w:t>
      </w:r>
      <w:r w:rsidRPr="00FC6EF2">
        <w:rPr>
          <w:rFonts w:cs="Arial"/>
          <w:color w:val="000000" w:themeColor="text1"/>
        </w:rPr>
        <w:t>21</w:t>
      </w:r>
    </w:p>
    <w:tbl>
      <w:tblPr>
        <w:tblStyle w:val="TableGrid1"/>
        <w:tblW w:w="0" w:type="auto"/>
        <w:tblLook w:val="04A0" w:firstRow="1" w:lastRow="0" w:firstColumn="1" w:lastColumn="0" w:noHBand="0" w:noVBand="1"/>
        <w:tblCaption w:val="Table 1. Overall Participation Rates for All Students by Content Area, 2020–21"/>
        <w:tblDescription w:val="Table 1 display the 2020–21 overall participation rates for all students and overall participation rates for students with disabilities by content area."/>
      </w:tblPr>
      <w:tblGrid>
        <w:gridCol w:w="1593"/>
        <w:gridCol w:w="2607"/>
        <w:gridCol w:w="2610"/>
        <w:gridCol w:w="2540"/>
      </w:tblGrid>
      <w:tr w:rsidR="57EEB976" w:rsidRPr="00FC6EF2" w14:paraId="7BF52F04" w14:textId="77777777" w:rsidTr="007F55A2">
        <w:trPr>
          <w:cantSplit/>
          <w:trHeight w:val="872"/>
          <w:tblHeader/>
        </w:trPr>
        <w:tc>
          <w:tcPr>
            <w:tcW w:w="1620" w:type="dxa"/>
            <w:vAlign w:val="center"/>
          </w:tcPr>
          <w:p w14:paraId="3211D563" w14:textId="77777777" w:rsidR="231891FD" w:rsidRPr="00FC6EF2" w:rsidRDefault="231891FD" w:rsidP="57EEB976">
            <w:pPr>
              <w:jc w:val="center"/>
              <w:rPr>
                <w:rFonts w:cs="Arial"/>
                <w:color w:val="000000" w:themeColor="text1"/>
              </w:rPr>
            </w:pPr>
            <w:r w:rsidRPr="00FC6EF2">
              <w:rPr>
                <w:rFonts w:cs="Arial"/>
                <w:color w:val="000000" w:themeColor="text1"/>
              </w:rPr>
              <w:t>Content Area</w:t>
            </w:r>
          </w:p>
        </w:tc>
        <w:tc>
          <w:tcPr>
            <w:tcW w:w="2700" w:type="dxa"/>
            <w:vAlign w:val="center"/>
          </w:tcPr>
          <w:p w14:paraId="159EFBA7" w14:textId="77777777" w:rsidR="231891FD" w:rsidRPr="00FC6EF2" w:rsidRDefault="231891FD" w:rsidP="57EEB976">
            <w:pPr>
              <w:jc w:val="center"/>
              <w:rPr>
                <w:rFonts w:cs="Arial"/>
                <w:color w:val="000000" w:themeColor="text1"/>
              </w:rPr>
            </w:pPr>
            <w:r w:rsidRPr="00FC6EF2">
              <w:rPr>
                <w:rFonts w:cs="Arial"/>
                <w:color w:val="000000" w:themeColor="text1"/>
              </w:rPr>
              <w:t>Number of Eligible Students, 2021</w:t>
            </w:r>
          </w:p>
        </w:tc>
        <w:tc>
          <w:tcPr>
            <w:tcW w:w="2700" w:type="dxa"/>
            <w:vAlign w:val="center"/>
          </w:tcPr>
          <w:p w14:paraId="04B72753" w14:textId="2D228CB8" w:rsidR="231891FD" w:rsidRPr="00FC6EF2" w:rsidRDefault="231891FD" w:rsidP="57EEB976">
            <w:pPr>
              <w:jc w:val="center"/>
              <w:rPr>
                <w:rFonts w:cs="Arial"/>
                <w:color w:val="000000" w:themeColor="text1"/>
              </w:rPr>
            </w:pPr>
            <w:r w:rsidRPr="00FC6EF2">
              <w:rPr>
                <w:rFonts w:cs="Arial"/>
                <w:color w:val="000000" w:themeColor="text1"/>
              </w:rPr>
              <w:t>Number of</w:t>
            </w:r>
            <w:r w:rsidR="00856C99" w:rsidRPr="00FC6EF2">
              <w:rPr>
                <w:rFonts w:cs="Arial"/>
                <w:color w:val="000000" w:themeColor="text1"/>
              </w:rPr>
              <w:t xml:space="preserve"> </w:t>
            </w:r>
            <w:r w:rsidRPr="00FC6EF2">
              <w:rPr>
                <w:rFonts w:cs="Arial"/>
                <w:color w:val="000000" w:themeColor="text1"/>
              </w:rPr>
              <w:t>Students Assessed, 2021</w:t>
            </w:r>
          </w:p>
        </w:tc>
        <w:tc>
          <w:tcPr>
            <w:tcW w:w="2610" w:type="dxa"/>
            <w:vAlign w:val="center"/>
          </w:tcPr>
          <w:p w14:paraId="7456976A" w14:textId="77777777" w:rsidR="231891FD" w:rsidRPr="00FC6EF2" w:rsidRDefault="231891FD" w:rsidP="57EEB976">
            <w:pPr>
              <w:jc w:val="center"/>
              <w:rPr>
                <w:rFonts w:cs="Arial"/>
                <w:color w:val="000000" w:themeColor="text1"/>
              </w:rPr>
            </w:pPr>
            <w:r w:rsidRPr="00FC6EF2">
              <w:rPr>
                <w:rFonts w:cs="Arial"/>
                <w:color w:val="000000" w:themeColor="text1"/>
              </w:rPr>
              <w:t>Participation Rate, 2021</w:t>
            </w:r>
          </w:p>
        </w:tc>
      </w:tr>
      <w:tr w:rsidR="57EEB976" w:rsidRPr="00FC6EF2" w14:paraId="7319F7ED" w14:textId="77777777" w:rsidTr="57EEB976">
        <w:trPr>
          <w:trHeight w:val="320"/>
        </w:trPr>
        <w:tc>
          <w:tcPr>
            <w:tcW w:w="1620" w:type="dxa"/>
          </w:tcPr>
          <w:p w14:paraId="031823B8" w14:textId="77777777" w:rsidR="231891FD" w:rsidRPr="00FC6EF2" w:rsidRDefault="231891FD" w:rsidP="57EEB976">
            <w:pPr>
              <w:rPr>
                <w:rFonts w:cs="Arial"/>
                <w:color w:val="000000" w:themeColor="text1"/>
              </w:rPr>
            </w:pPr>
            <w:r w:rsidRPr="00FC6EF2">
              <w:rPr>
                <w:rFonts w:cs="Arial"/>
                <w:color w:val="000000" w:themeColor="text1"/>
              </w:rPr>
              <w:t>ELA  </w:t>
            </w:r>
          </w:p>
        </w:tc>
        <w:tc>
          <w:tcPr>
            <w:tcW w:w="2700" w:type="dxa"/>
          </w:tcPr>
          <w:p w14:paraId="68891863" w14:textId="77777777" w:rsidR="231891FD" w:rsidRPr="00FC6EF2" w:rsidRDefault="231891FD" w:rsidP="57EEB976">
            <w:pPr>
              <w:jc w:val="right"/>
              <w:rPr>
                <w:rFonts w:cs="Arial"/>
                <w:color w:val="000000" w:themeColor="text1"/>
              </w:rPr>
            </w:pPr>
            <w:r w:rsidRPr="00FC6EF2">
              <w:rPr>
                <w:rFonts w:cs="Arial"/>
                <w:color w:val="000000" w:themeColor="text1"/>
              </w:rPr>
              <w:t>3,165,673</w:t>
            </w:r>
          </w:p>
        </w:tc>
        <w:tc>
          <w:tcPr>
            <w:tcW w:w="2700" w:type="dxa"/>
          </w:tcPr>
          <w:p w14:paraId="001AC6D5" w14:textId="77777777" w:rsidR="231891FD" w:rsidRPr="00FC6EF2" w:rsidRDefault="231891FD" w:rsidP="57EEB976">
            <w:pPr>
              <w:jc w:val="right"/>
              <w:rPr>
                <w:rFonts w:cs="Arial"/>
                <w:color w:val="000000" w:themeColor="text1"/>
              </w:rPr>
            </w:pPr>
            <w:r w:rsidRPr="00FC6EF2">
              <w:rPr>
                <w:rFonts w:cs="Arial"/>
                <w:color w:val="000000" w:themeColor="text1"/>
              </w:rPr>
              <w:t>754,744</w:t>
            </w:r>
          </w:p>
        </w:tc>
        <w:tc>
          <w:tcPr>
            <w:tcW w:w="2610" w:type="dxa"/>
          </w:tcPr>
          <w:p w14:paraId="1487B7B5" w14:textId="77777777" w:rsidR="231891FD" w:rsidRPr="00FC6EF2" w:rsidRDefault="231891FD" w:rsidP="57EEB976">
            <w:pPr>
              <w:jc w:val="right"/>
              <w:rPr>
                <w:rFonts w:cs="Arial"/>
                <w:color w:val="000000" w:themeColor="text1"/>
              </w:rPr>
            </w:pPr>
            <w:r w:rsidRPr="00FC6EF2">
              <w:rPr>
                <w:rFonts w:cs="Arial"/>
                <w:color w:val="000000" w:themeColor="text1"/>
              </w:rPr>
              <w:t>23.84%</w:t>
            </w:r>
          </w:p>
        </w:tc>
      </w:tr>
      <w:tr w:rsidR="57EEB976" w:rsidRPr="00FC6EF2" w14:paraId="458D83D6" w14:textId="77777777" w:rsidTr="57EEB976">
        <w:trPr>
          <w:trHeight w:val="320"/>
        </w:trPr>
        <w:tc>
          <w:tcPr>
            <w:tcW w:w="1620" w:type="dxa"/>
          </w:tcPr>
          <w:p w14:paraId="6B95EBAB" w14:textId="77777777" w:rsidR="231891FD" w:rsidRPr="00FC6EF2" w:rsidRDefault="231891FD" w:rsidP="57EEB976">
            <w:pPr>
              <w:rPr>
                <w:rFonts w:cs="Arial"/>
                <w:color w:val="000000" w:themeColor="text1"/>
              </w:rPr>
            </w:pPr>
            <w:r w:rsidRPr="00FC6EF2">
              <w:rPr>
                <w:rFonts w:cs="Arial"/>
                <w:color w:val="000000" w:themeColor="text1"/>
              </w:rPr>
              <w:t>Math </w:t>
            </w:r>
          </w:p>
        </w:tc>
        <w:tc>
          <w:tcPr>
            <w:tcW w:w="2700" w:type="dxa"/>
          </w:tcPr>
          <w:p w14:paraId="77242474" w14:textId="77777777" w:rsidR="231891FD" w:rsidRPr="00FC6EF2" w:rsidRDefault="231891FD" w:rsidP="57EEB976">
            <w:pPr>
              <w:jc w:val="right"/>
              <w:rPr>
                <w:rFonts w:cs="Arial"/>
                <w:color w:val="000000" w:themeColor="text1"/>
              </w:rPr>
            </w:pPr>
            <w:r w:rsidRPr="00FC6EF2">
              <w:rPr>
                <w:rFonts w:cs="Arial"/>
                <w:color w:val="000000" w:themeColor="text1"/>
              </w:rPr>
              <w:t>3,165,673</w:t>
            </w:r>
          </w:p>
        </w:tc>
        <w:tc>
          <w:tcPr>
            <w:tcW w:w="2700" w:type="dxa"/>
          </w:tcPr>
          <w:p w14:paraId="6A78CCF0" w14:textId="77777777" w:rsidR="231891FD" w:rsidRPr="00FC6EF2" w:rsidRDefault="231891FD" w:rsidP="57EEB976">
            <w:pPr>
              <w:jc w:val="right"/>
              <w:rPr>
                <w:rFonts w:cs="Arial"/>
                <w:color w:val="000000" w:themeColor="text1"/>
              </w:rPr>
            </w:pPr>
            <w:r w:rsidRPr="00FC6EF2">
              <w:rPr>
                <w:rFonts w:cs="Arial"/>
                <w:color w:val="000000" w:themeColor="text1"/>
              </w:rPr>
              <w:t>760,921</w:t>
            </w:r>
          </w:p>
        </w:tc>
        <w:tc>
          <w:tcPr>
            <w:tcW w:w="2610" w:type="dxa"/>
          </w:tcPr>
          <w:p w14:paraId="75E0A165" w14:textId="77777777" w:rsidR="231891FD" w:rsidRPr="00FC6EF2" w:rsidRDefault="231891FD" w:rsidP="57EEB976">
            <w:pPr>
              <w:jc w:val="right"/>
              <w:rPr>
                <w:rFonts w:cs="Arial"/>
                <w:color w:val="000000" w:themeColor="text1"/>
              </w:rPr>
            </w:pPr>
            <w:r w:rsidRPr="00FC6EF2">
              <w:rPr>
                <w:rFonts w:cs="Arial"/>
                <w:color w:val="000000" w:themeColor="text1"/>
              </w:rPr>
              <w:t>24.04%</w:t>
            </w:r>
          </w:p>
        </w:tc>
      </w:tr>
      <w:tr w:rsidR="57EEB976" w:rsidRPr="00FC6EF2" w14:paraId="69C71648" w14:textId="77777777" w:rsidTr="57EEB976">
        <w:trPr>
          <w:trHeight w:val="320"/>
        </w:trPr>
        <w:tc>
          <w:tcPr>
            <w:tcW w:w="1620" w:type="dxa"/>
          </w:tcPr>
          <w:p w14:paraId="7E0E949B" w14:textId="77777777" w:rsidR="231891FD" w:rsidRPr="00FC6EF2" w:rsidRDefault="231891FD" w:rsidP="57EEB976">
            <w:pPr>
              <w:rPr>
                <w:rFonts w:cs="Arial"/>
                <w:color w:val="000000" w:themeColor="text1"/>
              </w:rPr>
            </w:pPr>
            <w:r w:rsidRPr="00FC6EF2">
              <w:rPr>
                <w:rFonts w:cs="Arial"/>
                <w:color w:val="000000" w:themeColor="text1"/>
              </w:rPr>
              <w:t>Science  </w:t>
            </w:r>
          </w:p>
        </w:tc>
        <w:tc>
          <w:tcPr>
            <w:tcW w:w="2700" w:type="dxa"/>
          </w:tcPr>
          <w:p w14:paraId="488BF9C7" w14:textId="77777777" w:rsidR="231891FD" w:rsidRPr="00FC6EF2" w:rsidRDefault="231891FD" w:rsidP="57EEB976">
            <w:pPr>
              <w:jc w:val="right"/>
              <w:rPr>
                <w:rFonts w:cs="Arial"/>
                <w:color w:val="000000" w:themeColor="text1"/>
              </w:rPr>
            </w:pPr>
            <w:r w:rsidRPr="00FC6EF2">
              <w:rPr>
                <w:rFonts w:cs="Arial"/>
                <w:color w:val="000000" w:themeColor="text1"/>
              </w:rPr>
              <w:t>1,513,484</w:t>
            </w:r>
          </w:p>
        </w:tc>
        <w:tc>
          <w:tcPr>
            <w:tcW w:w="2700" w:type="dxa"/>
          </w:tcPr>
          <w:p w14:paraId="25C6B84E" w14:textId="77777777" w:rsidR="231891FD" w:rsidRPr="00FC6EF2" w:rsidRDefault="231891FD" w:rsidP="57EEB976">
            <w:pPr>
              <w:jc w:val="right"/>
              <w:rPr>
                <w:rFonts w:cs="Arial"/>
                <w:color w:val="000000" w:themeColor="text1"/>
              </w:rPr>
            </w:pPr>
            <w:r w:rsidRPr="00FC6EF2">
              <w:rPr>
                <w:rFonts w:cs="Arial"/>
                <w:color w:val="000000" w:themeColor="text1"/>
              </w:rPr>
              <w:t>250,286</w:t>
            </w:r>
          </w:p>
        </w:tc>
        <w:tc>
          <w:tcPr>
            <w:tcW w:w="2610" w:type="dxa"/>
          </w:tcPr>
          <w:p w14:paraId="67CEBA25" w14:textId="77777777" w:rsidR="231891FD" w:rsidRPr="00FC6EF2" w:rsidRDefault="231891FD" w:rsidP="57EEB976">
            <w:pPr>
              <w:jc w:val="right"/>
              <w:rPr>
                <w:rFonts w:cs="Arial"/>
                <w:color w:val="000000" w:themeColor="text1"/>
              </w:rPr>
            </w:pPr>
            <w:r w:rsidRPr="00FC6EF2">
              <w:rPr>
                <w:rFonts w:cs="Arial"/>
                <w:color w:val="000000" w:themeColor="text1"/>
              </w:rPr>
              <w:t>16.54%</w:t>
            </w:r>
          </w:p>
        </w:tc>
      </w:tr>
    </w:tbl>
    <w:p w14:paraId="7ADD63D5" w14:textId="15F2FF23" w:rsidR="57EEB976" w:rsidRPr="00FC6EF2" w:rsidRDefault="57EEB976" w:rsidP="57EEB976">
      <w:pPr>
        <w:spacing w:after="160" w:line="259" w:lineRule="auto"/>
        <w:rPr>
          <w:b/>
          <w:bCs/>
        </w:rPr>
      </w:pPr>
    </w:p>
    <w:p w14:paraId="4BB19AA8" w14:textId="77777777" w:rsidR="009E7C15" w:rsidRPr="00FC6EF2" w:rsidRDefault="009E7C15" w:rsidP="009E7C15">
      <w:pPr>
        <w:keepNext/>
        <w:spacing w:after="60"/>
        <w:rPr>
          <w:rFonts w:eastAsia="Calibri" w:cs="Arial"/>
        </w:rPr>
      </w:pPr>
      <w:r w:rsidRPr="00FC6EF2">
        <w:rPr>
          <w:rFonts w:eastAsia="Calibri" w:cs="Arial"/>
        </w:rPr>
        <w:br w:type="page"/>
      </w:r>
    </w:p>
    <w:p w14:paraId="4590AB4A" w14:textId="5CC34EC4" w:rsidR="231891FD" w:rsidRPr="00FC6EF2" w:rsidRDefault="28919B67" w:rsidP="0097249C">
      <w:pPr>
        <w:keepNext/>
        <w:spacing w:after="60"/>
        <w:rPr>
          <w:rFonts w:cs="Arial"/>
          <w:color w:val="000000" w:themeColor="text1"/>
        </w:rPr>
      </w:pPr>
      <w:r w:rsidRPr="00FC6EF2">
        <w:rPr>
          <w:rFonts w:eastAsia="Calibri" w:cs="Arial"/>
        </w:rPr>
        <w:lastRenderedPageBreak/>
        <w:t xml:space="preserve">Table 2. </w:t>
      </w:r>
      <w:r w:rsidR="401C6118" w:rsidRPr="00FC6EF2">
        <w:rPr>
          <w:rFonts w:eastAsia="Calibri" w:cs="Arial"/>
        </w:rPr>
        <w:t xml:space="preserve">Overall </w:t>
      </w:r>
      <w:r w:rsidRPr="00FC6EF2">
        <w:rPr>
          <w:rFonts w:cs="Arial"/>
          <w:color w:val="000000" w:themeColor="text1"/>
        </w:rPr>
        <w:t xml:space="preserve">Participation Rates of Students with Disabilities by Content Area, 2020–21 </w:t>
      </w:r>
    </w:p>
    <w:tbl>
      <w:tblPr>
        <w:tblStyle w:val="TableGrid1"/>
        <w:tblW w:w="0" w:type="auto"/>
        <w:tblLook w:val="04A0" w:firstRow="1" w:lastRow="0" w:firstColumn="1" w:lastColumn="0" w:noHBand="0" w:noVBand="1"/>
        <w:tblCaption w:val="Table 2. Overall Participation Rates of Students with Disabilities by Content Area, 2020–21 "/>
        <w:tblDescription w:val="Table 2 display the 2020–21 overall participation rates for all students and overall participation rates for students with disabilities by content area."/>
      </w:tblPr>
      <w:tblGrid>
        <w:gridCol w:w="1487"/>
        <w:gridCol w:w="2640"/>
        <w:gridCol w:w="2643"/>
        <w:gridCol w:w="2580"/>
      </w:tblGrid>
      <w:tr w:rsidR="57EEB976" w:rsidRPr="00FC6EF2" w14:paraId="642DEADF" w14:textId="77777777" w:rsidTr="007F55A2">
        <w:trPr>
          <w:cantSplit/>
          <w:trHeight w:val="1020"/>
          <w:tblHeader/>
        </w:trPr>
        <w:tc>
          <w:tcPr>
            <w:tcW w:w="1536" w:type="dxa"/>
            <w:vAlign w:val="center"/>
          </w:tcPr>
          <w:p w14:paraId="213E1384" w14:textId="77777777" w:rsidR="231891FD" w:rsidRPr="00FC6EF2" w:rsidRDefault="231891FD" w:rsidP="57EEB976">
            <w:pPr>
              <w:jc w:val="center"/>
              <w:rPr>
                <w:rFonts w:cs="Arial"/>
                <w:color w:val="000000" w:themeColor="text1"/>
              </w:rPr>
            </w:pPr>
            <w:r w:rsidRPr="00FC6EF2">
              <w:rPr>
                <w:rFonts w:cs="Arial"/>
                <w:color w:val="000000" w:themeColor="text1"/>
              </w:rPr>
              <w:t>Content Area</w:t>
            </w:r>
          </w:p>
        </w:tc>
        <w:tc>
          <w:tcPr>
            <w:tcW w:w="2779" w:type="dxa"/>
            <w:vAlign w:val="center"/>
          </w:tcPr>
          <w:p w14:paraId="1F68D770" w14:textId="77777777" w:rsidR="231891FD" w:rsidRPr="00FC6EF2" w:rsidRDefault="231891FD" w:rsidP="57EEB976">
            <w:pPr>
              <w:jc w:val="center"/>
              <w:rPr>
                <w:rFonts w:cs="Arial"/>
                <w:color w:val="000000" w:themeColor="text1"/>
              </w:rPr>
            </w:pPr>
            <w:r w:rsidRPr="00FC6EF2">
              <w:rPr>
                <w:rFonts w:cs="Arial"/>
                <w:color w:val="000000" w:themeColor="text1"/>
              </w:rPr>
              <w:t>Number of Students with Disabilities, 2021</w:t>
            </w:r>
            <w:r w:rsidRPr="00FC6EF2">
              <w:rPr>
                <w:rFonts w:cs="Arial"/>
                <w:color w:val="000000" w:themeColor="text1"/>
                <w:vertAlign w:val="superscript"/>
              </w:rPr>
              <w:t>*</w:t>
            </w:r>
          </w:p>
        </w:tc>
        <w:tc>
          <w:tcPr>
            <w:tcW w:w="2790" w:type="dxa"/>
            <w:vAlign w:val="center"/>
          </w:tcPr>
          <w:p w14:paraId="4897196E" w14:textId="77777777" w:rsidR="231891FD" w:rsidRPr="00FC6EF2" w:rsidRDefault="231891FD" w:rsidP="57EEB976">
            <w:pPr>
              <w:jc w:val="center"/>
              <w:rPr>
                <w:rFonts w:cs="Arial"/>
                <w:color w:val="000000" w:themeColor="text1"/>
              </w:rPr>
            </w:pPr>
            <w:r w:rsidRPr="00FC6EF2">
              <w:rPr>
                <w:rFonts w:cs="Arial"/>
                <w:color w:val="000000" w:themeColor="text1"/>
              </w:rPr>
              <w:t>Number of Students with Disabilities Assessed, 2021</w:t>
            </w:r>
            <w:r w:rsidRPr="00FC6EF2">
              <w:rPr>
                <w:rFonts w:cs="Arial"/>
                <w:color w:val="000000" w:themeColor="text1"/>
                <w:vertAlign w:val="superscript"/>
              </w:rPr>
              <w:t>†</w:t>
            </w:r>
          </w:p>
        </w:tc>
        <w:tc>
          <w:tcPr>
            <w:tcW w:w="2700" w:type="dxa"/>
            <w:vAlign w:val="center"/>
          </w:tcPr>
          <w:p w14:paraId="2AAAA36D" w14:textId="77777777" w:rsidR="231891FD" w:rsidRPr="00FC6EF2" w:rsidRDefault="231891FD" w:rsidP="57EEB976">
            <w:pPr>
              <w:jc w:val="center"/>
              <w:rPr>
                <w:rFonts w:cs="Arial"/>
                <w:color w:val="000000" w:themeColor="text1"/>
              </w:rPr>
            </w:pPr>
            <w:r w:rsidRPr="00FC6EF2">
              <w:rPr>
                <w:rFonts w:cs="Arial"/>
                <w:color w:val="000000" w:themeColor="text1"/>
              </w:rPr>
              <w:t>Participation Rate, 2021</w:t>
            </w:r>
          </w:p>
        </w:tc>
      </w:tr>
      <w:tr w:rsidR="57EEB976" w:rsidRPr="00FC6EF2" w14:paraId="0EE4C18E" w14:textId="77777777" w:rsidTr="57EEB976">
        <w:trPr>
          <w:trHeight w:val="320"/>
        </w:trPr>
        <w:tc>
          <w:tcPr>
            <w:tcW w:w="1536" w:type="dxa"/>
          </w:tcPr>
          <w:p w14:paraId="3F25400D" w14:textId="77777777" w:rsidR="231891FD" w:rsidRPr="00FC6EF2" w:rsidRDefault="231891FD" w:rsidP="57EEB976">
            <w:pPr>
              <w:rPr>
                <w:rFonts w:cs="Arial"/>
                <w:color w:val="000000" w:themeColor="text1"/>
              </w:rPr>
            </w:pPr>
            <w:r w:rsidRPr="00FC6EF2">
              <w:rPr>
                <w:rFonts w:cs="Arial"/>
                <w:color w:val="000000" w:themeColor="text1"/>
              </w:rPr>
              <w:t>ELA</w:t>
            </w:r>
          </w:p>
        </w:tc>
        <w:tc>
          <w:tcPr>
            <w:tcW w:w="2779" w:type="dxa"/>
          </w:tcPr>
          <w:p w14:paraId="65964EC4" w14:textId="77777777" w:rsidR="231891FD" w:rsidRPr="00FC6EF2" w:rsidRDefault="231891FD" w:rsidP="57EEB976">
            <w:pPr>
              <w:jc w:val="right"/>
              <w:rPr>
                <w:rFonts w:cs="Arial"/>
                <w:color w:val="000000" w:themeColor="text1"/>
              </w:rPr>
            </w:pPr>
            <w:r w:rsidRPr="00FC6EF2">
              <w:rPr>
                <w:rFonts w:cs="Arial"/>
                <w:color w:val="000000" w:themeColor="text1"/>
              </w:rPr>
              <w:t>419,011</w:t>
            </w:r>
          </w:p>
        </w:tc>
        <w:tc>
          <w:tcPr>
            <w:tcW w:w="2790" w:type="dxa"/>
          </w:tcPr>
          <w:p w14:paraId="550FD94B" w14:textId="77777777" w:rsidR="231891FD" w:rsidRPr="00FC6EF2" w:rsidRDefault="231891FD" w:rsidP="57EEB976">
            <w:pPr>
              <w:jc w:val="right"/>
              <w:rPr>
                <w:rFonts w:cs="Arial"/>
                <w:color w:val="000000" w:themeColor="text1"/>
              </w:rPr>
            </w:pPr>
            <w:r w:rsidRPr="00FC6EF2">
              <w:rPr>
                <w:rFonts w:cs="Arial"/>
                <w:color w:val="000000" w:themeColor="text1"/>
              </w:rPr>
              <w:t>89,466</w:t>
            </w:r>
          </w:p>
        </w:tc>
        <w:tc>
          <w:tcPr>
            <w:tcW w:w="2700" w:type="dxa"/>
          </w:tcPr>
          <w:p w14:paraId="5B036792" w14:textId="77777777" w:rsidR="231891FD" w:rsidRPr="00FC6EF2" w:rsidRDefault="231891FD" w:rsidP="57EEB976">
            <w:pPr>
              <w:jc w:val="right"/>
              <w:rPr>
                <w:rFonts w:cs="Arial"/>
                <w:color w:val="000000" w:themeColor="text1"/>
              </w:rPr>
            </w:pPr>
            <w:r w:rsidRPr="00FC6EF2">
              <w:rPr>
                <w:rFonts w:cs="Arial"/>
                <w:color w:val="000000" w:themeColor="text1"/>
              </w:rPr>
              <w:t>21.35%</w:t>
            </w:r>
          </w:p>
        </w:tc>
      </w:tr>
      <w:tr w:rsidR="57EEB976" w:rsidRPr="00FC6EF2" w14:paraId="3D3897C0" w14:textId="77777777" w:rsidTr="57EEB976">
        <w:trPr>
          <w:trHeight w:val="320"/>
        </w:trPr>
        <w:tc>
          <w:tcPr>
            <w:tcW w:w="1536" w:type="dxa"/>
          </w:tcPr>
          <w:p w14:paraId="2DACB0BD" w14:textId="77777777" w:rsidR="231891FD" w:rsidRPr="00FC6EF2" w:rsidRDefault="231891FD" w:rsidP="57EEB976">
            <w:pPr>
              <w:rPr>
                <w:rFonts w:cs="Arial"/>
                <w:color w:val="000000" w:themeColor="text1"/>
              </w:rPr>
            </w:pPr>
            <w:r w:rsidRPr="00FC6EF2">
              <w:rPr>
                <w:rFonts w:cs="Arial"/>
                <w:color w:val="000000" w:themeColor="text1"/>
              </w:rPr>
              <w:t>Math</w:t>
            </w:r>
          </w:p>
        </w:tc>
        <w:tc>
          <w:tcPr>
            <w:tcW w:w="2779" w:type="dxa"/>
          </w:tcPr>
          <w:p w14:paraId="459B42DB" w14:textId="77777777" w:rsidR="231891FD" w:rsidRPr="00FC6EF2" w:rsidRDefault="231891FD" w:rsidP="57EEB976">
            <w:pPr>
              <w:jc w:val="right"/>
              <w:rPr>
                <w:rFonts w:cs="Arial"/>
                <w:color w:val="000000" w:themeColor="text1"/>
              </w:rPr>
            </w:pPr>
            <w:r w:rsidRPr="00FC6EF2">
              <w:rPr>
                <w:rFonts w:cs="Arial"/>
                <w:color w:val="000000" w:themeColor="text1"/>
              </w:rPr>
              <w:t>419,011</w:t>
            </w:r>
          </w:p>
        </w:tc>
        <w:tc>
          <w:tcPr>
            <w:tcW w:w="2790" w:type="dxa"/>
          </w:tcPr>
          <w:p w14:paraId="24791824" w14:textId="77777777" w:rsidR="231891FD" w:rsidRPr="00FC6EF2" w:rsidRDefault="231891FD" w:rsidP="57EEB976">
            <w:pPr>
              <w:jc w:val="right"/>
              <w:rPr>
                <w:rFonts w:cs="Arial"/>
                <w:color w:val="000000" w:themeColor="text1"/>
              </w:rPr>
            </w:pPr>
            <w:r w:rsidRPr="00FC6EF2">
              <w:rPr>
                <w:rFonts w:cs="Arial"/>
                <w:color w:val="000000" w:themeColor="text1"/>
              </w:rPr>
              <w:t>90,156</w:t>
            </w:r>
          </w:p>
        </w:tc>
        <w:tc>
          <w:tcPr>
            <w:tcW w:w="2700" w:type="dxa"/>
          </w:tcPr>
          <w:p w14:paraId="759986A7" w14:textId="77777777" w:rsidR="231891FD" w:rsidRPr="00FC6EF2" w:rsidRDefault="231891FD" w:rsidP="57EEB976">
            <w:pPr>
              <w:jc w:val="right"/>
              <w:rPr>
                <w:rFonts w:cs="Arial"/>
                <w:color w:val="000000" w:themeColor="text1"/>
              </w:rPr>
            </w:pPr>
            <w:r w:rsidRPr="00FC6EF2">
              <w:rPr>
                <w:rFonts w:cs="Arial"/>
                <w:color w:val="000000" w:themeColor="text1"/>
              </w:rPr>
              <w:t>21.52%</w:t>
            </w:r>
          </w:p>
        </w:tc>
      </w:tr>
      <w:tr w:rsidR="57EEB976" w:rsidRPr="00FC6EF2" w14:paraId="7CDD6D92" w14:textId="77777777" w:rsidTr="57EEB976">
        <w:trPr>
          <w:trHeight w:val="296"/>
        </w:trPr>
        <w:tc>
          <w:tcPr>
            <w:tcW w:w="1536" w:type="dxa"/>
          </w:tcPr>
          <w:p w14:paraId="28B04F76" w14:textId="77777777" w:rsidR="231891FD" w:rsidRPr="00FC6EF2" w:rsidRDefault="231891FD" w:rsidP="57EEB976">
            <w:pPr>
              <w:rPr>
                <w:rFonts w:cs="Arial"/>
                <w:color w:val="000000" w:themeColor="text1"/>
              </w:rPr>
            </w:pPr>
            <w:r w:rsidRPr="00FC6EF2">
              <w:rPr>
                <w:rFonts w:cs="Arial"/>
                <w:color w:val="000000" w:themeColor="text1"/>
              </w:rPr>
              <w:t>Science</w:t>
            </w:r>
          </w:p>
        </w:tc>
        <w:tc>
          <w:tcPr>
            <w:tcW w:w="2779" w:type="dxa"/>
          </w:tcPr>
          <w:p w14:paraId="7D20E323" w14:textId="77777777" w:rsidR="231891FD" w:rsidRPr="00FC6EF2" w:rsidRDefault="231891FD" w:rsidP="57EEB976">
            <w:pPr>
              <w:jc w:val="right"/>
              <w:rPr>
                <w:rFonts w:cs="Arial"/>
                <w:color w:val="000000" w:themeColor="text1"/>
              </w:rPr>
            </w:pPr>
            <w:r w:rsidRPr="00FC6EF2">
              <w:rPr>
                <w:rFonts w:cs="Arial"/>
                <w:color w:val="000000" w:themeColor="text1"/>
              </w:rPr>
              <w:t>193,350</w:t>
            </w:r>
          </w:p>
        </w:tc>
        <w:tc>
          <w:tcPr>
            <w:tcW w:w="2790" w:type="dxa"/>
          </w:tcPr>
          <w:p w14:paraId="69FCF71A" w14:textId="77777777" w:rsidR="231891FD" w:rsidRPr="00FC6EF2" w:rsidRDefault="231891FD" w:rsidP="57EEB976">
            <w:pPr>
              <w:jc w:val="right"/>
              <w:rPr>
                <w:rFonts w:cs="Arial"/>
                <w:color w:val="000000" w:themeColor="text1"/>
              </w:rPr>
            </w:pPr>
            <w:r w:rsidRPr="00FC6EF2">
              <w:rPr>
                <w:rFonts w:cs="Arial"/>
                <w:color w:val="000000" w:themeColor="text1"/>
              </w:rPr>
              <w:t>27,742</w:t>
            </w:r>
          </w:p>
        </w:tc>
        <w:tc>
          <w:tcPr>
            <w:tcW w:w="2700" w:type="dxa"/>
          </w:tcPr>
          <w:p w14:paraId="2D284957" w14:textId="77777777" w:rsidR="231891FD" w:rsidRPr="00FC6EF2" w:rsidRDefault="231891FD" w:rsidP="57EEB976">
            <w:pPr>
              <w:jc w:val="right"/>
              <w:rPr>
                <w:rFonts w:cs="Arial"/>
                <w:color w:val="000000" w:themeColor="text1"/>
              </w:rPr>
            </w:pPr>
            <w:r w:rsidRPr="00FC6EF2">
              <w:rPr>
                <w:rFonts w:cs="Arial"/>
                <w:color w:val="000000" w:themeColor="text1"/>
              </w:rPr>
              <w:t>14.35%</w:t>
            </w:r>
          </w:p>
        </w:tc>
      </w:tr>
    </w:tbl>
    <w:p w14:paraId="148FE416" w14:textId="555AEA23" w:rsidR="231891FD" w:rsidRPr="00FC6EF2" w:rsidRDefault="28919B67" w:rsidP="57EEB976">
      <w:pPr>
        <w:spacing w:before="60" w:after="40"/>
        <w:rPr>
          <w:rFonts w:cs="Arial"/>
          <w:color w:val="000000" w:themeColor="text1"/>
        </w:rPr>
      </w:pPr>
      <w:r w:rsidRPr="00FC6EF2">
        <w:rPr>
          <w:rFonts w:cs="Arial"/>
          <w:color w:val="000000" w:themeColor="text1"/>
          <w:vertAlign w:val="superscript"/>
        </w:rPr>
        <w:t>*</w:t>
      </w:r>
      <w:r w:rsidRPr="00FC6EF2">
        <w:rPr>
          <w:rFonts w:cs="Arial"/>
          <w:color w:val="000000" w:themeColor="text1"/>
        </w:rPr>
        <w:t xml:space="preserve">Includes students with an </w:t>
      </w:r>
      <w:r w:rsidR="67D7F8BE" w:rsidRPr="00FC6EF2">
        <w:rPr>
          <w:rFonts w:cs="Arial"/>
          <w:color w:val="000000" w:themeColor="text1"/>
        </w:rPr>
        <w:t xml:space="preserve">Individuals with Disabilities </w:t>
      </w:r>
      <w:r w:rsidR="4F2B0129" w:rsidRPr="00FC6EF2">
        <w:rPr>
          <w:rFonts w:cs="Arial"/>
          <w:color w:val="000000" w:themeColor="text1"/>
        </w:rPr>
        <w:t xml:space="preserve">Education </w:t>
      </w:r>
      <w:r w:rsidR="67D7F8BE" w:rsidRPr="00FC6EF2">
        <w:rPr>
          <w:rFonts w:cs="Arial"/>
          <w:color w:val="000000" w:themeColor="text1"/>
        </w:rPr>
        <w:t>Act (</w:t>
      </w:r>
      <w:r w:rsidRPr="00FC6EF2">
        <w:rPr>
          <w:rFonts w:cs="Arial"/>
          <w:color w:val="000000" w:themeColor="text1"/>
        </w:rPr>
        <w:t>IDEA</w:t>
      </w:r>
      <w:r w:rsidR="67D7F8BE" w:rsidRPr="00FC6EF2">
        <w:rPr>
          <w:rFonts w:cs="Arial"/>
          <w:color w:val="000000" w:themeColor="text1"/>
        </w:rPr>
        <w:t>)</w:t>
      </w:r>
      <w:r w:rsidRPr="00FC6EF2">
        <w:rPr>
          <w:rFonts w:cs="Arial"/>
          <w:color w:val="000000" w:themeColor="text1"/>
        </w:rPr>
        <w:t xml:space="preserve"> indicator who are eligible for general and alternate assessments. </w:t>
      </w:r>
    </w:p>
    <w:p w14:paraId="14D74220" w14:textId="77777777" w:rsidR="231891FD" w:rsidRPr="00FC6EF2" w:rsidRDefault="231891FD" w:rsidP="57EEB976">
      <w:pPr>
        <w:rPr>
          <w:rFonts w:cs="Arial"/>
          <w:color w:val="000000" w:themeColor="text1"/>
        </w:rPr>
      </w:pPr>
      <w:r w:rsidRPr="00FC6EF2">
        <w:rPr>
          <w:rFonts w:cs="Arial"/>
          <w:color w:val="000000" w:themeColor="text1"/>
          <w:vertAlign w:val="superscript"/>
        </w:rPr>
        <w:t>†</w:t>
      </w:r>
      <w:r w:rsidRPr="00FC6EF2">
        <w:rPr>
          <w:rFonts w:cs="Arial"/>
          <w:color w:val="000000" w:themeColor="text1"/>
        </w:rPr>
        <w:t>Includes both general and alternate assessments.</w:t>
      </w:r>
    </w:p>
    <w:p w14:paraId="4E526E51" w14:textId="7E6A683A" w:rsidR="57EEB976" w:rsidRPr="00FC6EF2" w:rsidRDefault="57EEB976" w:rsidP="57EEB976">
      <w:pPr>
        <w:spacing w:after="160" w:line="259" w:lineRule="auto"/>
        <w:rPr>
          <w:b/>
          <w:bCs/>
        </w:rPr>
      </w:pPr>
    </w:p>
    <w:p w14:paraId="7DE76772" w14:textId="7998150E" w:rsidR="57EEB976" w:rsidRPr="00FC6EF2" w:rsidRDefault="7619E4A3" w:rsidP="0097249C">
      <w:pPr>
        <w:spacing w:after="160"/>
      </w:pPr>
      <w:r w:rsidRPr="00FC6EF2">
        <w:t xml:space="preserve">Table 3 and </w:t>
      </w:r>
      <w:r w:rsidR="00D43AC9" w:rsidRPr="00FC6EF2">
        <w:t>t</w:t>
      </w:r>
      <w:r w:rsidRPr="00FC6EF2">
        <w:t>able 4 display the 2018</w:t>
      </w:r>
      <w:r w:rsidR="0AF4B89B" w:rsidRPr="00FC6EF2">
        <w:rPr>
          <w:rFonts w:eastAsia="Arial" w:cs="Arial"/>
        </w:rPr>
        <w:t>–</w:t>
      </w:r>
      <w:r w:rsidRPr="00FC6EF2">
        <w:t xml:space="preserve">19 overall participation rates </w:t>
      </w:r>
      <w:r w:rsidR="00542AB0" w:rsidRPr="00FC6EF2">
        <w:t>for all students</w:t>
      </w:r>
      <w:r w:rsidRPr="00FC6EF2">
        <w:t xml:space="preserve"> and </w:t>
      </w:r>
      <w:r w:rsidR="00542AB0" w:rsidRPr="00FC6EF2">
        <w:t xml:space="preserve">overall participation </w:t>
      </w:r>
      <w:r w:rsidR="00D43AC9" w:rsidRPr="00FC6EF2">
        <w:t>rates</w:t>
      </w:r>
      <w:r w:rsidRPr="00FC6EF2">
        <w:t xml:space="preserve"> for students with disabilities </w:t>
      </w:r>
      <w:r w:rsidR="002932D9" w:rsidRPr="00FC6EF2">
        <w:t>by each content area</w:t>
      </w:r>
      <w:r w:rsidRPr="00FC6EF2">
        <w:t xml:space="preserve">. </w:t>
      </w:r>
    </w:p>
    <w:p w14:paraId="4A477866" w14:textId="69ACFE83" w:rsidR="231891FD" w:rsidRPr="00FC6EF2" w:rsidRDefault="231891FD" w:rsidP="57EEB976">
      <w:pPr>
        <w:spacing w:after="60"/>
        <w:rPr>
          <w:rFonts w:cs="Arial"/>
          <w:i/>
          <w:iCs/>
          <w:color w:val="000000" w:themeColor="text1"/>
        </w:rPr>
      </w:pPr>
      <w:r w:rsidRPr="00FC6EF2">
        <w:rPr>
          <w:rFonts w:cs="Arial"/>
          <w:color w:val="000000" w:themeColor="text1"/>
        </w:rPr>
        <w:t xml:space="preserve">Table 3. </w:t>
      </w:r>
      <w:r w:rsidR="002932D9" w:rsidRPr="00FC6EF2">
        <w:rPr>
          <w:rFonts w:cs="Arial"/>
          <w:color w:val="000000" w:themeColor="text1"/>
        </w:rPr>
        <w:t xml:space="preserve">Overall </w:t>
      </w:r>
      <w:r w:rsidRPr="00FC6EF2">
        <w:rPr>
          <w:rFonts w:cs="Arial"/>
          <w:color w:val="000000" w:themeColor="text1"/>
        </w:rPr>
        <w:t xml:space="preserve">Participation Rates for All Students, 2018–19 </w:t>
      </w:r>
    </w:p>
    <w:tbl>
      <w:tblPr>
        <w:tblStyle w:val="TableGrid1"/>
        <w:tblW w:w="0" w:type="auto"/>
        <w:tblLook w:val="04A0" w:firstRow="1" w:lastRow="0" w:firstColumn="1" w:lastColumn="0" w:noHBand="0" w:noVBand="1"/>
        <w:tblCaption w:val="Table 3. Overall Participation Rates for All Students, 2018–19"/>
        <w:tblDescription w:val="Table 3 displays the 2018–19 overall participation rates for all students and overall participation rates for students with disabilities by each content area. "/>
      </w:tblPr>
      <w:tblGrid>
        <w:gridCol w:w="1580"/>
        <w:gridCol w:w="2694"/>
        <w:gridCol w:w="2619"/>
        <w:gridCol w:w="2457"/>
      </w:tblGrid>
      <w:tr w:rsidR="57EEB976" w:rsidRPr="00FC6EF2" w14:paraId="2D0999AC" w14:textId="77777777" w:rsidTr="007F55A2">
        <w:trPr>
          <w:cantSplit/>
          <w:trHeight w:val="845"/>
          <w:tblHeader/>
        </w:trPr>
        <w:tc>
          <w:tcPr>
            <w:tcW w:w="1615" w:type="dxa"/>
            <w:vAlign w:val="center"/>
          </w:tcPr>
          <w:p w14:paraId="25D05D75" w14:textId="77777777" w:rsidR="231891FD" w:rsidRPr="00FC6EF2" w:rsidRDefault="231891FD" w:rsidP="57EEB976">
            <w:pPr>
              <w:jc w:val="center"/>
              <w:rPr>
                <w:rFonts w:cs="Arial"/>
                <w:color w:val="000000" w:themeColor="text1"/>
              </w:rPr>
            </w:pPr>
            <w:r w:rsidRPr="00FC6EF2">
              <w:rPr>
                <w:rFonts w:cs="Arial"/>
                <w:color w:val="000000" w:themeColor="text1"/>
              </w:rPr>
              <w:t>Content Area</w:t>
            </w:r>
          </w:p>
        </w:tc>
        <w:tc>
          <w:tcPr>
            <w:tcW w:w="2790" w:type="dxa"/>
            <w:vAlign w:val="center"/>
          </w:tcPr>
          <w:p w14:paraId="484B1BE3" w14:textId="77777777" w:rsidR="231891FD" w:rsidRPr="00FC6EF2" w:rsidRDefault="231891FD" w:rsidP="57EEB976">
            <w:pPr>
              <w:jc w:val="center"/>
              <w:rPr>
                <w:rFonts w:cs="Arial"/>
                <w:color w:val="000000" w:themeColor="text1"/>
              </w:rPr>
            </w:pPr>
            <w:r w:rsidRPr="00FC6EF2">
              <w:rPr>
                <w:rFonts w:cs="Arial"/>
                <w:color w:val="000000" w:themeColor="text1"/>
              </w:rPr>
              <w:t>Number of Eligible Students, 2019</w:t>
            </w:r>
            <w:r w:rsidRPr="00FC6EF2">
              <w:rPr>
                <w:rFonts w:cs="Arial"/>
                <w:color w:val="000000" w:themeColor="text1"/>
                <w:vertAlign w:val="superscript"/>
              </w:rPr>
              <w:t>*</w:t>
            </w:r>
          </w:p>
        </w:tc>
        <w:tc>
          <w:tcPr>
            <w:tcW w:w="2700" w:type="dxa"/>
            <w:vAlign w:val="center"/>
          </w:tcPr>
          <w:p w14:paraId="07F0D594" w14:textId="77777777" w:rsidR="231891FD" w:rsidRPr="00FC6EF2" w:rsidRDefault="231891FD" w:rsidP="57EEB976">
            <w:pPr>
              <w:jc w:val="center"/>
              <w:rPr>
                <w:rFonts w:cs="Arial"/>
                <w:color w:val="000000" w:themeColor="text1"/>
              </w:rPr>
            </w:pPr>
            <w:r w:rsidRPr="00FC6EF2">
              <w:rPr>
                <w:rFonts w:cs="Arial"/>
                <w:color w:val="000000" w:themeColor="text1"/>
              </w:rPr>
              <w:t>Number of Students Assessed, 2019</w:t>
            </w:r>
            <w:r w:rsidRPr="00FC6EF2">
              <w:rPr>
                <w:rFonts w:cs="Arial"/>
                <w:color w:val="000000" w:themeColor="text1"/>
                <w:vertAlign w:val="superscript"/>
              </w:rPr>
              <w:t>†</w:t>
            </w:r>
          </w:p>
        </w:tc>
        <w:tc>
          <w:tcPr>
            <w:tcW w:w="2520" w:type="dxa"/>
            <w:vAlign w:val="center"/>
          </w:tcPr>
          <w:p w14:paraId="0FD2C305" w14:textId="77777777" w:rsidR="231891FD" w:rsidRPr="00FC6EF2" w:rsidRDefault="231891FD" w:rsidP="57EEB976">
            <w:pPr>
              <w:jc w:val="center"/>
              <w:rPr>
                <w:rFonts w:cs="Arial"/>
                <w:color w:val="000000" w:themeColor="text1"/>
              </w:rPr>
            </w:pPr>
            <w:r w:rsidRPr="00FC6EF2">
              <w:rPr>
                <w:rFonts w:cs="Arial"/>
                <w:color w:val="000000" w:themeColor="text1"/>
              </w:rPr>
              <w:t>Participation Rate, 2019</w:t>
            </w:r>
          </w:p>
        </w:tc>
      </w:tr>
      <w:tr w:rsidR="57EEB976" w:rsidRPr="00FC6EF2" w14:paraId="2CB26D10" w14:textId="77777777" w:rsidTr="57EEB976">
        <w:trPr>
          <w:trHeight w:val="320"/>
        </w:trPr>
        <w:tc>
          <w:tcPr>
            <w:tcW w:w="1615" w:type="dxa"/>
          </w:tcPr>
          <w:p w14:paraId="2AB78853" w14:textId="51382C41" w:rsidR="231891FD" w:rsidRPr="00FC6EF2" w:rsidRDefault="231891FD" w:rsidP="57EEB976">
            <w:pPr>
              <w:rPr>
                <w:rFonts w:cs="Arial"/>
                <w:color w:val="000000" w:themeColor="text1"/>
              </w:rPr>
            </w:pPr>
            <w:r w:rsidRPr="00FC6EF2">
              <w:rPr>
                <w:rFonts w:cs="Arial"/>
                <w:color w:val="000000" w:themeColor="text1"/>
              </w:rPr>
              <w:t>ELA</w:t>
            </w:r>
          </w:p>
        </w:tc>
        <w:tc>
          <w:tcPr>
            <w:tcW w:w="2790" w:type="dxa"/>
          </w:tcPr>
          <w:p w14:paraId="1E3AFFB2" w14:textId="77777777" w:rsidR="231891FD" w:rsidRPr="00FC6EF2" w:rsidRDefault="231891FD" w:rsidP="57EEB976">
            <w:pPr>
              <w:jc w:val="right"/>
              <w:rPr>
                <w:rFonts w:cs="Arial"/>
                <w:color w:val="000000" w:themeColor="text1"/>
              </w:rPr>
            </w:pPr>
            <w:r w:rsidRPr="00FC6EF2">
              <w:rPr>
                <w:rFonts w:cs="Arial"/>
                <w:color w:val="000000" w:themeColor="text1"/>
              </w:rPr>
              <w:t>3,297,186</w:t>
            </w:r>
          </w:p>
        </w:tc>
        <w:tc>
          <w:tcPr>
            <w:tcW w:w="2700" w:type="dxa"/>
          </w:tcPr>
          <w:p w14:paraId="13083F4D" w14:textId="7BCCC522" w:rsidR="231891FD" w:rsidRPr="00FC6EF2" w:rsidRDefault="231891FD" w:rsidP="57EEB976">
            <w:pPr>
              <w:jc w:val="right"/>
              <w:rPr>
                <w:rFonts w:cs="Arial"/>
                <w:color w:val="000000" w:themeColor="text1"/>
              </w:rPr>
            </w:pPr>
            <w:r w:rsidRPr="00FC6EF2">
              <w:rPr>
                <w:rFonts w:cs="Arial"/>
                <w:color w:val="000000" w:themeColor="text1"/>
              </w:rPr>
              <w:t>3,200,402</w:t>
            </w:r>
          </w:p>
        </w:tc>
        <w:tc>
          <w:tcPr>
            <w:tcW w:w="2520" w:type="dxa"/>
          </w:tcPr>
          <w:p w14:paraId="4A843933" w14:textId="20FAA842" w:rsidR="231891FD" w:rsidRPr="00FC6EF2" w:rsidRDefault="231891FD" w:rsidP="57EEB976">
            <w:pPr>
              <w:jc w:val="right"/>
              <w:rPr>
                <w:rFonts w:cs="Arial"/>
                <w:color w:val="000000" w:themeColor="text1"/>
              </w:rPr>
            </w:pPr>
            <w:r w:rsidRPr="00FC6EF2">
              <w:rPr>
                <w:rFonts w:cs="Arial"/>
                <w:color w:val="000000" w:themeColor="text1"/>
              </w:rPr>
              <w:t>97.06%</w:t>
            </w:r>
          </w:p>
        </w:tc>
      </w:tr>
      <w:tr w:rsidR="57EEB976" w:rsidRPr="00FC6EF2" w14:paraId="34535F30" w14:textId="77777777" w:rsidTr="57EEB976">
        <w:trPr>
          <w:trHeight w:val="320"/>
        </w:trPr>
        <w:tc>
          <w:tcPr>
            <w:tcW w:w="1615" w:type="dxa"/>
          </w:tcPr>
          <w:p w14:paraId="38E55F36" w14:textId="77777777" w:rsidR="231891FD" w:rsidRPr="00FC6EF2" w:rsidRDefault="231891FD" w:rsidP="57EEB976">
            <w:pPr>
              <w:rPr>
                <w:rFonts w:cs="Arial"/>
                <w:color w:val="000000" w:themeColor="text1"/>
              </w:rPr>
            </w:pPr>
            <w:r w:rsidRPr="00FC6EF2">
              <w:rPr>
                <w:rFonts w:cs="Arial"/>
                <w:color w:val="000000" w:themeColor="text1"/>
              </w:rPr>
              <w:t>Math</w:t>
            </w:r>
          </w:p>
        </w:tc>
        <w:tc>
          <w:tcPr>
            <w:tcW w:w="2790" w:type="dxa"/>
          </w:tcPr>
          <w:p w14:paraId="0FDA2A10" w14:textId="77777777" w:rsidR="231891FD" w:rsidRPr="00FC6EF2" w:rsidRDefault="231891FD" w:rsidP="57EEB976">
            <w:pPr>
              <w:jc w:val="right"/>
              <w:rPr>
                <w:rFonts w:cs="Arial"/>
                <w:color w:val="000000" w:themeColor="text1"/>
              </w:rPr>
            </w:pPr>
            <w:r w:rsidRPr="00FC6EF2">
              <w:rPr>
                <w:rFonts w:cs="Arial"/>
                <w:color w:val="000000" w:themeColor="text1"/>
              </w:rPr>
              <w:t>3,297,186</w:t>
            </w:r>
          </w:p>
        </w:tc>
        <w:tc>
          <w:tcPr>
            <w:tcW w:w="2700" w:type="dxa"/>
          </w:tcPr>
          <w:p w14:paraId="26CEE211" w14:textId="6EC82DD7" w:rsidR="231891FD" w:rsidRPr="00FC6EF2" w:rsidRDefault="231891FD" w:rsidP="57EEB976">
            <w:pPr>
              <w:jc w:val="right"/>
              <w:rPr>
                <w:rFonts w:cs="Arial"/>
                <w:color w:val="000000" w:themeColor="text1"/>
              </w:rPr>
            </w:pPr>
            <w:r w:rsidRPr="00FC6EF2">
              <w:rPr>
                <w:rFonts w:cs="Arial"/>
                <w:color w:val="000000" w:themeColor="text1"/>
              </w:rPr>
              <w:t>3,208,320</w:t>
            </w:r>
          </w:p>
        </w:tc>
        <w:tc>
          <w:tcPr>
            <w:tcW w:w="2520" w:type="dxa"/>
          </w:tcPr>
          <w:p w14:paraId="5369C03B" w14:textId="67F4A32C" w:rsidR="231891FD" w:rsidRPr="00FC6EF2" w:rsidRDefault="231891FD" w:rsidP="57EEB976">
            <w:pPr>
              <w:jc w:val="right"/>
              <w:rPr>
                <w:rFonts w:cs="Arial"/>
                <w:color w:val="000000" w:themeColor="text1"/>
              </w:rPr>
            </w:pPr>
            <w:r w:rsidRPr="00FC6EF2">
              <w:rPr>
                <w:rFonts w:cs="Arial"/>
                <w:color w:val="000000" w:themeColor="text1"/>
              </w:rPr>
              <w:t>97.30%</w:t>
            </w:r>
          </w:p>
        </w:tc>
      </w:tr>
      <w:tr w:rsidR="57EEB976" w:rsidRPr="00FC6EF2" w14:paraId="520F6A10" w14:textId="77777777" w:rsidTr="57EEB976">
        <w:trPr>
          <w:trHeight w:val="320"/>
        </w:trPr>
        <w:tc>
          <w:tcPr>
            <w:tcW w:w="1615" w:type="dxa"/>
          </w:tcPr>
          <w:p w14:paraId="1C29437C" w14:textId="175C00CE" w:rsidR="231891FD" w:rsidRPr="00FC6EF2" w:rsidRDefault="231891FD" w:rsidP="57EEB976">
            <w:pPr>
              <w:rPr>
                <w:rFonts w:cs="Arial"/>
                <w:color w:val="000000" w:themeColor="text1"/>
                <w:vertAlign w:val="superscript"/>
              </w:rPr>
            </w:pPr>
            <w:r w:rsidRPr="00FC6EF2">
              <w:rPr>
                <w:rFonts w:cs="Arial"/>
                <w:color w:val="000000" w:themeColor="text1"/>
              </w:rPr>
              <w:t>Science</w:t>
            </w:r>
          </w:p>
        </w:tc>
        <w:tc>
          <w:tcPr>
            <w:tcW w:w="2790" w:type="dxa"/>
          </w:tcPr>
          <w:p w14:paraId="24381264" w14:textId="56B2B57F" w:rsidR="231891FD" w:rsidRPr="00FC6EF2" w:rsidRDefault="208F1025" w:rsidP="57EEB976">
            <w:pPr>
              <w:jc w:val="right"/>
              <w:rPr>
                <w:rFonts w:cs="Arial"/>
                <w:color w:val="000000" w:themeColor="text1"/>
              </w:rPr>
            </w:pPr>
            <w:r w:rsidRPr="00FC6EF2">
              <w:rPr>
                <w:rFonts w:cs="Arial"/>
                <w:color w:val="000000" w:themeColor="text1"/>
              </w:rPr>
              <w:t>1,587,963</w:t>
            </w:r>
          </w:p>
        </w:tc>
        <w:tc>
          <w:tcPr>
            <w:tcW w:w="2700" w:type="dxa"/>
          </w:tcPr>
          <w:p w14:paraId="328F3D4F" w14:textId="6A6A1E8A" w:rsidR="231891FD" w:rsidRPr="00FC6EF2" w:rsidRDefault="208F1025" w:rsidP="57EEB976">
            <w:pPr>
              <w:jc w:val="right"/>
              <w:rPr>
                <w:rFonts w:cs="Arial"/>
                <w:color w:val="000000" w:themeColor="text1"/>
              </w:rPr>
            </w:pPr>
            <w:r w:rsidRPr="00FC6EF2">
              <w:rPr>
                <w:rFonts w:cs="Arial"/>
                <w:color w:val="000000" w:themeColor="text1"/>
              </w:rPr>
              <w:t>1,494,156</w:t>
            </w:r>
          </w:p>
        </w:tc>
        <w:tc>
          <w:tcPr>
            <w:tcW w:w="2520" w:type="dxa"/>
          </w:tcPr>
          <w:p w14:paraId="637DBBEE" w14:textId="3291D3E9" w:rsidR="231891FD" w:rsidRPr="00FC6EF2" w:rsidRDefault="231891FD" w:rsidP="57EEB976">
            <w:pPr>
              <w:jc w:val="right"/>
              <w:rPr>
                <w:rFonts w:cs="Arial"/>
                <w:color w:val="000000" w:themeColor="text1"/>
              </w:rPr>
            </w:pPr>
            <w:r w:rsidRPr="00FC6EF2">
              <w:rPr>
                <w:rFonts w:cs="Arial"/>
                <w:color w:val="000000" w:themeColor="text1"/>
              </w:rPr>
              <w:t>94.</w:t>
            </w:r>
            <w:r w:rsidR="208F1025" w:rsidRPr="00FC6EF2">
              <w:rPr>
                <w:rFonts w:cs="Arial"/>
                <w:color w:val="000000" w:themeColor="text1"/>
              </w:rPr>
              <w:t>09</w:t>
            </w:r>
            <w:r w:rsidRPr="00FC6EF2">
              <w:rPr>
                <w:rFonts w:cs="Arial"/>
                <w:color w:val="000000" w:themeColor="text1"/>
              </w:rPr>
              <w:t>%</w:t>
            </w:r>
          </w:p>
        </w:tc>
      </w:tr>
    </w:tbl>
    <w:p w14:paraId="129D6F09" w14:textId="77777777" w:rsidR="231891FD" w:rsidRPr="00FC6EF2" w:rsidRDefault="231891FD" w:rsidP="57EEB976">
      <w:pPr>
        <w:spacing w:before="60"/>
        <w:rPr>
          <w:rFonts w:cs="Arial"/>
          <w:color w:val="000000" w:themeColor="text1"/>
        </w:rPr>
      </w:pPr>
      <w:r w:rsidRPr="00FC6EF2">
        <w:rPr>
          <w:rFonts w:cs="Arial"/>
          <w:color w:val="000000" w:themeColor="text1"/>
          <w:vertAlign w:val="superscript"/>
        </w:rPr>
        <w:t>*</w:t>
      </w:r>
      <w:r w:rsidRPr="00FC6EF2">
        <w:rPr>
          <w:rFonts w:cs="Arial"/>
          <w:color w:val="000000" w:themeColor="text1"/>
        </w:rPr>
        <w:t xml:space="preserve">Includes those eligible for general and alternate assessments. </w:t>
      </w:r>
    </w:p>
    <w:p w14:paraId="2E346C0E" w14:textId="696220D6" w:rsidR="00887542" w:rsidRPr="00FC6EF2" w:rsidRDefault="231891FD" w:rsidP="00887542">
      <w:pPr>
        <w:spacing w:after="240"/>
        <w:rPr>
          <w:rFonts w:cs="Arial"/>
          <w:color w:val="000000" w:themeColor="text1"/>
        </w:rPr>
      </w:pPr>
      <w:r w:rsidRPr="00FC6EF2">
        <w:rPr>
          <w:rFonts w:cs="Arial"/>
          <w:color w:val="000000" w:themeColor="text1"/>
          <w:vertAlign w:val="superscript"/>
        </w:rPr>
        <w:t>†</w:t>
      </w:r>
      <w:r w:rsidRPr="00FC6EF2">
        <w:rPr>
          <w:rFonts w:cs="Arial"/>
          <w:color w:val="000000" w:themeColor="text1"/>
        </w:rPr>
        <w:t xml:space="preserve">Includes those assessed with general and alternate assessments. </w:t>
      </w:r>
    </w:p>
    <w:p w14:paraId="62C9152E" w14:textId="6FFD9746" w:rsidR="57EEB976" w:rsidRPr="00FC6EF2" w:rsidRDefault="57EEB976" w:rsidP="00856C99">
      <w:pPr>
        <w:spacing w:before="360" w:after="60"/>
        <w:rPr>
          <w:color w:val="000000" w:themeColor="text1"/>
        </w:rPr>
      </w:pPr>
      <w:r w:rsidRPr="00FC6EF2">
        <w:t xml:space="preserve">Table 4. </w:t>
      </w:r>
      <w:r w:rsidR="002932D9" w:rsidRPr="00FC6EF2">
        <w:t xml:space="preserve">Overall </w:t>
      </w:r>
      <w:r w:rsidRPr="00FC6EF2">
        <w:rPr>
          <w:rFonts w:eastAsia="Arial" w:cs="Arial"/>
          <w:color w:val="000000" w:themeColor="text1"/>
        </w:rPr>
        <w:t xml:space="preserve">Participation Rates of Students with Disabilities by Content Area, 2018–19 </w:t>
      </w:r>
    </w:p>
    <w:tbl>
      <w:tblPr>
        <w:tblStyle w:val="TableGrid1"/>
        <w:tblW w:w="0" w:type="auto"/>
        <w:tblLook w:val="04A0" w:firstRow="1" w:lastRow="0" w:firstColumn="1" w:lastColumn="0" w:noHBand="0" w:noVBand="1"/>
        <w:tblCaption w:val="Table 4. Overall Participation Rates of Students with Disabilities by Content Area, 2018–19 "/>
        <w:tblDescription w:val="Table 4 display the 2018–19 overall participation rates for all students and overall participation rates for students with disabilities by each content area. "/>
      </w:tblPr>
      <w:tblGrid>
        <w:gridCol w:w="1487"/>
        <w:gridCol w:w="2640"/>
        <w:gridCol w:w="2643"/>
        <w:gridCol w:w="2580"/>
      </w:tblGrid>
      <w:tr w:rsidR="57EEB976" w:rsidRPr="00FC6EF2" w14:paraId="154C191E" w14:textId="77777777" w:rsidTr="007F55A2">
        <w:trPr>
          <w:cantSplit/>
          <w:trHeight w:val="1020"/>
          <w:tblHeader/>
        </w:trPr>
        <w:tc>
          <w:tcPr>
            <w:tcW w:w="1536" w:type="dxa"/>
            <w:vAlign w:val="center"/>
          </w:tcPr>
          <w:p w14:paraId="35DF00DC" w14:textId="77777777" w:rsidR="231891FD" w:rsidRPr="00FC6EF2" w:rsidRDefault="231891FD" w:rsidP="57EEB976">
            <w:pPr>
              <w:jc w:val="center"/>
              <w:rPr>
                <w:rFonts w:cs="Arial"/>
                <w:color w:val="000000" w:themeColor="text1"/>
              </w:rPr>
            </w:pPr>
            <w:r w:rsidRPr="00FC6EF2">
              <w:rPr>
                <w:rFonts w:cs="Arial"/>
                <w:color w:val="000000" w:themeColor="text1"/>
              </w:rPr>
              <w:t>Content Area</w:t>
            </w:r>
          </w:p>
        </w:tc>
        <w:tc>
          <w:tcPr>
            <w:tcW w:w="2779" w:type="dxa"/>
            <w:vAlign w:val="center"/>
          </w:tcPr>
          <w:p w14:paraId="3C5EEDA6" w14:textId="45DC7E49" w:rsidR="231891FD" w:rsidRPr="00FC6EF2" w:rsidRDefault="231891FD" w:rsidP="57EEB976">
            <w:pPr>
              <w:jc w:val="center"/>
              <w:rPr>
                <w:rFonts w:cs="Arial"/>
                <w:color w:val="000000" w:themeColor="text1"/>
              </w:rPr>
            </w:pPr>
            <w:r w:rsidRPr="00FC6EF2">
              <w:rPr>
                <w:rFonts w:cs="Arial"/>
                <w:color w:val="000000" w:themeColor="text1"/>
              </w:rPr>
              <w:t>Number of Students with Disabilities, 2019</w:t>
            </w:r>
            <w:r w:rsidRPr="00FC6EF2">
              <w:rPr>
                <w:rFonts w:cs="Arial"/>
                <w:color w:val="000000" w:themeColor="text1"/>
                <w:vertAlign w:val="superscript"/>
              </w:rPr>
              <w:t>*</w:t>
            </w:r>
          </w:p>
        </w:tc>
        <w:tc>
          <w:tcPr>
            <w:tcW w:w="2790" w:type="dxa"/>
            <w:vAlign w:val="center"/>
          </w:tcPr>
          <w:p w14:paraId="5DF02B0B" w14:textId="28829C35" w:rsidR="231891FD" w:rsidRPr="00FC6EF2" w:rsidRDefault="231891FD" w:rsidP="57EEB976">
            <w:pPr>
              <w:jc w:val="center"/>
              <w:rPr>
                <w:rFonts w:cs="Arial"/>
                <w:color w:val="000000" w:themeColor="text1"/>
              </w:rPr>
            </w:pPr>
            <w:r w:rsidRPr="00FC6EF2">
              <w:rPr>
                <w:rFonts w:cs="Arial"/>
                <w:color w:val="000000" w:themeColor="text1"/>
              </w:rPr>
              <w:t>Number of Students with Disabilities Assessed, 2019</w:t>
            </w:r>
            <w:r w:rsidRPr="00FC6EF2">
              <w:rPr>
                <w:rFonts w:cs="Arial"/>
                <w:color w:val="000000" w:themeColor="text1"/>
                <w:vertAlign w:val="superscript"/>
              </w:rPr>
              <w:t>†</w:t>
            </w:r>
          </w:p>
        </w:tc>
        <w:tc>
          <w:tcPr>
            <w:tcW w:w="2700" w:type="dxa"/>
            <w:vAlign w:val="center"/>
          </w:tcPr>
          <w:p w14:paraId="4EFCA36A" w14:textId="5BB56DA9" w:rsidR="231891FD" w:rsidRPr="00FC6EF2" w:rsidRDefault="231891FD" w:rsidP="57EEB976">
            <w:pPr>
              <w:jc w:val="center"/>
              <w:rPr>
                <w:rFonts w:cs="Arial"/>
                <w:color w:val="000000" w:themeColor="text1"/>
              </w:rPr>
            </w:pPr>
            <w:r w:rsidRPr="00FC6EF2">
              <w:rPr>
                <w:rFonts w:cs="Arial"/>
                <w:color w:val="000000" w:themeColor="text1"/>
              </w:rPr>
              <w:t>Participation Rate, 2019</w:t>
            </w:r>
          </w:p>
        </w:tc>
      </w:tr>
      <w:tr w:rsidR="57EEB976" w:rsidRPr="00FC6EF2" w14:paraId="3F7A3ED6" w14:textId="77777777" w:rsidTr="3CBD29BC">
        <w:trPr>
          <w:trHeight w:val="320"/>
        </w:trPr>
        <w:tc>
          <w:tcPr>
            <w:tcW w:w="1536" w:type="dxa"/>
          </w:tcPr>
          <w:p w14:paraId="4D6A6BBC" w14:textId="77777777" w:rsidR="231891FD" w:rsidRPr="00FC6EF2" w:rsidRDefault="231891FD" w:rsidP="57EEB976">
            <w:pPr>
              <w:rPr>
                <w:rFonts w:cs="Arial"/>
                <w:color w:val="000000" w:themeColor="text1"/>
              </w:rPr>
            </w:pPr>
            <w:r w:rsidRPr="00FC6EF2">
              <w:rPr>
                <w:rFonts w:cs="Arial"/>
                <w:color w:val="000000" w:themeColor="text1"/>
              </w:rPr>
              <w:t>ELA</w:t>
            </w:r>
          </w:p>
        </w:tc>
        <w:tc>
          <w:tcPr>
            <w:tcW w:w="2779" w:type="dxa"/>
          </w:tcPr>
          <w:p w14:paraId="1FE22E21" w14:textId="4B2063ED" w:rsidR="231891FD" w:rsidRPr="00FC6EF2" w:rsidRDefault="231891FD" w:rsidP="57EEB976">
            <w:pPr>
              <w:jc w:val="right"/>
              <w:rPr>
                <w:rFonts w:cs="Arial"/>
                <w:color w:val="000000" w:themeColor="text1"/>
              </w:rPr>
            </w:pPr>
            <w:r w:rsidRPr="00FC6EF2">
              <w:rPr>
                <w:rFonts w:cs="Arial"/>
                <w:color w:val="000000" w:themeColor="text1"/>
              </w:rPr>
              <w:t>427,329</w:t>
            </w:r>
          </w:p>
        </w:tc>
        <w:tc>
          <w:tcPr>
            <w:tcW w:w="2790" w:type="dxa"/>
          </w:tcPr>
          <w:p w14:paraId="23A64C99" w14:textId="318E79B9" w:rsidR="231891FD" w:rsidRPr="00FC6EF2" w:rsidRDefault="231891FD" w:rsidP="57EEB976">
            <w:pPr>
              <w:jc w:val="right"/>
              <w:rPr>
                <w:rFonts w:cs="Arial"/>
                <w:color w:val="000000" w:themeColor="text1"/>
              </w:rPr>
            </w:pPr>
            <w:r w:rsidRPr="00FC6EF2">
              <w:rPr>
                <w:rFonts w:cs="Arial"/>
                <w:color w:val="000000" w:themeColor="text1"/>
              </w:rPr>
              <w:t>403,257</w:t>
            </w:r>
          </w:p>
        </w:tc>
        <w:tc>
          <w:tcPr>
            <w:tcW w:w="2700" w:type="dxa"/>
          </w:tcPr>
          <w:p w14:paraId="5F5DEB76" w14:textId="1F36596F" w:rsidR="231891FD" w:rsidRPr="00FC6EF2" w:rsidRDefault="231891FD" w:rsidP="57EEB976">
            <w:pPr>
              <w:jc w:val="right"/>
              <w:rPr>
                <w:rFonts w:cs="Arial"/>
                <w:color w:val="000000" w:themeColor="text1"/>
              </w:rPr>
            </w:pPr>
            <w:r w:rsidRPr="00FC6EF2">
              <w:rPr>
                <w:rFonts w:cs="Arial"/>
                <w:color w:val="000000" w:themeColor="text1"/>
              </w:rPr>
              <w:t>94.37%</w:t>
            </w:r>
          </w:p>
        </w:tc>
      </w:tr>
      <w:tr w:rsidR="57EEB976" w:rsidRPr="00FC6EF2" w14:paraId="27D5171E" w14:textId="77777777" w:rsidTr="3CBD29BC">
        <w:trPr>
          <w:trHeight w:val="320"/>
        </w:trPr>
        <w:tc>
          <w:tcPr>
            <w:tcW w:w="1536" w:type="dxa"/>
          </w:tcPr>
          <w:p w14:paraId="66FEB4D5" w14:textId="77777777" w:rsidR="231891FD" w:rsidRPr="00FC6EF2" w:rsidRDefault="231891FD" w:rsidP="57EEB976">
            <w:pPr>
              <w:rPr>
                <w:rFonts w:cs="Arial"/>
                <w:color w:val="000000" w:themeColor="text1"/>
              </w:rPr>
            </w:pPr>
            <w:r w:rsidRPr="00FC6EF2">
              <w:rPr>
                <w:rFonts w:cs="Arial"/>
                <w:color w:val="000000" w:themeColor="text1"/>
              </w:rPr>
              <w:t>Math</w:t>
            </w:r>
          </w:p>
        </w:tc>
        <w:tc>
          <w:tcPr>
            <w:tcW w:w="2779" w:type="dxa"/>
          </w:tcPr>
          <w:p w14:paraId="3CF6B1CF" w14:textId="3F91B315" w:rsidR="57EEB976" w:rsidRPr="00FC6EF2" w:rsidRDefault="57EEB976" w:rsidP="57EEB976">
            <w:pPr>
              <w:jc w:val="right"/>
              <w:rPr>
                <w:color w:val="000000" w:themeColor="text1"/>
              </w:rPr>
            </w:pPr>
            <w:r w:rsidRPr="00FC6EF2">
              <w:rPr>
                <w:rFonts w:cs="Arial"/>
                <w:color w:val="000000" w:themeColor="text1"/>
              </w:rPr>
              <w:t>427,329</w:t>
            </w:r>
          </w:p>
        </w:tc>
        <w:tc>
          <w:tcPr>
            <w:tcW w:w="2790" w:type="dxa"/>
          </w:tcPr>
          <w:p w14:paraId="496FB47F" w14:textId="48BFF80D" w:rsidR="57EEB976" w:rsidRPr="00FC6EF2" w:rsidRDefault="57EEB976" w:rsidP="57EEB976">
            <w:pPr>
              <w:jc w:val="right"/>
              <w:rPr>
                <w:color w:val="000000" w:themeColor="text1"/>
              </w:rPr>
            </w:pPr>
            <w:r w:rsidRPr="00FC6EF2">
              <w:rPr>
                <w:rFonts w:cs="Arial"/>
                <w:color w:val="000000" w:themeColor="text1"/>
              </w:rPr>
              <w:t>401,690</w:t>
            </w:r>
          </w:p>
        </w:tc>
        <w:tc>
          <w:tcPr>
            <w:tcW w:w="2700" w:type="dxa"/>
          </w:tcPr>
          <w:p w14:paraId="3BF92C0A" w14:textId="59B2EC79" w:rsidR="231891FD" w:rsidRPr="00FC6EF2" w:rsidRDefault="231891FD" w:rsidP="57EEB976">
            <w:pPr>
              <w:jc w:val="right"/>
              <w:rPr>
                <w:rFonts w:cs="Arial"/>
                <w:color w:val="000000" w:themeColor="text1"/>
              </w:rPr>
            </w:pPr>
            <w:r w:rsidRPr="00FC6EF2">
              <w:rPr>
                <w:rFonts w:cs="Arial"/>
                <w:color w:val="000000" w:themeColor="text1"/>
              </w:rPr>
              <w:t>94.00%</w:t>
            </w:r>
          </w:p>
        </w:tc>
      </w:tr>
      <w:tr w:rsidR="57EEB976" w:rsidRPr="00FC6EF2" w14:paraId="75A68B24" w14:textId="77777777" w:rsidTr="3CBD29BC">
        <w:trPr>
          <w:trHeight w:val="296"/>
        </w:trPr>
        <w:tc>
          <w:tcPr>
            <w:tcW w:w="1536" w:type="dxa"/>
          </w:tcPr>
          <w:p w14:paraId="56F9CEBC" w14:textId="63A7DADE" w:rsidR="231891FD" w:rsidRPr="00FC6EF2" w:rsidRDefault="4902A8C8" w:rsidP="57EEB976">
            <w:pPr>
              <w:rPr>
                <w:color w:val="000000" w:themeColor="text1"/>
              </w:rPr>
            </w:pPr>
            <w:r w:rsidRPr="00FC6EF2">
              <w:rPr>
                <w:rFonts w:cs="Arial"/>
                <w:color w:val="000000" w:themeColor="text1"/>
              </w:rPr>
              <w:t>Science</w:t>
            </w:r>
            <w:r w:rsidR="7619E4A3" w:rsidRPr="00FC6EF2">
              <w:rPr>
                <w:rFonts w:eastAsia="Arial" w:cs="Arial"/>
                <w:color w:val="000000" w:themeColor="text1"/>
                <w:sz w:val="19"/>
                <w:szCs w:val="19"/>
              </w:rPr>
              <w:t xml:space="preserve"> </w:t>
            </w:r>
          </w:p>
        </w:tc>
        <w:tc>
          <w:tcPr>
            <w:tcW w:w="2779" w:type="dxa"/>
          </w:tcPr>
          <w:p w14:paraId="4E699C89" w14:textId="755AC176" w:rsidR="231891FD" w:rsidRPr="00FC6EF2" w:rsidRDefault="004F68CC">
            <w:pPr>
              <w:jc w:val="right"/>
              <w:rPr>
                <w:rFonts w:cs="Arial"/>
                <w:color w:val="000000" w:themeColor="text1"/>
              </w:rPr>
            </w:pPr>
            <w:r w:rsidRPr="00FC6EF2">
              <w:rPr>
                <w:rFonts w:cs="Arial"/>
                <w:color w:val="000000" w:themeColor="text1"/>
              </w:rPr>
              <w:t>205,068</w:t>
            </w:r>
          </w:p>
        </w:tc>
        <w:tc>
          <w:tcPr>
            <w:tcW w:w="2790" w:type="dxa"/>
          </w:tcPr>
          <w:p w14:paraId="5CC0574C" w14:textId="35BCB465" w:rsidR="57EEB976" w:rsidRPr="00FC6EF2" w:rsidRDefault="2704E59F" w:rsidP="57EEB976">
            <w:pPr>
              <w:jc w:val="right"/>
              <w:rPr>
                <w:color w:val="000000" w:themeColor="text1"/>
              </w:rPr>
            </w:pPr>
            <w:r w:rsidRPr="00FC6EF2">
              <w:rPr>
                <w:rFonts w:cs="Arial"/>
                <w:color w:val="000000" w:themeColor="text1"/>
              </w:rPr>
              <w:t>179,</w:t>
            </w:r>
            <w:r w:rsidR="00EE1348" w:rsidRPr="00FC6EF2">
              <w:rPr>
                <w:rFonts w:cs="Arial"/>
                <w:color w:val="000000" w:themeColor="text1"/>
              </w:rPr>
              <w:t>9</w:t>
            </w:r>
            <w:r w:rsidR="0030124F" w:rsidRPr="00FC6EF2">
              <w:rPr>
                <w:rFonts w:cs="Arial"/>
                <w:color w:val="000000" w:themeColor="text1"/>
              </w:rPr>
              <w:t>24</w:t>
            </w:r>
          </w:p>
        </w:tc>
        <w:tc>
          <w:tcPr>
            <w:tcW w:w="2700" w:type="dxa"/>
          </w:tcPr>
          <w:p w14:paraId="6EEB2F8B" w14:textId="23614928" w:rsidR="231891FD" w:rsidRPr="00FC6EF2" w:rsidRDefault="2EC3CAB5" w:rsidP="57EEB976">
            <w:pPr>
              <w:jc w:val="right"/>
              <w:rPr>
                <w:rFonts w:cs="Arial"/>
                <w:color w:val="000000" w:themeColor="text1"/>
              </w:rPr>
            </w:pPr>
            <w:r w:rsidRPr="00FC6EF2">
              <w:rPr>
                <w:rFonts w:cs="Arial"/>
                <w:color w:val="000000" w:themeColor="text1"/>
              </w:rPr>
              <w:t>87.7</w:t>
            </w:r>
            <w:r w:rsidR="001C3CFE" w:rsidRPr="00FC6EF2">
              <w:rPr>
                <w:rFonts w:cs="Arial"/>
                <w:color w:val="000000" w:themeColor="text1"/>
              </w:rPr>
              <w:t>4</w:t>
            </w:r>
            <w:r w:rsidRPr="00FC6EF2">
              <w:rPr>
                <w:rFonts w:cs="Arial"/>
                <w:color w:val="000000" w:themeColor="text1"/>
              </w:rPr>
              <w:t>%</w:t>
            </w:r>
          </w:p>
        </w:tc>
      </w:tr>
    </w:tbl>
    <w:p w14:paraId="7A38A686" w14:textId="4C918584" w:rsidR="231891FD" w:rsidRPr="00FC6EF2" w:rsidRDefault="231891FD" w:rsidP="57EEB976">
      <w:pPr>
        <w:spacing w:before="60" w:after="40"/>
        <w:rPr>
          <w:rFonts w:cs="Arial"/>
          <w:color w:val="000000" w:themeColor="text1"/>
        </w:rPr>
      </w:pPr>
      <w:r w:rsidRPr="00FC6EF2">
        <w:rPr>
          <w:rFonts w:cs="Arial"/>
          <w:color w:val="000000" w:themeColor="text1"/>
        </w:rPr>
        <w:t xml:space="preserve">*Includes students with an IDEA indicator who are eligible for general and alternate assessments. </w:t>
      </w:r>
    </w:p>
    <w:p w14:paraId="7477AA9B" w14:textId="3712D8CE" w:rsidR="57EEB976" w:rsidRPr="00FC6EF2" w:rsidRDefault="231891FD" w:rsidP="57EEB976">
      <w:pPr>
        <w:rPr>
          <w:rFonts w:cs="Arial"/>
          <w:color w:val="000000" w:themeColor="text1"/>
        </w:rPr>
      </w:pPr>
      <w:r w:rsidRPr="00FC6EF2">
        <w:rPr>
          <w:rFonts w:cs="Arial"/>
          <w:color w:val="000000" w:themeColor="text1"/>
          <w:vertAlign w:val="superscript"/>
        </w:rPr>
        <w:t>†</w:t>
      </w:r>
      <w:r w:rsidRPr="00FC6EF2">
        <w:rPr>
          <w:rFonts w:cs="Arial"/>
          <w:color w:val="000000" w:themeColor="text1"/>
        </w:rPr>
        <w:t>Includes both general and alternate assessments.</w:t>
      </w:r>
    </w:p>
    <w:p w14:paraId="49D03880" w14:textId="66403B6D" w:rsidR="231891FD" w:rsidRPr="00FC6EF2" w:rsidRDefault="231891FD" w:rsidP="0097249C">
      <w:pPr>
        <w:pStyle w:val="Heading4"/>
        <w:keepNext/>
        <w:rPr>
          <w:rFonts w:eastAsia="Arial"/>
        </w:rPr>
      </w:pPr>
      <w:r w:rsidRPr="00FC6EF2">
        <w:rPr>
          <w:rFonts w:eastAsia="Arial"/>
        </w:rPr>
        <w:lastRenderedPageBreak/>
        <w:t xml:space="preserve">Alternate Assessment Participation Rates </w:t>
      </w:r>
    </w:p>
    <w:p w14:paraId="72C86B9C" w14:textId="2ECB9B8C" w:rsidR="231891FD" w:rsidRPr="00FC6EF2" w:rsidRDefault="231891FD" w:rsidP="0097249C">
      <w:pPr>
        <w:spacing w:after="160"/>
        <w:rPr>
          <w:rFonts w:eastAsia="Arial" w:cs="Arial"/>
          <w:color w:val="000000" w:themeColor="text1"/>
        </w:rPr>
      </w:pPr>
      <w:r w:rsidRPr="00FC6EF2">
        <w:rPr>
          <w:rFonts w:eastAsia="Arial" w:cs="Arial"/>
          <w:color w:val="000000" w:themeColor="text1"/>
        </w:rPr>
        <w:t>Table 5 shows</w:t>
      </w:r>
      <w:r w:rsidR="002932D9" w:rsidRPr="00FC6EF2">
        <w:rPr>
          <w:rFonts w:eastAsia="Arial" w:cs="Arial"/>
          <w:color w:val="000000" w:themeColor="text1"/>
        </w:rPr>
        <w:t xml:space="preserve"> the</w:t>
      </w:r>
      <w:r w:rsidRPr="00FC6EF2">
        <w:rPr>
          <w:rFonts w:eastAsia="Arial" w:cs="Arial"/>
          <w:color w:val="000000" w:themeColor="text1"/>
        </w:rPr>
        <w:t xml:space="preserve"> CAA participation </w:t>
      </w:r>
      <w:r w:rsidR="002932D9" w:rsidRPr="00FC6EF2">
        <w:rPr>
          <w:rFonts w:eastAsia="Arial" w:cs="Arial"/>
          <w:color w:val="000000" w:themeColor="text1"/>
        </w:rPr>
        <w:t xml:space="preserve">of </w:t>
      </w:r>
      <w:r w:rsidRPr="00FC6EF2">
        <w:rPr>
          <w:rFonts w:eastAsia="Arial" w:cs="Arial"/>
          <w:color w:val="000000" w:themeColor="text1"/>
        </w:rPr>
        <w:t>eligible students</w:t>
      </w:r>
      <w:r w:rsidR="002932D9" w:rsidRPr="00FC6EF2">
        <w:rPr>
          <w:rFonts w:eastAsia="Arial" w:cs="Arial"/>
          <w:color w:val="000000" w:themeColor="text1"/>
        </w:rPr>
        <w:t xml:space="preserve"> with disabilities</w:t>
      </w:r>
      <w:r w:rsidRPr="00FC6EF2">
        <w:rPr>
          <w:rFonts w:eastAsia="Arial" w:cs="Arial"/>
          <w:color w:val="000000" w:themeColor="text1"/>
        </w:rPr>
        <w:t xml:space="preserve"> by content area for 2020–21. </w:t>
      </w:r>
    </w:p>
    <w:p w14:paraId="4F5040D3" w14:textId="3A985B21" w:rsidR="231891FD" w:rsidRPr="00FC6EF2" w:rsidRDefault="231891FD" w:rsidP="0041009C">
      <w:pPr>
        <w:keepNext/>
        <w:spacing w:after="60" w:line="259" w:lineRule="auto"/>
        <w:rPr>
          <w:color w:val="000000" w:themeColor="text1"/>
        </w:rPr>
      </w:pPr>
      <w:r w:rsidRPr="00FC6EF2">
        <w:rPr>
          <w:rFonts w:eastAsia="Calibri" w:cs="Arial"/>
        </w:rPr>
        <w:t xml:space="preserve">Table 5. CAA Participation Rates </w:t>
      </w:r>
      <w:r w:rsidR="008379B5" w:rsidRPr="00FC6EF2">
        <w:rPr>
          <w:rFonts w:eastAsia="Calibri" w:cs="Arial"/>
        </w:rPr>
        <w:t>of E</w:t>
      </w:r>
      <w:r w:rsidRPr="00FC6EF2">
        <w:rPr>
          <w:rFonts w:eastAsia="Calibri" w:cs="Arial"/>
        </w:rPr>
        <w:t xml:space="preserve">ligible </w:t>
      </w:r>
      <w:r w:rsidR="008379B5" w:rsidRPr="00FC6EF2">
        <w:rPr>
          <w:rFonts w:eastAsia="Calibri" w:cs="Arial"/>
        </w:rPr>
        <w:t>S</w:t>
      </w:r>
      <w:r w:rsidRPr="00FC6EF2">
        <w:rPr>
          <w:rFonts w:eastAsia="Calibri" w:cs="Arial"/>
        </w:rPr>
        <w:t xml:space="preserve">tudents by Content Area, </w:t>
      </w:r>
      <w:r w:rsidRPr="00FC6EF2">
        <w:rPr>
          <w:rFonts w:eastAsia="Arial" w:cs="Arial"/>
          <w:color w:val="000000" w:themeColor="text1"/>
        </w:rPr>
        <w:t>2020–21</w:t>
      </w:r>
    </w:p>
    <w:tbl>
      <w:tblPr>
        <w:tblStyle w:val="TableGrid1"/>
        <w:tblW w:w="0" w:type="auto"/>
        <w:tblLook w:val="04A0" w:firstRow="1" w:lastRow="0" w:firstColumn="1" w:lastColumn="0" w:noHBand="0" w:noVBand="1"/>
        <w:tblCaption w:val="Table 5. CAA Participation Rates of Eligible Students by Content Area, 2020–21"/>
        <w:tblDescription w:val="Table 5 shows the CAA participation of eligible students with disabilities by content area for 2020–21. "/>
      </w:tblPr>
      <w:tblGrid>
        <w:gridCol w:w="1799"/>
        <w:gridCol w:w="2516"/>
        <w:gridCol w:w="2610"/>
        <w:gridCol w:w="2425"/>
      </w:tblGrid>
      <w:tr w:rsidR="57EEB976" w:rsidRPr="00FC6EF2" w14:paraId="165F2341" w14:textId="77777777" w:rsidTr="007F55A2">
        <w:trPr>
          <w:cantSplit/>
          <w:trHeight w:val="1360"/>
          <w:tblHeader/>
        </w:trPr>
        <w:tc>
          <w:tcPr>
            <w:tcW w:w="1799" w:type="dxa"/>
            <w:vAlign w:val="center"/>
          </w:tcPr>
          <w:p w14:paraId="17601343" w14:textId="77777777" w:rsidR="231891FD" w:rsidRPr="00FC6EF2" w:rsidRDefault="231891FD" w:rsidP="00A002BF">
            <w:pPr>
              <w:keepNext/>
              <w:jc w:val="center"/>
              <w:rPr>
                <w:rFonts w:cs="Arial"/>
                <w:color w:val="000000" w:themeColor="text1"/>
              </w:rPr>
            </w:pPr>
            <w:r w:rsidRPr="00FC6EF2">
              <w:rPr>
                <w:rFonts w:cs="Arial"/>
                <w:color w:val="000000" w:themeColor="text1"/>
              </w:rPr>
              <w:t>Content Area</w:t>
            </w:r>
          </w:p>
        </w:tc>
        <w:tc>
          <w:tcPr>
            <w:tcW w:w="2516" w:type="dxa"/>
            <w:vAlign w:val="center"/>
          </w:tcPr>
          <w:p w14:paraId="39E69F5D" w14:textId="77777777" w:rsidR="231891FD" w:rsidRPr="00FC6EF2" w:rsidRDefault="231891FD" w:rsidP="00A002BF">
            <w:pPr>
              <w:keepNext/>
              <w:jc w:val="center"/>
              <w:rPr>
                <w:rFonts w:cs="Arial"/>
                <w:color w:val="000000" w:themeColor="text1"/>
              </w:rPr>
            </w:pPr>
            <w:r w:rsidRPr="00FC6EF2">
              <w:rPr>
                <w:rFonts w:cs="Arial"/>
                <w:color w:val="000000" w:themeColor="text1"/>
              </w:rPr>
              <w:t>Number of Students Eligible for CAA, 2021</w:t>
            </w:r>
          </w:p>
        </w:tc>
        <w:tc>
          <w:tcPr>
            <w:tcW w:w="2610" w:type="dxa"/>
            <w:vAlign w:val="center"/>
          </w:tcPr>
          <w:p w14:paraId="6FB4FAEC" w14:textId="77777777" w:rsidR="231891FD" w:rsidRPr="00FC6EF2" w:rsidRDefault="231891FD" w:rsidP="00A002BF">
            <w:pPr>
              <w:keepNext/>
              <w:jc w:val="center"/>
              <w:rPr>
                <w:rFonts w:cs="Arial"/>
                <w:color w:val="000000" w:themeColor="text1"/>
              </w:rPr>
            </w:pPr>
            <w:r w:rsidRPr="00FC6EF2">
              <w:rPr>
                <w:rFonts w:cs="Arial"/>
                <w:color w:val="000000" w:themeColor="text1"/>
              </w:rPr>
              <w:t>Number of Students Assessed with CAA, 2021</w:t>
            </w:r>
          </w:p>
        </w:tc>
        <w:tc>
          <w:tcPr>
            <w:tcW w:w="2425" w:type="dxa"/>
            <w:vAlign w:val="center"/>
          </w:tcPr>
          <w:p w14:paraId="741CB027" w14:textId="77777777" w:rsidR="231891FD" w:rsidRPr="00FC6EF2" w:rsidRDefault="231891FD" w:rsidP="00A002BF">
            <w:pPr>
              <w:keepNext/>
              <w:jc w:val="center"/>
              <w:rPr>
                <w:rFonts w:cs="Arial"/>
                <w:color w:val="000000" w:themeColor="text1"/>
              </w:rPr>
            </w:pPr>
            <w:r w:rsidRPr="00FC6EF2">
              <w:rPr>
                <w:rFonts w:cs="Arial"/>
                <w:color w:val="000000" w:themeColor="text1"/>
              </w:rPr>
              <w:t>Participation Rate, 2021</w:t>
            </w:r>
          </w:p>
        </w:tc>
      </w:tr>
      <w:tr w:rsidR="57EEB976" w:rsidRPr="00FC6EF2" w14:paraId="1166B045" w14:textId="77777777" w:rsidTr="00856C99">
        <w:trPr>
          <w:trHeight w:val="320"/>
        </w:trPr>
        <w:tc>
          <w:tcPr>
            <w:tcW w:w="1799" w:type="dxa"/>
          </w:tcPr>
          <w:p w14:paraId="424F567E" w14:textId="77777777" w:rsidR="231891FD" w:rsidRPr="00FC6EF2" w:rsidRDefault="231891FD" w:rsidP="57EEB976">
            <w:pPr>
              <w:rPr>
                <w:rFonts w:cs="Arial"/>
                <w:color w:val="000000" w:themeColor="text1"/>
              </w:rPr>
            </w:pPr>
            <w:r w:rsidRPr="00FC6EF2">
              <w:rPr>
                <w:rFonts w:cs="Arial"/>
                <w:color w:val="000000" w:themeColor="text1"/>
              </w:rPr>
              <w:t>ELA</w:t>
            </w:r>
          </w:p>
        </w:tc>
        <w:tc>
          <w:tcPr>
            <w:tcW w:w="2516" w:type="dxa"/>
          </w:tcPr>
          <w:p w14:paraId="3222585A" w14:textId="77777777" w:rsidR="231891FD" w:rsidRPr="00FC6EF2" w:rsidRDefault="231891FD" w:rsidP="57EEB976">
            <w:pPr>
              <w:jc w:val="right"/>
              <w:rPr>
                <w:rFonts w:cs="Arial"/>
                <w:color w:val="000000" w:themeColor="text1"/>
              </w:rPr>
            </w:pPr>
            <w:r w:rsidRPr="00FC6EF2">
              <w:rPr>
                <w:rFonts w:cs="Arial"/>
                <w:color w:val="000000" w:themeColor="text1"/>
              </w:rPr>
              <w:t>31,777</w:t>
            </w:r>
          </w:p>
        </w:tc>
        <w:tc>
          <w:tcPr>
            <w:tcW w:w="2610" w:type="dxa"/>
          </w:tcPr>
          <w:p w14:paraId="58C8A605" w14:textId="77777777" w:rsidR="231891FD" w:rsidRPr="00FC6EF2" w:rsidRDefault="231891FD" w:rsidP="57EEB976">
            <w:pPr>
              <w:jc w:val="right"/>
              <w:rPr>
                <w:rFonts w:cs="Arial"/>
                <w:color w:val="000000" w:themeColor="text1"/>
              </w:rPr>
            </w:pPr>
            <w:r w:rsidRPr="00FC6EF2">
              <w:rPr>
                <w:rFonts w:cs="Arial"/>
                <w:color w:val="000000" w:themeColor="text1"/>
              </w:rPr>
              <w:t>11,118</w:t>
            </w:r>
          </w:p>
        </w:tc>
        <w:tc>
          <w:tcPr>
            <w:tcW w:w="2425" w:type="dxa"/>
          </w:tcPr>
          <w:p w14:paraId="0E72847D" w14:textId="77777777" w:rsidR="231891FD" w:rsidRPr="00FC6EF2" w:rsidRDefault="231891FD" w:rsidP="57EEB976">
            <w:pPr>
              <w:jc w:val="right"/>
              <w:rPr>
                <w:rFonts w:cs="Arial"/>
                <w:color w:val="000000" w:themeColor="text1"/>
              </w:rPr>
            </w:pPr>
            <w:r w:rsidRPr="00FC6EF2">
              <w:rPr>
                <w:rFonts w:cs="Arial"/>
                <w:color w:val="000000" w:themeColor="text1"/>
              </w:rPr>
              <w:t>34.99%</w:t>
            </w:r>
          </w:p>
        </w:tc>
      </w:tr>
      <w:tr w:rsidR="57EEB976" w:rsidRPr="00FC6EF2" w14:paraId="1A2E4DE1" w14:textId="77777777" w:rsidTr="00856C99">
        <w:trPr>
          <w:trHeight w:val="320"/>
        </w:trPr>
        <w:tc>
          <w:tcPr>
            <w:tcW w:w="1799" w:type="dxa"/>
          </w:tcPr>
          <w:p w14:paraId="773F4454" w14:textId="77777777" w:rsidR="231891FD" w:rsidRPr="00FC6EF2" w:rsidRDefault="231891FD" w:rsidP="57EEB976">
            <w:pPr>
              <w:rPr>
                <w:rFonts w:cs="Arial"/>
                <w:color w:val="000000" w:themeColor="text1"/>
              </w:rPr>
            </w:pPr>
            <w:r w:rsidRPr="00FC6EF2">
              <w:rPr>
                <w:rFonts w:cs="Arial"/>
                <w:color w:val="000000" w:themeColor="text1"/>
              </w:rPr>
              <w:t>Math</w:t>
            </w:r>
          </w:p>
        </w:tc>
        <w:tc>
          <w:tcPr>
            <w:tcW w:w="2516" w:type="dxa"/>
          </w:tcPr>
          <w:p w14:paraId="4436596A" w14:textId="77777777" w:rsidR="231891FD" w:rsidRPr="00FC6EF2" w:rsidRDefault="231891FD" w:rsidP="57EEB976">
            <w:pPr>
              <w:jc w:val="right"/>
              <w:rPr>
                <w:rFonts w:cs="Arial"/>
                <w:color w:val="000000" w:themeColor="text1"/>
              </w:rPr>
            </w:pPr>
            <w:r w:rsidRPr="00FC6EF2">
              <w:rPr>
                <w:rFonts w:cs="Arial"/>
                <w:color w:val="000000" w:themeColor="text1"/>
              </w:rPr>
              <w:t>31,777</w:t>
            </w:r>
          </w:p>
        </w:tc>
        <w:tc>
          <w:tcPr>
            <w:tcW w:w="2610" w:type="dxa"/>
          </w:tcPr>
          <w:p w14:paraId="203CAAA8" w14:textId="77777777" w:rsidR="231891FD" w:rsidRPr="00FC6EF2" w:rsidRDefault="231891FD" w:rsidP="57EEB976">
            <w:pPr>
              <w:jc w:val="right"/>
              <w:rPr>
                <w:rFonts w:cs="Arial"/>
                <w:color w:val="000000" w:themeColor="text1"/>
              </w:rPr>
            </w:pPr>
            <w:r w:rsidRPr="00FC6EF2">
              <w:rPr>
                <w:rFonts w:cs="Arial"/>
                <w:color w:val="000000" w:themeColor="text1"/>
              </w:rPr>
              <w:t>10,973</w:t>
            </w:r>
          </w:p>
        </w:tc>
        <w:tc>
          <w:tcPr>
            <w:tcW w:w="2425" w:type="dxa"/>
          </w:tcPr>
          <w:p w14:paraId="6FCB6821" w14:textId="77777777" w:rsidR="231891FD" w:rsidRPr="00FC6EF2" w:rsidRDefault="231891FD" w:rsidP="57EEB976">
            <w:pPr>
              <w:jc w:val="right"/>
              <w:rPr>
                <w:rFonts w:cs="Arial"/>
                <w:color w:val="000000" w:themeColor="text1"/>
              </w:rPr>
            </w:pPr>
            <w:r w:rsidRPr="00FC6EF2">
              <w:rPr>
                <w:rFonts w:cs="Arial"/>
                <w:color w:val="000000" w:themeColor="text1"/>
              </w:rPr>
              <w:t>34.53%</w:t>
            </w:r>
          </w:p>
        </w:tc>
      </w:tr>
      <w:tr w:rsidR="57EEB976" w:rsidRPr="00FC6EF2" w14:paraId="6AA61198" w14:textId="77777777" w:rsidTr="00856C99">
        <w:trPr>
          <w:trHeight w:val="320"/>
        </w:trPr>
        <w:tc>
          <w:tcPr>
            <w:tcW w:w="1799" w:type="dxa"/>
          </w:tcPr>
          <w:p w14:paraId="236567BA" w14:textId="77777777" w:rsidR="231891FD" w:rsidRPr="00FC6EF2" w:rsidRDefault="231891FD" w:rsidP="57EEB976">
            <w:pPr>
              <w:rPr>
                <w:rFonts w:cs="Arial"/>
                <w:color w:val="000000" w:themeColor="text1"/>
              </w:rPr>
            </w:pPr>
            <w:r w:rsidRPr="00FC6EF2">
              <w:rPr>
                <w:rFonts w:cs="Arial"/>
                <w:color w:val="000000" w:themeColor="text1"/>
              </w:rPr>
              <w:t>Science</w:t>
            </w:r>
          </w:p>
        </w:tc>
        <w:tc>
          <w:tcPr>
            <w:tcW w:w="2516" w:type="dxa"/>
          </w:tcPr>
          <w:p w14:paraId="3E4280D9" w14:textId="77777777" w:rsidR="231891FD" w:rsidRPr="00FC6EF2" w:rsidRDefault="231891FD" w:rsidP="57EEB976">
            <w:pPr>
              <w:jc w:val="right"/>
              <w:rPr>
                <w:rFonts w:cs="Arial"/>
                <w:color w:val="000000" w:themeColor="text1"/>
              </w:rPr>
            </w:pPr>
            <w:r w:rsidRPr="00FC6EF2">
              <w:rPr>
                <w:rFonts w:cs="Arial"/>
                <w:color w:val="000000" w:themeColor="text1"/>
              </w:rPr>
              <w:t>15,307</w:t>
            </w:r>
          </w:p>
        </w:tc>
        <w:tc>
          <w:tcPr>
            <w:tcW w:w="2610" w:type="dxa"/>
          </w:tcPr>
          <w:p w14:paraId="3AC1D095" w14:textId="77777777" w:rsidR="231891FD" w:rsidRPr="00FC6EF2" w:rsidRDefault="231891FD" w:rsidP="57EEB976">
            <w:pPr>
              <w:jc w:val="right"/>
              <w:rPr>
                <w:rFonts w:cs="Arial"/>
                <w:color w:val="000000" w:themeColor="text1"/>
              </w:rPr>
            </w:pPr>
            <w:r w:rsidRPr="00FC6EF2">
              <w:rPr>
                <w:rFonts w:cs="Arial"/>
                <w:color w:val="000000" w:themeColor="text1"/>
              </w:rPr>
              <w:t>2,485</w:t>
            </w:r>
          </w:p>
        </w:tc>
        <w:tc>
          <w:tcPr>
            <w:tcW w:w="2425" w:type="dxa"/>
          </w:tcPr>
          <w:p w14:paraId="566A08A8" w14:textId="77777777" w:rsidR="231891FD" w:rsidRPr="00FC6EF2" w:rsidRDefault="231891FD" w:rsidP="57EEB976">
            <w:pPr>
              <w:jc w:val="right"/>
              <w:rPr>
                <w:rFonts w:cs="Arial"/>
                <w:color w:val="000000" w:themeColor="text1"/>
              </w:rPr>
            </w:pPr>
            <w:r w:rsidRPr="00FC6EF2">
              <w:rPr>
                <w:rFonts w:cs="Arial"/>
                <w:color w:val="000000" w:themeColor="text1"/>
              </w:rPr>
              <w:t>16.23%</w:t>
            </w:r>
          </w:p>
        </w:tc>
      </w:tr>
    </w:tbl>
    <w:p w14:paraId="1903F9B7" w14:textId="205CC6E8" w:rsidR="231891FD" w:rsidRPr="00FC6EF2" w:rsidRDefault="231891FD" w:rsidP="0097249C">
      <w:pPr>
        <w:spacing w:before="240" w:after="160"/>
        <w:rPr>
          <w:rFonts w:eastAsia="Arial" w:cs="Arial"/>
          <w:color w:val="000000" w:themeColor="text1"/>
        </w:rPr>
      </w:pPr>
      <w:r w:rsidRPr="00FC6EF2">
        <w:rPr>
          <w:rFonts w:eastAsia="Arial" w:cs="Arial"/>
          <w:color w:val="000000" w:themeColor="text1"/>
        </w:rPr>
        <w:t xml:space="preserve">Table 6 shows </w:t>
      </w:r>
      <w:r w:rsidR="002932D9" w:rsidRPr="00FC6EF2">
        <w:rPr>
          <w:rFonts w:eastAsia="Arial" w:cs="Arial"/>
          <w:color w:val="000000" w:themeColor="text1"/>
        </w:rPr>
        <w:t xml:space="preserve">the </w:t>
      </w:r>
      <w:r w:rsidRPr="00FC6EF2">
        <w:rPr>
          <w:rFonts w:eastAsia="Arial" w:cs="Arial"/>
          <w:color w:val="000000" w:themeColor="text1"/>
        </w:rPr>
        <w:t xml:space="preserve">CAA participation </w:t>
      </w:r>
      <w:r w:rsidR="002932D9" w:rsidRPr="00FC6EF2">
        <w:rPr>
          <w:rFonts w:eastAsia="Arial" w:cs="Arial"/>
          <w:color w:val="000000" w:themeColor="text1"/>
        </w:rPr>
        <w:t xml:space="preserve">of </w:t>
      </w:r>
      <w:r w:rsidRPr="00FC6EF2">
        <w:rPr>
          <w:rFonts w:eastAsia="Arial" w:cs="Arial"/>
          <w:color w:val="000000" w:themeColor="text1"/>
        </w:rPr>
        <w:t>eligible students</w:t>
      </w:r>
      <w:r w:rsidR="002932D9" w:rsidRPr="00FC6EF2">
        <w:rPr>
          <w:rFonts w:eastAsia="Arial" w:cs="Arial"/>
          <w:color w:val="000000" w:themeColor="text1"/>
        </w:rPr>
        <w:t xml:space="preserve"> with disabilities</w:t>
      </w:r>
      <w:r w:rsidRPr="00FC6EF2">
        <w:rPr>
          <w:rFonts w:eastAsia="Arial" w:cs="Arial"/>
          <w:color w:val="000000" w:themeColor="text1"/>
        </w:rPr>
        <w:t xml:space="preserve"> by content area for 2018–19.</w:t>
      </w:r>
    </w:p>
    <w:p w14:paraId="143E587F" w14:textId="6CB9D929" w:rsidR="231891FD" w:rsidRPr="00FC6EF2" w:rsidRDefault="231891FD" w:rsidP="0041009C">
      <w:pPr>
        <w:spacing w:after="60" w:line="259" w:lineRule="auto"/>
        <w:rPr>
          <w:rFonts w:eastAsia="Calibri" w:cs="Arial"/>
        </w:rPr>
      </w:pPr>
      <w:r w:rsidRPr="00FC6EF2">
        <w:rPr>
          <w:rFonts w:eastAsia="Calibri" w:cs="Arial"/>
        </w:rPr>
        <w:t xml:space="preserve">Table 6. CAA Participation Rates </w:t>
      </w:r>
      <w:r w:rsidR="008379B5" w:rsidRPr="00FC6EF2">
        <w:rPr>
          <w:rFonts w:eastAsia="Calibri" w:cs="Arial"/>
        </w:rPr>
        <w:t>of E</w:t>
      </w:r>
      <w:r w:rsidRPr="00FC6EF2">
        <w:rPr>
          <w:rFonts w:eastAsia="Calibri" w:cs="Arial"/>
        </w:rPr>
        <w:t xml:space="preserve">ligible </w:t>
      </w:r>
      <w:r w:rsidR="008379B5" w:rsidRPr="00FC6EF2">
        <w:rPr>
          <w:rFonts w:eastAsia="Calibri" w:cs="Arial"/>
        </w:rPr>
        <w:t>S</w:t>
      </w:r>
      <w:r w:rsidR="002932D9" w:rsidRPr="00FC6EF2">
        <w:rPr>
          <w:rFonts w:eastAsia="Calibri" w:cs="Arial"/>
        </w:rPr>
        <w:t xml:space="preserve">tudents by </w:t>
      </w:r>
      <w:r w:rsidRPr="00FC6EF2">
        <w:rPr>
          <w:rFonts w:eastAsia="Calibri" w:cs="Arial"/>
        </w:rPr>
        <w:t xml:space="preserve">Content Area, 2018–19 </w:t>
      </w:r>
    </w:p>
    <w:tbl>
      <w:tblPr>
        <w:tblStyle w:val="TableGrid1"/>
        <w:tblW w:w="0" w:type="auto"/>
        <w:tblLook w:val="04A0" w:firstRow="1" w:lastRow="0" w:firstColumn="1" w:lastColumn="0" w:noHBand="0" w:noVBand="1"/>
        <w:tblCaption w:val="Table 6. CAA Participation Rates of Eligible Students by Content Area, 2018–19"/>
        <w:tblDescription w:val="Table 6 shows the CAA participation of eligible students with disabilities by content area for 2018–19."/>
      </w:tblPr>
      <w:tblGrid>
        <w:gridCol w:w="1761"/>
        <w:gridCol w:w="2554"/>
        <w:gridCol w:w="2610"/>
        <w:gridCol w:w="2425"/>
      </w:tblGrid>
      <w:tr w:rsidR="57EEB976" w:rsidRPr="00FC6EF2" w14:paraId="11ADD84A" w14:textId="77777777" w:rsidTr="007F55A2">
        <w:trPr>
          <w:cantSplit/>
          <w:trHeight w:val="1360"/>
          <w:tblHeader/>
        </w:trPr>
        <w:tc>
          <w:tcPr>
            <w:tcW w:w="1761" w:type="dxa"/>
            <w:vAlign w:val="center"/>
          </w:tcPr>
          <w:p w14:paraId="09FEB76C" w14:textId="77777777" w:rsidR="231891FD" w:rsidRPr="00FC6EF2" w:rsidRDefault="231891FD" w:rsidP="57EEB976">
            <w:pPr>
              <w:jc w:val="center"/>
              <w:rPr>
                <w:rFonts w:cs="Arial"/>
                <w:color w:val="000000" w:themeColor="text1"/>
              </w:rPr>
            </w:pPr>
            <w:r w:rsidRPr="00FC6EF2">
              <w:rPr>
                <w:rFonts w:cs="Arial"/>
                <w:color w:val="000000" w:themeColor="text1"/>
              </w:rPr>
              <w:t>Content Area</w:t>
            </w:r>
          </w:p>
        </w:tc>
        <w:tc>
          <w:tcPr>
            <w:tcW w:w="2554" w:type="dxa"/>
            <w:vAlign w:val="center"/>
          </w:tcPr>
          <w:p w14:paraId="1811CCF1" w14:textId="77777777" w:rsidR="231891FD" w:rsidRPr="00FC6EF2" w:rsidRDefault="231891FD" w:rsidP="57EEB976">
            <w:pPr>
              <w:jc w:val="center"/>
              <w:rPr>
                <w:rFonts w:cs="Arial"/>
                <w:color w:val="000000" w:themeColor="text1"/>
              </w:rPr>
            </w:pPr>
            <w:r w:rsidRPr="00FC6EF2">
              <w:rPr>
                <w:rFonts w:cs="Arial"/>
                <w:color w:val="000000" w:themeColor="text1"/>
              </w:rPr>
              <w:t>Number of Students Eligible for CAA, 2019</w:t>
            </w:r>
          </w:p>
        </w:tc>
        <w:tc>
          <w:tcPr>
            <w:tcW w:w="2610" w:type="dxa"/>
            <w:vAlign w:val="center"/>
          </w:tcPr>
          <w:p w14:paraId="1CAA29A1" w14:textId="77777777" w:rsidR="231891FD" w:rsidRPr="00FC6EF2" w:rsidRDefault="231891FD" w:rsidP="57EEB976">
            <w:pPr>
              <w:jc w:val="center"/>
              <w:rPr>
                <w:rFonts w:cs="Arial"/>
                <w:color w:val="000000" w:themeColor="text1"/>
              </w:rPr>
            </w:pPr>
            <w:r w:rsidRPr="00FC6EF2">
              <w:rPr>
                <w:rFonts w:cs="Arial"/>
                <w:color w:val="000000" w:themeColor="text1"/>
              </w:rPr>
              <w:t>Number of Students Assessed with CAA, 2019</w:t>
            </w:r>
          </w:p>
        </w:tc>
        <w:tc>
          <w:tcPr>
            <w:tcW w:w="2425" w:type="dxa"/>
            <w:vAlign w:val="center"/>
          </w:tcPr>
          <w:p w14:paraId="23F67AD7" w14:textId="77777777" w:rsidR="231891FD" w:rsidRPr="00FC6EF2" w:rsidRDefault="231891FD" w:rsidP="57EEB976">
            <w:pPr>
              <w:jc w:val="center"/>
              <w:rPr>
                <w:rFonts w:cs="Arial"/>
                <w:color w:val="000000" w:themeColor="text1"/>
              </w:rPr>
            </w:pPr>
            <w:r w:rsidRPr="00FC6EF2">
              <w:rPr>
                <w:rFonts w:cs="Arial"/>
                <w:color w:val="000000" w:themeColor="text1"/>
              </w:rPr>
              <w:t>Participation Rate, 2019</w:t>
            </w:r>
          </w:p>
        </w:tc>
      </w:tr>
      <w:tr w:rsidR="57EEB976" w:rsidRPr="00FC6EF2" w14:paraId="5A183388" w14:textId="77777777" w:rsidTr="00856C99">
        <w:trPr>
          <w:trHeight w:val="320"/>
        </w:trPr>
        <w:tc>
          <w:tcPr>
            <w:tcW w:w="1761" w:type="dxa"/>
          </w:tcPr>
          <w:p w14:paraId="51B13469" w14:textId="77777777" w:rsidR="231891FD" w:rsidRPr="00FC6EF2" w:rsidRDefault="231891FD" w:rsidP="57EEB976">
            <w:pPr>
              <w:rPr>
                <w:rFonts w:cs="Arial"/>
                <w:color w:val="000000" w:themeColor="text1"/>
              </w:rPr>
            </w:pPr>
            <w:r w:rsidRPr="00FC6EF2">
              <w:rPr>
                <w:rFonts w:cs="Arial"/>
                <w:color w:val="000000" w:themeColor="text1"/>
              </w:rPr>
              <w:t>ELA</w:t>
            </w:r>
          </w:p>
        </w:tc>
        <w:tc>
          <w:tcPr>
            <w:tcW w:w="2554" w:type="dxa"/>
          </w:tcPr>
          <w:p w14:paraId="03AE1D9D" w14:textId="77777777" w:rsidR="231891FD" w:rsidRPr="00FC6EF2" w:rsidRDefault="231891FD" w:rsidP="57EEB976">
            <w:pPr>
              <w:jc w:val="right"/>
              <w:rPr>
                <w:rFonts w:cs="Arial"/>
                <w:color w:val="000000" w:themeColor="text1"/>
              </w:rPr>
            </w:pPr>
            <w:r w:rsidRPr="00FC6EF2">
              <w:rPr>
                <w:rFonts w:cs="Arial"/>
                <w:color w:val="000000" w:themeColor="text1"/>
              </w:rPr>
              <w:t>41,052</w:t>
            </w:r>
          </w:p>
        </w:tc>
        <w:tc>
          <w:tcPr>
            <w:tcW w:w="2610" w:type="dxa"/>
          </w:tcPr>
          <w:p w14:paraId="5A4CBCCF" w14:textId="77777777" w:rsidR="231891FD" w:rsidRPr="00FC6EF2" w:rsidRDefault="231891FD" w:rsidP="57EEB976">
            <w:pPr>
              <w:jc w:val="right"/>
              <w:rPr>
                <w:rFonts w:cs="Arial"/>
                <w:color w:val="000000" w:themeColor="text1"/>
              </w:rPr>
            </w:pPr>
            <w:r w:rsidRPr="00FC6EF2">
              <w:rPr>
                <w:rFonts w:cs="Arial"/>
                <w:color w:val="000000" w:themeColor="text1"/>
              </w:rPr>
              <w:t>37,492</w:t>
            </w:r>
          </w:p>
        </w:tc>
        <w:tc>
          <w:tcPr>
            <w:tcW w:w="2425" w:type="dxa"/>
          </w:tcPr>
          <w:p w14:paraId="373D680D" w14:textId="77777777" w:rsidR="231891FD" w:rsidRPr="00FC6EF2" w:rsidRDefault="231891FD" w:rsidP="57EEB976">
            <w:pPr>
              <w:jc w:val="right"/>
              <w:rPr>
                <w:rFonts w:cs="Arial"/>
                <w:color w:val="000000" w:themeColor="text1"/>
              </w:rPr>
            </w:pPr>
            <w:r w:rsidRPr="00FC6EF2">
              <w:rPr>
                <w:rFonts w:cs="Arial"/>
                <w:color w:val="000000" w:themeColor="text1"/>
              </w:rPr>
              <w:t>91.33%</w:t>
            </w:r>
          </w:p>
        </w:tc>
      </w:tr>
      <w:tr w:rsidR="57EEB976" w:rsidRPr="00FC6EF2" w14:paraId="4912799F" w14:textId="77777777" w:rsidTr="00856C99">
        <w:trPr>
          <w:trHeight w:val="320"/>
        </w:trPr>
        <w:tc>
          <w:tcPr>
            <w:tcW w:w="1761" w:type="dxa"/>
          </w:tcPr>
          <w:p w14:paraId="243E4BC3" w14:textId="77777777" w:rsidR="231891FD" w:rsidRPr="00FC6EF2" w:rsidRDefault="231891FD" w:rsidP="57EEB976">
            <w:pPr>
              <w:rPr>
                <w:rFonts w:cs="Arial"/>
                <w:color w:val="000000" w:themeColor="text1"/>
              </w:rPr>
            </w:pPr>
            <w:r w:rsidRPr="00FC6EF2">
              <w:rPr>
                <w:rFonts w:cs="Arial"/>
                <w:color w:val="000000" w:themeColor="text1"/>
              </w:rPr>
              <w:t>Math</w:t>
            </w:r>
          </w:p>
        </w:tc>
        <w:tc>
          <w:tcPr>
            <w:tcW w:w="2554" w:type="dxa"/>
          </w:tcPr>
          <w:p w14:paraId="25611C59" w14:textId="77777777" w:rsidR="231891FD" w:rsidRPr="00FC6EF2" w:rsidRDefault="231891FD" w:rsidP="57EEB976">
            <w:pPr>
              <w:jc w:val="right"/>
              <w:rPr>
                <w:rFonts w:cs="Arial"/>
                <w:color w:val="000000" w:themeColor="text1"/>
              </w:rPr>
            </w:pPr>
            <w:r w:rsidRPr="00FC6EF2">
              <w:rPr>
                <w:rFonts w:cs="Arial"/>
                <w:color w:val="000000" w:themeColor="text1"/>
              </w:rPr>
              <w:t>41,052</w:t>
            </w:r>
          </w:p>
        </w:tc>
        <w:tc>
          <w:tcPr>
            <w:tcW w:w="2610" w:type="dxa"/>
          </w:tcPr>
          <w:p w14:paraId="3C9B46FB" w14:textId="77777777" w:rsidR="231891FD" w:rsidRPr="00FC6EF2" w:rsidRDefault="231891FD" w:rsidP="57EEB976">
            <w:pPr>
              <w:jc w:val="right"/>
              <w:rPr>
                <w:rFonts w:cs="Arial"/>
                <w:color w:val="000000" w:themeColor="text1"/>
              </w:rPr>
            </w:pPr>
            <w:r w:rsidRPr="00FC6EF2">
              <w:rPr>
                <w:rFonts w:cs="Arial"/>
                <w:color w:val="000000" w:themeColor="text1"/>
              </w:rPr>
              <w:t>37,349</w:t>
            </w:r>
          </w:p>
        </w:tc>
        <w:tc>
          <w:tcPr>
            <w:tcW w:w="2425" w:type="dxa"/>
          </w:tcPr>
          <w:p w14:paraId="511461C0" w14:textId="77777777" w:rsidR="231891FD" w:rsidRPr="00FC6EF2" w:rsidRDefault="231891FD" w:rsidP="57EEB976">
            <w:pPr>
              <w:jc w:val="right"/>
              <w:rPr>
                <w:rFonts w:cs="Arial"/>
                <w:color w:val="000000" w:themeColor="text1"/>
              </w:rPr>
            </w:pPr>
            <w:r w:rsidRPr="00FC6EF2">
              <w:rPr>
                <w:rFonts w:cs="Arial"/>
                <w:color w:val="000000" w:themeColor="text1"/>
              </w:rPr>
              <w:t>90.98%</w:t>
            </w:r>
          </w:p>
        </w:tc>
      </w:tr>
      <w:tr w:rsidR="0015166E" w:rsidRPr="00FC6EF2" w14:paraId="6672AE2C" w14:textId="77777777" w:rsidTr="00856C99">
        <w:trPr>
          <w:trHeight w:val="320"/>
        </w:trPr>
        <w:tc>
          <w:tcPr>
            <w:tcW w:w="1761" w:type="dxa"/>
          </w:tcPr>
          <w:p w14:paraId="168D0FAA" w14:textId="5096F084" w:rsidR="0015166E" w:rsidRPr="00FC6EF2" w:rsidRDefault="0015166E" w:rsidP="57EEB976">
            <w:pPr>
              <w:rPr>
                <w:rFonts w:cs="Arial"/>
                <w:color w:val="000000" w:themeColor="text1"/>
              </w:rPr>
            </w:pPr>
            <w:r w:rsidRPr="00FC6EF2">
              <w:rPr>
                <w:rFonts w:cs="Arial"/>
                <w:color w:val="000000" w:themeColor="text1"/>
              </w:rPr>
              <w:t>Science</w:t>
            </w:r>
            <w:r w:rsidR="00AB13E4" w:rsidRPr="00FC6EF2">
              <w:rPr>
                <w:rFonts w:cs="Arial"/>
                <w:color w:val="000000" w:themeColor="text1"/>
              </w:rPr>
              <w:t>*</w:t>
            </w:r>
          </w:p>
        </w:tc>
        <w:tc>
          <w:tcPr>
            <w:tcW w:w="2554" w:type="dxa"/>
          </w:tcPr>
          <w:p w14:paraId="3C9E9AD7" w14:textId="61CED419" w:rsidR="0015166E" w:rsidRPr="00FC6EF2" w:rsidRDefault="56D1597B" w:rsidP="57EEB976">
            <w:pPr>
              <w:jc w:val="right"/>
              <w:rPr>
                <w:rFonts w:cs="Arial"/>
                <w:color w:val="000000" w:themeColor="text1"/>
              </w:rPr>
            </w:pPr>
            <w:r w:rsidRPr="00FC6EF2">
              <w:rPr>
                <w:rFonts w:cs="Arial"/>
                <w:color w:val="000000" w:themeColor="text1"/>
              </w:rPr>
              <w:t>23,980</w:t>
            </w:r>
          </w:p>
        </w:tc>
        <w:tc>
          <w:tcPr>
            <w:tcW w:w="2610" w:type="dxa"/>
          </w:tcPr>
          <w:p w14:paraId="2BA6F8C8" w14:textId="1F83D4E2" w:rsidR="0015166E" w:rsidRPr="00FC6EF2" w:rsidRDefault="56D1597B" w:rsidP="57EEB976">
            <w:pPr>
              <w:jc w:val="right"/>
              <w:rPr>
                <w:rFonts w:cs="Arial"/>
                <w:color w:val="000000" w:themeColor="text1"/>
              </w:rPr>
            </w:pPr>
            <w:r w:rsidRPr="00FC6EF2">
              <w:rPr>
                <w:rFonts w:cs="Arial"/>
                <w:color w:val="000000" w:themeColor="text1"/>
              </w:rPr>
              <w:t>19,162</w:t>
            </w:r>
          </w:p>
        </w:tc>
        <w:tc>
          <w:tcPr>
            <w:tcW w:w="2425" w:type="dxa"/>
          </w:tcPr>
          <w:p w14:paraId="3FA2DFDB" w14:textId="7952F581" w:rsidR="0015166E" w:rsidRPr="00FC6EF2" w:rsidRDefault="007C4EA2" w:rsidP="57EEB976">
            <w:pPr>
              <w:jc w:val="right"/>
              <w:rPr>
                <w:rFonts w:cs="Arial"/>
                <w:color w:val="000000" w:themeColor="text1"/>
              </w:rPr>
            </w:pPr>
            <w:r w:rsidRPr="00FC6EF2">
              <w:rPr>
                <w:rFonts w:cs="Arial"/>
                <w:color w:val="000000" w:themeColor="text1"/>
              </w:rPr>
              <w:t>79.9</w:t>
            </w:r>
            <w:r w:rsidR="007E7417" w:rsidRPr="00FC6EF2">
              <w:rPr>
                <w:rFonts w:cs="Arial"/>
                <w:color w:val="000000" w:themeColor="text1"/>
              </w:rPr>
              <w:t>1</w:t>
            </w:r>
            <w:r w:rsidRPr="00FC6EF2">
              <w:rPr>
                <w:rFonts w:cs="Arial"/>
                <w:color w:val="000000" w:themeColor="text1"/>
              </w:rPr>
              <w:t>%</w:t>
            </w:r>
          </w:p>
        </w:tc>
      </w:tr>
    </w:tbl>
    <w:p w14:paraId="6C6B9D0C" w14:textId="44C6390C" w:rsidR="57EEB976" w:rsidRPr="00FC6EF2" w:rsidRDefault="00A6111E" w:rsidP="0041009C">
      <w:pPr>
        <w:spacing w:after="240"/>
      </w:pPr>
      <w:r w:rsidRPr="00FC6EF2">
        <w:t>* The 2018–19 administration of the CAA for Science was a census field test</w:t>
      </w:r>
      <w:r w:rsidR="00FD1FC1" w:rsidRPr="00FC6EF2">
        <w:t>.</w:t>
      </w:r>
    </w:p>
    <w:p w14:paraId="0162F81A" w14:textId="33DFD60E" w:rsidR="57EEB976" w:rsidRPr="00FC6EF2" w:rsidRDefault="57EEB976" w:rsidP="0097249C">
      <w:pPr>
        <w:spacing w:after="160"/>
      </w:pPr>
      <w:r w:rsidRPr="00FC6EF2">
        <w:rPr>
          <w:rFonts w:eastAsia="Calibri" w:cs="Arial"/>
        </w:rPr>
        <w:t xml:space="preserve">Table 7 shows </w:t>
      </w:r>
      <w:r w:rsidR="002932D9" w:rsidRPr="00FC6EF2">
        <w:rPr>
          <w:rFonts w:eastAsia="Calibri" w:cs="Arial"/>
        </w:rPr>
        <w:t xml:space="preserve">the </w:t>
      </w:r>
      <w:r w:rsidRPr="00FC6EF2">
        <w:rPr>
          <w:rFonts w:eastAsia="Arial" w:cs="Arial"/>
          <w:color w:val="000000" w:themeColor="text1"/>
        </w:rPr>
        <w:t xml:space="preserve">CAA participation rates </w:t>
      </w:r>
      <w:r w:rsidR="002A079C" w:rsidRPr="00FC6EF2">
        <w:rPr>
          <w:rFonts w:eastAsia="Arial" w:cs="Arial"/>
          <w:color w:val="000000" w:themeColor="text1"/>
        </w:rPr>
        <w:t xml:space="preserve">based on the overall number of assessed students </w:t>
      </w:r>
      <w:r w:rsidRPr="00FC6EF2">
        <w:rPr>
          <w:rFonts w:eastAsia="Arial" w:cs="Arial"/>
          <w:color w:val="000000" w:themeColor="text1"/>
        </w:rPr>
        <w:t xml:space="preserve">by content area for </w:t>
      </w:r>
      <w:r w:rsidR="231891FD" w:rsidRPr="00FC6EF2">
        <w:rPr>
          <w:rFonts w:eastAsia="Calibri" w:cs="Arial"/>
        </w:rPr>
        <w:t>2020</w:t>
      </w:r>
      <w:r w:rsidR="231891FD" w:rsidRPr="00FC6EF2">
        <w:rPr>
          <w:rFonts w:eastAsia="Arial" w:cs="Arial"/>
          <w:color w:val="000000" w:themeColor="text1"/>
        </w:rPr>
        <w:t>–</w:t>
      </w:r>
      <w:r w:rsidR="231891FD" w:rsidRPr="00FC6EF2">
        <w:rPr>
          <w:rFonts w:eastAsia="Calibri" w:cs="Arial"/>
        </w:rPr>
        <w:t>21</w:t>
      </w:r>
      <w:r w:rsidR="00503984" w:rsidRPr="00FC6EF2">
        <w:rPr>
          <w:rFonts w:eastAsia="Calibri" w:cs="Arial"/>
        </w:rPr>
        <w:t>. The data shows that ELA and mathematics exceeded the 1</w:t>
      </w:r>
      <w:r w:rsidR="00E90755" w:rsidRPr="00FC6EF2">
        <w:rPr>
          <w:rFonts w:eastAsia="Calibri" w:cs="Arial"/>
        </w:rPr>
        <w:t>.0 percent</w:t>
      </w:r>
      <w:r w:rsidR="00503984" w:rsidRPr="00FC6EF2">
        <w:rPr>
          <w:rFonts w:eastAsia="Calibri" w:cs="Arial"/>
        </w:rPr>
        <w:t xml:space="preserve"> threshold</w:t>
      </w:r>
      <w:r w:rsidR="008678C2" w:rsidRPr="00FC6EF2">
        <w:rPr>
          <w:rFonts w:eastAsia="Calibri" w:cs="Arial"/>
        </w:rPr>
        <w:t>,</w:t>
      </w:r>
      <w:r w:rsidR="00503984" w:rsidRPr="00FC6EF2">
        <w:rPr>
          <w:rFonts w:eastAsia="Calibri" w:cs="Arial"/>
        </w:rPr>
        <w:t xml:space="preserve"> and science was very close to 1</w:t>
      </w:r>
      <w:r w:rsidR="00E90755" w:rsidRPr="00FC6EF2">
        <w:rPr>
          <w:rFonts w:eastAsia="Calibri" w:cs="Arial"/>
        </w:rPr>
        <w:t>.0 percent</w:t>
      </w:r>
      <w:r w:rsidR="00503984" w:rsidRPr="00FC6EF2">
        <w:rPr>
          <w:rFonts w:eastAsia="Calibri" w:cs="Arial"/>
        </w:rPr>
        <w:t>. Based on this data</w:t>
      </w:r>
      <w:r w:rsidR="002A079C" w:rsidRPr="00FC6EF2">
        <w:rPr>
          <w:rFonts w:eastAsia="Calibri" w:cs="Arial"/>
        </w:rPr>
        <w:t>,</w:t>
      </w:r>
      <w:r w:rsidR="00503984" w:rsidRPr="00FC6EF2">
        <w:rPr>
          <w:rFonts w:eastAsia="Calibri" w:cs="Arial"/>
        </w:rPr>
        <w:t xml:space="preserve"> California requests a waiver for all </w:t>
      </w:r>
      <w:r w:rsidR="002A079C" w:rsidRPr="00FC6EF2">
        <w:rPr>
          <w:rFonts w:eastAsia="Calibri" w:cs="Arial"/>
        </w:rPr>
        <w:t xml:space="preserve">three </w:t>
      </w:r>
      <w:r w:rsidR="00503984" w:rsidRPr="00FC6EF2">
        <w:rPr>
          <w:rFonts w:eastAsia="Calibri" w:cs="Arial"/>
        </w:rPr>
        <w:t>content areas for 2021</w:t>
      </w:r>
      <w:r w:rsidR="231891FD" w:rsidRPr="00FC6EF2">
        <w:rPr>
          <w:rFonts w:eastAsia="Arial" w:cs="Arial"/>
          <w:color w:val="000000" w:themeColor="text1"/>
        </w:rPr>
        <w:t>–</w:t>
      </w:r>
      <w:r w:rsidR="00503984" w:rsidRPr="00FC6EF2">
        <w:rPr>
          <w:rFonts w:eastAsia="Calibri" w:cs="Arial"/>
        </w:rPr>
        <w:t xml:space="preserve">22. </w:t>
      </w:r>
    </w:p>
    <w:p w14:paraId="42A31E22" w14:textId="38D7C971" w:rsidR="231891FD" w:rsidRPr="00FC6EF2" w:rsidRDefault="231891FD" w:rsidP="57EEB976">
      <w:pPr>
        <w:spacing w:after="60" w:line="259" w:lineRule="auto"/>
        <w:rPr>
          <w:rFonts w:eastAsia="Calibri" w:cs="Arial"/>
        </w:rPr>
      </w:pPr>
      <w:r w:rsidRPr="00FC6EF2">
        <w:rPr>
          <w:rFonts w:eastAsia="Calibri" w:cs="Arial"/>
        </w:rPr>
        <w:t xml:space="preserve">Table 7. Overall CAA Participation Rates </w:t>
      </w:r>
      <w:r w:rsidR="008379B5" w:rsidRPr="00FC6EF2">
        <w:rPr>
          <w:rFonts w:eastAsia="Calibri" w:cs="Arial"/>
        </w:rPr>
        <w:t xml:space="preserve">of Eligible Students </w:t>
      </w:r>
      <w:r w:rsidRPr="00FC6EF2">
        <w:rPr>
          <w:rFonts w:eastAsia="Calibri" w:cs="Arial"/>
        </w:rPr>
        <w:t>by Content Area, 2020</w:t>
      </w:r>
      <w:r w:rsidRPr="00FC6EF2">
        <w:rPr>
          <w:rFonts w:eastAsia="Arial" w:cs="Arial"/>
          <w:color w:val="000000" w:themeColor="text1"/>
        </w:rPr>
        <w:t>–</w:t>
      </w:r>
      <w:r w:rsidRPr="00FC6EF2">
        <w:rPr>
          <w:rFonts w:eastAsia="Calibri" w:cs="Arial"/>
        </w:rPr>
        <w:t>21</w:t>
      </w:r>
    </w:p>
    <w:tbl>
      <w:tblPr>
        <w:tblStyle w:val="TableGrid1"/>
        <w:tblW w:w="0" w:type="auto"/>
        <w:tblLook w:val="04A0" w:firstRow="1" w:lastRow="0" w:firstColumn="1" w:lastColumn="0" w:noHBand="0" w:noVBand="1"/>
        <w:tblCaption w:val="Table 7. Overall CAA Participation Rates of Eligible Students by Content Area, 2020–21"/>
        <w:tblDescription w:val="Table 7 shows the CAA participation rates based on the overall number of assessed students by content area for 2020–21. The data shows that ELA and mathematics exceeded the 1.0 percent threshold, and science was very close to 1.0 percent. Based on this data, California requests a waiver for all three content areas for 2021–22. "/>
      </w:tblPr>
      <w:tblGrid>
        <w:gridCol w:w="1729"/>
        <w:gridCol w:w="2400"/>
        <w:gridCol w:w="2642"/>
        <w:gridCol w:w="2579"/>
      </w:tblGrid>
      <w:tr w:rsidR="57EEB976" w:rsidRPr="00FC6EF2" w14:paraId="097D8262" w14:textId="77777777" w:rsidTr="007F55A2">
        <w:trPr>
          <w:cantSplit/>
          <w:trHeight w:val="1360"/>
          <w:tblHeader/>
        </w:trPr>
        <w:tc>
          <w:tcPr>
            <w:tcW w:w="1800" w:type="dxa"/>
            <w:vAlign w:val="center"/>
          </w:tcPr>
          <w:p w14:paraId="072E6F41" w14:textId="77777777" w:rsidR="231891FD" w:rsidRPr="00FC6EF2" w:rsidRDefault="231891FD" w:rsidP="57EEB976">
            <w:pPr>
              <w:jc w:val="center"/>
              <w:rPr>
                <w:rFonts w:cs="Arial"/>
                <w:color w:val="000000" w:themeColor="text1"/>
              </w:rPr>
            </w:pPr>
            <w:r w:rsidRPr="00FC6EF2">
              <w:rPr>
                <w:rFonts w:cs="Arial"/>
                <w:color w:val="000000" w:themeColor="text1"/>
              </w:rPr>
              <w:t>Content Area</w:t>
            </w:r>
          </w:p>
        </w:tc>
        <w:tc>
          <w:tcPr>
            <w:tcW w:w="2515" w:type="dxa"/>
            <w:vAlign w:val="center"/>
          </w:tcPr>
          <w:p w14:paraId="2AFE2316" w14:textId="0BB26588" w:rsidR="231891FD" w:rsidRPr="00FC6EF2" w:rsidRDefault="231891FD" w:rsidP="57EEB976">
            <w:pPr>
              <w:jc w:val="center"/>
              <w:rPr>
                <w:rFonts w:cs="Arial"/>
                <w:color w:val="000000" w:themeColor="text1"/>
              </w:rPr>
            </w:pPr>
            <w:r w:rsidRPr="00FC6EF2">
              <w:rPr>
                <w:rFonts w:cs="Arial"/>
                <w:color w:val="000000" w:themeColor="text1"/>
              </w:rPr>
              <w:t>Number of Students Assessed</w:t>
            </w:r>
            <w:r w:rsidR="00E720FF" w:rsidRPr="00FC6EF2">
              <w:rPr>
                <w:rFonts w:cs="Arial"/>
                <w:color w:val="000000" w:themeColor="text1"/>
              </w:rPr>
              <w:t>,</w:t>
            </w:r>
            <w:r w:rsidRPr="00FC6EF2">
              <w:rPr>
                <w:rFonts w:cs="Arial"/>
                <w:color w:val="000000" w:themeColor="text1"/>
              </w:rPr>
              <w:t xml:space="preserve"> 2021*</w:t>
            </w:r>
          </w:p>
        </w:tc>
        <w:tc>
          <w:tcPr>
            <w:tcW w:w="2790" w:type="dxa"/>
            <w:vAlign w:val="center"/>
          </w:tcPr>
          <w:p w14:paraId="6B91A3E4" w14:textId="77777777" w:rsidR="208C8888" w:rsidRPr="00FC6EF2" w:rsidRDefault="208C8888" w:rsidP="57EEB976">
            <w:pPr>
              <w:jc w:val="center"/>
              <w:rPr>
                <w:rFonts w:cs="Arial"/>
                <w:color w:val="000000" w:themeColor="text1"/>
              </w:rPr>
            </w:pPr>
            <w:r w:rsidRPr="00FC6EF2">
              <w:rPr>
                <w:rFonts w:cs="Arial"/>
                <w:color w:val="000000" w:themeColor="text1"/>
              </w:rPr>
              <w:t xml:space="preserve">Number of </w:t>
            </w:r>
            <w:r w:rsidR="57B45E05" w:rsidRPr="00FC6EF2">
              <w:rPr>
                <w:rFonts w:cs="Arial"/>
                <w:color w:val="000000" w:themeColor="text1"/>
              </w:rPr>
              <w:t xml:space="preserve">Eligible </w:t>
            </w:r>
            <w:r w:rsidRPr="00FC6EF2">
              <w:rPr>
                <w:rFonts w:cs="Arial"/>
                <w:color w:val="000000" w:themeColor="text1"/>
              </w:rPr>
              <w:t>Students Assessed with CAA, 2021</w:t>
            </w:r>
          </w:p>
        </w:tc>
        <w:tc>
          <w:tcPr>
            <w:tcW w:w="2700" w:type="dxa"/>
            <w:vAlign w:val="center"/>
          </w:tcPr>
          <w:p w14:paraId="5F9ECF59" w14:textId="77777777" w:rsidR="208C8888" w:rsidRPr="00FC6EF2" w:rsidRDefault="208C8888" w:rsidP="57EEB976">
            <w:pPr>
              <w:jc w:val="center"/>
              <w:rPr>
                <w:rFonts w:cs="Arial"/>
                <w:color w:val="000000" w:themeColor="text1"/>
              </w:rPr>
            </w:pPr>
            <w:r w:rsidRPr="00FC6EF2">
              <w:rPr>
                <w:rFonts w:cs="Arial"/>
                <w:color w:val="000000" w:themeColor="text1"/>
              </w:rPr>
              <w:t xml:space="preserve">Percentage of </w:t>
            </w:r>
            <w:r w:rsidR="57B45E05" w:rsidRPr="00FC6EF2">
              <w:rPr>
                <w:rFonts w:cs="Arial"/>
                <w:color w:val="000000" w:themeColor="text1"/>
              </w:rPr>
              <w:t xml:space="preserve">Eligible </w:t>
            </w:r>
            <w:r w:rsidRPr="00FC6EF2">
              <w:rPr>
                <w:rFonts w:cs="Arial"/>
                <w:color w:val="000000" w:themeColor="text1"/>
              </w:rPr>
              <w:t>Students Assessed with CAA, 2021</w:t>
            </w:r>
          </w:p>
        </w:tc>
      </w:tr>
      <w:tr w:rsidR="57EEB976" w:rsidRPr="00FC6EF2" w14:paraId="746D67A4" w14:textId="77777777" w:rsidTr="57EEB976">
        <w:trPr>
          <w:trHeight w:val="320"/>
        </w:trPr>
        <w:tc>
          <w:tcPr>
            <w:tcW w:w="1800" w:type="dxa"/>
          </w:tcPr>
          <w:p w14:paraId="22F0BEF8" w14:textId="77777777" w:rsidR="231891FD" w:rsidRPr="00FC6EF2" w:rsidRDefault="231891FD" w:rsidP="57EEB976">
            <w:pPr>
              <w:rPr>
                <w:rFonts w:cs="Arial"/>
                <w:color w:val="000000" w:themeColor="text1"/>
              </w:rPr>
            </w:pPr>
            <w:r w:rsidRPr="00FC6EF2">
              <w:rPr>
                <w:rFonts w:cs="Arial"/>
                <w:color w:val="000000" w:themeColor="text1"/>
              </w:rPr>
              <w:t>ELA</w:t>
            </w:r>
          </w:p>
        </w:tc>
        <w:tc>
          <w:tcPr>
            <w:tcW w:w="2515" w:type="dxa"/>
          </w:tcPr>
          <w:p w14:paraId="131F61B7" w14:textId="77777777" w:rsidR="231891FD" w:rsidRPr="00FC6EF2" w:rsidRDefault="231891FD" w:rsidP="57EEB976">
            <w:pPr>
              <w:jc w:val="right"/>
              <w:rPr>
                <w:rFonts w:cs="Arial"/>
                <w:color w:val="000000" w:themeColor="text1"/>
              </w:rPr>
            </w:pPr>
            <w:r w:rsidRPr="00FC6EF2">
              <w:rPr>
                <w:rFonts w:cs="Arial"/>
                <w:color w:val="000000" w:themeColor="text1"/>
              </w:rPr>
              <w:t>754,744</w:t>
            </w:r>
          </w:p>
        </w:tc>
        <w:tc>
          <w:tcPr>
            <w:tcW w:w="2790" w:type="dxa"/>
          </w:tcPr>
          <w:p w14:paraId="67A9B560" w14:textId="77777777" w:rsidR="231891FD" w:rsidRPr="00FC6EF2" w:rsidRDefault="231891FD" w:rsidP="57EEB976">
            <w:pPr>
              <w:jc w:val="right"/>
              <w:rPr>
                <w:rFonts w:cs="Arial"/>
                <w:color w:val="000000" w:themeColor="text1"/>
              </w:rPr>
            </w:pPr>
            <w:r w:rsidRPr="00FC6EF2">
              <w:rPr>
                <w:rFonts w:cs="Arial"/>
                <w:color w:val="000000" w:themeColor="text1"/>
              </w:rPr>
              <w:t>11,118</w:t>
            </w:r>
          </w:p>
        </w:tc>
        <w:tc>
          <w:tcPr>
            <w:tcW w:w="2700" w:type="dxa"/>
          </w:tcPr>
          <w:p w14:paraId="220C2643" w14:textId="77777777" w:rsidR="231891FD" w:rsidRPr="00FC6EF2" w:rsidRDefault="231891FD" w:rsidP="57EEB976">
            <w:pPr>
              <w:jc w:val="right"/>
              <w:rPr>
                <w:rFonts w:cs="Arial"/>
                <w:color w:val="000000" w:themeColor="text1"/>
              </w:rPr>
            </w:pPr>
            <w:r w:rsidRPr="00FC6EF2">
              <w:rPr>
                <w:rFonts w:cs="Arial"/>
                <w:color w:val="000000" w:themeColor="text1"/>
              </w:rPr>
              <w:t>1.47%</w:t>
            </w:r>
          </w:p>
        </w:tc>
      </w:tr>
      <w:tr w:rsidR="57EEB976" w:rsidRPr="00FC6EF2" w14:paraId="73460158" w14:textId="77777777" w:rsidTr="57EEB976">
        <w:trPr>
          <w:trHeight w:val="320"/>
        </w:trPr>
        <w:tc>
          <w:tcPr>
            <w:tcW w:w="1800" w:type="dxa"/>
          </w:tcPr>
          <w:p w14:paraId="4280FE1D" w14:textId="77777777" w:rsidR="231891FD" w:rsidRPr="00FC6EF2" w:rsidRDefault="231891FD" w:rsidP="57EEB976">
            <w:pPr>
              <w:rPr>
                <w:rFonts w:cs="Arial"/>
                <w:color w:val="000000" w:themeColor="text1"/>
              </w:rPr>
            </w:pPr>
            <w:r w:rsidRPr="00FC6EF2">
              <w:rPr>
                <w:rFonts w:cs="Arial"/>
                <w:color w:val="000000" w:themeColor="text1"/>
              </w:rPr>
              <w:t>Math</w:t>
            </w:r>
          </w:p>
        </w:tc>
        <w:tc>
          <w:tcPr>
            <w:tcW w:w="2515" w:type="dxa"/>
          </w:tcPr>
          <w:p w14:paraId="0649F23E" w14:textId="77777777" w:rsidR="231891FD" w:rsidRPr="00FC6EF2" w:rsidRDefault="231891FD" w:rsidP="57EEB976">
            <w:pPr>
              <w:jc w:val="right"/>
              <w:rPr>
                <w:rFonts w:cs="Arial"/>
                <w:color w:val="000000" w:themeColor="text1"/>
              </w:rPr>
            </w:pPr>
            <w:r w:rsidRPr="00FC6EF2">
              <w:rPr>
                <w:rFonts w:cs="Arial"/>
                <w:color w:val="000000" w:themeColor="text1"/>
              </w:rPr>
              <w:t>760,921</w:t>
            </w:r>
          </w:p>
        </w:tc>
        <w:tc>
          <w:tcPr>
            <w:tcW w:w="2790" w:type="dxa"/>
          </w:tcPr>
          <w:p w14:paraId="281022DD" w14:textId="77777777" w:rsidR="231891FD" w:rsidRPr="00FC6EF2" w:rsidRDefault="231891FD" w:rsidP="57EEB976">
            <w:pPr>
              <w:jc w:val="right"/>
              <w:rPr>
                <w:rFonts w:cs="Arial"/>
                <w:color w:val="000000" w:themeColor="text1"/>
              </w:rPr>
            </w:pPr>
            <w:r w:rsidRPr="00FC6EF2">
              <w:rPr>
                <w:rFonts w:cs="Arial"/>
                <w:color w:val="000000" w:themeColor="text1"/>
              </w:rPr>
              <w:t>10,973</w:t>
            </w:r>
          </w:p>
        </w:tc>
        <w:tc>
          <w:tcPr>
            <w:tcW w:w="2700" w:type="dxa"/>
          </w:tcPr>
          <w:p w14:paraId="71529AF9" w14:textId="77777777" w:rsidR="231891FD" w:rsidRPr="00FC6EF2" w:rsidRDefault="231891FD" w:rsidP="57EEB976">
            <w:pPr>
              <w:jc w:val="right"/>
              <w:rPr>
                <w:rFonts w:cs="Arial"/>
                <w:color w:val="000000" w:themeColor="text1"/>
              </w:rPr>
            </w:pPr>
            <w:r w:rsidRPr="00FC6EF2">
              <w:rPr>
                <w:rFonts w:cs="Arial"/>
                <w:color w:val="000000" w:themeColor="text1"/>
              </w:rPr>
              <w:t>1.44%</w:t>
            </w:r>
          </w:p>
        </w:tc>
      </w:tr>
      <w:tr w:rsidR="57EEB976" w:rsidRPr="00FC6EF2" w14:paraId="14561F5B" w14:textId="77777777" w:rsidTr="57EEB976">
        <w:trPr>
          <w:trHeight w:val="320"/>
        </w:trPr>
        <w:tc>
          <w:tcPr>
            <w:tcW w:w="1800" w:type="dxa"/>
          </w:tcPr>
          <w:p w14:paraId="7C047368" w14:textId="77777777" w:rsidR="231891FD" w:rsidRPr="00FC6EF2" w:rsidRDefault="231891FD" w:rsidP="57EEB976">
            <w:pPr>
              <w:rPr>
                <w:rFonts w:cs="Arial"/>
                <w:color w:val="000000" w:themeColor="text1"/>
              </w:rPr>
            </w:pPr>
            <w:r w:rsidRPr="00FC6EF2">
              <w:rPr>
                <w:rFonts w:cs="Arial"/>
                <w:color w:val="000000" w:themeColor="text1"/>
              </w:rPr>
              <w:t>Science</w:t>
            </w:r>
          </w:p>
        </w:tc>
        <w:tc>
          <w:tcPr>
            <w:tcW w:w="2515" w:type="dxa"/>
          </w:tcPr>
          <w:p w14:paraId="070B6259" w14:textId="77777777" w:rsidR="231891FD" w:rsidRPr="00FC6EF2" w:rsidRDefault="231891FD" w:rsidP="57EEB976">
            <w:pPr>
              <w:jc w:val="right"/>
              <w:rPr>
                <w:rFonts w:cs="Arial"/>
                <w:color w:val="000000" w:themeColor="text1"/>
              </w:rPr>
            </w:pPr>
            <w:r w:rsidRPr="00FC6EF2">
              <w:rPr>
                <w:rFonts w:cs="Arial"/>
                <w:color w:val="000000" w:themeColor="text1"/>
              </w:rPr>
              <w:t>250,286</w:t>
            </w:r>
          </w:p>
        </w:tc>
        <w:tc>
          <w:tcPr>
            <w:tcW w:w="2790" w:type="dxa"/>
          </w:tcPr>
          <w:p w14:paraId="22F91DC0" w14:textId="77777777" w:rsidR="231891FD" w:rsidRPr="00FC6EF2" w:rsidRDefault="231891FD" w:rsidP="57EEB976">
            <w:pPr>
              <w:jc w:val="right"/>
              <w:rPr>
                <w:rFonts w:cs="Arial"/>
                <w:color w:val="000000" w:themeColor="text1"/>
              </w:rPr>
            </w:pPr>
            <w:r w:rsidRPr="00FC6EF2">
              <w:rPr>
                <w:rFonts w:cs="Arial"/>
                <w:color w:val="000000" w:themeColor="text1"/>
              </w:rPr>
              <w:t>2,485</w:t>
            </w:r>
          </w:p>
        </w:tc>
        <w:tc>
          <w:tcPr>
            <w:tcW w:w="2700" w:type="dxa"/>
          </w:tcPr>
          <w:p w14:paraId="4308A033" w14:textId="77777777" w:rsidR="231891FD" w:rsidRPr="00FC6EF2" w:rsidRDefault="231891FD" w:rsidP="57EEB976">
            <w:pPr>
              <w:jc w:val="right"/>
              <w:rPr>
                <w:rFonts w:cs="Arial"/>
                <w:color w:val="000000" w:themeColor="text1"/>
              </w:rPr>
            </w:pPr>
            <w:r w:rsidRPr="00FC6EF2">
              <w:rPr>
                <w:rFonts w:cs="Arial"/>
                <w:color w:val="000000" w:themeColor="text1"/>
              </w:rPr>
              <w:t>0.99%</w:t>
            </w:r>
          </w:p>
        </w:tc>
      </w:tr>
    </w:tbl>
    <w:p w14:paraId="76DFB6BD" w14:textId="5235B14F" w:rsidR="231891FD" w:rsidRPr="00FC6EF2" w:rsidRDefault="4902A8C8" w:rsidP="3CBD29BC">
      <w:pPr>
        <w:spacing w:before="60" w:after="160" w:line="259" w:lineRule="auto"/>
        <w:rPr>
          <w:rFonts w:eastAsia="Calibri" w:cs="Arial"/>
          <w:i/>
          <w:iCs/>
        </w:rPr>
      </w:pPr>
      <w:r w:rsidRPr="00FC6EF2">
        <w:rPr>
          <w:rFonts w:eastAsia="Calibri" w:cs="Arial"/>
        </w:rPr>
        <w:t>*Includes both the general and alternate assessments</w:t>
      </w:r>
      <w:r w:rsidRPr="00FC6EF2">
        <w:rPr>
          <w:rFonts w:eastAsia="Calibri" w:cs="Arial"/>
          <w:i/>
          <w:iCs/>
        </w:rPr>
        <w:t>.</w:t>
      </w:r>
    </w:p>
    <w:p w14:paraId="1E397586" w14:textId="5235B14F" w:rsidR="57EEB976" w:rsidRPr="00FC6EF2" w:rsidRDefault="7619E4A3" w:rsidP="004E65E6">
      <w:pPr>
        <w:pStyle w:val="Heading4"/>
      </w:pPr>
      <w:r w:rsidRPr="00FC6EF2">
        <w:lastRenderedPageBreak/>
        <w:t xml:space="preserve">Estimated Participation Rates for 2021–22 </w:t>
      </w:r>
    </w:p>
    <w:p w14:paraId="0981B3C7" w14:textId="4E839758" w:rsidR="00401F86" w:rsidRPr="00FC6EF2" w:rsidRDefault="208C8888" w:rsidP="009D45FA">
      <w:pPr>
        <w:keepNext/>
        <w:spacing w:before="120" w:after="240"/>
        <w:rPr>
          <w:rFonts w:eastAsia="Arial" w:cs="Arial"/>
        </w:rPr>
      </w:pPr>
      <w:r w:rsidRPr="00FC6EF2">
        <w:rPr>
          <w:rFonts w:eastAsia="Arial" w:cs="Arial"/>
        </w:rPr>
        <w:t>The CDE has collected survey responses from all LEAs regarding their expected student participation in alternate assessments for the 2021–22 school year. Furthermore, the CDE has reviewed alternate assessment participation data from 2018–19 and 2020–21. After reviewing that and other relevant data, the CDE estimates that the state will exceed the 1</w:t>
      </w:r>
      <w:r w:rsidR="00534ED1" w:rsidRPr="00FC6EF2">
        <w:rPr>
          <w:rFonts w:eastAsia="Arial" w:cs="Arial"/>
        </w:rPr>
        <w:t>.0</w:t>
      </w:r>
      <w:r w:rsidRPr="00FC6EF2">
        <w:rPr>
          <w:rFonts w:eastAsia="Arial" w:cs="Arial"/>
        </w:rPr>
        <w:t xml:space="preserve"> percent cap on the percentage of </w:t>
      </w:r>
      <w:r w:rsidR="57B45E05" w:rsidRPr="00FC6EF2">
        <w:rPr>
          <w:rFonts w:eastAsia="Arial" w:cs="Arial"/>
        </w:rPr>
        <w:t xml:space="preserve">eligible </w:t>
      </w:r>
      <w:r w:rsidRPr="00FC6EF2">
        <w:rPr>
          <w:rFonts w:eastAsia="Arial" w:cs="Arial"/>
        </w:rPr>
        <w:t>students with the most significant cognitive disabilities who may be assessed with an AA-AAAS.</w:t>
      </w:r>
    </w:p>
    <w:p w14:paraId="676AF38D" w14:textId="6BFCC0EE" w:rsidR="231891FD" w:rsidRPr="00FC6EF2" w:rsidRDefault="231891FD" w:rsidP="0097249C">
      <w:pPr>
        <w:spacing w:after="240"/>
        <w:rPr>
          <w:rFonts w:eastAsia="Arial" w:cs="Arial"/>
          <w:color w:val="000000" w:themeColor="text1"/>
        </w:rPr>
      </w:pPr>
      <w:r w:rsidRPr="00FC6EF2">
        <w:rPr>
          <w:rFonts w:eastAsia="Calibri" w:cs="Arial"/>
        </w:rPr>
        <w:t xml:space="preserve">Table 8 </w:t>
      </w:r>
      <w:r w:rsidRPr="00FC6EF2">
        <w:rPr>
          <w:rFonts w:eastAsia="Arial" w:cs="Arial"/>
          <w:color w:val="000000" w:themeColor="text1"/>
        </w:rPr>
        <w:t>shows the CAA participation rate estimates for all students in 2021–22.</w:t>
      </w:r>
    </w:p>
    <w:p w14:paraId="40313C7F" w14:textId="49B78A4F" w:rsidR="231891FD" w:rsidRPr="00FC6EF2" w:rsidRDefault="231891FD" w:rsidP="57EEB976">
      <w:pPr>
        <w:spacing w:after="60"/>
        <w:rPr>
          <w:rFonts w:eastAsia="Calibri" w:cs="Arial"/>
        </w:rPr>
      </w:pPr>
      <w:r w:rsidRPr="00FC6EF2">
        <w:rPr>
          <w:rFonts w:eastAsia="Calibri" w:cs="Arial"/>
        </w:rPr>
        <w:t xml:space="preserve">Table 8. Estimated CAA Participation Rates </w:t>
      </w:r>
      <w:r w:rsidR="008379B5" w:rsidRPr="00FC6EF2">
        <w:rPr>
          <w:rFonts w:eastAsia="Calibri" w:cs="Arial"/>
        </w:rPr>
        <w:t xml:space="preserve">of Eligible Students </w:t>
      </w:r>
      <w:r w:rsidRPr="00FC6EF2">
        <w:rPr>
          <w:rFonts w:eastAsia="Calibri" w:cs="Arial"/>
        </w:rPr>
        <w:t xml:space="preserve">by Content Area, 2022 </w:t>
      </w:r>
    </w:p>
    <w:tbl>
      <w:tblPr>
        <w:tblStyle w:val="TableGrid1"/>
        <w:tblW w:w="0" w:type="auto"/>
        <w:tblLook w:val="04A0" w:firstRow="1" w:lastRow="0" w:firstColumn="1" w:lastColumn="0" w:noHBand="0" w:noVBand="1"/>
        <w:tblCaption w:val="Table 8. Estimated CAA Participation Rates of Eligible Students by Content Area, 2022"/>
        <w:tblDescription w:val="Table 8 shows the CAA participation rate estimates for all students in 2021–22."/>
      </w:tblPr>
      <w:tblGrid>
        <w:gridCol w:w="1798"/>
        <w:gridCol w:w="2334"/>
        <w:gridCol w:w="2699"/>
        <w:gridCol w:w="2519"/>
      </w:tblGrid>
      <w:tr w:rsidR="57EEB976" w:rsidRPr="00FC6EF2" w14:paraId="48C78666" w14:textId="77777777" w:rsidTr="007F55A2">
        <w:trPr>
          <w:cantSplit/>
          <w:trHeight w:val="1952"/>
          <w:tblHeader/>
        </w:trPr>
        <w:tc>
          <w:tcPr>
            <w:tcW w:w="1800" w:type="dxa"/>
            <w:vAlign w:val="center"/>
          </w:tcPr>
          <w:p w14:paraId="133570A1" w14:textId="77777777" w:rsidR="231891FD" w:rsidRPr="00FC6EF2" w:rsidRDefault="231891FD" w:rsidP="57EEB976">
            <w:pPr>
              <w:jc w:val="center"/>
              <w:rPr>
                <w:rFonts w:cs="Arial"/>
                <w:color w:val="000000" w:themeColor="text1"/>
              </w:rPr>
            </w:pPr>
            <w:r w:rsidRPr="00FC6EF2">
              <w:rPr>
                <w:rFonts w:cs="Arial"/>
                <w:color w:val="000000" w:themeColor="text1"/>
              </w:rPr>
              <w:t>Content Area</w:t>
            </w:r>
          </w:p>
        </w:tc>
        <w:tc>
          <w:tcPr>
            <w:tcW w:w="2335" w:type="dxa"/>
            <w:vAlign w:val="center"/>
          </w:tcPr>
          <w:p w14:paraId="7ED6180B" w14:textId="568145BD" w:rsidR="231891FD" w:rsidRPr="00FC6EF2" w:rsidRDefault="231891FD" w:rsidP="57EEB976">
            <w:pPr>
              <w:jc w:val="center"/>
              <w:rPr>
                <w:rFonts w:cs="Arial"/>
                <w:color w:val="000000" w:themeColor="text1"/>
              </w:rPr>
            </w:pPr>
            <w:r w:rsidRPr="00FC6EF2">
              <w:rPr>
                <w:rFonts w:cs="Arial"/>
                <w:color w:val="000000" w:themeColor="text1"/>
              </w:rPr>
              <w:t>Number of Students Eligible for CAA</w:t>
            </w:r>
            <w:r w:rsidR="00770C45" w:rsidRPr="00FC6EF2">
              <w:rPr>
                <w:rFonts w:cs="Arial"/>
                <w:color w:val="000000" w:themeColor="text1"/>
              </w:rPr>
              <w:t>,</w:t>
            </w:r>
            <w:r w:rsidRPr="00FC6EF2">
              <w:rPr>
                <w:rFonts w:cs="Arial"/>
                <w:color w:val="000000" w:themeColor="text1"/>
              </w:rPr>
              <w:t xml:space="preserve"> 2022 (estimate based on enrollment)</w:t>
            </w:r>
          </w:p>
        </w:tc>
        <w:tc>
          <w:tcPr>
            <w:tcW w:w="2700" w:type="dxa"/>
            <w:vAlign w:val="center"/>
          </w:tcPr>
          <w:p w14:paraId="207F534D" w14:textId="6FEDDCF8" w:rsidR="231891FD" w:rsidRPr="00FC6EF2" w:rsidRDefault="231891FD" w:rsidP="57EEB976">
            <w:pPr>
              <w:jc w:val="center"/>
              <w:rPr>
                <w:rFonts w:cs="Arial"/>
                <w:color w:val="000000" w:themeColor="text1"/>
              </w:rPr>
            </w:pPr>
            <w:r w:rsidRPr="00FC6EF2">
              <w:rPr>
                <w:rFonts w:cs="Arial"/>
                <w:color w:val="000000" w:themeColor="text1"/>
              </w:rPr>
              <w:t>Number of Students Assessed with CAA</w:t>
            </w:r>
            <w:r w:rsidR="00770C45" w:rsidRPr="00FC6EF2">
              <w:rPr>
                <w:rFonts w:cs="Arial"/>
                <w:color w:val="000000" w:themeColor="text1"/>
              </w:rPr>
              <w:t>,</w:t>
            </w:r>
            <w:r w:rsidRPr="00FC6EF2">
              <w:rPr>
                <w:rFonts w:cs="Arial"/>
                <w:color w:val="000000" w:themeColor="text1"/>
              </w:rPr>
              <w:t xml:space="preserve"> 2022 (estimate based on 95% participation)</w:t>
            </w:r>
          </w:p>
        </w:tc>
        <w:tc>
          <w:tcPr>
            <w:tcW w:w="2520" w:type="dxa"/>
            <w:vAlign w:val="center"/>
          </w:tcPr>
          <w:p w14:paraId="4B4F8F67" w14:textId="1CFA6327" w:rsidR="231891FD" w:rsidRPr="00FC6EF2" w:rsidRDefault="231891FD" w:rsidP="57EEB976">
            <w:pPr>
              <w:jc w:val="center"/>
              <w:rPr>
                <w:rFonts w:cs="Arial"/>
                <w:color w:val="000000" w:themeColor="text1"/>
              </w:rPr>
            </w:pPr>
            <w:r w:rsidRPr="00FC6EF2">
              <w:rPr>
                <w:rFonts w:cs="Arial"/>
                <w:color w:val="000000" w:themeColor="text1"/>
              </w:rPr>
              <w:t>Participation Rate</w:t>
            </w:r>
            <w:r w:rsidR="00770C45" w:rsidRPr="00FC6EF2">
              <w:rPr>
                <w:rFonts w:cs="Arial"/>
                <w:color w:val="000000" w:themeColor="text1"/>
              </w:rPr>
              <w:t>,</w:t>
            </w:r>
            <w:r w:rsidRPr="00FC6EF2">
              <w:rPr>
                <w:rFonts w:cs="Arial"/>
                <w:color w:val="000000" w:themeColor="text1"/>
              </w:rPr>
              <w:t xml:space="preserve"> 2022 (estimate)</w:t>
            </w:r>
          </w:p>
        </w:tc>
      </w:tr>
      <w:tr w:rsidR="57EEB976" w:rsidRPr="00FC6EF2" w14:paraId="08EC3EB9" w14:textId="77777777" w:rsidTr="57EEB976">
        <w:trPr>
          <w:trHeight w:val="320"/>
        </w:trPr>
        <w:tc>
          <w:tcPr>
            <w:tcW w:w="1800" w:type="dxa"/>
          </w:tcPr>
          <w:p w14:paraId="5E3C113C" w14:textId="77777777" w:rsidR="231891FD" w:rsidRPr="00FC6EF2" w:rsidRDefault="231891FD" w:rsidP="57EEB976">
            <w:pPr>
              <w:rPr>
                <w:rFonts w:cs="Arial"/>
                <w:color w:val="000000" w:themeColor="text1"/>
              </w:rPr>
            </w:pPr>
            <w:r w:rsidRPr="00FC6EF2">
              <w:rPr>
                <w:rFonts w:cs="Arial"/>
                <w:color w:val="000000" w:themeColor="text1"/>
              </w:rPr>
              <w:t>ELA</w:t>
            </w:r>
          </w:p>
        </w:tc>
        <w:tc>
          <w:tcPr>
            <w:tcW w:w="2335" w:type="dxa"/>
          </w:tcPr>
          <w:p w14:paraId="59180A11" w14:textId="77777777" w:rsidR="231891FD" w:rsidRPr="00FC6EF2" w:rsidRDefault="231891FD" w:rsidP="57EEB976">
            <w:pPr>
              <w:jc w:val="right"/>
              <w:rPr>
                <w:rFonts w:cs="Arial"/>
                <w:color w:val="000000" w:themeColor="text1"/>
              </w:rPr>
            </w:pPr>
            <w:r w:rsidRPr="00FC6EF2">
              <w:rPr>
                <w:rFonts w:cs="Arial"/>
                <w:color w:val="000000" w:themeColor="text1"/>
              </w:rPr>
              <w:t>19,513</w:t>
            </w:r>
          </w:p>
        </w:tc>
        <w:tc>
          <w:tcPr>
            <w:tcW w:w="2700" w:type="dxa"/>
          </w:tcPr>
          <w:p w14:paraId="0CF8B4BE" w14:textId="77777777" w:rsidR="231891FD" w:rsidRPr="00FC6EF2" w:rsidRDefault="231891FD" w:rsidP="57EEB976">
            <w:pPr>
              <w:jc w:val="right"/>
              <w:rPr>
                <w:rFonts w:cs="Arial"/>
                <w:color w:val="000000" w:themeColor="text1"/>
              </w:rPr>
            </w:pPr>
            <w:r w:rsidRPr="00FC6EF2">
              <w:rPr>
                <w:rFonts w:cs="Arial"/>
                <w:color w:val="000000" w:themeColor="text1"/>
              </w:rPr>
              <w:t>18,538</w:t>
            </w:r>
          </w:p>
        </w:tc>
        <w:tc>
          <w:tcPr>
            <w:tcW w:w="2520" w:type="dxa"/>
          </w:tcPr>
          <w:p w14:paraId="6788BA4B" w14:textId="77777777" w:rsidR="231891FD" w:rsidRPr="00FC6EF2" w:rsidRDefault="231891FD" w:rsidP="57EEB976">
            <w:pPr>
              <w:jc w:val="right"/>
              <w:rPr>
                <w:rFonts w:cs="Arial"/>
                <w:color w:val="000000" w:themeColor="text1"/>
              </w:rPr>
            </w:pPr>
            <w:r w:rsidRPr="00FC6EF2">
              <w:rPr>
                <w:rFonts w:cs="Arial"/>
                <w:color w:val="000000" w:themeColor="text1"/>
              </w:rPr>
              <w:t>95.00%</w:t>
            </w:r>
          </w:p>
        </w:tc>
      </w:tr>
      <w:tr w:rsidR="57EEB976" w:rsidRPr="00FC6EF2" w14:paraId="6E20934A" w14:textId="77777777" w:rsidTr="57EEB976">
        <w:trPr>
          <w:trHeight w:val="320"/>
        </w:trPr>
        <w:tc>
          <w:tcPr>
            <w:tcW w:w="1800" w:type="dxa"/>
          </w:tcPr>
          <w:p w14:paraId="37AA5E38" w14:textId="77777777" w:rsidR="231891FD" w:rsidRPr="00FC6EF2" w:rsidRDefault="231891FD" w:rsidP="57EEB976">
            <w:pPr>
              <w:rPr>
                <w:rFonts w:cs="Arial"/>
                <w:color w:val="000000" w:themeColor="text1"/>
              </w:rPr>
            </w:pPr>
            <w:r w:rsidRPr="00FC6EF2">
              <w:rPr>
                <w:rFonts w:cs="Arial"/>
                <w:color w:val="000000" w:themeColor="text1"/>
              </w:rPr>
              <w:t>Math</w:t>
            </w:r>
          </w:p>
        </w:tc>
        <w:tc>
          <w:tcPr>
            <w:tcW w:w="2335" w:type="dxa"/>
          </w:tcPr>
          <w:p w14:paraId="1A0A8F1F" w14:textId="77777777" w:rsidR="231891FD" w:rsidRPr="00FC6EF2" w:rsidRDefault="231891FD" w:rsidP="57EEB976">
            <w:pPr>
              <w:jc w:val="right"/>
              <w:rPr>
                <w:rFonts w:cs="Arial"/>
                <w:color w:val="000000" w:themeColor="text1"/>
              </w:rPr>
            </w:pPr>
            <w:r w:rsidRPr="00FC6EF2">
              <w:rPr>
                <w:rFonts w:cs="Arial"/>
                <w:color w:val="000000" w:themeColor="text1"/>
              </w:rPr>
              <w:t>19,513</w:t>
            </w:r>
          </w:p>
        </w:tc>
        <w:tc>
          <w:tcPr>
            <w:tcW w:w="2700" w:type="dxa"/>
          </w:tcPr>
          <w:p w14:paraId="63EAF030" w14:textId="77777777" w:rsidR="231891FD" w:rsidRPr="00FC6EF2" w:rsidRDefault="231891FD" w:rsidP="57EEB976">
            <w:pPr>
              <w:jc w:val="right"/>
              <w:rPr>
                <w:rFonts w:cs="Arial"/>
                <w:color w:val="000000" w:themeColor="text1"/>
              </w:rPr>
            </w:pPr>
            <w:r w:rsidRPr="00FC6EF2">
              <w:rPr>
                <w:rFonts w:cs="Arial"/>
                <w:color w:val="000000" w:themeColor="text1"/>
              </w:rPr>
              <w:t>18,538</w:t>
            </w:r>
          </w:p>
        </w:tc>
        <w:tc>
          <w:tcPr>
            <w:tcW w:w="2520" w:type="dxa"/>
          </w:tcPr>
          <w:p w14:paraId="2E9021DD" w14:textId="77777777" w:rsidR="231891FD" w:rsidRPr="00FC6EF2" w:rsidRDefault="231891FD" w:rsidP="57EEB976">
            <w:pPr>
              <w:jc w:val="right"/>
              <w:rPr>
                <w:rFonts w:cs="Arial"/>
                <w:color w:val="000000" w:themeColor="text1"/>
              </w:rPr>
            </w:pPr>
            <w:r w:rsidRPr="00FC6EF2">
              <w:rPr>
                <w:rFonts w:cs="Arial"/>
                <w:color w:val="000000" w:themeColor="text1"/>
              </w:rPr>
              <w:t>95.00%</w:t>
            </w:r>
          </w:p>
        </w:tc>
      </w:tr>
      <w:tr w:rsidR="57EEB976" w:rsidRPr="00FC6EF2" w14:paraId="56BAE22D" w14:textId="77777777" w:rsidTr="57EEB976">
        <w:trPr>
          <w:trHeight w:val="320"/>
        </w:trPr>
        <w:tc>
          <w:tcPr>
            <w:tcW w:w="1800" w:type="dxa"/>
          </w:tcPr>
          <w:p w14:paraId="60788CAB" w14:textId="77777777" w:rsidR="231891FD" w:rsidRPr="00FC6EF2" w:rsidRDefault="231891FD" w:rsidP="57EEB976">
            <w:pPr>
              <w:rPr>
                <w:rFonts w:cs="Arial"/>
                <w:color w:val="000000" w:themeColor="text1"/>
              </w:rPr>
            </w:pPr>
            <w:r w:rsidRPr="00FC6EF2">
              <w:rPr>
                <w:rFonts w:cs="Arial"/>
                <w:color w:val="000000" w:themeColor="text1"/>
              </w:rPr>
              <w:t>Science</w:t>
            </w:r>
          </w:p>
        </w:tc>
        <w:tc>
          <w:tcPr>
            <w:tcW w:w="2335" w:type="dxa"/>
          </w:tcPr>
          <w:p w14:paraId="5C0338F7" w14:textId="77777777" w:rsidR="231891FD" w:rsidRPr="00FC6EF2" w:rsidRDefault="231891FD" w:rsidP="57EEB976">
            <w:pPr>
              <w:jc w:val="right"/>
              <w:rPr>
                <w:rFonts w:cs="Arial"/>
                <w:color w:val="000000" w:themeColor="text1"/>
              </w:rPr>
            </w:pPr>
            <w:r w:rsidRPr="00FC6EF2">
              <w:rPr>
                <w:rFonts w:cs="Arial"/>
                <w:color w:val="000000" w:themeColor="text1"/>
              </w:rPr>
              <w:t>9,774</w:t>
            </w:r>
          </w:p>
        </w:tc>
        <w:tc>
          <w:tcPr>
            <w:tcW w:w="2700" w:type="dxa"/>
          </w:tcPr>
          <w:p w14:paraId="267676C8" w14:textId="77777777" w:rsidR="231891FD" w:rsidRPr="00FC6EF2" w:rsidRDefault="231891FD" w:rsidP="57EEB976">
            <w:pPr>
              <w:jc w:val="right"/>
              <w:rPr>
                <w:rFonts w:cs="Arial"/>
                <w:color w:val="000000" w:themeColor="text1"/>
              </w:rPr>
            </w:pPr>
            <w:r w:rsidRPr="00FC6EF2">
              <w:rPr>
                <w:rFonts w:cs="Arial"/>
                <w:color w:val="000000" w:themeColor="text1"/>
              </w:rPr>
              <w:t>9,286</w:t>
            </w:r>
          </w:p>
        </w:tc>
        <w:tc>
          <w:tcPr>
            <w:tcW w:w="2520" w:type="dxa"/>
          </w:tcPr>
          <w:p w14:paraId="650A31DE" w14:textId="77777777" w:rsidR="231891FD" w:rsidRPr="00FC6EF2" w:rsidRDefault="231891FD" w:rsidP="57EEB976">
            <w:pPr>
              <w:jc w:val="right"/>
              <w:rPr>
                <w:rFonts w:cs="Arial"/>
                <w:color w:val="000000" w:themeColor="text1"/>
              </w:rPr>
            </w:pPr>
            <w:r w:rsidRPr="00FC6EF2">
              <w:rPr>
                <w:rFonts w:cs="Arial"/>
                <w:color w:val="000000" w:themeColor="text1"/>
              </w:rPr>
              <w:t>95.00%</w:t>
            </w:r>
          </w:p>
        </w:tc>
      </w:tr>
    </w:tbl>
    <w:p w14:paraId="1550266D" w14:textId="7D7F135F" w:rsidR="57EEB976" w:rsidRPr="00FC6EF2" w:rsidRDefault="57EEB976" w:rsidP="57EEB976">
      <w:pPr>
        <w:spacing w:before="120" w:after="120"/>
      </w:pPr>
    </w:p>
    <w:p w14:paraId="75AD28D5" w14:textId="1691586C" w:rsidR="231891FD" w:rsidRPr="00FC6EF2" w:rsidRDefault="231891FD" w:rsidP="0097249C">
      <w:pPr>
        <w:spacing w:after="240"/>
        <w:rPr>
          <w:rFonts w:eastAsia="Arial" w:cs="Arial"/>
          <w:color w:val="000000" w:themeColor="text1"/>
        </w:rPr>
      </w:pPr>
      <w:r w:rsidRPr="00FC6EF2">
        <w:rPr>
          <w:rFonts w:eastAsia="Calibri" w:cs="Arial"/>
        </w:rPr>
        <w:t xml:space="preserve">Table 9 </w:t>
      </w:r>
      <w:r w:rsidRPr="00FC6EF2">
        <w:rPr>
          <w:rFonts w:eastAsia="Arial" w:cs="Arial"/>
          <w:color w:val="000000" w:themeColor="text1"/>
        </w:rPr>
        <w:t>shows the overall participation rate estimates for all students in 2021–22.</w:t>
      </w:r>
    </w:p>
    <w:p w14:paraId="6EAFCE4F" w14:textId="2ACA1AB0" w:rsidR="231891FD" w:rsidRPr="00FC6EF2" w:rsidRDefault="231891FD" w:rsidP="57EEB976">
      <w:pPr>
        <w:spacing w:after="60"/>
        <w:rPr>
          <w:rFonts w:eastAsia="Calibri" w:cs="Arial"/>
        </w:rPr>
      </w:pPr>
      <w:r w:rsidRPr="00FC6EF2">
        <w:rPr>
          <w:rFonts w:eastAsia="Calibri" w:cs="Arial"/>
        </w:rPr>
        <w:t>Table 9. Estimated Overall Participation Rates for All Students, 2022</w:t>
      </w:r>
    </w:p>
    <w:tbl>
      <w:tblPr>
        <w:tblStyle w:val="TableGrid1"/>
        <w:tblW w:w="0" w:type="auto"/>
        <w:tblLook w:val="04A0" w:firstRow="1" w:lastRow="0" w:firstColumn="1" w:lastColumn="0" w:noHBand="0" w:noVBand="1"/>
        <w:tblCaption w:val="Table 9. Estimated Overall Participation Rates for All Students, 2022"/>
        <w:tblDescription w:val="Table 9 shows the overall participation rate estimates for all students in 2021–22."/>
      </w:tblPr>
      <w:tblGrid>
        <w:gridCol w:w="1582"/>
        <w:gridCol w:w="2527"/>
        <w:gridCol w:w="2706"/>
        <w:gridCol w:w="2535"/>
      </w:tblGrid>
      <w:tr w:rsidR="57EEB976" w:rsidRPr="00FC6EF2" w14:paraId="5763CCF6" w14:textId="77777777" w:rsidTr="007F55A2">
        <w:trPr>
          <w:cantSplit/>
          <w:trHeight w:val="1655"/>
          <w:tblHeader/>
        </w:trPr>
        <w:tc>
          <w:tcPr>
            <w:tcW w:w="1615" w:type="dxa"/>
            <w:vAlign w:val="center"/>
          </w:tcPr>
          <w:p w14:paraId="7671BC27" w14:textId="77777777" w:rsidR="231891FD" w:rsidRPr="00FC6EF2" w:rsidRDefault="231891FD" w:rsidP="57EEB976">
            <w:pPr>
              <w:jc w:val="center"/>
              <w:rPr>
                <w:rFonts w:cs="Arial"/>
                <w:color w:val="000000" w:themeColor="text1"/>
              </w:rPr>
            </w:pPr>
            <w:r w:rsidRPr="00FC6EF2">
              <w:rPr>
                <w:rFonts w:cs="Arial"/>
                <w:color w:val="000000" w:themeColor="text1"/>
              </w:rPr>
              <w:t>Content Area</w:t>
            </w:r>
          </w:p>
        </w:tc>
        <w:tc>
          <w:tcPr>
            <w:tcW w:w="2610" w:type="dxa"/>
            <w:vAlign w:val="center"/>
          </w:tcPr>
          <w:p w14:paraId="57C29C22" w14:textId="77777777" w:rsidR="231891FD" w:rsidRPr="00FC6EF2" w:rsidRDefault="231891FD" w:rsidP="57EEB976">
            <w:pPr>
              <w:jc w:val="center"/>
              <w:rPr>
                <w:rFonts w:cs="Arial"/>
                <w:color w:val="000000" w:themeColor="text1"/>
              </w:rPr>
            </w:pPr>
            <w:r w:rsidRPr="00FC6EF2">
              <w:rPr>
                <w:rFonts w:cs="Arial"/>
                <w:color w:val="000000" w:themeColor="text1"/>
              </w:rPr>
              <w:t>Number of Eligible Students, 2022 (estimate based on 2022 enrollment)</w:t>
            </w:r>
          </w:p>
        </w:tc>
        <w:tc>
          <w:tcPr>
            <w:tcW w:w="2790" w:type="dxa"/>
            <w:vAlign w:val="center"/>
          </w:tcPr>
          <w:p w14:paraId="6F2EC0DC" w14:textId="77777777" w:rsidR="231891FD" w:rsidRPr="00FC6EF2" w:rsidRDefault="231891FD" w:rsidP="57EEB976">
            <w:pPr>
              <w:jc w:val="center"/>
              <w:rPr>
                <w:rFonts w:cs="Arial"/>
                <w:color w:val="000000" w:themeColor="text1"/>
              </w:rPr>
            </w:pPr>
            <w:r w:rsidRPr="00FC6EF2">
              <w:rPr>
                <w:rFonts w:cs="Arial"/>
                <w:color w:val="000000" w:themeColor="text1"/>
              </w:rPr>
              <w:t>Number of Students Assessed, 2022 (estimate based on 95% participation)</w:t>
            </w:r>
          </w:p>
        </w:tc>
        <w:tc>
          <w:tcPr>
            <w:tcW w:w="2610" w:type="dxa"/>
            <w:vAlign w:val="center"/>
          </w:tcPr>
          <w:p w14:paraId="0F39A415" w14:textId="77777777" w:rsidR="231891FD" w:rsidRPr="00FC6EF2" w:rsidRDefault="231891FD" w:rsidP="57EEB976">
            <w:pPr>
              <w:jc w:val="center"/>
              <w:rPr>
                <w:rFonts w:cs="Arial"/>
                <w:color w:val="000000" w:themeColor="text1"/>
              </w:rPr>
            </w:pPr>
            <w:r w:rsidRPr="00FC6EF2">
              <w:rPr>
                <w:rFonts w:cs="Arial"/>
                <w:color w:val="000000" w:themeColor="text1"/>
              </w:rPr>
              <w:t>Participation Rate, 2022 (estimate)</w:t>
            </w:r>
          </w:p>
        </w:tc>
      </w:tr>
      <w:tr w:rsidR="57EEB976" w:rsidRPr="00FC6EF2" w14:paraId="0DBD8DB3" w14:textId="77777777" w:rsidTr="57EEB976">
        <w:trPr>
          <w:trHeight w:val="320"/>
        </w:trPr>
        <w:tc>
          <w:tcPr>
            <w:tcW w:w="1615" w:type="dxa"/>
          </w:tcPr>
          <w:p w14:paraId="26D5D185" w14:textId="77777777" w:rsidR="231891FD" w:rsidRPr="00FC6EF2" w:rsidRDefault="231891FD" w:rsidP="57EEB976">
            <w:pPr>
              <w:rPr>
                <w:rFonts w:cs="Arial"/>
                <w:color w:val="000000" w:themeColor="text1"/>
              </w:rPr>
            </w:pPr>
            <w:r w:rsidRPr="00FC6EF2">
              <w:rPr>
                <w:rFonts w:cs="Arial"/>
                <w:color w:val="000000" w:themeColor="text1"/>
              </w:rPr>
              <w:t>ELA  </w:t>
            </w:r>
          </w:p>
        </w:tc>
        <w:tc>
          <w:tcPr>
            <w:tcW w:w="2610" w:type="dxa"/>
          </w:tcPr>
          <w:p w14:paraId="2C8A1A19" w14:textId="77777777" w:rsidR="231891FD" w:rsidRPr="00FC6EF2" w:rsidRDefault="231891FD" w:rsidP="57EEB976">
            <w:pPr>
              <w:jc w:val="right"/>
              <w:rPr>
                <w:rFonts w:cs="Arial"/>
                <w:color w:val="000000" w:themeColor="text1"/>
              </w:rPr>
            </w:pPr>
            <w:r w:rsidRPr="00FC6EF2">
              <w:rPr>
                <w:rFonts w:cs="Arial"/>
                <w:color w:val="000000" w:themeColor="text1"/>
              </w:rPr>
              <w:t>3,115,258</w:t>
            </w:r>
          </w:p>
        </w:tc>
        <w:tc>
          <w:tcPr>
            <w:tcW w:w="2790" w:type="dxa"/>
          </w:tcPr>
          <w:p w14:paraId="786F1D90" w14:textId="77777777" w:rsidR="231891FD" w:rsidRPr="00FC6EF2" w:rsidRDefault="231891FD" w:rsidP="57EEB976">
            <w:pPr>
              <w:jc w:val="right"/>
              <w:rPr>
                <w:rFonts w:cs="Arial"/>
                <w:color w:val="000000" w:themeColor="text1"/>
              </w:rPr>
            </w:pPr>
            <w:r w:rsidRPr="00FC6EF2">
              <w:rPr>
                <w:rFonts w:cs="Arial"/>
                <w:color w:val="000000" w:themeColor="text1"/>
              </w:rPr>
              <w:t>2,959,496</w:t>
            </w:r>
          </w:p>
        </w:tc>
        <w:tc>
          <w:tcPr>
            <w:tcW w:w="2610" w:type="dxa"/>
          </w:tcPr>
          <w:p w14:paraId="6CF9182F" w14:textId="77777777" w:rsidR="231891FD" w:rsidRPr="00FC6EF2" w:rsidRDefault="231891FD" w:rsidP="57EEB976">
            <w:pPr>
              <w:jc w:val="right"/>
              <w:rPr>
                <w:rFonts w:cs="Arial"/>
                <w:color w:val="000000" w:themeColor="text1"/>
              </w:rPr>
            </w:pPr>
            <w:r w:rsidRPr="00FC6EF2">
              <w:rPr>
                <w:rFonts w:cs="Arial"/>
                <w:color w:val="000000" w:themeColor="text1"/>
              </w:rPr>
              <w:t>95.00%</w:t>
            </w:r>
          </w:p>
        </w:tc>
      </w:tr>
      <w:tr w:rsidR="57EEB976" w:rsidRPr="00FC6EF2" w14:paraId="13A1E463" w14:textId="77777777" w:rsidTr="57EEB976">
        <w:trPr>
          <w:trHeight w:val="320"/>
        </w:trPr>
        <w:tc>
          <w:tcPr>
            <w:tcW w:w="1615" w:type="dxa"/>
          </w:tcPr>
          <w:p w14:paraId="3186A4B4" w14:textId="77777777" w:rsidR="231891FD" w:rsidRPr="00FC6EF2" w:rsidRDefault="231891FD" w:rsidP="57EEB976">
            <w:pPr>
              <w:rPr>
                <w:rFonts w:cs="Arial"/>
                <w:color w:val="000000" w:themeColor="text1"/>
              </w:rPr>
            </w:pPr>
            <w:r w:rsidRPr="00FC6EF2">
              <w:rPr>
                <w:rFonts w:cs="Arial"/>
                <w:color w:val="000000" w:themeColor="text1"/>
              </w:rPr>
              <w:t>Math</w:t>
            </w:r>
          </w:p>
        </w:tc>
        <w:tc>
          <w:tcPr>
            <w:tcW w:w="2610" w:type="dxa"/>
          </w:tcPr>
          <w:p w14:paraId="4C5665C3" w14:textId="77777777" w:rsidR="231891FD" w:rsidRPr="00FC6EF2" w:rsidRDefault="231891FD" w:rsidP="57EEB976">
            <w:pPr>
              <w:jc w:val="right"/>
              <w:rPr>
                <w:rFonts w:cs="Arial"/>
                <w:color w:val="000000" w:themeColor="text1"/>
              </w:rPr>
            </w:pPr>
            <w:r w:rsidRPr="00FC6EF2">
              <w:rPr>
                <w:rFonts w:cs="Arial"/>
                <w:color w:val="000000" w:themeColor="text1"/>
              </w:rPr>
              <w:t>3,115,258</w:t>
            </w:r>
          </w:p>
        </w:tc>
        <w:tc>
          <w:tcPr>
            <w:tcW w:w="2790" w:type="dxa"/>
          </w:tcPr>
          <w:p w14:paraId="146D5A34" w14:textId="77777777" w:rsidR="231891FD" w:rsidRPr="00FC6EF2" w:rsidRDefault="231891FD" w:rsidP="57EEB976">
            <w:pPr>
              <w:jc w:val="right"/>
              <w:rPr>
                <w:rFonts w:cs="Arial"/>
                <w:color w:val="000000" w:themeColor="text1"/>
              </w:rPr>
            </w:pPr>
            <w:r w:rsidRPr="00FC6EF2">
              <w:rPr>
                <w:rFonts w:cs="Arial"/>
                <w:color w:val="000000" w:themeColor="text1"/>
              </w:rPr>
              <w:t>2,959,496</w:t>
            </w:r>
          </w:p>
        </w:tc>
        <w:tc>
          <w:tcPr>
            <w:tcW w:w="2610" w:type="dxa"/>
          </w:tcPr>
          <w:p w14:paraId="746ABE96" w14:textId="77777777" w:rsidR="231891FD" w:rsidRPr="00FC6EF2" w:rsidRDefault="231891FD" w:rsidP="57EEB976">
            <w:pPr>
              <w:jc w:val="right"/>
              <w:rPr>
                <w:rFonts w:cs="Arial"/>
                <w:color w:val="000000" w:themeColor="text1"/>
              </w:rPr>
            </w:pPr>
            <w:r w:rsidRPr="00FC6EF2">
              <w:rPr>
                <w:rFonts w:cs="Arial"/>
                <w:color w:val="000000" w:themeColor="text1"/>
              </w:rPr>
              <w:t>95.00%</w:t>
            </w:r>
          </w:p>
        </w:tc>
      </w:tr>
      <w:tr w:rsidR="57EEB976" w:rsidRPr="00FC6EF2" w14:paraId="2FB01EED" w14:textId="77777777" w:rsidTr="57EEB976">
        <w:trPr>
          <w:trHeight w:val="320"/>
        </w:trPr>
        <w:tc>
          <w:tcPr>
            <w:tcW w:w="1615" w:type="dxa"/>
          </w:tcPr>
          <w:p w14:paraId="408C4F4E" w14:textId="77777777" w:rsidR="231891FD" w:rsidRPr="00FC6EF2" w:rsidRDefault="231891FD" w:rsidP="57EEB976">
            <w:pPr>
              <w:rPr>
                <w:rFonts w:cs="Arial"/>
                <w:color w:val="000000" w:themeColor="text1"/>
              </w:rPr>
            </w:pPr>
            <w:r w:rsidRPr="00FC6EF2">
              <w:rPr>
                <w:rFonts w:cs="Arial"/>
                <w:color w:val="000000" w:themeColor="text1"/>
              </w:rPr>
              <w:t>Science </w:t>
            </w:r>
          </w:p>
        </w:tc>
        <w:tc>
          <w:tcPr>
            <w:tcW w:w="2610" w:type="dxa"/>
          </w:tcPr>
          <w:p w14:paraId="60A7212E" w14:textId="77777777" w:rsidR="231891FD" w:rsidRPr="00FC6EF2" w:rsidRDefault="231891FD" w:rsidP="57EEB976">
            <w:pPr>
              <w:jc w:val="right"/>
              <w:rPr>
                <w:rFonts w:cs="Arial"/>
                <w:color w:val="000000" w:themeColor="text1"/>
              </w:rPr>
            </w:pPr>
            <w:r w:rsidRPr="00FC6EF2">
              <w:rPr>
                <w:rFonts w:cs="Arial"/>
                <w:color w:val="000000" w:themeColor="text1"/>
              </w:rPr>
              <w:t>1,444,258</w:t>
            </w:r>
          </w:p>
        </w:tc>
        <w:tc>
          <w:tcPr>
            <w:tcW w:w="2790" w:type="dxa"/>
          </w:tcPr>
          <w:p w14:paraId="14715B32" w14:textId="77777777" w:rsidR="231891FD" w:rsidRPr="00FC6EF2" w:rsidRDefault="231891FD" w:rsidP="57EEB976">
            <w:pPr>
              <w:jc w:val="right"/>
              <w:rPr>
                <w:rFonts w:cs="Arial"/>
                <w:color w:val="000000" w:themeColor="text1"/>
              </w:rPr>
            </w:pPr>
            <w:r w:rsidRPr="00FC6EF2">
              <w:rPr>
                <w:rFonts w:cs="Arial"/>
                <w:color w:val="000000" w:themeColor="text1"/>
              </w:rPr>
              <w:t>1,372,046</w:t>
            </w:r>
          </w:p>
        </w:tc>
        <w:tc>
          <w:tcPr>
            <w:tcW w:w="2610" w:type="dxa"/>
          </w:tcPr>
          <w:p w14:paraId="34E58D0D" w14:textId="77777777" w:rsidR="231891FD" w:rsidRPr="00FC6EF2" w:rsidRDefault="231891FD" w:rsidP="57EEB976">
            <w:pPr>
              <w:jc w:val="right"/>
              <w:rPr>
                <w:rFonts w:cs="Arial"/>
                <w:color w:val="000000" w:themeColor="text1"/>
              </w:rPr>
            </w:pPr>
            <w:r w:rsidRPr="00FC6EF2">
              <w:rPr>
                <w:rFonts w:cs="Arial"/>
                <w:color w:val="000000" w:themeColor="text1"/>
              </w:rPr>
              <w:t>95.00%</w:t>
            </w:r>
          </w:p>
        </w:tc>
      </w:tr>
    </w:tbl>
    <w:p w14:paraId="4931A616" w14:textId="3DAD39C9" w:rsidR="00D73618" w:rsidRPr="00FC6EF2" w:rsidRDefault="00D73618" w:rsidP="57EEB976">
      <w:r w:rsidRPr="00FC6EF2">
        <w:br w:type="page"/>
      </w:r>
    </w:p>
    <w:p w14:paraId="54795489" w14:textId="0E9AE972" w:rsidR="00401F86" w:rsidRPr="00FC6EF2" w:rsidRDefault="231891FD" w:rsidP="004E65E6">
      <w:pPr>
        <w:pStyle w:val="Heading4"/>
        <w:rPr>
          <w:rFonts w:eastAsia="Arial"/>
        </w:rPr>
      </w:pPr>
      <w:r w:rsidRPr="00FC6EF2">
        <w:rPr>
          <w:rFonts w:eastAsia="Calibri"/>
        </w:rPr>
        <w:lastRenderedPageBreak/>
        <w:t xml:space="preserve">The 1 </w:t>
      </w:r>
      <w:r w:rsidRPr="00FC6EF2">
        <w:rPr>
          <w:rFonts w:eastAsia="Arial"/>
        </w:rPr>
        <w:t xml:space="preserve">Percent Waiver Request Requirements </w:t>
      </w:r>
    </w:p>
    <w:p w14:paraId="4DACDD24" w14:textId="0F987773" w:rsidR="00401F86" w:rsidRPr="00FC6EF2" w:rsidRDefault="231891FD" w:rsidP="0097249C">
      <w:pPr>
        <w:spacing w:after="240"/>
        <w:rPr>
          <w:rFonts w:eastAsia="Arial" w:cs="Arial"/>
          <w:color w:val="000000" w:themeColor="text1"/>
        </w:rPr>
      </w:pPr>
      <w:r w:rsidRPr="00FC6EF2">
        <w:rPr>
          <w:rFonts w:eastAsia="Arial" w:cs="Arial"/>
          <w:b/>
        </w:rPr>
        <w:t>Requirement 1</w:t>
      </w:r>
      <w:r w:rsidR="008E2E97" w:rsidRPr="00FC6EF2">
        <w:rPr>
          <w:rFonts w:eastAsia="Arial" w:cs="Arial"/>
          <w:b/>
        </w:rPr>
        <w:t>—</w:t>
      </w:r>
      <w:r w:rsidRPr="00FC6EF2">
        <w:rPr>
          <w:rFonts w:eastAsia="Arial" w:cs="Arial"/>
          <w:b/>
          <w:bCs/>
        </w:rPr>
        <w:t xml:space="preserve">34 </w:t>
      </w:r>
      <w:r w:rsidRPr="00FC6EF2">
        <w:rPr>
          <w:rFonts w:eastAsia="Arial" w:cs="Arial"/>
          <w:b/>
          <w:bCs/>
          <w:i/>
          <w:iCs/>
        </w:rPr>
        <w:t>CFR</w:t>
      </w:r>
      <w:r w:rsidRPr="00FC6EF2">
        <w:rPr>
          <w:rFonts w:eastAsia="Arial" w:cs="Arial"/>
          <w:b/>
          <w:bCs/>
        </w:rPr>
        <w:t xml:space="preserve"> Section </w:t>
      </w:r>
      <w:r w:rsidRPr="00FC6EF2">
        <w:rPr>
          <w:rFonts w:eastAsia="Arial" w:cs="Arial"/>
          <w:b/>
          <w:bCs/>
          <w:color w:val="000000" w:themeColor="text1"/>
        </w:rPr>
        <w:t>200.6(c)(4)(i)</w:t>
      </w:r>
      <w:r w:rsidRPr="00FC6EF2">
        <w:rPr>
          <w:rFonts w:eastAsia="Arial" w:cs="Arial"/>
          <w:color w:val="000000" w:themeColor="text1"/>
        </w:rPr>
        <w:t xml:space="preserve">: Submit the waiver request at least 90 days before testing window starts for the relevant subject. </w:t>
      </w:r>
    </w:p>
    <w:p w14:paraId="5EEA672D" w14:textId="56113C88" w:rsidR="57EEB976" w:rsidRPr="00FC6EF2" w:rsidRDefault="57EEB976" w:rsidP="0097249C">
      <w:pPr>
        <w:spacing w:before="120" w:after="240"/>
        <w:rPr>
          <w:rFonts w:eastAsia="Arial" w:cs="Arial"/>
          <w:color w:val="000000" w:themeColor="text1"/>
        </w:rPr>
      </w:pPr>
      <w:r w:rsidRPr="00FC6EF2">
        <w:rPr>
          <w:rFonts w:eastAsia="Arial" w:cs="Arial"/>
          <w:color w:val="000000" w:themeColor="text1"/>
        </w:rPr>
        <w:t xml:space="preserve">The </w:t>
      </w:r>
      <w:r w:rsidR="008379B5" w:rsidRPr="00FC6EF2">
        <w:rPr>
          <w:rFonts w:eastAsia="Arial" w:cs="Arial"/>
          <w:color w:val="000000" w:themeColor="text1"/>
        </w:rPr>
        <w:t xml:space="preserve">state </w:t>
      </w:r>
      <w:r w:rsidRPr="00FC6EF2">
        <w:rPr>
          <w:rFonts w:eastAsia="Arial" w:cs="Arial"/>
          <w:color w:val="000000" w:themeColor="text1"/>
        </w:rPr>
        <w:t>testing window for reading/language arts</w:t>
      </w:r>
      <w:r w:rsidR="008379B5" w:rsidRPr="00FC6EF2">
        <w:rPr>
          <w:rFonts w:eastAsia="Arial" w:cs="Arial"/>
          <w:color w:val="000000" w:themeColor="text1"/>
        </w:rPr>
        <w:t>,</w:t>
      </w:r>
      <w:r w:rsidR="00F23363" w:rsidRPr="00FC6EF2">
        <w:rPr>
          <w:rFonts w:eastAsia="Arial" w:cs="Arial"/>
          <w:color w:val="000000" w:themeColor="text1"/>
        </w:rPr>
        <w:t xml:space="preserve"> </w:t>
      </w:r>
      <w:r w:rsidRPr="00FC6EF2">
        <w:rPr>
          <w:rFonts w:eastAsia="Arial" w:cs="Arial"/>
          <w:color w:val="000000" w:themeColor="text1"/>
        </w:rPr>
        <w:t>mathematics</w:t>
      </w:r>
      <w:r w:rsidR="008379B5" w:rsidRPr="00FC6EF2">
        <w:rPr>
          <w:rFonts w:eastAsia="Arial" w:cs="Arial"/>
          <w:color w:val="000000" w:themeColor="text1"/>
        </w:rPr>
        <w:t>, and science</w:t>
      </w:r>
      <w:r w:rsidRPr="00FC6EF2">
        <w:rPr>
          <w:rFonts w:eastAsia="Arial" w:cs="Arial"/>
          <w:color w:val="000000" w:themeColor="text1"/>
        </w:rPr>
        <w:t xml:space="preserve"> assessments opened on January 11, 2022. Ninety days prior to January 11, 2022, </w:t>
      </w:r>
      <w:r w:rsidR="00C96B25" w:rsidRPr="00FC6EF2">
        <w:rPr>
          <w:rFonts w:eastAsia="Arial" w:cs="Arial"/>
          <w:color w:val="000000" w:themeColor="text1"/>
        </w:rPr>
        <w:t xml:space="preserve">would have been </w:t>
      </w:r>
      <w:r w:rsidRPr="00FC6EF2">
        <w:rPr>
          <w:rFonts w:eastAsia="Arial" w:cs="Arial"/>
          <w:color w:val="000000" w:themeColor="text1"/>
        </w:rPr>
        <w:t>October 14, 2021; therefore, this waiver request does not meet the 90-day requirement.</w:t>
      </w:r>
    </w:p>
    <w:p w14:paraId="492A32A7" w14:textId="77655A8B" w:rsidR="57EEB976" w:rsidRPr="00FC6EF2" w:rsidRDefault="57EEB976" w:rsidP="0097249C">
      <w:pPr>
        <w:spacing w:before="120" w:after="240"/>
        <w:rPr>
          <w:rFonts w:eastAsia="Arial" w:cs="Arial"/>
          <w:color w:val="000000" w:themeColor="text1"/>
        </w:rPr>
      </w:pPr>
      <w:r w:rsidRPr="00FC6EF2">
        <w:rPr>
          <w:rFonts w:eastAsia="Arial" w:cs="Arial"/>
          <w:color w:val="000000" w:themeColor="text1"/>
        </w:rPr>
        <w:t xml:space="preserve">The CAA for science testing window opened September 7, 2021, per </w:t>
      </w:r>
      <w:r w:rsidRPr="00FC6EF2">
        <w:rPr>
          <w:rFonts w:eastAsia="Arial" w:cs="Arial"/>
          <w:i/>
          <w:color w:val="000000" w:themeColor="text1"/>
        </w:rPr>
        <w:t>E</w:t>
      </w:r>
      <w:r w:rsidR="008379B5" w:rsidRPr="00FC6EF2">
        <w:rPr>
          <w:rFonts w:eastAsia="Arial" w:cs="Arial"/>
          <w:i/>
          <w:color w:val="000000" w:themeColor="text1"/>
        </w:rPr>
        <w:t xml:space="preserve">ducation </w:t>
      </w:r>
      <w:r w:rsidRPr="00FC6EF2">
        <w:rPr>
          <w:rFonts w:eastAsia="Arial" w:cs="Arial"/>
          <w:i/>
          <w:color w:val="000000" w:themeColor="text1"/>
        </w:rPr>
        <w:t>C</w:t>
      </w:r>
      <w:r w:rsidR="008379B5" w:rsidRPr="00FC6EF2">
        <w:rPr>
          <w:rFonts w:eastAsia="Arial" w:cs="Arial"/>
          <w:i/>
          <w:color w:val="000000" w:themeColor="text1"/>
        </w:rPr>
        <w:t>ode (EC)</w:t>
      </w:r>
      <w:r w:rsidRPr="00FC6EF2">
        <w:rPr>
          <w:rFonts w:eastAsia="Arial" w:cs="Arial"/>
          <w:color w:val="000000" w:themeColor="text1"/>
        </w:rPr>
        <w:t xml:space="preserve"> </w:t>
      </w:r>
      <w:r w:rsidR="008379B5" w:rsidRPr="00FC6EF2">
        <w:rPr>
          <w:rFonts w:eastAsia="Arial" w:cs="Arial"/>
          <w:color w:val="000000" w:themeColor="text1"/>
        </w:rPr>
        <w:t xml:space="preserve">Section </w:t>
      </w:r>
      <w:r w:rsidRPr="00FC6EF2">
        <w:rPr>
          <w:rFonts w:eastAsia="Arial" w:cs="Arial"/>
          <w:color w:val="000000" w:themeColor="text1"/>
        </w:rPr>
        <w:t xml:space="preserve">855(a)(2). Ninety days prior to September 7, 2021, </w:t>
      </w:r>
      <w:r w:rsidR="00E72F3B" w:rsidRPr="00FC6EF2">
        <w:rPr>
          <w:rFonts w:eastAsia="Arial" w:cs="Arial"/>
          <w:color w:val="000000" w:themeColor="text1"/>
        </w:rPr>
        <w:t xml:space="preserve">would have been </w:t>
      </w:r>
      <w:r w:rsidR="00023F7D" w:rsidRPr="00FC6EF2">
        <w:rPr>
          <w:rFonts w:eastAsia="Arial" w:cs="Arial"/>
          <w:color w:val="000000" w:themeColor="text1"/>
        </w:rPr>
        <w:br/>
      </w:r>
      <w:r w:rsidRPr="00FC6EF2">
        <w:rPr>
          <w:rFonts w:eastAsia="Arial" w:cs="Arial"/>
          <w:color w:val="000000" w:themeColor="text1"/>
        </w:rPr>
        <w:t xml:space="preserve">June 9, </w:t>
      </w:r>
      <w:r w:rsidR="00D55516" w:rsidRPr="00FC6EF2">
        <w:rPr>
          <w:rFonts w:eastAsia="Arial" w:cs="Arial"/>
          <w:color w:val="000000" w:themeColor="text1"/>
        </w:rPr>
        <w:t>2021</w:t>
      </w:r>
      <w:r w:rsidRPr="00FC6EF2">
        <w:rPr>
          <w:rFonts w:eastAsia="Arial" w:cs="Arial"/>
          <w:color w:val="000000" w:themeColor="text1"/>
        </w:rPr>
        <w:t>; therefore, this waiver request does not meet the 90-day requirement.</w:t>
      </w:r>
    </w:p>
    <w:p w14:paraId="75EF8DFF" w14:textId="7B19E26A" w:rsidR="00401F86" w:rsidRPr="00FC6EF2" w:rsidRDefault="60CB5E39" w:rsidP="0097249C">
      <w:pPr>
        <w:spacing w:before="120" w:after="240"/>
        <w:rPr>
          <w:rFonts w:eastAsia="Arial" w:cs="Arial"/>
          <w:color w:val="000000" w:themeColor="text1"/>
        </w:rPr>
      </w:pPr>
      <w:r w:rsidRPr="00FC6EF2">
        <w:rPr>
          <w:rFonts w:eastAsia="Arial" w:cs="Arial"/>
        </w:rPr>
        <w:t xml:space="preserve">Because the </w:t>
      </w:r>
      <w:r w:rsidR="04AC4FDE" w:rsidRPr="00FC6EF2">
        <w:rPr>
          <w:rFonts w:eastAsia="Arial" w:cs="Arial"/>
        </w:rPr>
        <w:t xml:space="preserve">annual </w:t>
      </w:r>
      <w:r w:rsidRPr="00FC6EF2">
        <w:rPr>
          <w:rFonts w:eastAsia="Arial" w:cs="Arial"/>
        </w:rPr>
        <w:t>testing window has already begun, the CDE cannot submit this waiver request 90 days prior to testing.</w:t>
      </w:r>
      <w:r w:rsidR="00D55516" w:rsidRPr="00FC6EF2">
        <w:rPr>
          <w:rFonts w:eastAsia="Arial" w:cs="Arial"/>
        </w:rPr>
        <w:t xml:space="preserve"> As a result, California requests a waiver of </w:t>
      </w:r>
      <w:r w:rsidR="00D55516" w:rsidRPr="00FC6EF2">
        <w:rPr>
          <w:rFonts w:eastAsia="Arial" w:cs="Arial"/>
          <w:b/>
          <w:bCs/>
        </w:rPr>
        <w:t xml:space="preserve">34 </w:t>
      </w:r>
      <w:r w:rsidR="00D55516" w:rsidRPr="00FC6EF2">
        <w:rPr>
          <w:rFonts w:eastAsia="Arial" w:cs="Arial"/>
          <w:b/>
          <w:bCs/>
          <w:i/>
          <w:iCs/>
        </w:rPr>
        <w:t>CFR</w:t>
      </w:r>
      <w:r w:rsidR="00D55516" w:rsidRPr="00FC6EF2">
        <w:rPr>
          <w:rFonts w:eastAsia="Arial" w:cs="Arial"/>
          <w:b/>
          <w:bCs/>
        </w:rPr>
        <w:t xml:space="preserve"> Section 200.6(c)(4)(i)</w:t>
      </w:r>
      <w:r w:rsidR="00D55516" w:rsidRPr="00FC6EF2">
        <w:rPr>
          <w:rFonts w:eastAsia="Arial" w:cs="Arial"/>
        </w:rPr>
        <w:t>.</w:t>
      </w:r>
      <w:r w:rsidRPr="00FC6EF2">
        <w:rPr>
          <w:rFonts w:eastAsia="Arial" w:cs="Arial"/>
        </w:rPr>
        <w:t xml:space="preserve"> In the future, should the need for a waiver arise, the state will submit a waiver request 90 days before the testing window opens</w:t>
      </w:r>
      <w:r w:rsidR="00023F7D" w:rsidRPr="00FC6EF2">
        <w:rPr>
          <w:rFonts w:eastAsia="Arial" w:cs="Arial"/>
        </w:rPr>
        <w:t>,</w:t>
      </w:r>
      <w:r w:rsidR="007B4266" w:rsidRPr="00FC6EF2">
        <w:rPr>
          <w:rFonts w:eastAsia="Arial" w:cs="Arial"/>
        </w:rPr>
        <w:t xml:space="preserve"> as feasible</w:t>
      </w:r>
      <w:r w:rsidRPr="00FC6EF2">
        <w:rPr>
          <w:rFonts w:eastAsia="Arial" w:cs="Arial"/>
        </w:rPr>
        <w:t xml:space="preserve">. </w:t>
      </w:r>
    </w:p>
    <w:p w14:paraId="3C0ED2E5" w14:textId="76C53BBD" w:rsidR="00401F86" w:rsidRPr="00FC6EF2" w:rsidRDefault="231891FD" w:rsidP="0097249C">
      <w:pPr>
        <w:spacing w:after="240"/>
        <w:rPr>
          <w:rFonts w:eastAsia="Arial" w:cs="Arial"/>
          <w:color w:val="000000" w:themeColor="text1"/>
        </w:rPr>
      </w:pPr>
      <w:r w:rsidRPr="00FC6EF2">
        <w:rPr>
          <w:rFonts w:eastAsia="Arial" w:cs="Arial"/>
          <w:b/>
          <w:bCs/>
        </w:rPr>
        <w:t>Requirement 2</w:t>
      </w:r>
      <w:r w:rsidR="006C2AEF" w:rsidRPr="00FC6EF2">
        <w:rPr>
          <w:rFonts w:eastAsia="Arial" w:cs="Arial"/>
          <w:b/>
          <w:bCs/>
        </w:rPr>
        <w:t>—</w:t>
      </w:r>
      <w:r w:rsidRPr="00FC6EF2">
        <w:rPr>
          <w:rFonts w:eastAsia="Arial" w:cs="Arial"/>
          <w:b/>
          <w:bCs/>
        </w:rPr>
        <w:t xml:space="preserve">34 </w:t>
      </w:r>
      <w:r w:rsidRPr="00FC6EF2">
        <w:rPr>
          <w:rFonts w:eastAsia="Arial" w:cs="Arial"/>
          <w:b/>
          <w:bCs/>
          <w:i/>
          <w:iCs/>
        </w:rPr>
        <w:t>CFR</w:t>
      </w:r>
      <w:r w:rsidRPr="00FC6EF2">
        <w:rPr>
          <w:rFonts w:eastAsia="Arial" w:cs="Arial"/>
          <w:b/>
          <w:bCs/>
        </w:rPr>
        <w:t xml:space="preserve"> Section </w:t>
      </w:r>
      <w:r w:rsidRPr="00FC6EF2">
        <w:rPr>
          <w:rFonts w:eastAsia="Arial" w:cs="Arial"/>
          <w:b/>
          <w:bCs/>
          <w:color w:val="000000" w:themeColor="text1"/>
        </w:rPr>
        <w:t>200.6(c)(4)(ii)</w:t>
      </w:r>
      <w:r w:rsidRPr="00FC6EF2">
        <w:rPr>
          <w:rFonts w:eastAsia="Arial" w:cs="Arial"/>
          <w:color w:val="000000" w:themeColor="text1"/>
        </w:rPr>
        <w:t>: Provide state-level data, from the current or previous year, to show: (A) the number and percent in each student group who took the AA-AAAS in the subject area; and (B) the State has measured the achievement of at least 95 percent of all students and students with disabilities in the previous year who were enrolled in the grades for which the AA-AAAS is required.</w:t>
      </w:r>
    </w:p>
    <w:p w14:paraId="0BC7B60D" w14:textId="62388E33" w:rsidR="00401F86" w:rsidRPr="00FC6EF2" w:rsidRDefault="231891FD" w:rsidP="0097249C">
      <w:pPr>
        <w:spacing w:after="240"/>
        <w:rPr>
          <w:rFonts w:eastAsia="Arial" w:cs="Arial"/>
          <w:color w:val="000000" w:themeColor="text1"/>
        </w:rPr>
        <w:sectPr w:rsidR="00401F86" w:rsidRPr="00FC6EF2" w:rsidSect="009B2C6C">
          <w:headerReference w:type="default" r:id="rId35"/>
          <w:headerReference w:type="first" r:id="rId36"/>
          <w:pgSz w:w="12240" w:h="15840" w:code="1"/>
          <w:pgMar w:top="1440" w:right="1440" w:bottom="1440" w:left="1440" w:header="720" w:footer="720" w:gutter="0"/>
          <w:cols w:space="720"/>
          <w:docGrid w:linePitch="360"/>
        </w:sectPr>
      </w:pPr>
      <w:r w:rsidRPr="00FC6EF2">
        <w:rPr>
          <w:rFonts w:eastAsia="Arial" w:cs="Arial"/>
          <w:color w:val="000000" w:themeColor="text1"/>
        </w:rPr>
        <w:t>Where applicable, the state will also provide a credible estimate of the number and percentage of students (including by student group, if possible) it expects to take the alternate assessment in 2021</w:t>
      </w:r>
      <w:r w:rsidRPr="00FC6EF2">
        <w:rPr>
          <w:rFonts w:eastAsia="Arial" w:cs="Arial"/>
        </w:rPr>
        <w:t>–</w:t>
      </w:r>
      <w:r w:rsidRPr="00FC6EF2">
        <w:rPr>
          <w:rFonts w:eastAsia="Arial" w:cs="Arial"/>
          <w:color w:val="000000" w:themeColor="text1"/>
        </w:rPr>
        <w:t xml:space="preserve">22. </w:t>
      </w:r>
      <w:r w:rsidR="57EEB976" w:rsidRPr="00FC6EF2">
        <w:t xml:space="preserve">Tables 10 through </w:t>
      </w:r>
      <w:r w:rsidR="7869C17B" w:rsidRPr="00FC6EF2">
        <w:t>12</w:t>
      </w:r>
      <w:r w:rsidR="57EEB976" w:rsidRPr="00FC6EF2">
        <w:t xml:space="preserve"> show detailed</w:t>
      </w:r>
      <w:r w:rsidR="00476D85" w:rsidRPr="00FC6EF2">
        <w:t xml:space="preserve"> student group</w:t>
      </w:r>
      <w:r w:rsidR="57EEB976" w:rsidRPr="00FC6EF2">
        <w:t xml:space="preserve"> participation rates for the CAA</w:t>
      </w:r>
      <w:r w:rsidR="004D047F" w:rsidRPr="00FC6EF2">
        <w:t xml:space="preserve"> of eligible students</w:t>
      </w:r>
      <w:r w:rsidR="57EEB976" w:rsidRPr="00FC6EF2">
        <w:t xml:space="preserve"> by content area for 2018–19</w:t>
      </w:r>
      <w:r w:rsidR="004D047F" w:rsidRPr="00FC6EF2">
        <w:t xml:space="preserve"> and</w:t>
      </w:r>
      <w:r w:rsidR="57EEB976" w:rsidRPr="00FC6EF2">
        <w:t xml:space="preserve"> 2020–21</w:t>
      </w:r>
      <w:r w:rsidR="004D047F" w:rsidRPr="00FC6EF2">
        <w:t>,</w:t>
      </w:r>
      <w:r w:rsidR="57EEB976" w:rsidRPr="00FC6EF2">
        <w:t xml:space="preserve"> and an estimate of </w:t>
      </w:r>
      <w:r w:rsidR="004D047F" w:rsidRPr="00FC6EF2">
        <w:t xml:space="preserve">the </w:t>
      </w:r>
      <w:r w:rsidR="57EEB976" w:rsidRPr="00FC6EF2">
        <w:t xml:space="preserve">2021–22 participation. </w:t>
      </w:r>
    </w:p>
    <w:p w14:paraId="079FD104" w14:textId="5095B12C" w:rsidR="00401F86" w:rsidRPr="00FC6EF2" w:rsidRDefault="231891FD" w:rsidP="00401F86">
      <w:pPr>
        <w:spacing w:after="60" w:line="259" w:lineRule="auto"/>
        <w:ind w:right="1440"/>
        <w:rPr>
          <w:rFonts w:eastAsia="Calibri" w:cs="Arial"/>
        </w:rPr>
      </w:pPr>
      <w:r w:rsidRPr="00FC6EF2">
        <w:rPr>
          <w:rFonts w:eastAsia="Calibri" w:cs="Arial"/>
        </w:rPr>
        <w:lastRenderedPageBreak/>
        <w:t xml:space="preserve">Table 10. CAA for </w:t>
      </w:r>
      <w:r w:rsidRPr="00FC6EF2">
        <w:rPr>
          <w:rFonts w:cs="Arial"/>
          <w:color w:val="000000" w:themeColor="text1"/>
        </w:rPr>
        <w:t>ELA Participation Rates by Student Group</w:t>
      </w:r>
    </w:p>
    <w:tbl>
      <w:tblPr>
        <w:tblStyle w:val="TableGrid1"/>
        <w:tblW w:w="15210" w:type="dxa"/>
        <w:tblInd w:w="-815" w:type="dxa"/>
        <w:tblLayout w:type="fixed"/>
        <w:tblLook w:val="04A0" w:firstRow="1" w:lastRow="0" w:firstColumn="1" w:lastColumn="0" w:noHBand="0" w:noVBand="1"/>
        <w:tblCaption w:val="Table 10. CAA for ELA Participation Rates by Student Group"/>
        <w:tblDescription w:val="Table 10 display the CAA for ELA Participation Rates by Student Group."/>
      </w:tblPr>
      <w:tblGrid>
        <w:gridCol w:w="1980"/>
        <w:gridCol w:w="1350"/>
        <w:gridCol w:w="1350"/>
        <w:gridCol w:w="1530"/>
        <w:gridCol w:w="1350"/>
        <w:gridCol w:w="1350"/>
        <w:gridCol w:w="1620"/>
        <w:gridCol w:w="1620"/>
        <w:gridCol w:w="1530"/>
        <w:gridCol w:w="1530"/>
      </w:tblGrid>
      <w:tr w:rsidR="00401F86" w:rsidRPr="00FC6EF2" w14:paraId="452C1851" w14:textId="77777777" w:rsidTr="007F55A2">
        <w:trPr>
          <w:cantSplit/>
          <w:trHeight w:val="2380"/>
          <w:tblHeader/>
        </w:trPr>
        <w:tc>
          <w:tcPr>
            <w:tcW w:w="1980" w:type="dxa"/>
            <w:vAlign w:val="center"/>
            <w:hideMark/>
          </w:tcPr>
          <w:p w14:paraId="19223416" w14:textId="77777777" w:rsidR="00401F86" w:rsidRPr="00FC6EF2" w:rsidRDefault="00401F86" w:rsidP="00401F86">
            <w:pPr>
              <w:jc w:val="center"/>
              <w:rPr>
                <w:rFonts w:cs="Arial"/>
                <w:color w:val="000000"/>
              </w:rPr>
            </w:pPr>
            <w:r w:rsidRPr="00FC6EF2">
              <w:rPr>
                <w:rFonts w:cs="Arial"/>
                <w:color w:val="000000"/>
              </w:rPr>
              <w:t>Student Group</w:t>
            </w:r>
          </w:p>
        </w:tc>
        <w:tc>
          <w:tcPr>
            <w:tcW w:w="1350" w:type="dxa"/>
            <w:vAlign w:val="center"/>
            <w:hideMark/>
          </w:tcPr>
          <w:p w14:paraId="5034FB38" w14:textId="77777777" w:rsidR="00401F86" w:rsidRPr="00FC6EF2" w:rsidRDefault="231891FD" w:rsidP="00401F86">
            <w:pPr>
              <w:jc w:val="center"/>
              <w:rPr>
                <w:rFonts w:cs="Arial"/>
                <w:color w:val="000000"/>
              </w:rPr>
            </w:pPr>
            <w:r w:rsidRPr="00FC6EF2">
              <w:rPr>
                <w:rFonts w:cs="Arial"/>
                <w:color w:val="000000" w:themeColor="text1"/>
              </w:rPr>
              <w:t>Number of Students Assessed, 2019</w:t>
            </w:r>
          </w:p>
        </w:tc>
        <w:tc>
          <w:tcPr>
            <w:tcW w:w="1350" w:type="dxa"/>
            <w:vAlign w:val="center"/>
            <w:hideMark/>
          </w:tcPr>
          <w:p w14:paraId="1B967B46" w14:textId="77777777" w:rsidR="00401F86" w:rsidRPr="00FC6EF2" w:rsidRDefault="00401F86" w:rsidP="00401F86">
            <w:pPr>
              <w:jc w:val="center"/>
              <w:rPr>
                <w:rFonts w:cs="Arial"/>
                <w:color w:val="000000"/>
              </w:rPr>
            </w:pPr>
            <w:r w:rsidRPr="00FC6EF2">
              <w:rPr>
                <w:rFonts w:cs="Arial"/>
                <w:color w:val="000000"/>
              </w:rPr>
              <w:t xml:space="preserve">Number of Students Assessed with </w:t>
            </w:r>
            <w:r w:rsidRPr="00FC6EF2">
              <w:rPr>
                <w:rFonts w:eastAsia="Calibri" w:cs="Arial"/>
              </w:rPr>
              <w:t>CAA,</w:t>
            </w:r>
            <w:r w:rsidRPr="00FC6EF2">
              <w:rPr>
                <w:rFonts w:cs="Arial"/>
                <w:color w:val="000000"/>
              </w:rPr>
              <w:t xml:space="preserve"> 2019</w:t>
            </w:r>
          </w:p>
        </w:tc>
        <w:tc>
          <w:tcPr>
            <w:tcW w:w="1530" w:type="dxa"/>
            <w:vAlign w:val="center"/>
            <w:hideMark/>
          </w:tcPr>
          <w:p w14:paraId="7703DD6E" w14:textId="77777777" w:rsidR="00401F86" w:rsidRPr="00FC6EF2" w:rsidRDefault="00401F86" w:rsidP="00401F86">
            <w:pPr>
              <w:jc w:val="center"/>
              <w:rPr>
                <w:rFonts w:cs="Arial"/>
                <w:color w:val="000000"/>
              </w:rPr>
            </w:pPr>
            <w:r w:rsidRPr="00FC6EF2">
              <w:rPr>
                <w:rFonts w:cs="Arial"/>
                <w:color w:val="000000"/>
              </w:rPr>
              <w:t xml:space="preserve">Percentage of Students Assessed with </w:t>
            </w:r>
            <w:r w:rsidRPr="00FC6EF2">
              <w:rPr>
                <w:rFonts w:eastAsia="Calibri" w:cs="Arial"/>
              </w:rPr>
              <w:t>CAA,</w:t>
            </w:r>
            <w:r w:rsidRPr="00FC6EF2">
              <w:rPr>
                <w:rFonts w:cs="Arial"/>
                <w:color w:val="000000"/>
              </w:rPr>
              <w:t xml:space="preserve"> 2019</w:t>
            </w:r>
          </w:p>
        </w:tc>
        <w:tc>
          <w:tcPr>
            <w:tcW w:w="1350" w:type="dxa"/>
            <w:vAlign w:val="center"/>
            <w:hideMark/>
          </w:tcPr>
          <w:p w14:paraId="6A52BD38" w14:textId="77777777" w:rsidR="00401F86" w:rsidRPr="00FC6EF2" w:rsidRDefault="00401F86" w:rsidP="00401F86">
            <w:pPr>
              <w:jc w:val="center"/>
              <w:rPr>
                <w:rFonts w:cs="Arial"/>
                <w:color w:val="000000"/>
              </w:rPr>
            </w:pPr>
            <w:r w:rsidRPr="00FC6EF2">
              <w:rPr>
                <w:rFonts w:cs="Arial"/>
                <w:color w:val="000000"/>
              </w:rPr>
              <w:t>Number of Students Assessed, 2021</w:t>
            </w:r>
          </w:p>
        </w:tc>
        <w:tc>
          <w:tcPr>
            <w:tcW w:w="1350" w:type="dxa"/>
            <w:vAlign w:val="center"/>
            <w:hideMark/>
          </w:tcPr>
          <w:p w14:paraId="0331FBB8" w14:textId="77777777" w:rsidR="00401F86" w:rsidRPr="00FC6EF2" w:rsidRDefault="00401F86" w:rsidP="00401F86">
            <w:pPr>
              <w:jc w:val="center"/>
              <w:rPr>
                <w:rFonts w:cs="Arial"/>
                <w:color w:val="000000"/>
              </w:rPr>
            </w:pPr>
            <w:r w:rsidRPr="00FC6EF2">
              <w:rPr>
                <w:rFonts w:cs="Arial"/>
                <w:color w:val="000000"/>
              </w:rPr>
              <w:t xml:space="preserve">Number of Students Assessed with </w:t>
            </w:r>
            <w:r w:rsidRPr="00FC6EF2">
              <w:rPr>
                <w:rFonts w:eastAsia="Calibri" w:cs="Arial"/>
              </w:rPr>
              <w:t>CAA,</w:t>
            </w:r>
            <w:r w:rsidRPr="00FC6EF2">
              <w:rPr>
                <w:rFonts w:cs="Arial"/>
                <w:color w:val="000000"/>
              </w:rPr>
              <w:t xml:space="preserve"> 2021</w:t>
            </w:r>
          </w:p>
        </w:tc>
        <w:tc>
          <w:tcPr>
            <w:tcW w:w="1620" w:type="dxa"/>
            <w:vAlign w:val="center"/>
            <w:hideMark/>
          </w:tcPr>
          <w:p w14:paraId="2F926450" w14:textId="77777777" w:rsidR="00401F86" w:rsidRPr="00FC6EF2" w:rsidRDefault="00401F86" w:rsidP="00401F86">
            <w:pPr>
              <w:jc w:val="center"/>
              <w:rPr>
                <w:rFonts w:cs="Arial"/>
                <w:color w:val="000000"/>
              </w:rPr>
            </w:pPr>
            <w:r w:rsidRPr="00FC6EF2">
              <w:rPr>
                <w:rFonts w:cs="Arial"/>
                <w:color w:val="000000"/>
              </w:rPr>
              <w:t xml:space="preserve">Percentage of Students Assessed with </w:t>
            </w:r>
            <w:r w:rsidRPr="00FC6EF2">
              <w:rPr>
                <w:rFonts w:eastAsia="Calibri" w:cs="Arial"/>
              </w:rPr>
              <w:t>CAA,</w:t>
            </w:r>
            <w:r w:rsidRPr="00FC6EF2">
              <w:rPr>
                <w:rFonts w:cs="Arial"/>
                <w:color w:val="000000"/>
              </w:rPr>
              <w:t xml:space="preserve"> 2021</w:t>
            </w:r>
          </w:p>
        </w:tc>
        <w:tc>
          <w:tcPr>
            <w:tcW w:w="1620" w:type="dxa"/>
            <w:vAlign w:val="center"/>
            <w:hideMark/>
          </w:tcPr>
          <w:p w14:paraId="1E1F19D3" w14:textId="77777777" w:rsidR="00401F86" w:rsidRPr="00FC6EF2" w:rsidRDefault="00401F86" w:rsidP="00401F86">
            <w:pPr>
              <w:jc w:val="center"/>
              <w:rPr>
                <w:rFonts w:cs="Arial"/>
                <w:color w:val="000000"/>
              </w:rPr>
            </w:pPr>
            <w:r w:rsidRPr="00FC6EF2">
              <w:rPr>
                <w:rFonts w:cs="Arial"/>
                <w:color w:val="000000"/>
              </w:rPr>
              <w:t>Number of Students Assessed, 2022 (estimate based on enrollment in grades 3–8 and 11)</w:t>
            </w:r>
          </w:p>
        </w:tc>
        <w:tc>
          <w:tcPr>
            <w:tcW w:w="1530" w:type="dxa"/>
            <w:vAlign w:val="center"/>
            <w:hideMark/>
          </w:tcPr>
          <w:p w14:paraId="2A2E6615" w14:textId="77777777" w:rsidR="00401F86" w:rsidRPr="00FC6EF2" w:rsidRDefault="00401F86" w:rsidP="00401F86">
            <w:pPr>
              <w:jc w:val="center"/>
              <w:rPr>
                <w:rFonts w:cs="Arial"/>
                <w:color w:val="000000"/>
              </w:rPr>
            </w:pPr>
            <w:r w:rsidRPr="00FC6EF2">
              <w:rPr>
                <w:rFonts w:cs="Arial"/>
                <w:color w:val="000000"/>
              </w:rPr>
              <w:t xml:space="preserve">Number of Students Assessed with </w:t>
            </w:r>
            <w:r w:rsidRPr="00FC6EF2">
              <w:rPr>
                <w:rFonts w:eastAsia="Calibri" w:cs="Arial"/>
              </w:rPr>
              <w:t>CAA,</w:t>
            </w:r>
            <w:r w:rsidRPr="00FC6EF2">
              <w:rPr>
                <w:rFonts w:cs="Arial"/>
                <w:color w:val="000000"/>
              </w:rPr>
              <w:t xml:space="preserve"> 2022 (estimate based on 2021 test registration)</w:t>
            </w:r>
          </w:p>
        </w:tc>
        <w:tc>
          <w:tcPr>
            <w:tcW w:w="1530" w:type="dxa"/>
            <w:vAlign w:val="center"/>
            <w:hideMark/>
          </w:tcPr>
          <w:p w14:paraId="510EF078" w14:textId="77777777" w:rsidR="00401F86" w:rsidRPr="00FC6EF2" w:rsidRDefault="00401F86" w:rsidP="00401F86">
            <w:pPr>
              <w:jc w:val="center"/>
              <w:rPr>
                <w:rFonts w:cs="Arial"/>
                <w:color w:val="000000"/>
              </w:rPr>
            </w:pPr>
            <w:r w:rsidRPr="00FC6EF2">
              <w:rPr>
                <w:rFonts w:cs="Arial"/>
                <w:color w:val="000000"/>
              </w:rPr>
              <w:t xml:space="preserve">Percentage of Students Assessed with </w:t>
            </w:r>
            <w:r w:rsidRPr="00FC6EF2">
              <w:rPr>
                <w:rFonts w:eastAsia="Calibri" w:cs="Arial"/>
              </w:rPr>
              <w:t>CAA,</w:t>
            </w:r>
            <w:r w:rsidRPr="00FC6EF2">
              <w:rPr>
                <w:rFonts w:cs="Arial"/>
                <w:color w:val="000000"/>
              </w:rPr>
              <w:t xml:space="preserve"> 2022 (estimate)</w:t>
            </w:r>
          </w:p>
        </w:tc>
      </w:tr>
      <w:tr w:rsidR="00401F86" w:rsidRPr="00FC6EF2" w14:paraId="428C6DBC" w14:textId="77777777" w:rsidTr="0097249C">
        <w:trPr>
          <w:trHeight w:val="320"/>
        </w:trPr>
        <w:tc>
          <w:tcPr>
            <w:tcW w:w="1980" w:type="dxa"/>
            <w:noWrap/>
            <w:hideMark/>
          </w:tcPr>
          <w:p w14:paraId="47ADA468" w14:textId="77777777" w:rsidR="00401F86" w:rsidRPr="00FC6EF2" w:rsidRDefault="00401F86" w:rsidP="00401F86">
            <w:pPr>
              <w:rPr>
                <w:rFonts w:cs="Arial"/>
                <w:color w:val="000000"/>
              </w:rPr>
            </w:pPr>
            <w:r w:rsidRPr="00FC6EF2">
              <w:rPr>
                <w:rFonts w:cs="Arial"/>
                <w:color w:val="000000"/>
              </w:rPr>
              <w:t>All Students</w:t>
            </w:r>
          </w:p>
        </w:tc>
        <w:tc>
          <w:tcPr>
            <w:tcW w:w="1350" w:type="dxa"/>
            <w:noWrap/>
            <w:hideMark/>
          </w:tcPr>
          <w:p w14:paraId="6B890079" w14:textId="463514B2" w:rsidR="00401F86" w:rsidRPr="00FC6EF2" w:rsidRDefault="231891FD" w:rsidP="00401F86">
            <w:pPr>
              <w:jc w:val="right"/>
              <w:rPr>
                <w:rFonts w:cs="Arial"/>
                <w:color w:val="000000"/>
              </w:rPr>
            </w:pPr>
            <w:r w:rsidRPr="00FC6EF2">
              <w:rPr>
                <w:rFonts w:cs="Arial"/>
                <w:color w:val="000000" w:themeColor="text1"/>
              </w:rPr>
              <w:t>3,200,402</w:t>
            </w:r>
          </w:p>
        </w:tc>
        <w:tc>
          <w:tcPr>
            <w:tcW w:w="1350" w:type="dxa"/>
            <w:noWrap/>
            <w:hideMark/>
          </w:tcPr>
          <w:p w14:paraId="01E401DF" w14:textId="77777777" w:rsidR="00401F86" w:rsidRPr="00FC6EF2" w:rsidRDefault="00401F86" w:rsidP="00401F86">
            <w:pPr>
              <w:jc w:val="right"/>
              <w:rPr>
                <w:rFonts w:cs="Arial"/>
                <w:color w:val="000000"/>
              </w:rPr>
            </w:pPr>
            <w:r w:rsidRPr="00FC6EF2">
              <w:rPr>
                <w:rFonts w:cs="Arial"/>
                <w:color w:val="000000" w:themeColor="text1"/>
              </w:rPr>
              <w:t>37,492</w:t>
            </w:r>
          </w:p>
        </w:tc>
        <w:tc>
          <w:tcPr>
            <w:tcW w:w="1530" w:type="dxa"/>
            <w:noWrap/>
            <w:hideMark/>
          </w:tcPr>
          <w:p w14:paraId="2328684F" w14:textId="77777777" w:rsidR="00401F86" w:rsidRPr="00FC6EF2" w:rsidRDefault="00401F86" w:rsidP="00401F86">
            <w:pPr>
              <w:jc w:val="right"/>
              <w:rPr>
                <w:rFonts w:cs="Arial"/>
                <w:color w:val="000000"/>
              </w:rPr>
            </w:pPr>
            <w:r w:rsidRPr="00FC6EF2">
              <w:rPr>
                <w:rFonts w:cs="Arial"/>
                <w:color w:val="000000"/>
              </w:rPr>
              <w:t>1.17%</w:t>
            </w:r>
          </w:p>
        </w:tc>
        <w:tc>
          <w:tcPr>
            <w:tcW w:w="1350" w:type="dxa"/>
            <w:noWrap/>
            <w:hideMark/>
          </w:tcPr>
          <w:p w14:paraId="60365D31" w14:textId="77777777" w:rsidR="00401F86" w:rsidRPr="00FC6EF2" w:rsidRDefault="00401F86" w:rsidP="00401F86">
            <w:pPr>
              <w:jc w:val="right"/>
              <w:rPr>
                <w:rFonts w:cs="Arial"/>
                <w:color w:val="000000"/>
              </w:rPr>
            </w:pPr>
            <w:r w:rsidRPr="00FC6EF2">
              <w:rPr>
                <w:rFonts w:cs="Arial"/>
                <w:color w:val="000000"/>
              </w:rPr>
              <w:t>754,744</w:t>
            </w:r>
          </w:p>
        </w:tc>
        <w:tc>
          <w:tcPr>
            <w:tcW w:w="1350" w:type="dxa"/>
            <w:noWrap/>
            <w:hideMark/>
          </w:tcPr>
          <w:p w14:paraId="20A1FE04" w14:textId="77777777" w:rsidR="00401F86" w:rsidRPr="00FC6EF2" w:rsidRDefault="00401F86" w:rsidP="00401F86">
            <w:pPr>
              <w:jc w:val="right"/>
              <w:rPr>
                <w:rFonts w:cs="Arial"/>
                <w:color w:val="000000"/>
              </w:rPr>
            </w:pPr>
            <w:r w:rsidRPr="00FC6EF2">
              <w:rPr>
                <w:rFonts w:cs="Arial"/>
                <w:color w:val="000000"/>
              </w:rPr>
              <w:t>11,118</w:t>
            </w:r>
          </w:p>
        </w:tc>
        <w:tc>
          <w:tcPr>
            <w:tcW w:w="1620" w:type="dxa"/>
            <w:noWrap/>
            <w:hideMark/>
          </w:tcPr>
          <w:p w14:paraId="019A916F" w14:textId="77777777" w:rsidR="00401F86" w:rsidRPr="00FC6EF2" w:rsidRDefault="00401F86" w:rsidP="00401F86">
            <w:pPr>
              <w:jc w:val="right"/>
              <w:rPr>
                <w:rFonts w:cs="Arial"/>
                <w:color w:val="000000"/>
              </w:rPr>
            </w:pPr>
            <w:r w:rsidRPr="00FC6EF2">
              <w:rPr>
                <w:rFonts w:cs="Arial"/>
                <w:color w:val="000000"/>
              </w:rPr>
              <w:t>1.47%</w:t>
            </w:r>
          </w:p>
        </w:tc>
        <w:tc>
          <w:tcPr>
            <w:tcW w:w="1620" w:type="dxa"/>
            <w:noWrap/>
            <w:hideMark/>
          </w:tcPr>
          <w:p w14:paraId="21CA08B9" w14:textId="77777777" w:rsidR="00401F86" w:rsidRPr="00FC6EF2" w:rsidRDefault="00401F86" w:rsidP="00401F86">
            <w:pPr>
              <w:jc w:val="right"/>
              <w:rPr>
                <w:rFonts w:cs="Arial"/>
                <w:color w:val="000000"/>
              </w:rPr>
            </w:pPr>
            <w:r w:rsidRPr="00FC6EF2">
              <w:rPr>
                <w:rFonts w:cs="Arial"/>
                <w:color w:val="000000"/>
              </w:rPr>
              <w:t>3,115,258</w:t>
            </w:r>
          </w:p>
        </w:tc>
        <w:tc>
          <w:tcPr>
            <w:tcW w:w="1530" w:type="dxa"/>
            <w:noWrap/>
            <w:hideMark/>
          </w:tcPr>
          <w:p w14:paraId="5EBD59ED" w14:textId="77777777" w:rsidR="00401F86" w:rsidRPr="00FC6EF2" w:rsidRDefault="00401F86" w:rsidP="00401F86">
            <w:pPr>
              <w:jc w:val="right"/>
              <w:rPr>
                <w:rFonts w:cs="Arial"/>
                <w:color w:val="000000"/>
              </w:rPr>
            </w:pPr>
            <w:r w:rsidRPr="00FC6EF2">
              <w:rPr>
                <w:rFonts w:cs="Arial"/>
                <w:color w:val="000000"/>
              </w:rPr>
              <w:t>31,777</w:t>
            </w:r>
          </w:p>
        </w:tc>
        <w:tc>
          <w:tcPr>
            <w:tcW w:w="1530" w:type="dxa"/>
            <w:noWrap/>
            <w:hideMark/>
          </w:tcPr>
          <w:p w14:paraId="212FD1B2" w14:textId="77777777" w:rsidR="00401F86" w:rsidRPr="00FC6EF2" w:rsidRDefault="00401F86" w:rsidP="00401F86">
            <w:pPr>
              <w:jc w:val="right"/>
              <w:rPr>
                <w:rFonts w:cs="Arial"/>
                <w:color w:val="000000"/>
              </w:rPr>
            </w:pPr>
            <w:r w:rsidRPr="00FC6EF2">
              <w:rPr>
                <w:rFonts w:cs="Arial"/>
                <w:color w:val="000000"/>
              </w:rPr>
              <w:t>1.02%</w:t>
            </w:r>
          </w:p>
        </w:tc>
      </w:tr>
      <w:tr w:rsidR="00401F86" w:rsidRPr="00FC6EF2" w14:paraId="66BC2658" w14:textId="77777777" w:rsidTr="0097249C">
        <w:trPr>
          <w:trHeight w:val="320"/>
        </w:trPr>
        <w:tc>
          <w:tcPr>
            <w:tcW w:w="1980" w:type="dxa"/>
            <w:noWrap/>
            <w:hideMark/>
          </w:tcPr>
          <w:p w14:paraId="205A977F" w14:textId="77777777" w:rsidR="00401F86" w:rsidRPr="00FC6EF2" w:rsidRDefault="00401F86" w:rsidP="00401F86">
            <w:pPr>
              <w:rPr>
                <w:rFonts w:cs="Arial"/>
                <w:color w:val="000000"/>
              </w:rPr>
            </w:pPr>
            <w:r w:rsidRPr="00FC6EF2">
              <w:rPr>
                <w:rFonts w:cs="Arial"/>
                <w:color w:val="000000"/>
              </w:rPr>
              <w:t>Females</w:t>
            </w:r>
          </w:p>
        </w:tc>
        <w:tc>
          <w:tcPr>
            <w:tcW w:w="1350" w:type="dxa"/>
            <w:noWrap/>
            <w:hideMark/>
          </w:tcPr>
          <w:p w14:paraId="4E72A094" w14:textId="04F88C6E" w:rsidR="00401F86" w:rsidRPr="00FC6EF2" w:rsidRDefault="231891FD" w:rsidP="00401F86">
            <w:pPr>
              <w:jc w:val="right"/>
              <w:rPr>
                <w:rFonts w:cs="Arial"/>
                <w:color w:val="000000"/>
              </w:rPr>
            </w:pPr>
            <w:r w:rsidRPr="00FC6EF2">
              <w:rPr>
                <w:rFonts w:cs="Arial"/>
                <w:color w:val="000000" w:themeColor="text1"/>
              </w:rPr>
              <w:t>1,559,635</w:t>
            </w:r>
          </w:p>
        </w:tc>
        <w:tc>
          <w:tcPr>
            <w:tcW w:w="1350" w:type="dxa"/>
            <w:noWrap/>
            <w:hideMark/>
          </w:tcPr>
          <w:p w14:paraId="1E872582" w14:textId="77777777" w:rsidR="00401F86" w:rsidRPr="00FC6EF2" w:rsidRDefault="00401F86" w:rsidP="00401F86">
            <w:pPr>
              <w:jc w:val="right"/>
              <w:rPr>
                <w:rFonts w:cs="Arial"/>
                <w:color w:val="000000"/>
              </w:rPr>
            </w:pPr>
            <w:r w:rsidRPr="00FC6EF2">
              <w:rPr>
                <w:rFonts w:cs="Arial"/>
                <w:color w:val="000000"/>
              </w:rPr>
              <w:t>12,190</w:t>
            </w:r>
          </w:p>
        </w:tc>
        <w:tc>
          <w:tcPr>
            <w:tcW w:w="1530" w:type="dxa"/>
            <w:noWrap/>
            <w:hideMark/>
          </w:tcPr>
          <w:p w14:paraId="41B6BA9A" w14:textId="77777777" w:rsidR="00401F86" w:rsidRPr="00FC6EF2" w:rsidRDefault="00401F86" w:rsidP="00401F86">
            <w:pPr>
              <w:jc w:val="right"/>
              <w:rPr>
                <w:rFonts w:cs="Arial"/>
                <w:color w:val="000000"/>
              </w:rPr>
            </w:pPr>
            <w:r w:rsidRPr="00FC6EF2">
              <w:rPr>
                <w:rFonts w:cs="Arial"/>
                <w:color w:val="000000"/>
              </w:rPr>
              <w:t>0.78%</w:t>
            </w:r>
          </w:p>
        </w:tc>
        <w:tc>
          <w:tcPr>
            <w:tcW w:w="1350" w:type="dxa"/>
            <w:noWrap/>
            <w:hideMark/>
          </w:tcPr>
          <w:p w14:paraId="1A217FA3" w14:textId="77777777" w:rsidR="00401F86" w:rsidRPr="00FC6EF2" w:rsidRDefault="00401F86" w:rsidP="00401F86">
            <w:pPr>
              <w:jc w:val="right"/>
              <w:rPr>
                <w:rFonts w:cs="Arial"/>
                <w:color w:val="000000"/>
              </w:rPr>
            </w:pPr>
            <w:r w:rsidRPr="00FC6EF2">
              <w:rPr>
                <w:rFonts w:cs="Arial"/>
                <w:color w:val="000000"/>
              </w:rPr>
              <w:t>371,412</w:t>
            </w:r>
          </w:p>
        </w:tc>
        <w:tc>
          <w:tcPr>
            <w:tcW w:w="1350" w:type="dxa"/>
            <w:noWrap/>
            <w:hideMark/>
          </w:tcPr>
          <w:p w14:paraId="122A53F4" w14:textId="77777777" w:rsidR="00401F86" w:rsidRPr="00FC6EF2" w:rsidRDefault="00401F86" w:rsidP="00401F86">
            <w:pPr>
              <w:jc w:val="right"/>
              <w:rPr>
                <w:rFonts w:cs="Arial"/>
                <w:color w:val="000000"/>
              </w:rPr>
            </w:pPr>
            <w:r w:rsidRPr="00FC6EF2">
              <w:rPr>
                <w:rFonts w:cs="Arial"/>
                <w:color w:val="000000"/>
              </w:rPr>
              <w:t>3,484</w:t>
            </w:r>
          </w:p>
        </w:tc>
        <w:tc>
          <w:tcPr>
            <w:tcW w:w="1620" w:type="dxa"/>
            <w:noWrap/>
            <w:hideMark/>
          </w:tcPr>
          <w:p w14:paraId="7CE372E8" w14:textId="77777777" w:rsidR="00401F86" w:rsidRPr="00FC6EF2" w:rsidRDefault="00401F86" w:rsidP="00401F86">
            <w:pPr>
              <w:jc w:val="right"/>
              <w:rPr>
                <w:rFonts w:cs="Arial"/>
                <w:color w:val="000000"/>
              </w:rPr>
            </w:pPr>
            <w:r w:rsidRPr="00FC6EF2">
              <w:rPr>
                <w:rFonts w:cs="Arial"/>
                <w:color w:val="000000"/>
              </w:rPr>
              <w:t>0.94%</w:t>
            </w:r>
          </w:p>
        </w:tc>
        <w:tc>
          <w:tcPr>
            <w:tcW w:w="1620" w:type="dxa"/>
            <w:noWrap/>
            <w:hideMark/>
          </w:tcPr>
          <w:p w14:paraId="3CBC221F" w14:textId="77777777" w:rsidR="00401F86" w:rsidRPr="00FC6EF2" w:rsidRDefault="00401F86" w:rsidP="00401F86">
            <w:pPr>
              <w:jc w:val="right"/>
              <w:rPr>
                <w:rFonts w:cs="Arial"/>
                <w:color w:val="000000"/>
              </w:rPr>
            </w:pPr>
            <w:r w:rsidRPr="00FC6EF2">
              <w:rPr>
                <w:rFonts w:cs="Arial"/>
                <w:color w:val="000000"/>
              </w:rPr>
              <w:t>1,513,531</w:t>
            </w:r>
          </w:p>
        </w:tc>
        <w:tc>
          <w:tcPr>
            <w:tcW w:w="1530" w:type="dxa"/>
            <w:noWrap/>
            <w:hideMark/>
          </w:tcPr>
          <w:p w14:paraId="1875D236" w14:textId="77777777" w:rsidR="00401F86" w:rsidRPr="00FC6EF2" w:rsidRDefault="00401F86" w:rsidP="00401F86">
            <w:pPr>
              <w:jc w:val="right"/>
              <w:rPr>
                <w:rFonts w:cs="Arial"/>
                <w:color w:val="000000"/>
              </w:rPr>
            </w:pPr>
            <w:r w:rsidRPr="00FC6EF2">
              <w:rPr>
                <w:rFonts w:cs="Arial"/>
                <w:color w:val="000000"/>
              </w:rPr>
              <w:t>10,231</w:t>
            </w:r>
          </w:p>
        </w:tc>
        <w:tc>
          <w:tcPr>
            <w:tcW w:w="1530" w:type="dxa"/>
            <w:noWrap/>
            <w:hideMark/>
          </w:tcPr>
          <w:p w14:paraId="7B0E1803" w14:textId="77777777" w:rsidR="00401F86" w:rsidRPr="00FC6EF2" w:rsidRDefault="00401F86" w:rsidP="00401F86">
            <w:pPr>
              <w:jc w:val="right"/>
              <w:rPr>
                <w:rFonts w:cs="Arial"/>
                <w:color w:val="000000"/>
              </w:rPr>
            </w:pPr>
            <w:r w:rsidRPr="00FC6EF2">
              <w:rPr>
                <w:rFonts w:cs="Arial"/>
                <w:color w:val="000000"/>
              </w:rPr>
              <w:t>0.68%</w:t>
            </w:r>
          </w:p>
        </w:tc>
      </w:tr>
      <w:tr w:rsidR="00401F86" w:rsidRPr="00FC6EF2" w14:paraId="3F6BB834" w14:textId="77777777" w:rsidTr="0097249C">
        <w:trPr>
          <w:trHeight w:val="320"/>
        </w:trPr>
        <w:tc>
          <w:tcPr>
            <w:tcW w:w="1980" w:type="dxa"/>
            <w:noWrap/>
            <w:hideMark/>
          </w:tcPr>
          <w:p w14:paraId="5B17F687" w14:textId="77777777" w:rsidR="00401F86" w:rsidRPr="00FC6EF2" w:rsidRDefault="00401F86" w:rsidP="00401F86">
            <w:pPr>
              <w:rPr>
                <w:rFonts w:cs="Arial"/>
                <w:color w:val="000000"/>
              </w:rPr>
            </w:pPr>
            <w:r w:rsidRPr="00FC6EF2">
              <w:rPr>
                <w:rFonts w:cs="Arial"/>
                <w:color w:val="000000"/>
              </w:rPr>
              <w:t>Males</w:t>
            </w:r>
          </w:p>
        </w:tc>
        <w:tc>
          <w:tcPr>
            <w:tcW w:w="1350" w:type="dxa"/>
            <w:noWrap/>
            <w:hideMark/>
          </w:tcPr>
          <w:p w14:paraId="41597CD9" w14:textId="598C73AC" w:rsidR="00401F86" w:rsidRPr="00FC6EF2" w:rsidRDefault="231891FD" w:rsidP="00401F86">
            <w:pPr>
              <w:jc w:val="right"/>
              <w:rPr>
                <w:rFonts w:cs="Arial"/>
                <w:color w:val="000000"/>
              </w:rPr>
            </w:pPr>
            <w:r w:rsidRPr="00FC6EF2">
              <w:rPr>
                <w:rFonts w:cs="Arial"/>
                <w:color w:val="000000" w:themeColor="text1"/>
              </w:rPr>
              <w:t>1,640,767</w:t>
            </w:r>
          </w:p>
        </w:tc>
        <w:tc>
          <w:tcPr>
            <w:tcW w:w="1350" w:type="dxa"/>
            <w:noWrap/>
            <w:hideMark/>
          </w:tcPr>
          <w:p w14:paraId="21176893" w14:textId="77777777" w:rsidR="00401F86" w:rsidRPr="00FC6EF2" w:rsidRDefault="00401F86" w:rsidP="00401F86">
            <w:pPr>
              <w:jc w:val="right"/>
              <w:rPr>
                <w:rFonts w:cs="Arial"/>
                <w:color w:val="000000"/>
              </w:rPr>
            </w:pPr>
            <w:r w:rsidRPr="00FC6EF2">
              <w:rPr>
                <w:rFonts w:cs="Arial"/>
                <w:color w:val="000000"/>
              </w:rPr>
              <w:t>25,302</w:t>
            </w:r>
          </w:p>
        </w:tc>
        <w:tc>
          <w:tcPr>
            <w:tcW w:w="1530" w:type="dxa"/>
            <w:noWrap/>
            <w:hideMark/>
          </w:tcPr>
          <w:p w14:paraId="1A139DC8" w14:textId="77777777" w:rsidR="00401F86" w:rsidRPr="00FC6EF2" w:rsidRDefault="00401F86" w:rsidP="00401F86">
            <w:pPr>
              <w:jc w:val="right"/>
              <w:rPr>
                <w:rFonts w:cs="Arial"/>
                <w:color w:val="000000"/>
              </w:rPr>
            </w:pPr>
            <w:r w:rsidRPr="00FC6EF2">
              <w:rPr>
                <w:rFonts w:cs="Arial"/>
                <w:color w:val="000000"/>
              </w:rPr>
              <w:t>1.54%</w:t>
            </w:r>
          </w:p>
        </w:tc>
        <w:tc>
          <w:tcPr>
            <w:tcW w:w="1350" w:type="dxa"/>
            <w:noWrap/>
            <w:hideMark/>
          </w:tcPr>
          <w:p w14:paraId="7D98B4FB" w14:textId="77777777" w:rsidR="00401F86" w:rsidRPr="00FC6EF2" w:rsidRDefault="00401F86" w:rsidP="00401F86">
            <w:pPr>
              <w:jc w:val="right"/>
              <w:rPr>
                <w:rFonts w:cs="Arial"/>
                <w:color w:val="000000"/>
              </w:rPr>
            </w:pPr>
            <w:r w:rsidRPr="00FC6EF2">
              <w:rPr>
                <w:rFonts w:cs="Arial"/>
                <w:color w:val="000000"/>
              </w:rPr>
              <w:t>383,156</w:t>
            </w:r>
          </w:p>
        </w:tc>
        <w:tc>
          <w:tcPr>
            <w:tcW w:w="1350" w:type="dxa"/>
            <w:noWrap/>
            <w:hideMark/>
          </w:tcPr>
          <w:p w14:paraId="6663EB48" w14:textId="77777777" w:rsidR="00401F86" w:rsidRPr="00FC6EF2" w:rsidRDefault="00401F86" w:rsidP="00401F86">
            <w:pPr>
              <w:jc w:val="right"/>
              <w:rPr>
                <w:rFonts w:cs="Arial"/>
                <w:color w:val="000000"/>
              </w:rPr>
            </w:pPr>
            <w:r w:rsidRPr="00FC6EF2">
              <w:rPr>
                <w:rFonts w:cs="Arial"/>
                <w:color w:val="000000"/>
              </w:rPr>
              <w:t>7,634</w:t>
            </w:r>
          </w:p>
        </w:tc>
        <w:tc>
          <w:tcPr>
            <w:tcW w:w="1620" w:type="dxa"/>
            <w:noWrap/>
            <w:hideMark/>
          </w:tcPr>
          <w:p w14:paraId="22460ACA" w14:textId="77777777" w:rsidR="00401F86" w:rsidRPr="00FC6EF2" w:rsidRDefault="00401F86" w:rsidP="00401F86">
            <w:pPr>
              <w:jc w:val="right"/>
              <w:rPr>
                <w:rFonts w:cs="Arial"/>
                <w:color w:val="000000"/>
              </w:rPr>
            </w:pPr>
            <w:r w:rsidRPr="00FC6EF2">
              <w:rPr>
                <w:rFonts w:cs="Arial"/>
                <w:color w:val="000000"/>
              </w:rPr>
              <w:t>1.99%</w:t>
            </w:r>
          </w:p>
        </w:tc>
        <w:tc>
          <w:tcPr>
            <w:tcW w:w="1620" w:type="dxa"/>
            <w:noWrap/>
            <w:hideMark/>
          </w:tcPr>
          <w:p w14:paraId="7418B4DB" w14:textId="77777777" w:rsidR="00401F86" w:rsidRPr="00FC6EF2" w:rsidRDefault="00401F86" w:rsidP="00401F86">
            <w:pPr>
              <w:jc w:val="right"/>
              <w:rPr>
                <w:rFonts w:cs="Arial"/>
                <w:color w:val="000000"/>
              </w:rPr>
            </w:pPr>
            <w:r w:rsidRPr="00FC6EF2">
              <w:rPr>
                <w:rFonts w:cs="Arial"/>
                <w:color w:val="000000"/>
              </w:rPr>
              <w:t>1,600,203</w:t>
            </w:r>
          </w:p>
        </w:tc>
        <w:tc>
          <w:tcPr>
            <w:tcW w:w="1530" w:type="dxa"/>
            <w:noWrap/>
            <w:hideMark/>
          </w:tcPr>
          <w:p w14:paraId="72DF2EB7" w14:textId="77777777" w:rsidR="00401F86" w:rsidRPr="00FC6EF2" w:rsidRDefault="00401F86" w:rsidP="00401F86">
            <w:pPr>
              <w:jc w:val="right"/>
              <w:rPr>
                <w:rFonts w:cs="Arial"/>
                <w:color w:val="000000"/>
              </w:rPr>
            </w:pPr>
            <w:r w:rsidRPr="00FC6EF2">
              <w:rPr>
                <w:rFonts w:cs="Arial"/>
                <w:color w:val="000000"/>
              </w:rPr>
              <w:t>21,546</w:t>
            </w:r>
          </w:p>
        </w:tc>
        <w:tc>
          <w:tcPr>
            <w:tcW w:w="1530" w:type="dxa"/>
            <w:noWrap/>
            <w:hideMark/>
          </w:tcPr>
          <w:p w14:paraId="771017BD" w14:textId="77777777" w:rsidR="00401F86" w:rsidRPr="00FC6EF2" w:rsidRDefault="00401F86" w:rsidP="00401F86">
            <w:pPr>
              <w:jc w:val="right"/>
              <w:rPr>
                <w:rFonts w:cs="Arial"/>
                <w:color w:val="000000"/>
              </w:rPr>
            </w:pPr>
            <w:r w:rsidRPr="00FC6EF2">
              <w:rPr>
                <w:rFonts w:cs="Arial"/>
                <w:color w:val="000000"/>
              </w:rPr>
              <w:t>1.35%</w:t>
            </w:r>
          </w:p>
        </w:tc>
      </w:tr>
      <w:tr w:rsidR="00401F86" w:rsidRPr="00FC6EF2" w14:paraId="18AE8A49" w14:textId="77777777" w:rsidTr="0097249C">
        <w:trPr>
          <w:trHeight w:val="320"/>
        </w:trPr>
        <w:tc>
          <w:tcPr>
            <w:tcW w:w="1980" w:type="dxa"/>
            <w:noWrap/>
            <w:hideMark/>
          </w:tcPr>
          <w:p w14:paraId="22867730" w14:textId="77777777" w:rsidR="00401F86" w:rsidRPr="00FC6EF2" w:rsidRDefault="00401F86" w:rsidP="00401F86">
            <w:pPr>
              <w:rPr>
                <w:rFonts w:cs="Arial"/>
                <w:color w:val="000000"/>
              </w:rPr>
            </w:pPr>
            <w:r w:rsidRPr="00FC6EF2">
              <w:rPr>
                <w:rFonts w:cs="Arial"/>
                <w:color w:val="000000"/>
              </w:rPr>
              <w:t>Black</w:t>
            </w:r>
          </w:p>
        </w:tc>
        <w:tc>
          <w:tcPr>
            <w:tcW w:w="1350" w:type="dxa"/>
            <w:noWrap/>
            <w:hideMark/>
          </w:tcPr>
          <w:p w14:paraId="1B972D2E" w14:textId="26D42637" w:rsidR="00401F86" w:rsidRPr="00FC6EF2" w:rsidRDefault="231891FD" w:rsidP="00401F86">
            <w:pPr>
              <w:jc w:val="right"/>
              <w:rPr>
                <w:rFonts w:cs="Arial"/>
                <w:color w:val="000000"/>
              </w:rPr>
            </w:pPr>
            <w:r w:rsidRPr="00FC6EF2">
              <w:rPr>
                <w:rFonts w:cs="Arial"/>
                <w:color w:val="000000" w:themeColor="text1"/>
              </w:rPr>
              <w:t>170,509</w:t>
            </w:r>
          </w:p>
        </w:tc>
        <w:tc>
          <w:tcPr>
            <w:tcW w:w="1350" w:type="dxa"/>
            <w:noWrap/>
            <w:hideMark/>
          </w:tcPr>
          <w:p w14:paraId="11ACEECB" w14:textId="77777777" w:rsidR="00401F86" w:rsidRPr="00FC6EF2" w:rsidRDefault="00401F86" w:rsidP="00401F86">
            <w:pPr>
              <w:jc w:val="right"/>
              <w:rPr>
                <w:rFonts w:cs="Arial"/>
                <w:color w:val="000000"/>
              </w:rPr>
            </w:pPr>
            <w:r w:rsidRPr="00FC6EF2">
              <w:rPr>
                <w:rFonts w:cs="Arial"/>
                <w:color w:val="000000"/>
              </w:rPr>
              <w:t>3,039</w:t>
            </w:r>
          </w:p>
        </w:tc>
        <w:tc>
          <w:tcPr>
            <w:tcW w:w="1530" w:type="dxa"/>
            <w:noWrap/>
            <w:hideMark/>
          </w:tcPr>
          <w:p w14:paraId="32519440" w14:textId="77777777" w:rsidR="00401F86" w:rsidRPr="00FC6EF2" w:rsidRDefault="00401F86" w:rsidP="00401F86">
            <w:pPr>
              <w:jc w:val="right"/>
              <w:rPr>
                <w:rFonts w:cs="Arial"/>
                <w:color w:val="000000"/>
              </w:rPr>
            </w:pPr>
            <w:r w:rsidRPr="00FC6EF2">
              <w:rPr>
                <w:rFonts w:cs="Arial"/>
                <w:color w:val="000000"/>
              </w:rPr>
              <w:t>1.78%</w:t>
            </w:r>
          </w:p>
        </w:tc>
        <w:tc>
          <w:tcPr>
            <w:tcW w:w="1350" w:type="dxa"/>
            <w:noWrap/>
            <w:hideMark/>
          </w:tcPr>
          <w:p w14:paraId="7EB11F0E" w14:textId="77777777" w:rsidR="00401F86" w:rsidRPr="00FC6EF2" w:rsidRDefault="00401F86" w:rsidP="00401F86">
            <w:pPr>
              <w:jc w:val="right"/>
              <w:rPr>
                <w:rFonts w:cs="Arial"/>
                <w:color w:val="000000"/>
              </w:rPr>
            </w:pPr>
            <w:r w:rsidRPr="00FC6EF2">
              <w:rPr>
                <w:rFonts w:cs="Arial"/>
                <w:color w:val="000000"/>
              </w:rPr>
              <w:t>31,111</w:t>
            </w:r>
          </w:p>
        </w:tc>
        <w:tc>
          <w:tcPr>
            <w:tcW w:w="1350" w:type="dxa"/>
            <w:noWrap/>
            <w:hideMark/>
          </w:tcPr>
          <w:p w14:paraId="6C016B0C" w14:textId="77777777" w:rsidR="00401F86" w:rsidRPr="00FC6EF2" w:rsidRDefault="00401F86" w:rsidP="00401F86">
            <w:pPr>
              <w:jc w:val="right"/>
              <w:rPr>
                <w:rFonts w:cs="Arial"/>
                <w:color w:val="000000"/>
              </w:rPr>
            </w:pPr>
            <w:r w:rsidRPr="00FC6EF2">
              <w:rPr>
                <w:rFonts w:cs="Arial"/>
                <w:color w:val="000000"/>
              </w:rPr>
              <w:t>699</w:t>
            </w:r>
          </w:p>
        </w:tc>
        <w:tc>
          <w:tcPr>
            <w:tcW w:w="1620" w:type="dxa"/>
            <w:noWrap/>
            <w:hideMark/>
          </w:tcPr>
          <w:p w14:paraId="0D749B15" w14:textId="77777777" w:rsidR="00401F86" w:rsidRPr="00FC6EF2" w:rsidRDefault="00401F86" w:rsidP="00401F86">
            <w:pPr>
              <w:jc w:val="right"/>
              <w:rPr>
                <w:rFonts w:cs="Arial"/>
                <w:color w:val="000000"/>
              </w:rPr>
            </w:pPr>
            <w:r w:rsidRPr="00FC6EF2">
              <w:rPr>
                <w:rFonts w:cs="Arial"/>
                <w:color w:val="000000"/>
              </w:rPr>
              <w:t>2.25%</w:t>
            </w:r>
          </w:p>
        </w:tc>
        <w:tc>
          <w:tcPr>
            <w:tcW w:w="1620" w:type="dxa"/>
            <w:noWrap/>
            <w:hideMark/>
          </w:tcPr>
          <w:p w14:paraId="4D6E2183" w14:textId="77777777" w:rsidR="00401F86" w:rsidRPr="00FC6EF2" w:rsidRDefault="00401F86" w:rsidP="00401F86">
            <w:pPr>
              <w:jc w:val="right"/>
              <w:rPr>
                <w:rFonts w:cs="Arial"/>
                <w:color w:val="000000"/>
              </w:rPr>
            </w:pPr>
            <w:r w:rsidRPr="00FC6EF2">
              <w:rPr>
                <w:rFonts w:cs="Arial"/>
                <w:color w:val="000000"/>
              </w:rPr>
              <w:t>161,117</w:t>
            </w:r>
          </w:p>
        </w:tc>
        <w:tc>
          <w:tcPr>
            <w:tcW w:w="1530" w:type="dxa"/>
            <w:noWrap/>
            <w:hideMark/>
          </w:tcPr>
          <w:p w14:paraId="150870DD" w14:textId="77777777" w:rsidR="00401F86" w:rsidRPr="00FC6EF2" w:rsidRDefault="00401F86" w:rsidP="00401F86">
            <w:pPr>
              <w:jc w:val="right"/>
              <w:rPr>
                <w:rFonts w:cs="Arial"/>
                <w:color w:val="000000"/>
              </w:rPr>
            </w:pPr>
            <w:r w:rsidRPr="00FC6EF2">
              <w:rPr>
                <w:rFonts w:cs="Arial"/>
                <w:color w:val="000000"/>
              </w:rPr>
              <w:t>2,379</w:t>
            </w:r>
          </w:p>
        </w:tc>
        <w:tc>
          <w:tcPr>
            <w:tcW w:w="1530" w:type="dxa"/>
            <w:noWrap/>
            <w:hideMark/>
          </w:tcPr>
          <w:p w14:paraId="7FDE92B1" w14:textId="77777777" w:rsidR="00401F86" w:rsidRPr="00FC6EF2" w:rsidRDefault="00401F86" w:rsidP="00401F86">
            <w:pPr>
              <w:jc w:val="right"/>
              <w:rPr>
                <w:rFonts w:cs="Arial"/>
                <w:color w:val="000000"/>
              </w:rPr>
            </w:pPr>
            <w:r w:rsidRPr="00FC6EF2">
              <w:rPr>
                <w:rFonts w:cs="Arial"/>
                <w:color w:val="000000"/>
              </w:rPr>
              <w:t>1.48%</w:t>
            </w:r>
          </w:p>
        </w:tc>
      </w:tr>
      <w:tr w:rsidR="00401F86" w:rsidRPr="00FC6EF2" w14:paraId="10FCE743" w14:textId="77777777" w:rsidTr="0097249C">
        <w:trPr>
          <w:trHeight w:val="320"/>
        </w:trPr>
        <w:tc>
          <w:tcPr>
            <w:tcW w:w="1980" w:type="dxa"/>
            <w:noWrap/>
            <w:hideMark/>
          </w:tcPr>
          <w:p w14:paraId="7AFBE144" w14:textId="77777777" w:rsidR="00401F86" w:rsidRPr="00FC6EF2" w:rsidRDefault="00401F86" w:rsidP="00401F86">
            <w:pPr>
              <w:rPr>
                <w:rFonts w:cs="Arial"/>
                <w:color w:val="000000"/>
              </w:rPr>
            </w:pPr>
            <w:r w:rsidRPr="00FC6EF2">
              <w:rPr>
                <w:rFonts w:cs="Arial"/>
                <w:color w:val="000000"/>
              </w:rPr>
              <w:t>Hispanic</w:t>
            </w:r>
          </w:p>
        </w:tc>
        <w:tc>
          <w:tcPr>
            <w:tcW w:w="1350" w:type="dxa"/>
            <w:noWrap/>
            <w:hideMark/>
          </w:tcPr>
          <w:p w14:paraId="2BFDEA3C" w14:textId="500C33F7" w:rsidR="00401F86" w:rsidRPr="00FC6EF2" w:rsidRDefault="231891FD" w:rsidP="00401F86">
            <w:pPr>
              <w:jc w:val="right"/>
              <w:rPr>
                <w:rFonts w:cs="Arial"/>
                <w:color w:val="000000"/>
              </w:rPr>
            </w:pPr>
            <w:r w:rsidRPr="00FC6EF2">
              <w:rPr>
                <w:rFonts w:cs="Arial"/>
                <w:color w:val="000000" w:themeColor="text1"/>
              </w:rPr>
              <w:t>1,763,840</w:t>
            </w:r>
          </w:p>
        </w:tc>
        <w:tc>
          <w:tcPr>
            <w:tcW w:w="1350" w:type="dxa"/>
            <w:noWrap/>
            <w:hideMark/>
          </w:tcPr>
          <w:p w14:paraId="470FD571" w14:textId="77777777" w:rsidR="00401F86" w:rsidRPr="00FC6EF2" w:rsidRDefault="00401F86" w:rsidP="00401F86">
            <w:pPr>
              <w:jc w:val="right"/>
              <w:rPr>
                <w:rFonts w:cs="Arial"/>
                <w:color w:val="000000"/>
              </w:rPr>
            </w:pPr>
            <w:r w:rsidRPr="00FC6EF2">
              <w:rPr>
                <w:rFonts w:cs="Arial"/>
                <w:color w:val="000000"/>
              </w:rPr>
              <w:t>21,458</w:t>
            </w:r>
          </w:p>
        </w:tc>
        <w:tc>
          <w:tcPr>
            <w:tcW w:w="1530" w:type="dxa"/>
            <w:noWrap/>
            <w:hideMark/>
          </w:tcPr>
          <w:p w14:paraId="457C1B21" w14:textId="77777777" w:rsidR="00401F86" w:rsidRPr="00FC6EF2" w:rsidRDefault="00401F86" w:rsidP="00401F86">
            <w:pPr>
              <w:jc w:val="right"/>
              <w:rPr>
                <w:rFonts w:cs="Arial"/>
                <w:color w:val="000000"/>
              </w:rPr>
            </w:pPr>
            <w:r w:rsidRPr="00FC6EF2">
              <w:rPr>
                <w:rFonts w:cs="Arial"/>
                <w:color w:val="000000"/>
              </w:rPr>
              <w:t>1.22%</w:t>
            </w:r>
          </w:p>
        </w:tc>
        <w:tc>
          <w:tcPr>
            <w:tcW w:w="1350" w:type="dxa"/>
            <w:noWrap/>
            <w:hideMark/>
          </w:tcPr>
          <w:p w14:paraId="45299AFA" w14:textId="77777777" w:rsidR="00401F86" w:rsidRPr="00FC6EF2" w:rsidRDefault="00401F86" w:rsidP="00401F86">
            <w:pPr>
              <w:jc w:val="right"/>
              <w:rPr>
                <w:rFonts w:cs="Arial"/>
                <w:color w:val="000000"/>
              </w:rPr>
            </w:pPr>
            <w:r w:rsidRPr="00FC6EF2">
              <w:rPr>
                <w:rFonts w:cs="Arial"/>
                <w:color w:val="000000"/>
              </w:rPr>
              <w:t>387,532</w:t>
            </w:r>
          </w:p>
        </w:tc>
        <w:tc>
          <w:tcPr>
            <w:tcW w:w="1350" w:type="dxa"/>
            <w:noWrap/>
            <w:hideMark/>
          </w:tcPr>
          <w:p w14:paraId="682B486D" w14:textId="77777777" w:rsidR="00401F86" w:rsidRPr="00FC6EF2" w:rsidRDefault="00401F86" w:rsidP="00401F86">
            <w:pPr>
              <w:jc w:val="right"/>
              <w:rPr>
                <w:rFonts w:cs="Arial"/>
                <w:color w:val="000000"/>
              </w:rPr>
            </w:pPr>
            <w:r w:rsidRPr="00FC6EF2">
              <w:rPr>
                <w:rFonts w:cs="Arial"/>
                <w:color w:val="000000"/>
              </w:rPr>
              <w:t>5,897</w:t>
            </w:r>
          </w:p>
        </w:tc>
        <w:tc>
          <w:tcPr>
            <w:tcW w:w="1620" w:type="dxa"/>
            <w:noWrap/>
            <w:hideMark/>
          </w:tcPr>
          <w:p w14:paraId="5F86751B" w14:textId="77777777" w:rsidR="00401F86" w:rsidRPr="00FC6EF2" w:rsidRDefault="00401F86" w:rsidP="00401F86">
            <w:pPr>
              <w:jc w:val="right"/>
              <w:rPr>
                <w:rFonts w:cs="Arial"/>
                <w:color w:val="000000"/>
              </w:rPr>
            </w:pPr>
            <w:r w:rsidRPr="00FC6EF2">
              <w:rPr>
                <w:rFonts w:cs="Arial"/>
                <w:color w:val="000000"/>
              </w:rPr>
              <w:t>1.52%</w:t>
            </w:r>
          </w:p>
        </w:tc>
        <w:tc>
          <w:tcPr>
            <w:tcW w:w="1620" w:type="dxa"/>
            <w:noWrap/>
            <w:hideMark/>
          </w:tcPr>
          <w:p w14:paraId="44478225" w14:textId="77777777" w:rsidR="00401F86" w:rsidRPr="00FC6EF2" w:rsidRDefault="00401F86" w:rsidP="00401F86">
            <w:pPr>
              <w:jc w:val="right"/>
              <w:rPr>
                <w:rFonts w:cs="Arial"/>
                <w:color w:val="000000"/>
              </w:rPr>
            </w:pPr>
            <w:r w:rsidRPr="00FC6EF2">
              <w:rPr>
                <w:rFonts w:cs="Arial"/>
                <w:color w:val="000000"/>
              </w:rPr>
              <w:t>1,742,382</w:t>
            </w:r>
          </w:p>
        </w:tc>
        <w:tc>
          <w:tcPr>
            <w:tcW w:w="1530" w:type="dxa"/>
            <w:noWrap/>
            <w:hideMark/>
          </w:tcPr>
          <w:p w14:paraId="0658B085" w14:textId="77777777" w:rsidR="00401F86" w:rsidRPr="00FC6EF2" w:rsidRDefault="00401F86" w:rsidP="00401F86">
            <w:pPr>
              <w:jc w:val="right"/>
              <w:rPr>
                <w:rFonts w:cs="Arial"/>
                <w:color w:val="000000"/>
              </w:rPr>
            </w:pPr>
            <w:r w:rsidRPr="00FC6EF2">
              <w:rPr>
                <w:rFonts w:cs="Arial"/>
                <w:color w:val="000000"/>
              </w:rPr>
              <w:t>18,228</w:t>
            </w:r>
          </w:p>
        </w:tc>
        <w:tc>
          <w:tcPr>
            <w:tcW w:w="1530" w:type="dxa"/>
            <w:noWrap/>
            <w:hideMark/>
          </w:tcPr>
          <w:p w14:paraId="13788116" w14:textId="77777777" w:rsidR="00401F86" w:rsidRPr="00FC6EF2" w:rsidRDefault="00401F86" w:rsidP="00401F86">
            <w:pPr>
              <w:jc w:val="right"/>
              <w:rPr>
                <w:rFonts w:cs="Arial"/>
                <w:color w:val="000000"/>
              </w:rPr>
            </w:pPr>
            <w:r w:rsidRPr="00FC6EF2">
              <w:rPr>
                <w:rFonts w:cs="Arial"/>
                <w:color w:val="000000"/>
              </w:rPr>
              <w:t>1.05%</w:t>
            </w:r>
          </w:p>
        </w:tc>
      </w:tr>
      <w:tr w:rsidR="00401F86" w:rsidRPr="00FC6EF2" w14:paraId="38CE8DD7" w14:textId="77777777" w:rsidTr="0097249C">
        <w:trPr>
          <w:trHeight w:val="320"/>
        </w:trPr>
        <w:tc>
          <w:tcPr>
            <w:tcW w:w="1980" w:type="dxa"/>
            <w:noWrap/>
            <w:hideMark/>
          </w:tcPr>
          <w:p w14:paraId="5140A6A4" w14:textId="77777777" w:rsidR="00401F86" w:rsidRPr="00FC6EF2" w:rsidRDefault="00401F86" w:rsidP="00401F86">
            <w:pPr>
              <w:rPr>
                <w:rFonts w:cs="Arial"/>
                <w:color w:val="000000"/>
              </w:rPr>
            </w:pPr>
            <w:r w:rsidRPr="00FC6EF2">
              <w:rPr>
                <w:rFonts w:cs="Arial"/>
                <w:color w:val="000000"/>
              </w:rPr>
              <w:t>Asian</w:t>
            </w:r>
          </w:p>
        </w:tc>
        <w:tc>
          <w:tcPr>
            <w:tcW w:w="1350" w:type="dxa"/>
            <w:noWrap/>
            <w:hideMark/>
          </w:tcPr>
          <w:p w14:paraId="3845CF59" w14:textId="42B6BA78" w:rsidR="00401F86" w:rsidRPr="00FC6EF2" w:rsidRDefault="231891FD" w:rsidP="00401F86">
            <w:pPr>
              <w:jc w:val="right"/>
              <w:rPr>
                <w:rFonts w:cs="Arial"/>
                <w:color w:val="000000"/>
              </w:rPr>
            </w:pPr>
            <w:r w:rsidRPr="00FC6EF2">
              <w:rPr>
                <w:rFonts w:cs="Arial"/>
                <w:color w:val="000000" w:themeColor="text1"/>
              </w:rPr>
              <w:t>297,055</w:t>
            </w:r>
          </w:p>
        </w:tc>
        <w:tc>
          <w:tcPr>
            <w:tcW w:w="1350" w:type="dxa"/>
            <w:noWrap/>
            <w:hideMark/>
          </w:tcPr>
          <w:p w14:paraId="69306724" w14:textId="77777777" w:rsidR="00401F86" w:rsidRPr="00FC6EF2" w:rsidRDefault="00401F86" w:rsidP="00401F86">
            <w:pPr>
              <w:jc w:val="right"/>
              <w:rPr>
                <w:rFonts w:cs="Arial"/>
                <w:color w:val="000000"/>
              </w:rPr>
            </w:pPr>
            <w:r w:rsidRPr="00FC6EF2">
              <w:rPr>
                <w:rFonts w:cs="Arial"/>
                <w:color w:val="000000"/>
              </w:rPr>
              <w:t>2,900</w:t>
            </w:r>
          </w:p>
        </w:tc>
        <w:tc>
          <w:tcPr>
            <w:tcW w:w="1530" w:type="dxa"/>
            <w:noWrap/>
            <w:hideMark/>
          </w:tcPr>
          <w:p w14:paraId="00F1B9CE" w14:textId="77777777" w:rsidR="00401F86" w:rsidRPr="00FC6EF2" w:rsidRDefault="00401F86" w:rsidP="00401F86">
            <w:pPr>
              <w:jc w:val="right"/>
              <w:rPr>
                <w:rFonts w:cs="Arial"/>
                <w:color w:val="000000"/>
              </w:rPr>
            </w:pPr>
            <w:r w:rsidRPr="00FC6EF2">
              <w:rPr>
                <w:rFonts w:cs="Arial"/>
                <w:color w:val="000000"/>
              </w:rPr>
              <w:t>0.98%</w:t>
            </w:r>
          </w:p>
        </w:tc>
        <w:tc>
          <w:tcPr>
            <w:tcW w:w="1350" w:type="dxa"/>
            <w:noWrap/>
            <w:hideMark/>
          </w:tcPr>
          <w:p w14:paraId="5471D2A0" w14:textId="77777777" w:rsidR="00401F86" w:rsidRPr="00FC6EF2" w:rsidRDefault="00401F86" w:rsidP="00401F86">
            <w:pPr>
              <w:jc w:val="right"/>
              <w:rPr>
                <w:rFonts w:cs="Arial"/>
                <w:color w:val="000000"/>
              </w:rPr>
            </w:pPr>
            <w:r w:rsidRPr="00FC6EF2">
              <w:rPr>
                <w:rFonts w:cs="Arial"/>
                <w:color w:val="000000"/>
              </w:rPr>
              <w:t>74,055</w:t>
            </w:r>
          </w:p>
        </w:tc>
        <w:tc>
          <w:tcPr>
            <w:tcW w:w="1350" w:type="dxa"/>
            <w:noWrap/>
            <w:hideMark/>
          </w:tcPr>
          <w:p w14:paraId="2DAA2635" w14:textId="77777777" w:rsidR="00401F86" w:rsidRPr="00FC6EF2" w:rsidRDefault="00401F86" w:rsidP="00401F86">
            <w:pPr>
              <w:jc w:val="right"/>
              <w:rPr>
                <w:rFonts w:cs="Arial"/>
                <w:color w:val="000000"/>
              </w:rPr>
            </w:pPr>
            <w:r w:rsidRPr="00FC6EF2">
              <w:rPr>
                <w:rFonts w:cs="Arial"/>
                <w:color w:val="000000"/>
              </w:rPr>
              <w:t>904</w:t>
            </w:r>
          </w:p>
        </w:tc>
        <w:tc>
          <w:tcPr>
            <w:tcW w:w="1620" w:type="dxa"/>
            <w:noWrap/>
            <w:hideMark/>
          </w:tcPr>
          <w:p w14:paraId="73889BA3" w14:textId="77777777" w:rsidR="00401F86" w:rsidRPr="00FC6EF2" w:rsidRDefault="00401F86" w:rsidP="00401F86">
            <w:pPr>
              <w:jc w:val="right"/>
              <w:rPr>
                <w:rFonts w:cs="Arial"/>
                <w:color w:val="000000"/>
              </w:rPr>
            </w:pPr>
            <w:r w:rsidRPr="00FC6EF2">
              <w:rPr>
                <w:rFonts w:cs="Arial"/>
                <w:color w:val="000000"/>
              </w:rPr>
              <w:t>1.22%</w:t>
            </w:r>
          </w:p>
        </w:tc>
        <w:tc>
          <w:tcPr>
            <w:tcW w:w="1620" w:type="dxa"/>
            <w:noWrap/>
            <w:hideMark/>
          </w:tcPr>
          <w:p w14:paraId="5AC7BAFE" w14:textId="77777777" w:rsidR="00401F86" w:rsidRPr="00FC6EF2" w:rsidRDefault="00401F86" w:rsidP="00401F86">
            <w:pPr>
              <w:jc w:val="right"/>
              <w:rPr>
                <w:rFonts w:cs="Arial"/>
                <w:color w:val="000000"/>
              </w:rPr>
            </w:pPr>
            <w:r w:rsidRPr="00FC6EF2">
              <w:rPr>
                <w:rFonts w:cs="Arial"/>
                <w:color w:val="000000"/>
              </w:rPr>
              <w:t>298,542</w:t>
            </w:r>
          </w:p>
        </w:tc>
        <w:tc>
          <w:tcPr>
            <w:tcW w:w="1530" w:type="dxa"/>
            <w:noWrap/>
            <w:hideMark/>
          </w:tcPr>
          <w:p w14:paraId="3B5D8900" w14:textId="77777777" w:rsidR="00401F86" w:rsidRPr="00FC6EF2" w:rsidRDefault="00401F86" w:rsidP="00401F86">
            <w:pPr>
              <w:jc w:val="right"/>
              <w:rPr>
                <w:rFonts w:cs="Arial"/>
                <w:color w:val="000000"/>
              </w:rPr>
            </w:pPr>
            <w:r w:rsidRPr="00FC6EF2">
              <w:rPr>
                <w:rFonts w:cs="Arial"/>
                <w:color w:val="000000"/>
              </w:rPr>
              <w:t>2,765</w:t>
            </w:r>
          </w:p>
        </w:tc>
        <w:tc>
          <w:tcPr>
            <w:tcW w:w="1530" w:type="dxa"/>
            <w:noWrap/>
            <w:hideMark/>
          </w:tcPr>
          <w:p w14:paraId="0E5D9FF7" w14:textId="77777777" w:rsidR="00401F86" w:rsidRPr="00FC6EF2" w:rsidRDefault="00401F86" w:rsidP="00401F86">
            <w:pPr>
              <w:jc w:val="right"/>
              <w:rPr>
                <w:rFonts w:cs="Arial"/>
                <w:color w:val="000000"/>
              </w:rPr>
            </w:pPr>
            <w:r w:rsidRPr="00FC6EF2">
              <w:rPr>
                <w:rFonts w:cs="Arial"/>
                <w:color w:val="000000"/>
              </w:rPr>
              <w:t>0.93%</w:t>
            </w:r>
          </w:p>
        </w:tc>
      </w:tr>
      <w:tr w:rsidR="00401F86" w:rsidRPr="00FC6EF2" w14:paraId="587D2F0E" w14:textId="77777777" w:rsidTr="0097249C">
        <w:trPr>
          <w:trHeight w:val="320"/>
        </w:trPr>
        <w:tc>
          <w:tcPr>
            <w:tcW w:w="1980" w:type="dxa"/>
            <w:noWrap/>
            <w:hideMark/>
          </w:tcPr>
          <w:p w14:paraId="6724330A" w14:textId="77777777" w:rsidR="00401F86" w:rsidRPr="00FC6EF2" w:rsidRDefault="00401F86" w:rsidP="00401F86">
            <w:pPr>
              <w:rPr>
                <w:rFonts w:cs="Arial"/>
                <w:color w:val="000000"/>
              </w:rPr>
            </w:pPr>
            <w:r w:rsidRPr="00FC6EF2">
              <w:rPr>
                <w:rFonts w:cs="Arial"/>
                <w:color w:val="000000"/>
              </w:rPr>
              <w:t>White</w:t>
            </w:r>
          </w:p>
        </w:tc>
        <w:tc>
          <w:tcPr>
            <w:tcW w:w="1350" w:type="dxa"/>
            <w:noWrap/>
            <w:hideMark/>
          </w:tcPr>
          <w:p w14:paraId="72C700D7" w14:textId="0B308219" w:rsidR="00401F86" w:rsidRPr="00FC6EF2" w:rsidRDefault="231891FD" w:rsidP="00401F86">
            <w:pPr>
              <w:jc w:val="right"/>
              <w:rPr>
                <w:rFonts w:cs="Arial"/>
                <w:color w:val="000000"/>
              </w:rPr>
            </w:pPr>
            <w:r w:rsidRPr="00FC6EF2">
              <w:rPr>
                <w:rFonts w:cs="Arial"/>
                <w:color w:val="000000" w:themeColor="text1"/>
              </w:rPr>
              <w:t>720,663</w:t>
            </w:r>
          </w:p>
        </w:tc>
        <w:tc>
          <w:tcPr>
            <w:tcW w:w="1350" w:type="dxa"/>
            <w:noWrap/>
            <w:hideMark/>
          </w:tcPr>
          <w:p w14:paraId="57781BC2" w14:textId="77777777" w:rsidR="00401F86" w:rsidRPr="00FC6EF2" w:rsidRDefault="00401F86" w:rsidP="00401F86">
            <w:pPr>
              <w:jc w:val="right"/>
              <w:rPr>
                <w:rFonts w:cs="Arial"/>
                <w:color w:val="000000"/>
              </w:rPr>
            </w:pPr>
            <w:r w:rsidRPr="00FC6EF2">
              <w:rPr>
                <w:rFonts w:cs="Arial"/>
                <w:color w:val="000000"/>
              </w:rPr>
              <w:t>7,179</w:t>
            </w:r>
          </w:p>
        </w:tc>
        <w:tc>
          <w:tcPr>
            <w:tcW w:w="1530" w:type="dxa"/>
            <w:noWrap/>
            <w:hideMark/>
          </w:tcPr>
          <w:p w14:paraId="35CDD1CC" w14:textId="77777777" w:rsidR="00401F86" w:rsidRPr="00FC6EF2" w:rsidRDefault="00401F86" w:rsidP="00401F86">
            <w:pPr>
              <w:jc w:val="right"/>
              <w:rPr>
                <w:rFonts w:cs="Arial"/>
                <w:color w:val="000000"/>
              </w:rPr>
            </w:pPr>
            <w:r w:rsidRPr="00FC6EF2">
              <w:rPr>
                <w:rFonts w:cs="Arial"/>
                <w:color w:val="000000"/>
              </w:rPr>
              <w:t>1.00%</w:t>
            </w:r>
          </w:p>
        </w:tc>
        <w:tc>
          <w:tcPr>
            <w:tcW w:w="1350" w:type="dxa"/>
            <w:noWrap/>
            <w:hideMark/>
          </w:tcPr>
          <w:p w14:paraId="33F63D4D" w14:textId="77777777" w:rsidR="00401F86" w:rsidRPr="00FC6EF2" w:rsidRDefault="00401F86" w:rsidP="00401F86">
            <w:pPr>
              <w:jc w:val="right"/>
              <w:rPr>
                <w:rFonts w:cs="Arial"/>
                <w:color w:val="000000"/>
              </w:rPr>
            </w:pPr>
            <w:r w:rsidRPr="00FC6EF2">
              <w:rPr>
                <w:rFonts w:cs="Arial"/>
                <w:color w:val="000000"/>
              </w:rPr>
              <w:t>195,704</w:t>
            </w:r>
          </w:p>
        </w:tc>
        <w:tc>
          <w:tcPr>
            <w:tcW w:w="1350" w:type="dxa"/>
            <w:noWrap/>
            <w:hideMark/>
          </w:tcPr>
          <w:p w14:paraId="089A83AD" w14:textId="77777777" w:rsidR="00401F86" w:rsidRPr="00FC6EF2" w:rsidRDefault="00401F86" w:rsidP="00401F86">
            <w:pPr>
              <w:jc w:val="right"/>
              <w:rPr>
                <w:rFonts w:cs="Arial"/>
                <w:color w:val="000000"/>
              </w:rPr>
            </w:pPr>
            <w:r w:rsidRPr="00FC6EF2">
              <w:rPr>
                <w:rFonts w:cs="Arial"/>
                <w:color w:val="000000"/>
              </w:rPr>
              <w:t>2,716</w:t>
            </w:r>
          </w:p>
        </w:tc>
        <w:tc>
          <w:tcPr>
            <w:tcW w:w="1620" w:type="dxa"/>
            <w:noWrap/>
            <w:hideMark/>
          </w:tcPr>
          <w:p w14:paraId="2ABA2904" w14:textId="77777777" w:rsidR="00401F86" w:rsidRPr="00FC6EF2" w:rsidRDefault="00401F86" w:rsidP="00401F86">
            <w:pPr>
              <w:jc w:val="right"/>
              <w:rPr>
                <w:rFonts w:cs="Arial"/>
                <w:color w:val="000000"/>
              </w:rPr>
            </w:pPr>
            <w:r w:rsidRPr="00FC6EF2">
              <w:rPr>
                <w:rFonts w:cs="Arial"/>
                <w:color w:val="000000"/>
              </w:rPr>
              <w:t>1.39%</w:t>
            </w:r>
          </w:p>
        </w:tc>
        <w:tc>
          <w:tcPr>
            <w:tcW w:w="1620" w:type="dxa"/>
            <w:noWrap/>
            <w:hideMark/>
          </w:tcPr>
          <w:p w14:paraId="42C43587" w14:textId="77777777" w:rsidR="00401F86" w:rsidRPr="00FC6EF2" w:rsidRDefault="00401F86" w:rsidP="00401F86">
            <w:pPr>
              <w:jc w:val="right"/>
              <w:rPr>
                <w:rFonts w:cs="Arial"/>
                <w:color w:val="000000"/>
              </w:rPr>
            </w:pPr>
            <w:r w:rsidRPr="00FC6EF2">
              <w:rPr>
                <w:rFonts w:cs="Arial"/>
                <w:color w:val="000000"/>
              </w:rPr>
              <w:t>649,913</w:t>
            </w:r>
          </w:p>
        </w:tc>
        <w:tc>
          <w:tcPr>
            <w:tcW w:w="1530" w:type="dxa"/>
            <w:noWrap/>
            <w:hideMark/>
          </w:tcPr>
          <w:p w14:paraId="7C4642EC" w14:textId="77777777" w:rsidR="00401F86" w:rsidRPr="00FC6EF2" w:rsidRDefault="00401F86" w:rsidP="00401F86">
            <w:pPr>
              <w:jc w:val="right"/>
              <w:rPr>
                <w:rFonts w:cs="Arial"/>
                <w:color w:val="000000"/>
              </w:rPr>
            </w:pPr>
            <w:r w:rsidRPr="00FC6EF2">
              <w:rPr>
                <w:rFonts w:cs="Arial"/>
                <w:color w:val="000000"/>
              </w:rPr>
              <w:t>5,947</w:t>
            </w:r>
          </w:p>
        </w:tc>
        <w:tc>
          <w:tcPr>
            <w:tcW w:w="1530" w:type="dxa"/>
            <w:noWrap/>
            <w:hideMark/>
          </w:tcPr>
          <w:p w14:paraId="2E82517F" w14:textId="77777777" w:rsidR="00401F86" w:rsidRPr="00FC6EF2" w:rsidRDefault="00401F86" w:rsidP="00401F86">
            <w:pPr>
              <w:jc w:val="right"/>
              <w:rPr>
                <w:rFonts w:cs="Arial"/>
                <w:color w:val="000000"/>
              </w:rPr>
            </w:pPr>
            <w:r w:rsidRPr="00FC6EF2">
              <w:rPr>
                <w:rFonts w:cs="Arial"/>
                <w:color w:val="000000"/>
              </w:rPr>
              <w:t>0.92%</w:t>
            </w:r>
          </w:p>
        </w:tc>
      </w:tr>
      <w:tr w:rsidR="00401F86" w:rsidRPr="00FC6EF2" w14:paraId="45481191" w14:textId="77777777" w:rsidTr="0097249C">
        <w:trPr>
          <w:trHeight w:val="320"/>
        </w:trPr>
        <w:tc>
          <w:tcPr>
            <w:tcW w:w="1980" w:type="dxa"/>
            <w:noWrap/>
            <w:hideMark/>
          </w:tcPr>
          <w:p w14:paraId="55831595" w14:textId="77777777" w:rsidR="00401F86" w:rsidRPr="00FC6EF2" w:rsidRDefault="00401F86" w:rsidP="00401F86">
            <w:pPr>
              <w:rPr>
                <w:rFonts w:cs="Arial"/>
                <w:color w:val="000000"/>
              </w:rPr>
            </w:pPr>
            <w:r w:rsidRPr="00FC6EF2">
              <w:rPr>
                <w:rFonts w:cs="Arial"/>
                <w:color w:val="000000"/>
              </w:rPr>
              <w:t>American Indian or Alaska Native</w:t>
            </w:r>
          </w:p>
        </w:tc>
        <w:tc>
          <w:tcPr>
            <w:tcW w:w="1350" w:type="dxa"/>
            <w:noWrap/>
            <w:hideMark/>
          </w:tcPr>
          <w:p w14:paraId="20DFEBBE" w14:textId="4B79A362" w:rsidR="00401F86" w:rsidRPr="00FC6EF2" w:rsidRDefault="231891FD" w:rsidP="00401F86">
            <w:pPr>
              <w:jc w:val="right"/>
              <w:rPr>
                <w:rFonts w:cs="Arial"/>
                <w:color w:val="000000"/>
              </w:rPr>
            </w:pPr>
            <w:r w:rsidRPr="00FC6EF2">
              <w:rPr>
                <w:rFonts w:cs="Arial"/>
                <w:color w:val="000000" w:themeColor="text1"/>
              </w:rPr>
              <w:t>15,908</w:t>
            </w:r>
          </w:p>
        </w:tc>
        <w:tc>
          <w:tcPr>
            <w:tcW w:w="1350" w:type="dxa"/>
            <w:noWrap/>
            <w:hideMark/>
          </w:tcPr>
          <w:p w14:paraId="4963A01B" w14:textId="77777777" w:rsidR="00401F86" w:rsidRPr="00FC6EF2" w:rsidRDefault="00401F86" w:rsidP="00401F86">
            <w:pPr>
              <w:jc w:val="right"/>
              <w:rPr>
                <w:rFonts w:cs="Arial"/>
                <w:color w:val="000000"/>
              </w:rPr>
            </w:pPr>
            <w:r w:rsidRPr="00FC6EF2">
              <w:rPr>
                <w:rFonts w:cs="Arial"/>
                <w:color w:val="000000"/>
              </w:rPr>
              <w:t>241</w:t>
            </w:r>
          </w:p>
        </w:tc>
        <w:tc>
          <w:tcPr>
            <w:tcW w:w="1530" w:type="dxa"/>
            <w:noWrap/>
            <w:hideMark/>
          </w:tcPr>
          <w:p w14:paraId="0E01FB9C" w14:textId="77777777" w:rsidR="00401F86" w:rsidRPr="00FC6EF2" w:rsidRDefault="00401F86" w:rsidP="00401F86">
            <w:pPr>
              <w:jc w:val="right"/>
              <w:rPr>
                <w:rFonts w:cs="Arial"/>
                <w:color w:val="000000"/>
              </w:rPr>
            </w:pPr>
            <w:r w:rsidRPr="00FC6EF2">
              <w:rPr>
                <w:rFonts w:cs="Arial"/>
                <w:color w:val="000000"/>
              </w:rPr>
              <w:t>1.51%</w:t>
            </w:r>
          </w:p>
        </w:tc>
        <w:tc>
          <w:tcPr>
            <w:tcW w:w="1350" w:type="dxa"/>
            <w:noWrap/>
            <w:hideMark/>
          </w:tcPr>
          <w:p w14:paraId="7D1E544E" w14:textId="77777777" w:rsidR="00401F86" w:rsidRPr="00FC6EF2" w:rsidRDefault="00401F86" w:rsidP="00401F86">
            <w:pPr>
              <w:jc w:val="right"/>
              <w:rPr>
                <w:rFonts w:cs="Arial"/>
                <w:color w:val="000000"/>
              </w:rPr>
            </w:pPr>
            <w:r w:rsidRPr="00FC6EF2">
              <w:rPr>
                <w:rFonts w:cs="Arial"/>
                <w:color w:val="000000"/>
              </w:rPr>
              <w:t>4,928</w:t>
            </w:r>
          </w:p>
        </w:tc>
        <w:tc>
          <w:tcPr>
            <w:tcW w:w="1350" w:type="dxa"/>
            <w:noWrap/>
            <w:hideMark/>
          </w:tcPr>
          <w:p w14:paraId="0F951CDD" w14:textId="77777777" w:rsidR="00401F86" w:rsidRPr="00FC6EF2" w:rsidRDefault="00401F86" w:rsidP="00401F86">
            <w:pPr>
              <w:jc w:val="right"/>
              <w:rPr>
                <w:rFonts w:cs="Arial"/>
                <w:color w:val="000000"/>
              </w:rPr>
            </w:pPr>
            <w:r w:rsidRPr="00FC6EF2">
              <w:rPr>
                <w:rFonts w:cs="Arial"/>
                <w:color w:val="000000"/>
              </w:rPr>
              <w:t>82</w:t>
            </w:r>
          </w:p>
        </w:tc>
        <w:tc>
          <w:tcPr>
            <w:tcW w:w="1620" w:type="dxa"/>
            <w:noWrap/>
            <w:hideMark/>
          </w:tcPr>
          <w:p w14:paraId="66810CBF" w14:textId="77777777" w:rsidR="00401F86" w:rsidRPr="00FC6EF2" w:rsidRDefault="00401F86" w:rsidP="00401F86">
            <w:pPr>
              <w:jc w:val="right"/>
              <w:rPr>
                <w:rFonts w:cs="Arial"/>
                <w:color w:val="000000"/>
              </w:rPr>
            </w:pPr>
            <w:r w:rsidRPr="00FC6EF2">
              <w:rPr>
                <w:rFonts w:cs="Arial"/>
                <w:color w:val="000000"/>
              </w:rPr>
              <w:t>1.66%</w:t>
            </w:r>
          </w:p>
        </w:tc>
        <w:tc>
          <w:tcPr>
            <w:tcW w:w="1620" w:type="dxa"/>
            <w:noWrap/>
            <w:hideMark/>
          </w:tcPr>
          <w:p w14:paraId="7FD2D9A5" w14:textId="77777777" w:rsidR="00401F86" w:rsidRPr="00FC6EF2" w:rsidRDefault="00401F86" w:rsidP="00401F86">
            <w:pPr>
              <w:jc w:val="right"/>
              <w:rPr>
                <w:rFonts w:cs="Arial"/>
                <w:color w:val="000000"/>
              </w:rPr>
            </w:pPr>
            <w:r w:rsidRPr="00FC6EF2">
              <w:rPr>
                <w:rFonts w:cs="Arial"/>
                <w:color w:val="000000"/>
              </w:rPr>
              <w:t>14,091</w:t>
            </w:r>
          </w:p>
        </w:tc>
        <w:tc>
          <w:tcPr>
            <w:tcW w:w="1530" w:type="dxa"/>
            <w:noWrap/>
            <w:hideMark/>
          </w:tcPr>
          <w:p w14:paraId="56F47C1C" w14:textId="77777777" w:rsidR="00401F86" w:rsidRPr="00FC6EF2" w:rsidRDefault="00401F86" w:rsidP="00401F86">
            <w:pPr>
              <w:jc w:val="right"/>
              <w:rPr>
                <w:rFonts w:cs="Arial"/>
                <w:color w:val="000000"/>
              </w:rPr>
            </w:pPr>
            <w:r w:rsidRPr="00FC6EF2">
              <w:rPr>
                <w:rFonts w:cs="Arial"/>
                <w:color w:val="000000"/>
              </w:rPr>
              <w:t>168</w:t>
            </w:r>
          </w:p>
        </w:tc>
        <w:tc>
          <w:tcPr>
            <w:tcW w:w="1530" w:type="dxa"/>
            <w:noWrap/>
            <w:hideMark/>
          </w:tcPr>
          <w:p w14:paraId="7C4A3109" w14:textId="77777777" w:rsidR="00401F86" w:rsidRPr="00FC6EF2" w:rsidRDefault="00401F86" w:rsidP="00401F86">
            <w:pPr>
              <w:jc w:val="right"/>
              <w:rPr>
                <w:rFonts w:cs="Arial"/>
                <w:color w:val="000000"/>
              </w:rPr>
            </w:pPr>
            <w:r w:rsidRPr="00FC6EF2">
              <w:rPr>
                <w:rFonts w:cs="Arial"/>
                <w:color w:val="000000"/>
              </w:rPr>
              <w:t>1.19%</w:t>
            </w:r>
          </w:p>
        </w:tc>
      </w:tr>
      <w:tr w:rsidR="00401F86" w:rsidRPr="00FC6EF2" w14:paraId="4CC119C9" w14:textId="77777777" w:rsidTr="0097249C">
        <w:trPr>
          <w:trHeight w:val="320"/>
        </w:trPr>
        <w:tc>
          <w:tcPr>
            <w:tcW w:w="1980" w:type="dxa"/>
            <w:noWrap/>
            <w:hideMark/>
          </w:tcPr>
          <w:p w14:paraId="78D6C5B5" w14:textId="77777777" w:rsidR="00401F86" w:rsidRPr="00FC6EF2" w:rsidRDefault="00401F86" w:rsidP="00401F86">
            <w:pPr>
              <w:rPr>
                <w:rFonts w:cs="Arial"/>
                <w:color w:val="000000"/>
              </w:rPr>
            </w:pPr>
            <w:r w:rsidRPr="00FC6EF2">
              <w:rPr>
                <w:rFonts w:cs="Arial"/>
                <w:color w:val="000000"/>
              </w:rPr>
              <w:t>Filipino</w:t>
            </w:r>
          </w:p>
        </w:tc>
        <w:tc>
          <w:tcPr>
            <w:tcW w:w="1350" w:type="dxa"/>
            <w:noWrap/>
            <w:hideMark/>
          </w:tcPr>
          <w:p w14:paraId="626BAF62" w14:textId="21CD9E37" w:rsidR="00401F86" w:rsidRPr="00FC6EF2" w:rsidRDefault="231891FD" w:rsidP="00401F86">
            <w:pPr>
              <w:jc w:val="right"/>
              <w:rPr>
                <w:rFonts w:cs="Arial"/>
                <w:color w:val="000000"/>
              </w:rPr>
            </w:pPr>
            <w:r w:rsidRPr="00FC6EF2">
              <w:rPr>
                <w:rFonts w:cs="Arial"/>
                <w:color w:val="000000" w:themeColor="text1"/>
              </w:rPr>
              <w:t>70,404</w:t>
            </w:r>
          </w:p>
        </w:tc>
        <w:tc>
          <w:tcPr>
            <w:tcW w:w="1350" w:type="dxa"/>
            <w:noWrap/>
            <w:hideMark/>
          </w:tcPr>
          <w:p w14:paraId="58341B8A" w14:textId="77777777" w:rsidR="00401F86" w:rsidRPr="00FC6EF2" w:rsidRDefault="00401F86" w:rsidP="00401F86">
            <w:pPr>
              <w:jc w:val="right"/>
              <w:rPr>
                <w:rFonts w:cs="Arial"/>
                <w:color w:val="000000"/>
              </w:rPr>
            </w:pPr>
            <w:r w:rsidRPr="00FC6EF2">
              <w:rPr>
                <w:rFonts w:cs="Arial"/>
                <w:color w:val="000000"/>
              </w:rPr>
              <w:t>984</w:t>
            </w:r>
          </w:p>
        </w:tc>
        <w:tc>
          <w:tcPr>
            <w:tcW w:w="1530" w:type="dxa"/>
            <w:noWrap/>
            <w:hideMark/>
          </w:tcPr>
          <w:p w14:paraId="62116E46" w14:textId="77777777" w:rsidR="00401F86" w:rsidRPr="00FC6EF2" w:rsidRDefault="00401F86" w:rsidP="00401F86">
            <w:pPr>
              <w:jc w:val="right"/>
              <w:rPr>
                <w:rFonts w:cs="Arial"/>
                <w:color w:val="000000"/>
              </w:rPr>
            </w:pPr>
            <w:r w:rsidRPr="00FC6EF2">
              <w:rPr>
                <w:rFonts w:cs="Arial"/>
                <w:color w:val="000000"/>
              </w:rPr>
              <w:t>1.40%</w:t>
            </w:r>
          </w:p>
        </w:tc>
        <w:tc>
          <w:tcPr>
            <w:tcW w:w="1350" w:type="dxa"/>
            <w:noWrap/>
            <w:hideMark/>
          </w:tcPr>
          <w:p w14:paraId="51C057E8" w14:textId="77777777" w:rsidR="00401F86" w:rsidRPr="00FC6EF2" w:rsidRDefault="00401F86" w:rsidP="00401F86">
            <w:pPr>
              <w:jc w:val="right"/>
              <w:rPr>
                <w:rFonts w:cs="Arial"/>
                <w:color w:val="000000"/>
              </w:rPr>
            </w:pPr>
            <w:r w:rsidRPr="00FC6EF2">
              <w:rPr>
                <w:rFonts w:cs="Arial"/>
                <w:color w:val="000000"/>
              </w:rPr>
              <w:t>16,588</w:t>
            </w:r>
          </w:p>
        </w:tc>
        <w:tc>
          <w:tcPr>
            <w:tcW w:w="1350" w:type="dxa"/>
            <w:noWrap/>
            <w:hideMark/>
          </w:tcPr>
          <w:p w14:paraId="5AF94F5F" w14:textId="77777777" w:rsidR="00401F86" w:rsidRPr="00FC6EF2" w:rsidRDefault="00401F86" w:rsidP="00401F86">
            <w:pPr>
              <w:jc w:val="right"/>
              <w:rPr>
                <w:rFonts w:cs="Arial"/>
                <w:color w:val="000000"/>
              </w:rPr>
            </w:pPr>
            <w:r w:rsidRPr="00FC6EF2">
              <w:rPr>
                <w:rFonts w:cs="Arial"/>
                <w:color w:val="000000"/>
              </w:rPr>
              <w:t>245</w:t>
            </w:r>
          </w:p>
        </w:tc>
        <w:tc>
          <w:tcPr>
            <w:tcW w:w="1620" w:type="dxa"/>
            <w:noWrap/>
            <w:hideMark/>
          </w:tcPr>
          <w:p w14:paraId="2966E587" w14:textId="77777777" w:rsidR="00401F86" w:rsidRPr="00FC6EF2" w:rsidRDefault="00401F86" w:rsidP="00401F86">
            <w:pPr>
              <w:jc w:val="right"/>
              <w:rPr>
                <w:rFonts w:cs="Arial"/>
                <w:color w:val="000000"/>
              </w:rPr>
            </w:pPr>
            <w:r w:rsidRPr="00FC6EF2">
              <w:rPr>
                <w:rFonts w:cs="Arial"/>
                <w:color w:val="000000"/>
              </w:rPr>
              <w:t>1.48%</w:t>
            </w:r>
          </w:p>
        </w:tc>
        <w:tc>
          <w:tcPr>
            <w:tcW w:w="1620" w:type="dxa"/>
            <w:noWrap/>
            <w:hideMark/>
          </w:tcPr>
          <w:p w14:paraId="6B8022BD" w14:textId="77777777" w:rsidR="00401F86" w:rsidRPr="00FC6EF2" w:rsidRDefault="00401F86" w:rsidP="00401F86">
            <w:pPr>
              <w:jc w:val="right"/>
              <w:rPr>
                <w:rFonts w:cs="Arial"/>
                <w:color w:val="000000"/>
              </w:rPr>
            </w:pPr>
            <w:r w:rsidRPr="00FC6EF2">
              <w:rPr>
                <w:rFonts w:cs="Arial"/>
                <w:color w:val="000000"/>
              </w:rPr>
              <w:t>72,562</w:t>
            </w:r>
          </w:p>
        </w:tc>
        <w:tc>
          <w:tcPr>
            <w:tcW w:w="1530" w:type="dxa"/>
            <w:noWrap/>
            <w:hideMark/>
          </w:tcPr>
          <w:p w14:paraId="2DC19D6E" w14:textId="77777777" w:rsidR="00401F86" w:rsidRPr="00FC6EF2" w:rsidRDefault="00401F86" w:rsidP="00401F86">
            <w:pPr>
              <w:jc w:val="right"/>
              <w:rPr>
                <w:rFonts w:cs="Arial"/>
                <w:color w:val="000000"/>
              </w:rPr>
            </w:pPr>
            <w:r w:rsidRPr="00FC6EF2">
              <w:rPr>
                <w:rFonts w:cs="Arial"/>
                <w:color w:val="000000"/>
              </w:rPr>
              <w:t>772</w:t>
            </w:r>
          </w:p>
        </w:tc>
        <w:tc>
          <w:tcPr>
            <w:tcW w:w="1530" w:type="dxa"/>
            <w:noWrap/>
            <w:hideMark/>
          </w:tcPr>
          <w:p w14:paraId="77C146AC" w14:textId="77777777" w:rsidR="00401F86" w:rsidRPr="00FC6EF2" w:rsidRDefault="00401F86" w:rsidP="00401F86">
            <w:pPr>
              <w:jc w:val="right"/>
              <w:rPr>
                <w:rFonts w:cs="Arial"/>
                <w:color w:val="000000"/>
              </w:rPr>
            </w:pPr>
            <w:r w:rsidRPr="00FC6EF2">
              <w:rPr>
                <w:rFonts w:cs="Arial"/>
                <w:color w:val="000000"/>
              </w:rPr>
              <w:t>1.06%</w:t>
            </w:r>
          </w:p>
        </w:tc>
      </w:tr>
      <w:tr w:rsidR="00401F86" w:rsidRPr="00FC6EF2" w14:paraId="62AEB7E3" w14:textId="77777777" w:rsidTr="0097249C">
        <w:trPr>
          <w:trHeight w:val="320"/>
        </w:trPr>
        <w:tc>
          <w:tcPr>
            <w:tcW w:w="1980" w:type="dxa"/>
            <w:noWrap/>
            <w:hideMark/>
          </w:tcPr>
          <w:p w14:paraId="2707240A" w14:textId="77777777" w:rsidR="00401F86" w:rsidRPr="00FC6EF2" w:rsidRDefault="00401F86" w:rsidP="00401F86">
            <w:pPr>
              <w:rPr>
                <w:rFonts w:cs="Arial"/>
                <w:color w:val="000000"/>
              </w:rPr>
            </w:pPr>
            <w:r w:rsidRPr="00FC6EF2">
              <w:rPr>
                <w:rFonts w:cs="Arial"/>
                <w:color w:val="000000"/>
              </w:rPr>
              <w:t>Native Hawaiian or Pacific Islander</w:t>
            </w:r>
          </w:p>
        </w:tc>
        <w:tc>
          <w:tcPr>
            <w:tcW w:w="1350" w:type="dxa"/>
            <w:noWrap/>
            <w:hideMark/>
          </w:tcPr>
          <w:p w14:paraId="57FE5C50" w14:textId="35F815A0" w:rsidR="00401F86" w:rsidRPr="00FC6EF2" w:rsidRDefault="231891FD" w:rsidP="00401F86">
            <w:pPr>
              <w:jc w:val="right"/>
              <w:rPr>
                <w:rFonts w:cs="Arial"/>
                <w:color w:val="000000"/>
              </w:rPr>
            </w:pPr>
            <w:r w:rsidRPr="00FC6EF2">
              <w:rPr>
                <w:rFonts w:cs="Arial"/>
                <w:color w:val="000000" w:themeColor="text1"/>
              </w:rPr>
              <w:t>14,637</w:t>
            </w:r>
          </w:p>
        </w:tc>
        <w:tc>
          <w:tcPr>
            <w:tcW w:w="1350" w:type="dxa"/>
            <w:noWrap/>
            <w:hideMark/>
          </w:tcPr>
          <w:p w14:paraId="54284A3E" w14:textId="77777777" w:rsidR="00401F86" w:rsidRPr="00FC6EF2" w:rsidRDefault="00401F86" w:rsidP="00401F86">
            <w:pPr>
              <w:jc w:val="right"/>
              <w:rPr>
                <w:rFonts w:cs="Arial"/>
                <w:color w:val="000000"/>
              </w:rPr>
            </w:pPr>
            <w:r w:rsidRPr="00FC6EF2">
              <w:rPr>
                <w:rFonts w:cs="Arial"/>
                <w:color w:val="000000"/>
              </w:rPr>
              <w:t>168</w:t>
            </w:r>
          </w:p>
        </w:tc>
        <w:tc>
          <w:tcPr>
            <w:tcW w:w="1530" w:type="dxa"/>
            <w:noWrap/>
            <w:hideMark/>
          </w:tcPr>
          <w:p w14:paraId="28B51CEB" w14:textId="77777777" w:rsidR="00401F86" w:rsidRPr="00FC6EF2" w:rsidRDefault="00401F86" w:rsidP="00401F86">
            <w:pPr>
              <w:jc w:val="right"/>
              <w:rPr>
                <w:rFonts w:cs="Arial"/>
                <w:color w:val="000000"/>
              </w:rPr>
            </w:pPr>
            <w:r w:rsidRPr="00FC6EF2">
              <w:rPr>
                <w:rFonts w:cs="Arial"/>
                <w:color w:val="000000"/>
              </w:rPr>
              <w:t>1.15%</w:t>
            </w:r>
          </w:p>
        </w:tc>
        <w:tc>
          <w:tcPr>
            <w:tcW w:w="1350" w:type="dxa"/>
            <w:noWrap/>
            <w:hideMark/>
          </w:tcPr>
          <w:p w14:paraId="47232888" w14:textId="77777777" w:rsidR="00401F86" w:rsidRPr="00FC6EF2" w:rsidRDefault="00401F86" w:rsidP="00401F86">
            <w:pPr>
              <w:jc w:val="right"/>
              <w:rPr>
                <w:rFonts w:cs="Arial"/>
                <w:color w:val="000000"/>
              </w:rPr>
            </w:pPr>
            <w:r w:rsidRPr="00FC6EF2">
              <w:rPr>
                <w:rFonts w:cs="Arial"/>
                <w:color w:val="000000"/>
              </w:rPr>
              <w:t>3,454</w:t>
            </w:r>
          </w:p>
        </w:tc>
        <w:tc>
          <w:tcPr>
            <w:tcW w:w="1350" w:type="dxa"/>
            <w:noWrap/>
            <w:hideMark/>
          </w:tcPr>
          <w:p w14:paraId="2AD6B5FC" w14:textId="77777777" w:rsidR="00401F86" w:rsidRPr="00FC6EF2" w:rsidRDefault="00401F86" w:rsidP="00401F86">
            <w:pPr>
              <w:jc w:val="right"/>
              <w:rPr>
                <w:rFonts w:cs="Arial"/>
                <w:color w:val="000000"/>
              </w:rPr>
            </w:pPr>
            <w:r w:rsidRPr="00FC6EF2">
              <w:rPr>
                <w:rFonts w:cs="Arial"/>
                <w:color w:val="000000"/>
              </w:rPr>
              <w:t>41</w:t>
            </w:r>
          </w:p>
        </w:tc>
        <w:tc>
          <w:tcPr>
            <w:tcW w:w="1620" w:type="dxa"/>
            <w:noWrap/>
            <w:hideMark/>
          </w:tcPr>
          <w:p w14:paraId="0A105074" w14:textId="77777777" w:rsidR="00401F86" w:rsidRPr="00FC6EF2" w:rsidRDefault="00401F86" w:rsidP="00401F86">
            <w:pPr>
              <w:jc w:val="right"/>
              <w:rPr>
                <w:rFonts w:cs="Arial"/>
                <w:color w:val="000000"/>
              </w:rPr>
            </w:pPr>
            <w:r w:rsidRPr="00FC6EF2">
              <w:rPr>
                <w:rFonts w:cs="Arial"/>
                <w:color w:val="000000"/>
              </w:rPr>
              <w:t>1.19%</w:t>
            </w:r>
          </w:p>
        </w:tc>
        <w:tc>
          <w:tcPr>
            <w:tcW w:w="1620" w:type="dxa"/>
            <w:noWrap/>
            <w:hideMark/>
          </w:tcPr>
          <w:p w14:paraId="2EEB25B1" w14:textId="77777777" w:rsidR="00401F86" w:rsidRPr="00FC6EF2" w:rsidRDefault="00401F86" w:rsidP="00401F86">
            <w:pPr>
              <w:jc w:val="right"/>
              <w:rPr>
                <w:rFonts w:cs="Arial"/>
                <w:color w:val="000000"/>
              </w:rPr>
            </w:pPr>
            <w:r w:rsidRPr="00FC6EF2">
              <w:rPr>
                <w:rFonts w:cs="Arial"/>
                <w:color w:val="000000"/>
              </w:rPr>
              <w:t>13,455</w:t>
            </w:r>
          </w:p>
        </w:tc>
        <w:tc>
          <w:tcPr>
            <w:tcW w:w="1530" w:type="dxa"/>
            <w:noWrap/>
            <w:hideMark/>
          </w:tcPr>
          <w:p w14:paraId="0E11CFF2" w14:textId="77777777" w:rsidR="00401F86" w:rsidRPr="00FC6EF2" w:rsidRDefault="00401F86" w:rsidP="00401F86">
            <w:pPr>
              <w:jc w:val="right"/>
              <w:rPr>
                <w:rFonts w:cs="Arial"/>
                <w:color w:val="000000"/>
              </w:rPr>
            </w:pPr>
            <w:r w:rsidRPr="00FC6EF2">
              <w:rPr>
                <w:rFonts w:cs="Arial"/>
                <w:color w:val="000000"/>
              </w:rPr>
              <w:t>124</w:t>
            </w:r>
          </w:p>
        </w:tc>
        <w:tc>
          <w:tcPr>
            <w:tcW w:w="1530" w:type="dxa"/>
            <w:noWrap/>
            <w:hideMark/>
          </w:tcPr>
          <w:p w14:paraId="5C6325D1" w14:textId="77777777" w:rsidR="00401F86" w:rsidRPr="00FC6EF2" w:rsidRDefault="00401F86" w:rsidP="00401F86">
            <w:pPr>
              <w:jc w:val="right"/>
              <w:rPr>
                <w:rFonts w:cs="Arial"/>
                <w:color w:val="000000"/>
              </w:rPr>
            </w:pPr>
            <w:r w:rsidRPr="00FC6EF2">
              <w:rPr>
                <w:rFonts w:cs="Arial"/>
                <w:color w:val="000000"/>
              </w:rPr>
              <w:t>0.92%</w:t>
            </w:r>
          </w:p>
        </w:tc>
      </w:tr>
      <w:tr w:rsidR="00401F86" w:rsidRPr="00FC6EF2" w14:paraId="4E449E60" w14:textId="77777777" w:rsidTr="0097249C">
        <w:trPr>
          <w:trHeight w:val="320"/>
        </w:trPr>
        <w:tc>
          <w:tcPr>
            <w:tcW w:w="1980" w:type="dxa"/>
            <w:noWrap/>
            <w:hideMark/>
          </w:tcPr>
          <w:p w14:paraId="63D16E0F" w14:textId="77777777" w:rsidR="00401F86" w:rsidRPr="00FC6EF2" w:rsidRDefault="00401F86" w:rsidP="00401F86">
            <w:pPr>
              <w:rPr>
                <w:rFonts w:cs="Arial"/>
                <w:color w:val="000000"/>
              </w:rPr>
            </w:pPr>
            <w:r w:rsidRPr="00FC6EF2">
              <w:rPr>
                <w:rFonts w:cs="Arial"/>
                <w:color w:val="000000"/>
              </w:rPr>
              <w:t>Two or more races</w:t>
            </w:r>
          </w:p>
        </w:tc>
        <w:tc>
          <w:tcPr>
            <w:tcW w:w="1350" w:type="dxa"/>
            <w:noWrap/>
            <w:hideMark/>
          </w:tcPr>
          <w:p w14:paraId="7478132E" w14:textId="56FFAB96" w:rsidR="00401F86" w:rsidRPr="00FC6EF2" w:rsidRDefault="231891FD" w:rsidP="00401F86">
            <w:pPr>
              <w:jc w:val="right"/>
              <w:rPr>
                <w:rFonts w:cs="Arial"/>
                <w:color w:val="000000"/>
              </w:rPr>
            </w:pPr>
            <w:r w:rsidRPr="00FC6EF2">
              <w:rPr>
                <w:rFonts w:cs="Arial"/>
                <w:color w:val="000000" w:themeColor="text1"/>
              </w:rPr>
              <w:t>126,148</w:t>
            </w:r>
          </w:p>
        </w:tc>
        <w:tc>
          <w:tcPr>
            <w:tcW w:w="1350" w:type="dxa"/>
            <w:noWrap/>
            <w:hideMark/>
          </w:tcPr>
          <w:p w14:paraId="3D84D4D5" w14:textId="77777777" w:rsidR="00401F86" w:rsidRPr="00FC6EF2" w:rsidRDefault="00401F86" w:rsidP="00401F86">
            <w:pPr>
              <w:jc w:val="right"/>
              <w:rPr>
                <w:rFonts w:cs="Arial"/>
                <w:color w:val="000000"/>
              </w:rPr>
            </w:pPr>
            <w:r w:rsidRPr="00FC6EF2">
              <w:rPr>
                <w:rFonts w:cs="Arial"/>
                <w:color w:val="000000"/>
              </w:rPr>
              <w:t>1,226</w:t>
            </w:r>
          </w:p>
        </w:tc>
        <w:tc>
          <w:tcPr>
            <w:tcW w:w="1530" w:type="dxa"/>
            <w:noWrap/>
            <w:hideMark/>
          </w:tcPr>
          <w:p w14:paraId="2BE5B271" w14:textId="77777777" w:rsidR="00401F86" w:rsidRPr="00FC6EF2" w:rsidRDefault="00401F86" w:rsidP="00401F86">
            <w:pPr>
              <w:jc w:val="right"/>
              <w:rPr>
                <w:rFonts w:cs="Arial"/>
                <w:color w:val="000000"/>
              </w:rPr>
            </w:pPr>
            <w:r w:rsidRPr="00FC6EF2">
              <w:rPr>
                <w:rFonts w:cs="Arial"/>
                <w:color w:val="000000"/>
              </w:rPr>
              <w:t>0.97%</w:t>
            </w:r>
          </w:p>
        </w:tc>
        <w:tc>
          <w:tcPr>
            <w:tcW w:w="1350" w:type="dxa"/>
            <w:noWrap/>
            <w:hideMark/>
          </w:tcPr>
          <w:p w14:paraId="25FB6255" w14:textId="77777777" w:rsidR="00401F86" w:rsidRPr="00FC6EF2" w:rsidRDefault="00401F86" w:rsidP="00401F86">
            <w:pPr>
              <w:jc w:val="right"/>
              <w:rPr>
                <w:rFonts w:cs="Arial"/>
                <w:color w:val="000000"/>
              </w:rPr>
            </w:pPr>
            <w:r w:rsidRPr="00FC6EF2">
              <w:rPr>
                <w:rFonts w:cs="Arial"/>
                <w:color w:val="000000"/>
              </w:rPr>
              <w:t>41,372</w:t>
            </w:r>
          </w:p>
        </w:tc>
        <w:tc>
          <w:tcPr>
            <w:tcW w:w="1350" w:type="dxa"/>
            <w:noWrap/>
            <w:hideMark/>
          </w:tcPr>
          <w:p w14:paraId="37F82315" w14:textId="77777777" w:rsidR="00401F86" w:rsidRPr="00FC6EF2" w:rsidRDefault="00401F86" w:rsidP="00401F86">
            <w:pPr>
              <w:jc w:val="right"/>
              <w:rPr>
                <w:rFonts w:cs="Arial"/>
                <w:color w:val="000000"/>
              </w:rPr>
            </w:pPr>
            <w:r w:rsidRPr="00FC6EF2">
              <w:rPr>
                <w:rFonts w:cs="Arial"/>
                <w:color w:val="000000"/>
              </w:rPr>
              <w:t>534</w:t>
            </w:r>
          </w:p>
        </w:tc>
        <w:tc>
          <w:tcPr>
            <w:tcW w:w="1620" w:type="dxa"/>
            <w:noWrap/>
            <w:hideMark/>
          </w:tcPr>
          <w:p w14:paraId="4566AC0E" w14:textId="77777777" w:rsidR="00401F86" w:rsidRPr="00FC6EF2" w:rsidRDefault="00401F86" w:rsidP="00401F86">
            <w:pPr>
              <w:jc w:val="right"/>
              <w:rPr>
                <w:rFonts w:cs="Arial"/>
                <w:color w:val="000000"/>
              </w:rPr>
            </w:pPr>
            <w:r w:rsidRPr="00FC6EF2">
              <w:rPr>
                <w:rFonts w:cs="Arial"/>
                <w:color w:val="000000"/>
              </w:rPr>
              <w:t>1.29%</w:t>
            </w:r>
          </w:p>
        </w:tc>
        <w:tc>
          <w:tcPr>
            <w:tcW w:w="1620" w:type="dxa"/>
            <w:noWrap/>
            <w:hideMark/>
          </w:tcPr>
          <w:p w14:paraId="0EE35D3F" w14:textId="77777777" w:rsidR="00401F86" w:rsidRPr="00FC6EF2" w:rsidRDefault="00401F86" w:rsidP="00401F86">
            <w:pPr>
              <w:jc w:val="right"/>
              <w:rPr>
                <w:rFonts w:cs="Arial"/>
                <w:color w:val="000000"/>
              </w:rPr>
            </w:pPr>
            <w:r w:rsidRPr="00FC6EF2">
              <w:rPr>
                <w:rFonts w:cs="Arial"/>
                <w:color w:val="000000"/>
              </w:rPr>
              <w:t>131,605</w:t>
            </w:r>
          </w:p>
        </w:tc>
        <w:tc>
          <w:tcPr>
            <w:tcW w:w="1530" w:type="dxa"/>
            <w:noWrap/>
            <w:hideMark/>
          </w:tcPr>
          <w:p w14:paraId="437CEA4A" w14:textId="77777777" w:rsidR="00401F86" w:rsidRPr="00FC6EF2" w:rsidRDefault="00401F86" w:rsidP="00401F86">
            <w:pPr>
              <w:jc w:val="right"/>
              <w:rPr>
                <w:rFonts w:cs="Arial"/>
                <w:color w:val="000000"/>
              </w:rPr>
            </w:pPr>
            <w:r w:rsidRPr="00FC6EF2">
              <w:rPr>
                <w:rFonts w:cs="Arial"/>
                <w:color w:val="000000"/>
              </w:rPr>
              <w:t>1,394</w:t>
            </w:r>
          </w:p>
        </w:tc>
        <w:tc>
          <w:tcPr>
            <w:tcW w:w="1530" w:type="dxa"/>
            <w:noWrap/>
            <w:hideMark/>
          </w:tcPr>
          <w:p w14:paraId="2A34FFC3" w14:textId="77777777" w:rsidR="00401F86" w:rsidRPr="00FC6EF2" w:rsidRDefault="00401F86" w:rsidP="00401F86">
            <w:pPr>
              <w:jc w:val="right"/>
              <w:rPr>
                <w:rFonts w:cs="Arial"/>
                <w:color w:val="000000"/>
              </w:rPr>
            </w:pPr>
            <w:r w:rsidRPr="00FC6EF2">
              <w:rPr>
                <w:rFonts w:cs="Arial"/>
                <w:color w:val="000000"/>
              </w:rPr>
              <w:t>1.06%</w:t>
            </w:r>
          </w:p>
        </w:tc>
      </w:tr>
      <w:tr w:rsidR="00401F86" w:rsidRPr="00FC6EF2" w14:paraId="08861D2F" w14:textId="77777777" w:rsidTr="0097249C">
        <w:trPr>
          <w:trHeight w:val="320"/>
        </w:trPr>
        <w:tc>
          <w:tcPr>
            <w:tcW w:w="1980" w:type="dxa"/>
            <w:noWrap/>
            <w:hideMark/>
          </w:tcPr>
          <w:p w14:paraId="397CAE1B" w14:textId="77777777" w:rsidR="00401F86" w:rsidRPr="00FC6EF2" w:rsidRDefault="00401F86" w:rsidP="00401F86">
            <w:pPr>
              <w:rPr>
                <w:rFonts w:cs="Arial"/>
                <w:color w:val="000000"/>
              </w:rPr>
            </w:pPr>
            <w:r w:rsidRPr="00FC6EF2">
              <w:rPr>
                <w:rFonts w:cs="Arial"/>
                <w:color w:val="000000"/>
              </w:rPr>
              <w:t>English learners</w:t>
            </w:r>
          </w:p>
        </w:tc>
        <w:tc>
          <w:tcPr>
            <w:tcW w:w="1350" w:type="dxa"/>
            <w:noWrap/>
            <w:hideMark/>
          </w:tcPr>
          <w:p w14:paraId="7F30047E" w14:textId="44C1BD16" w:rsidR="00401F86" w:rsidRPr="00FC6EF2" w:rsidRDefault="231891FD" w:rsidP="00401F86">
            <w:pPr>
              <w:jc w:val="right"/>
              <w:rPr>
                <w:rFonts w:cs="Arial"/>
                <w:color w:val="000000"/>
              </w:rPr>
            </w:pPr>
            <w:r w:rsidRPr="00FC6EF2">
              <w:rPr>
                <w:rFonts w:cs="Arial"/>
                <w:color w:val="000000" w:themeColor="text1"/>
              </w:rPr>
              <w:t>522,251</w:t>
            </w:r>
          </w:p>
        </w:tc>
        <w:tc>
          <w:tcPr>
            <w:tcW w:w="1350" w:type="dxa"/>
            <w:noWrap/>
            <w:hideMark/>
          </w:tcPr>
          <w:p w14:paraId="702948F0" w14:textId="77777777" w:rsidR="00401F86" w:rsidRPr="00FC6EF2" w:rsidRDefault="00401F86" w:rsidP="00401F86">
            <w:pPr>
              <w:jc w:val="right"/>
              <w:rPr>
                <w:rFonts w:cs="Arial"/>
                <w:color w:val="000000"/>
              </w:rPr>
            </w:pPr>
            <w:r w:rsidRPr="00FC6EF2">
              <w:rPr>
                <w:rFonts w:cs="Arial"/>
                <w:color w:val="000000"/>
              </w:rPr>
              <w:t>11,157</w:t>
            </w:r>
          </w:p>
        </w:tc>
        <w:tc>
          <w:tcPr>
            <w:tcW w:w="1530" w:type="dxa"/>
            <w:noWrap/>
            <w:hideMark/>
          </w:tcPr>
          <w:p w14:paraId="7AE00011" w14:textId="5696DEA1" w:rsidR="00401F86" w:rsidRPr="00FC6EF2" w:rsidRDefault="231891FD" w:rsidP="00401F86">
            <w:pPr>
              <w:jc w:val="right"/>
              <w:rPr>
                <w:rFonts w:cs="Arial"/>
                <w:color w:val="000000"/>
              </w:rPr>
            </w:pPr>
            <w:r w:rsidRPr="00FC6EF2">
              <w:rPr>
                <w:rFonts w:cs="Arial"/>
                <w:color w:val="000000" w:themeColor="text1"/>
              </w:rPr>
              <w:t>2.14%</w:t>
            </w:r>
          </w:p>
        </w:tc>
        <w:tc>
          <w:tcPr>
            <w:tcW w:w="1350" w:type="dxa"/>
            <w:noWrap/>
            <w:hideMark/>
          </w:tcPr>
          <w:p w14:paraId="7E6F8721" w14:textId="77777777" w:rsidR="00401F86" w:rsidRPr="00FC6EF2" w:rsidRDefault="00401F86" w:rsidP="00401F86">
            <w:pPr>
              <w:jc w:val="right"/>
              <w:rPr>
                <w:rFonts w:cs="Arial"/>
                <w:color w:val="000000"/>
              </w:rPr>
            </w:pPr>
            <w:r w:rsidRPr="00FC6EF2">
              <w:rPr>
                <w:rFonts w:cs="Arial"/>
                <w:color w:val="000000"/>
              </w:rPr>
              <w:t>117,608</w:t>
            </w:r>
          </w:p>
        </w:tc>
        <w:tc>
          <w:tcPr>
            <w:tcW w:w="1350" w:type="dxa"/>
            <w:noWrap/>
            <w:hideMark/>
          </w:tcPr>
          <w:p w14:paraId="17A0000A" w14:textId="77777777" w:rsidR="00401F86" w:rsidRPr="00FC6EF2" w:rsidRDefault="00401F86" w:rsidP="00401F86">
            <w:pPr>
              <w:jc w:val="right"/>
              <w:rPr>
                <w:rFonts w:cs="Arial"/>
                <w:color w:val="000000"/>
              </w:rPr>
            </w:pPr>
            <w:r w:rsidRPr="00FC6EF2">
              <w:rPr>
                <w:rFonts w:cs="Arial"/>
                <w:color w:val="000000"/>
              </w:rPr>
              <w:t>2,604</w:t>
            </w:r>
          </w:p>
        </w:tc>
        <w:tc>
          <w:tcPr>
            <w:tcW w:w="1620" w:type="dxa"/>
            <w:noWrap/>
            <w:hideMark/>
          </w:tcPr>
          <w:p w14:paraId="702E4DA1" w14:textId="77777777" w:rsidR="00401F86" w:rsidRPr="00FC6EF2" w:rsidRDefault="00401F86" w:rsidP="00401F86">
            <w:pPr>
              <w:jc w:val="right"/>
              <w:rPr>
                <w:rFonts w:cs="Arial"/>
                <w:color w:val="000000"/>
              </w:rPr>
            </w:pPr>
            <w:r w:rsidRPr="00FC6EF2">
              <w:rPr>
                <w:rFonts w:cs="Arial"/>
                <w:color w:val="000000"/>
              </w:rPr>
              <w:t>2.21%</w:t>
            </w:r>
          </w:p>
        </w:tc>
        <w:tc>
          <w:tcPr>
            <w:tcW w:w="1620" w:type="dxa"/>
            <w:noWrap/>
            <w:hideMark/>
          </w:tcPr>
          <w:p w14:paraId="3B651D10" w14:textId="77777777" w:rsidR="00401F86" w:rsidRPr="00FC6EF2" w:rsidRDefault="00401F86" w:rsidP="00401F86">
            <w:pPr>
              <w:jc w:val="right"/>
              <w:rPr>
                <w:rFonts w:cs="Arial"/>
                <w:color w:val="000000"/>
              </w:rPr>
            </w:pPr>
            <w:r w:rsidRPr="00FC6EF2">
              <w:rPr>
                <w:rFonts w:cs="Arial"/>
                <w:color w:val="000000"/>
              </w:rPr>
              <w:t>582,965</w:t>
            </w:r>
          </w:p>
        </w:tc>
        <w:tc>
          <w:tcPr>
            <w:tcW w:w="1530" w:type="dxa"/>
            <w:noWrap/>
            <w:hideMark/>
          </w:tcPr>
          <w:p w14:paraId="3118C727" w14:textId="77777777" w:rsidR="00401F86" w:rsidRPr="00FC6EF2" w:rsidRDefault="00401F86" w:rsidP="00401F86">
            <w:pPr>
              <w:jc w:val="right"/>
              <w:rPr>
                <w:rFonts w:cs="Arial"/>
                <w:color w:val="000000"/>
              </w:rPr>
            </w:pPr>
            <w:r w:rsidRPr="00FC6EF2">
              <w:rPr>
                <w:rFonts w:cs="Arial"/>
                <w:color w:val="000000"/>
              </w:rPr>
              <w:t>9,454</w:t>
            </w:r>
          </w:p>
        </w:tc>
        <w:tc>
          <w:tcPr>
            <w:tcW w:w="1530" w:type="dxa"/>
            <w:noWrap/>
            <w:hideMark/>
          </w:tcPr>
          <w:p w14:paraId="1E9D02EE" w14:textId="77777777" w:rsidR="00401F86" w:rsidRPr="00FC6EF2" w:rsidRDefault="00401F86" w:rsidP="00401F86">
            <w:pPr>
              <w:jc w:val="right"/>
              <w:rPr>
                <w:rFonts w:cs="Arial"/>
                <w:color w:val="000000"/>
              </w:rPr>
            </w:pPr>
            <w:r w:rsidRPr="00FC6EF2">
              <w:rPr>
                <w:rFonts w:cs="Arial"/>
                <w:color w:val="000000"/>
              </w:rPr>
              <w:t>1.62%</w:t>
            </w:r>
          </w:p>
        </w:tc>
      </w:tr>
      <w:tr w:rsidR="00401F86" w:rsidRPr="00FC6EF2" w14:paraId="7699D53E" w14:textId="77777777" w:rsidTr="0097249C">
        <w:trPr>
          <w:trHeight w:val="320"/>
        </w:trPr>
        <w:tc>
          <w:tcPr>
            <w:tcW w:w="1980" w:type="dxa"/>
            <w:noWrap/>
            <w:hideMark/>
          </w:tcPr>
          <w:p w14:paraId="1C1A5ACF" w14:textId="77777777" w:rsidR="00401F86" w:rsidRPr="00FC6EF2" w:rsidRDefault="00401F86" w:rsidP="00401F86">
            <w:pPr>
              <w:rPr>
                <w:rFonts w:cs="Arial"/>
                <w:color w:val="000000"/>
              </w:rPr>
            </w:pPr>
            <w:r w:rsidRPr="00FC6EF2">
              <w:rPr>
                <w:rFonts w:cs="Arial"/>
                <w:color w:val="000000"/>
              </w:rPr>
              <w:t xml:space="preserve">Econ. </w:t>
            </w:r>
            <w:proofErr w:type="spellStart"/>
            <w:r w:rsidRPr="00FC6EF2">
              <w:rPr>
                <w:rFonts w:cs="Arial"/>
                <w:color w:val="000000"/>
              </w:rPr>
              <w:t>disadv</w:t>
            </w:r>
            <w:proofErr w:type="spellEnd"/>
            <w:r w:rsidRPr="00FC6EF2">
              <w:rPr>
                <w:rFonts w:cs="Arial"/>
                <w:color w:val="000000"/>
              </w:rPr>
              <w:t>.</w:t>
            </w:r>
          </w:p>
        </w:tc>
        <w:tc>
          <w:tcPr>
            <w:tcW w:w="1350" w:type="dxa"/>
            <w:noWrap/>
            <w:hideMark/>
          </w:tcPr>
          <w:p w14:paraId="3A1A7CA9" w14:textId="73E314C9" w:rsidR="00401F86" w:rsidRPr="00FC6EF2" w:rsidRDefault="231891FD" w:rsidP="00401F86">
            <w:pPr>
              <w:jc w:val="right"/>
              <w:rPr>
                <w:rFonts w:cs="Arial"/>
                <w:color w:val="000000"/>
              </w:rPr>
            </w:pPr>
            <w:r w:rsidRPr="00FC6EF2">
              <w:rPr>
                <w:rFonts w:cs="Arial"/>
                <w:color w:val="000000" w:themeColor="text1"/>
              </w:rPr>
              <w:t>1,953,500</w:t>
            </w:r>
          </w:p>
        </w:tc>
        <w:tc>
          <w:tcPr>
            <w:tcW w:w="1350" w:type="dxa"/>
            <w:noWrap/>
            <w:hideMark/>
          </w:tcPr>
          <w:p w14:paraId="252D217C" w14:textId="77777777" w:rsidR="00401F86" w:rsidRPr="00FC6EF2" w:rsidRDefault="00401F86" w:rsidP="00401F86">
            <w:pPr>
              <w:jc w:val="right"/>
              <w:rPr>
                <w:rFonts w:cs="Arial"/>
                <w:color w:val="000000"/>
              </w:rPr>
            </w:pPr>
            <w:r w:rsidRPr="00FC6EF2">
              <w:rPr>
                <w:rFonts w:cs="Arial"/>
                <w:color w:val="000000"/>
              </w:rPr>
              <w:t>24,552</w:t>
            </w:r>
          </w:p>
        </w:tc>
        <w:tc>
          <w:tcPr>
            <w:tcW w:w="1530" w:type="dxa"/>
            <w:noWrap/>
            <w:hideMark/>
          </w:tcPr>
          <w:p w14:paraId="4F6A4D77" w14:textId="77777777" w:rsidR="00401F86" w:rsidRPr="00FC6EF2" w:rsidRDefault="00401F86" w:rsidP="00401F86">
            <w:pPr>
              <w:jc w:val="right"/>
              <w:rPr>
                <w:rFonts w:cs="Arial"/>
                <w:color w:val="000000"/>
              </w:rPr>
            </w:pPr>
            <w:r w:rsidRPr="00FC6EF2">
              <w:rPr>
                <w:rFonts w:cs="Arial"/>
                <w:color w:val="000000"/>
              </w:rPr>
              <w:t>1.26%</w:t>
            </w:r>
          </w:p>
        </w:tc>
        <w:tc>
          <w:tcPr>
            <w:tcW w:w="1350" w:type="dxa"/>
            <w:noWrap/>
            <w:hideMark/>
          </w:tcPr>
          <w:p w14:paraId="3C2AA9A5" w14:textId="77777777" w:rsidR="00401F86" w:rsidRPr="00FC6EF2" w:rsidRDefault="00401F86" w:rsidP="00401F86">
            <w:pPr>
              <w:jc w:val="right"/>
              <w:rPr>
                <w:rFonts w:cs="Arial"/>
                <w:color w:val="000000"/>
              </w:rPr>
            </w:pPr>
            <w:r w:rsidRPr="00FC6EF2">
              <w:rPr>
                <w:rFonts w:cs="Arial"/>
                <w:color w:val="000000"/>
              </w:rPr>
              <w:t>420,837</w:t>
            </w:r>
          </w:p>
        </w:tc>
        <w:tc>
          <w:tcPr>
            <w:tcW w:w="1350" w:type="dxa"/>
            <w:noWrap/>
            <w:hideMark/>
          </w:tcPr>
          <w:p w14:paraId="4BBAE97F" w14:textId="77777777" w:rsidR="00401F86" w:rsidRPr="00FC6EF2" w:rsidRDefault="00401F86" w:rsidP="00401F86">
            <w:pPr>
              <w:jc w:val="right"/>
              <w:rPr>
                <w:rFonts w:cs="Arial"/>
                <w:color w:val="000000"/>
              </w:rPr>
            </w:pPr>
            <w:r w:rsidRPr="00FC6EF2">
              <w:rPr>
                <w:rFonts w:cs="Arial"/>
                <w:color w:val="000000"/>
              </w:rPr>
              <w:t>6,813</w:t>
            </w:r>
          </w:p>
        </w:tc>
        <w:tc>
          <w:tcPr>
            <w:tcW w:w="1620" w:type="dxa"/>
            <w:noWrap/>
            <w:hideMark/>
          </w:tcPr>
          <w:p w14:paraId="5C9C7CB6" w14:textId="77777777" w:rsidR="00401F86" w:rsidRPr="00FC6EF2" w:rsidRDefault="00401F86" w:rsidP="00401F86">
            <w:pPr>
              <w:jc w:val="right"/>
              <w:rPr>
                <w:rFonts w:cs="Arial"/>
                <w:color w:val="000000"/>
              </w:rPr>
            </w:pPr>
            <w:r w:rsidRPr="00FC6EF2">
              <w:rPr>
                <w:rFonts w:cs="Arial"/>
                <w:color w:val="000000"/>
              </w:rPr>
              <w:t>1.62%</w:t>
            </w:r>
          </w:p>
        </w:tc>
        <w:tc>
          <w:tcPr>
            <w:tcW w:w="1620" w:type="dxa"/>
            <w:noWrap/>
            <w:hideMark/>
          </w:tcPr>
          <w:p w14:paraId="7A692835" w14:textId="77777777" w:rsidR="00401F86" w:rsidRPr="00FC6EF2" w:rsidRDefault="00401F86" w:rsidP="00401F86">
            <w:pPr>
              <w:jc w:val="right"/>
              <w:rPr>
                <w:rFonts w:cs="Arial"/>
                <w:color w:val="000000"/>
              </w:rPr>
            </w:pPr>
            <w:r w:rsidRPr="00FC6EF2">
              <w:rPr>
                <w:rFonts w:cs="Arial"/>
                <w:color w:val="000000"/>
              </w:rPr>
              <w:t>1,862,627</w:t>
            </w:r>
          </w:p>
        </w:tc>
        <w:tc>
          <w:tcPr>
            <w:tcW w:w="1530" w:type="dxa"/>
            <w:noWrap/>
            <w:hideMark/>
          </w:tcPr>
          <w:p w14:paraId="2F386E25" w14:textId="77777777" w:rsidR="00401F86" w:rsidRPr="00FC6EF2" w:rsidRDefault="00401F86" w:rsidP="00401F86">
            <w:pPr>
              <w:jc w:val="right"/>
              <w:rPr>
                <w:rFonts w:cs="Arial"/>
                <w:color w:val="000000"/>
              </w:rPr>
            </w:pPr>
            <w:r w:rsidRPr="00FC6EF2">
              <w:rPr>
                <w:rFonts w:cs="Arial"/>
                <w:color w:val="000000"/>
              </w:rPr>
              <w:t>20,302</w:t>
            </w:r>
          </w:p>
        </w:tc>
        <w:tc>
          <w:tcPr>
            <w:tcW w:w="1530" w:type="dxa"/>
            <w:noWrap/>
            <w:hideMark/>
          </w:tcPr>
          <w:p w14:paraId="22E642B5" w14:textId="77777777" w:rsidR="00401F86" w:rsidRPr="00FC6EF2" w:rsidRDefault="00401F86" w:rsidP="00401F86">
            <w:pPr>
              <w:jc w:val="right"/>
              <w:rPr>
                <w:rFonts w:cs="Arial"/>
                <w:color w:val="000000"/>
              </w:rPr>
            </w:pPr>
            <w:r w:rsidRPr="00FC6EF2">
              <w:rPr>
                <w:rFonts w:cs="Arial"/>
                <w:color w:val="000000"/>
              </w:rPr>
              <w:t>1.09%</w:t>
            </w:r>
          </w:p>
        </w:tc>
      </w:tr>
    </w:tbl>
    <w:p w14:paraId="7160007C" w14:textId="38616229" w:rsidR="57EEB976" w:rsidRPr="00FC6EF2" w:rsidRDefault="57EEB976"/>
    <w:p w14:paraId="0696B445" w14:textId="77777777" w:rsidR="00401F86" w:rsidRPr="00FC6EF2" w:rsidRDefault="00401F86" w:rsidP="00401F86">
      <w:pPr>
        <w:spacing w:after="60" w:line="259" w:lineRule="auto"/>
        <w:ind w:left="-450"/>
        <w:rPr>
          <w:rFonts w:cs="Arial"/>
          <w:bCs/>
          <w:color w:val="000000" w:themeColor="text1"/>
        </w:rPr>
      </w:pPr>
      <w:r w:rsidRPr="00FC6EF2">
        <w:rPr>
          <w:rFonts w:cs="Arial"/>
          <w:bCs/>
          <w:color w:val="000000" w:themeColor="text1"/>
        </w:rPr>
        <w:br w:type="page"/>
      </w:r>
    </w:p>
    <w:p w14:paraId="5E8E8193" w14:textId="6899E597" w:rsidR="00401F86" w:rsidRPr="00FC6EF2" w:rsidRDefault="231891FD" w:rsidP="00401F86">
      <w:pPr>
        <w:spacing w:after="60" w:line="259" w:lineRule="auto"/>
        <w:rPr>
          <w:rFonts w:cs="Arial"/>
          <w:color w:val="000000"/>
        </w:rPr>
      </w:pPr>
      <w:r w:rsidRPr="00FC6EF2">
        <w:rPr>
          <w:rFonts w:cs="Arial"/>
          <w:color w:val="000000" w:themeColor="text1"/>
        </w:rPr>
        <w:lastRenderedPageBreak/>
        <w:t>Table 11.</w:t>
      </w:r>
      <w:r w:rsidRPr="00FC6EF2">
        <w:rPr>
          <w:rFonts w:cs="Arial"/>
          <w:b/>
          <w:bCs/>
          <w:color w:val="000000" w:themeColor="text1"/>
        </w:rPr>
        <w:t xml:space="preserve"> </w:t>
      </w:r>
      <w:r w:rsidRPr="00FC6EF2">
        <w:rPr>
          <w:rFonts w:eastAsia="Calibri" w:cs="Arial"/>
        </w:rPr>
        <w:t xml:space="preserve">CAA for </w:t>
      </w:r>
      <w:r w:rsidRPr="00FC6EF2">
        <w:rPr>
          <w:rFonts w:cs="Arial"/>
          <w:color w:val="000000" w:themeColor="text1"/>
        </w:rPr>
        <w:t>Mathematics Participation Rates by Student</w:t>
      </w:r>
      <w:r w:rsidRPr="00FC6EF2">
        <w:rPr>
          <w:rFonts w:cs="Arial"/>
          <w:b/>
          <w:bCs/>
          <w:color w:val="000000" w:themeColor="text1"/>
        </w:rPr>
        <w:t xml:space="preserve"> </w:t>
      </w:r>
      <w:r w:rsidRPr="00FC6EF2">
        <w:rPr>
          <w:rFonts w:cs="Arial"/>
          <w:color w:val="000000" w:themeColor="text1"/>
        </w:rPr>
        <w:t>Group</w:t>
      </w:r>
    </w:p>
    <w:tbl>
      <w:tblPr>
        <w:tblStyle w:val="TableGrid1"/>
        <w:tblW w:w="14983" w:type="dxa"/>
        <w:tblInd w:w="-545" w:type="dxa"/>
        <w:tblLook w:val="04A0" w:firstRow="1" w:lastRow="0" w:firstColumn="1" w:lastColumn="0" w:noHBand="0" w:noVBand="1"/>
        <w:tblCaption w:val="Table 11. CAA for Mathematics Participation Rates by Student Group"/>
        <w:tblDescription w:val="Table 11 display the CAA for Mathematics Participation Rates by Student Group."/>
      </w:tblPr>
      <w:tblGrid>
        <w:gridCol w:w="1980"/>
        <w:gridCol w:w="1350"/>
        <w:gridCol w:w="1350"/>
        <w:gridCol w:w="1444"/>
        <w:gridCol w:w="1346"/>
        <w:gridCol w:w="1350"/>
        <w:gridCol w:w="1547"/>
        <w:gridCol w:w="1688"/>
        <w:gridCol w:w="1484"/>
        <w:gridCol w:w="1444"/>
      </w:tblGrid>
      <w:tr w:rsidR="00401F86" w:rsidRPr="00FC6EF2" w14:paraId="3E715470" w14:textId="77777777" w:rsidTr="57EEB976">
        <w:trPr>
          <w:cantSplit/>
          <w:trHeight w:val="2380"/>
          <w:tblHeader/>
        </w:trPr>
        <w:tc>
          <w:tcPr>
            <w:tcW w:w="1980" w:type="dxa"/>
            <w:vAlign w:val="center"/>
            <w:hideMark/>
          </w:tcPr>
          <w:p w14:paraId="1C0DBB52" w14:textId="77777777" w:rsidR="00401F86" w:rsidRPr="00FC6EF2" w:rsidRDefault="00401F86" w:rsidP="00401F86">
            <w:pPr>
              <w:jc w:val="center"/>
              <w:rPr>
                <w:rFonts w:cs="Arial"/>
                <w:color w:val="000000"/>
              </w:rPr>
            </w:pPr>
            <w:bookmarkStart w:id="3" w:name="_Hlk95836348"/>
            <w:r w:rsidRPr="00FC6EF2">
              <w:rPr>
                <w:rFonts w:cs="Arial"/>
                <w:color w:val="000000"/>
              </w:rPr>
              <w:t>Student Group</w:t>
            </w:r>
          </w:p>
        </w:tc>
        <w:tc>
          <w:tcPr>
            <w:tcW w:w="1350" w:type="dxa"/>
            <w:vAlign w:val="center"/>
            <w:hideMark/>
          </w:tcPr>
          <w:p w14:paraId="55D8073D" w14:textId="77777777" w:rsidR="00401F86" w:rsidRPr="00FC6EF2" w:rsidRDefault="00401F86" w:rsidP="00401F86">
            <w:pPr>
              <w:jc w:val="center"/>
              <w:rPr>
                <w:rFonts w:cs="Arial"/>
                <w:color w:val="000000"/>
              </w:rPr>
            </w:pPr>
            <w:r w:rsidRPr="00FC6EF2">
              <w:rPr>
                <w:rFonts w:cs="Arial"/>
                <w:color w:val="000000"/>
              </w:rPr>
              <w:t>Number of Students Assessed, 2019</w:t>
            </w:r>
          </w:p>
        </w:tc>
        <w:tc>
          <w:tcPr>
            <w:tcW w:w="1350" w:type="dxa"/>
            <w:vAlign w:val="center"/>
            <w:hideMark/>
          </w:tcPr>
          <w:p w14:paraId="5B9A8FD1" w14:textId="77777777" w:rsidR="00401F86" w:rsidRPr="00FC6EF2" w:rsidRDefault="00401F86" w:rsidP="00401F86">
            <w:pPr>
              <w:jc w:val="center"/>
              <w:rPr>
                <w:rFonts w:cs="Arial"/>
                <w:color w:val="000000"/>
              </w:rPr>
            </w:pPr>
            <w:r w:rsidRPr="00FC6EF2">
              <w:rPr>
                <w:rFonts w:cs="Arial"/>
                <w:color w:val="000000"/>
              </w:rPr>
              <w:t xml:space="preserve">Number of Students Assessed with </w:t>
            </w:r>
            <w:r w:rsidRPr="00FC6EF2">
              <w:rPr>
                <w:rFonts w:eastAsia="Calibri" w:cs="Arial"/>
              </w:rPr>
              <w:t>CAA,</w:t>
            </w:r>
            <w:r w:rsidRPr="00FC6EF2">
              <w:rPr>
                <w:rFonts w:cs="Arial"/>
                <w:color w:val="000000"/>
              </w:rPr>
              <w:t xml:space="preserve"> 2019</w:t>
            </w:r>
          </w:p>
        </w:tc>
        <w:tc>
          <w:tcPr>
            <w:tcW w:w="1444" w:type="dxa"/>
            <w:vAlign w:val="center"/>
            <w:hideMark/>
          </w:tcPr>
          <w:p w14:paraId="538C2AE7" w14:textId="77777777" w:rsidR="00401F86" w:rsidRPr="00FC6EF2" w:rsidRDefault="00401F86" w:rsidP="00401F86">
            <w:pPr>
              <w:jc w:val="center"/>
              <w:rPr>
                <w:rFonts w:cs="Arial"/>
                <w:color w:val="000000"/>
              </w:rPr>
            </w:pPr>
            <w:r w:rsidRPr="00FC6EF2">
              <w:rPr>
                <w:rFonts w:cs="Arial"/>
                <w:color w:val="000000"/>
              </w:rPr>
              <w:t xml:space="preserve">Percentage of Students Assessed with </w:t>
            </w:r>
            <w:r w:rsidRPr="00FC6EF2">
              <w:rPr>
                <w:rFonts w:eastAsia="Calibri" w:cs="Arial"/>
              </w:rPr>
              <w:t>CAA,</w:t>
            </w:r>
            <w:r w:rsidRPr="00FC6EF2">
              <w:rPr>
                <w:rFonts w:cs="Arial"/>
                <w:color w:val="000000"/>
              </w:rPr>
              <w:t xml:space="preserve"> 2019</w:t>
            </w:r>
          </w:p>
        </w:tc>
        <w:tc>
          <w:tcPr>
            <w:tcW w:w="1346" w:type="dxa"/>
            <w:vAlign w:val="center"/>
            <w:hideMark/>
          </w:tcPr>
          <w:p w14:paraId="4356C1ED" w14:textId="77777777" w:rsidR="00401F86" w:rsidRPr="00FC6EF2" w:rsidRDefault="00401F86" w:rsidP="00401F86">
            <w:pPr>
              <w:jc w:val="center"/>
              <w:rPr>
                <w:rFonts w:cs="Arial"/>
                <w:color w:val="000000"/>
              </w:rPr>
            </w:pPr>
            <w:r w:rsidRPr="00FC6EF2">
              <w:rPr>
                <w:rFonts w:cs="Arial"/>
                <w:color w:val="000000"/>
              </w:rPr>
              <w:t>Number of Students Assessed, 2021</w:t>
            </w:r>
          </w:p>
        </w:tc>
        <w:tc>
          <w:tcPr>
            <w:tcW w:w="1350" w:type="dxa"/>
            <w:vAlign w:val="center"/>
            <w:hideMark/>
          </w:tcPr>
          <w:p w14:paraId="725A6B0D" w14:textId="77777777" w:rsidR="00401F86" w:rsidRPr="00FC6EF2" w:rsidRDefault="00401F86" w:rsidP="00401F86">
            <w:pPr>
              <w:jc w:val="center"/>
              <w:rPr>
                <w:rFonts w:cs="Arial"/>
                <w:color w:val="000000"/>
              </w:rPr>
            </w:pPr>
            <w:r w:rsidRPr="00FC6EF2">
              <w:rPr>
                <w:rFonts w:cs="Arial"/>
                <w:color w:val="000000"/>
              </w:rPr>
              <w:t xml:space="preserve">Number of Students Assessed with </w:t>
            </w:r>
            <w:r w:rsidRPr="00FC6EF2">
              <w:rPr>
                <w:rFonts w:eastAsia="Calibri" w:cs="Arial"/>
              </w:rPr>
              <w:t>CAA,</w:t>
            </w:r>
            <w:r w:rsidRPr="00FC6EF2">
              <w:rPr>
                <w:rFonts w:cs="Arial"/>
                <w:color w:val="000000"/>
              </w:rPr>
              <w:t xml:space="preserve"> 2021</w:t>
            </w:r>
          </w:p>
        </w:tc>
        <w:tc>
          <w:tcPr>
            <w:tcW w:w="1547" w:type="dxa"/>
            <w:vAlign w:val="center"/>
            <w:hideMark/>
          </w:tcPr>
          <w:p w14:paraId="11C9B648" w14:textId="77777777" w:rsidR="00401F86" w:rsidRPr="00FC6EF2" w:rsidRDefault="00401F86" w:rsidP="00401F86">
            <w:pPr>
              <w:jc w:val="center"/>
              <w:rPr>
                <w:rFonts w:cs="Arial"/>
                <w:color w:val="000000"/>
              </w:rPr>
            </w:pPr>
            <w:r w:rsidRPr="00FC6EF2">
              <w:rPr>
                <w:rFonts w:cs="Arial"/>
                <w:color w:val="000000"/>
              </w:rPr>
              <w:t xml:space="preserve">Percentage of Students Assessed with </w:t>
            </w:r>
            <w:r w:rsidRPr="00FC6EF2">
              <w:rPr>
                <w:rFonts w:eastAsia="Calibri" w:cs="Arial"/>
              </w:rPr>
              <w:t>CAA,</w:t>
            </w:r>
            <w:r w:rsidRPr="00FC6EF2">
              <w:rPr>
                <w:rFonts w:cs="Arial"/>
                <w:color w:val="000000"/>
              </w:rPr>
              <w:t xml:space="preserve"> 2021</w:t>
            </w:r>
          </w:p>
        </w:tc>
        <w:tc>
          <w:tcPr>
            <w:tcW w:w="1688" w:type="dxa"/>
            <w:vAlign w:val="center"/>
            <w:hideMark/>
          </w:tcPr>
          <w:p w14:paraId="026292A5" w14:textId="77777777" w:rsidR="00401F86" w:rsidRPr="00FC6EF2" w:rsidRDefault="00401F86" w:rsidP="00401F86">
            <w:pPr>
              <w:jc w:val="center"/>
              <w:rPr>
                <w:rFonts w:cs="Arial"/>
                <w:color w:val="000000"/>
              </w:rPr>
            </w:pPr>
            <w:r w:rsidRPr="00FC6EF2">
              <w:rPr>
                <w:rFonts w:cs="Arial"/>
                <w:color w:val="000000"/>
              </w:rPr>
              <w:t>Number of Students Assessed, 2022 (estimate based on enrollment in grades 3–8 and 11)</w:t>
            </w:r>
          </w:p>
        </w:tc>
        <w:tc>
          <w:tcPr>
            <w:tcW w:w="1484" w:type="dxa"/>
            <w:vAlign w:val="center"/>
            <w:hideMark/>
          </w:tcPr>
          <w:p w14:paraId="1AA0770C" w14:textId="77777777" w:rsidR="00401F86" w:rsidRPr="00FC6EF2" w:rsidRDefault="00401F86" w:rsidP="00401F86">
            <w:pPr>
              <w:jc w:val="center"/>
              <w:rPr>
                <w:rFonts w:cs="Arial"/>
                <w:color w:val="000000"/>
              </w:rPr>
            </w:pPr>
            <w:r w:rsidRPr="00FC6EF2">
              <w:rPr>
                <w:rFonts w:cs="Arial"/>
                <w:color w:val="000000"/>
              </w:rPr>
              <w:t xml:space="preserve">Number of Students Assessed with </w:t>
            </w:r>
            <w:r w:rsidRPr="00FC6EF2">
              <w:rPr>
                <w:rFonts w:eastAsia="Calibri" w:cs="Arial"/>
              </w:rPr>
              <w:t>CAA,</w:t>
            </w:r>
            <w:r w:rsidRPr="00FC6EF2">
              <w:rPr>
                <w:rFonts w:cs="Arial"/>
                <w:color w:val="000000"/>
              </w:rPr>
              <w:t xml:space="preserve"> 2022 (estimate based on 2021 test registration)</w:t>
            </w:r>
          </w:p>
        </w:tc>
        <w:tc>
          <w:tcPr>
            <w:tcW w:w="1444" w:type="dxa"/>
            <w:vAlign w:val="center"/>
            <w:hideMark/>
          </w:tcPr>
          <w:p w14:paraId="1903B632" w14:textId="77777777" w:rsidR="00401F86" w:rsidRPr="00FC6EF2" w:rsidRDefault="00401F86" w:rsidP="00401F86">
            <w:pPr>
              <w:jc w:val="center"/>
              <w:rPr>
                <w:rFonts w:cs="Arial"/>
                <w:color w:val="000000"/>
              </w:rPr>
            </w:pPr>
            <w:r w:rsidRPr="00FC6EF2">
              <w:rPr>
                <w:rFonts w:cs="Arial"/>
                <w:color w:val="000000"/>
              </w:rPr>
              <w:t xml:space="preserve">Percentage of Students Assessed with </w:t>
            </w:r>
            <w:r w:rsidRPr="00FC6EF2">
              <w:rPr>
                <w:rFonts w:eastAsia="Calibri" w:cs="Arial"/>
              </w:rPr>
              <w:t>CAA,</w:t>
            </w:r>
            <w:r w:rsidRPr="00FC6EF2">
              <w:rPr>
                <w:rFonts w:cs="Arial"/>
                <w:color w:val="000000"/>
              </w:rPr>
              <w:t xml:space="preserve"> 2022 (estimate)</w:t>
            </w:r>
          </w:p>
        </w:tc>
      </w:tr>
      <w:tr w:rsidR="00401F86" w:rsidRPr="00FC6EF2" w14:paraId="3F5A2DC3" w14:textId="77777777" w:rsidTr="57EEB976">
        <w:trPr>
          <w:cantSplit/>
          <w:trHeight w:val="320"/>
        </w:trPr>
        <w:tc>
          <w:tcPr>
            <w:tcW w:w="1980" w:type="dxa"/>
            <w:noWrap/>
            <w:hideMark/>
          </w:tcPr>
          <w:p w14:paraId="1CC10FFA" w14:textId="77777777" w:rsidR="00401F86" w:rsidRPr="00FC6EF2" w:rsidRDefault="00401F86" w:rsidP="00401F86">
            <w:pPr>
              <w:rPr>
                <w:rFonts w:cs="Arial"/>
                <w:color w:val="000000"/>
              </w:rPr>
            </w:pPr>
            <w:r w:rsidRPr="00FC6EF2">
              <w:rPr>
                <w:rFonts w:cs="Arial"/>
                <w:color w:val="000000"/>
              </w:rPr>
              <w:t>All Students</w:t>
            </w:r>
          </w:p>
        </w:tc>
        <w:tc>
          <w:tcPr>
            <w:tcW w:w="1350" w:type="dxa"/>
            <w:noWrap/>
            <w:hideMark/>
          </w:tcPr>
          <w:p w14:paraId="358EA1A5" w14:textId="772AE99E" w:rsidR="00401F86" w:rsidRPr="00FC6EF2" w:rsidRDefault="231891FD" w:rsidP="00401F86">
            <w:pPr>
              <w:jc w:val="right"/>
              <w:rPr>
                <w:rFonts w:cs="Arial"/>
                <w:color w:val="000000"/>
              </w:rPr>
            </w:pPr>
            <w:r w:rsidRPr="00FC6EF2">
              <w:rPr>
                <w:rFonts w:cs="Arial"/>
                <w:color w:val="000000" w:themeColor="text1"/>
              </w:rPr>
              <w:t>3,208,320</w:t>
            </w:r>
          </w:p>
        </w:tc>
        <w:tc>
          <w:tcPr>
            <w:tcW w:w="1350" w:type="dxa"/>
            <w:noWrap/>
            <w:hideMark/>
          </w:tcPr>
          <w:p w14:paraId="3BDBF6C8" w14:textId="77777777" w:rsidR="00401F86" w:rsidRPr="00FC6EF2" w:rsidRDefault="00401F86" w:rsidP="00401F86">
            <w:pPr>
              <w:jc w:val="right"/>
              <w:rPr>
                <w:rFonts w:cs="Arial"/>
                <w:color w:val="000000"/>
              </w:rPr>
            </w:pPr>
            <w:r w:rsidRPr="00FC6EF2">
              <w:rPr>
                <w:rFonts w:cs="Arial"/>
                <w:color w:val="000000"/>
              </w:rPr>
              <w:t>37,349</w:t>
            </w:r>
          </w:p>
        </w:tc>
        <w:tc>
          <w:tcPr>
            <w:tcW w:w="1444" w:type="dxa"/>
            <w:noWrap/>
            <w:hideMark/>
          </w:tcPr>
          <w:p w14:paraId="00972735" w14:textId="77777777" w:rsidR="00401F86" w:rsidRPr="00FC6EF2" w:rsidRDefault="00401F86" w:rsidP="00401F86">
            <w:pPr>
              <w:jc w:val="right"/>
              <w:rPr>
                <w:rFonts w:cs="Arial"/>
                <w:color w:val="000000"/>
              </w:rPr>
            </w:pPr>
            <w:r w:rsidRPr="00FC6EF2">
              <w:rPr>
                <w:rFonts w:cs="Arial"/>
                <w:color w:val="000000"/>
              </w:rPr>
              <w:t>1.16%</w:t>
            </w:r>
          </w:p>
        </w:tc>
        <w:tc>
          <w:tcPr>
            <w:tcW w:w="1346" w:type="dxa"/>
            <w:noWrap/>
            <w:hideMark/>
          </w:tcPr>
          <w:p w14:paraId="41C7D9D8" w14:textId="77777777" w:rsidR="00401F86" w:rsidRPr="00FC6EF2" w:rsidRDefault="00401F86" w:rsidP="00401F86">
            <w:pPr>
              <w:jc w:val="right"/>
              <w:rPr>
                <w:rFonts w:cs="Arial"/>
                <w:color w:val="000000"/>
              </w:rPr>
            </w:pPr>
            <w:r w:rsidRPr="00FC6EF2">
              <w:rPr>
                <w:rFonts w:cs="Arial"/>
                <w:color w:val="000000"/>
              </w:rPr>
              <w:t>760,921</w:t>
            </w:r>
          </w:p>
        </w:tc>
        <w:tc>
          <w:tcPr>
            <w:tcW w:w="1350" w:type="dxa"/>
            <w:noWrap/>
            <w:hideMark/>
          </w:tcPr>
          <w:p w14:paraId="2AFD1926" w14:textId="77777777" w:rsidR="00401F86" w:rsidRPr="00FC6EF2" w:rsidRDefault="00401F86" w:rsidP="00401F86">
            <w:pPr>
              <w:jc w:val="right"/>
              <w:rPr>
                <w:rFonts w:cs="Arial"/>
                <w:color w:val="000000"/>
              </w:rPr>
            </w:pPr>
            <w:r w:rsidRPr="00FC6EF2">
              <w:rPr>
                <w:rFonts w:cs="Arial"/>
                <w:color w:val="000000"/>
              </w:rPr>
              <w:t>10,973</w:t>
            </w:r>
          </w:p>
        </w:tc>
        <w:tc>
          <w:tcPr>
            <w:tcW w:w="1547" w:type="dxa"/>
            <w:noWrap/>
            <w:hideMark/>
          </w:tcPr>
          <w:p w14:paraId="4ABA9867" w14:textId="77777777" w:rsidR="00401F86" w:rsidRPr="00FC6EF2" w:rsidRDefault="00401F86" w:rsidP="00401F86">
            <w:pPr>
              <w:jc w:val="right"/>
              <w:rPr>
                <w:rFonts w:cs="Arial"/>
                <w:color w:val="000000"/>
              </w:rPr>
            </w:pPr>
            <w:r w:rsidRPr="00FC6EF2">
              <w:rPr>
                <w:rFonts w:cs="Arial"/>
                <w:color w:val="000000"/>
              </w:rPr>
              <w:t>1.44%</w:t>
            </w:r>
          </w:p>
        </w:tc>
        <w:tc>
          <w:tcPr>
            <w:tcW w:w="1688" w:type="dxa"/>
            <w:noWrap/>
            <w:hideMark/>
          </w:tcPr>
          <w:p w14:paraId="737579D6" w14:textId="77777777" w:rsidR="00401F86" w:rsidRPr="00FC6EF2" w:rsidRDefault="00401F86" w:rsidP="00401F86">
            <w:pPr>
              <w:jc w:val="right"/>
              <w:rPr>
                <w:rFonts w:cs="Arial"/>
                <w:color w:val="000000"/>
              </w:rPr>
            </w:pPr>
            <w:r w:rsidRPr="00FC6EF2">
              <w:rPr>
                <w:rFonts w:cs="Arial"/>
                <w:color w:val="000000"/>
              </w:rPr>
              <w:t>3,115,257</w:t>
            </w:r>
          </w:p>
        </w:tc>
        <w:tc>
          <w:tcPr>
            <w:tcW w:w="1484" w:type="dxa"/>
            <w:noWrap/>
            <w:hideMark/>
          </w:tcPr>
          <w:p w14:paraId="7CCFFF73" w14:textId="77777777" w:rsidR="00401F86" w:rsidRPr="00FC6EF2" w:rsidRDefault="00401F86" w:rsidP="00401F86">
            <w:pPr>
              <w:jc w:val="right"/>
              <w:rPr>
                <w:rFonts w:cs="Arial"/>
                <w:color w:val="000000"/>
              </w:rPr>
            </w:pPr>
            <w:r w:rsidRPr="00FC6EF2">
              <w:rPr>
                <w:rFonts w:cs="Arial"/>
                <w:color w:val="000000"/>
              </w:rPr>
              <w:t>31,777</w:t>
            </w:r>
          </w:p>
        </w:tc>
        <w:tc>
          <w:tcPr>
            <w:tcW w:w="1444" w:type="dxa"/>
            <w:noWrap/>
            <w:hideMark/>
          </w:tcPr>
          <w:p w14:paraId="5287D098" w14:textId="77777777" w:rsidR="00401F86" w:rsidRPr="00FC6EF2" w:rsidRDefault="00401F86" w:rsidP="00401F86">
            <w:pPr>
              <w:jc w:val="right"/>
              <w:rPr>
                <w:rFonts w:cs="Arial"/>
                <w:color w:val="000000"/>
              </w:rPr>
            </w:pPr>
            <w:r w:rsidRPr="00FC6EF2">
              <w:rPr>
                <w:rFonts w:cs="Arial"/>
                <w:color w:val="000000"/>
              </w:rPr>
              <w:t>1.02%</w:t>
            </w:r>
          </w:p>
        </w:tc>
      </w:tr>
      <w:tr w:rsidR="00401F86" w:rsidRPr="00FC6EF2" w14:paraId="22479050" w14:textId="77777777" w:rsidTr="57EEB976">
        <w:trPr>
          <w:cantSplit/>
          <w:trHeight w:val="320"/>
        </w:trPr>
        <w:tc>
          <w:tcPr>
            <w:tcW w:w="1980" w:type="dxa"/>
            <w:noWrap/>
            <w:hideMark/>
          </w:tcPr>
          <w:p w14:paraId="019A63D1" w14:textId="77777777" w:rsidR="00401F86" w:rsidRPr="00FC6EF2" w:rsidRDefault="00401F86" w:rsidP="00401F86">
            <w:pPr>
              <w:rPr>
                <w:rFonts w:cs="Arial"/>
                <w:color w:val="000000"/>
              </w:rPr>
            </w:pPr>
            <w:r w:rsidRPr="00FC6EF2">
              <w:rPr>
                <w:rFonts w:cs="Arial"/>
                <w:color w:val="000000"/>
              </w:rPr>
              <w:t>Females</w:t>
            </w:r>
          </w:p>
        </w:tc>
        <w:tc>
          <w:tcPr>
            <w:tcW w:w="1350" w:type="dxa"/>
            <w:noWrap/>
            <w:hideMark/>
          </w:tcPr>
          <w:p w14:paraId="1AF3F177" w14:textId="1723B18C" w:rsidR="00401F86" w:rsidRPr="00FC6EF2" w:rsidRDefault="231891FD" w:rsidP="00401F86">
            <w:pPr>
              <w:jc w:val="right"/>
              <w:rPr>
                <w:rFonts w:cs="Arial"/>
                <w:color w:val="000000"/>
              </w:rPr>
            </w:pPr>
            <w:r w:rsidRPr="00FC6EF2">
              <w:rPr>
                <w:rFonts w:cs="Arial"/>
                <w:color w:val="000000" w:themeColor="text1"/>
              </w:rPr>
              <w:t>1,563,025</w:t>
            </w:r>
          </w:p>
        </w:tc>
        <w:tc>
          <w:tcPr>
            <w:tcW w:w="1350" w:type="dxa"/>
            <w:noWrap/>
            <w:hideMark/>
          </w:tcPr>
          <w:p w14:paraId="1B831FFA" w14:textId="77777777" w:rsidR="00401F86" w:rsidRPr="00FC6EF2" w:rsidRDefault="00401F86" w:rsidP="00401F86">
            <w:pPr>
              <w:jc w:val="right"/>
              <w:rPr>
                <w:rFonts w:cs="Arial"/>
                <w:color w:val="000000"/>
              </w:rPr>
            </w:pPr>
            <w:r w:rsidRPr="00FC6EF2">
              <w:rPr>
                <w:rFonts w:cs="Arial"/>
                <w:color w:val="000000"/>
              </w:rPr>
              <w:t>12,136</w:t>
            </w:r>
          </w:p>
        </w:tc>
        <w:tc>
          <w:tcPr>
            <w:tcW w:w="1444" w:type="dxa"/>
            <w:noWrap/>
            <w:hideMark/>
          </w:tcPr>
          <w:p w14:paraId="106E6C36" w14:textId="77777777" w:rsidR="00401F86" w:rsidRPr="00FC6EF2" w:rsidRDefault="00401F86" w:rsidP="00401F86">
            <w:pPr>
              <w:jc w:val="right"/>
              <w:rPr>
                <w:rFonts w:cs="Arial"/>
                <w:color w:val="000000"/>
              </w:rPr>
            </w:pPr>
            <w:r w:rsidRPr="00FC6EF2">
              <w:rPr>
                <w:rFonts w:cs="Arial"/>
                <w:color w:val="000000"/>
              </w:rPr>
              <w:t>0.78%</w:t>
            </w:r>
          </w:p>
        </w:tc>
        <w:tc>
          <w:tcPr>
            <w:tcW w:w="1346" w:type="dxa"/>
            <w:noWrap/>
            <w:hideMark/>
          </w:tcPr>
          <w:p w14:paraId="773A2027" w14:textId="77777777" w:rsidR="00401F86" w:rsidRPr="00FC6EF2" w:rsidRDefault="00401F86" w:rsidP="00401F86">
            <w:pPr>
              <w:jc w:val="right"/>
              <w:rPr>
                <w:rFonts w:cs="Arial"/>
                <w:color w:val="000000"/>
              </w:rPr>
            </w:pPr>
            <w:r w:rsidRPr="00FC6EF2">
              <w:rPr>
                <w:rFonts w:cs="Arial"/>
                <w:color w:val="000000"/>
              </w:rPr>
              <w:t>374,072</w:t>
            </w:r>
          </w:p>
        </w:tc>
        <w:tc>
          <w:tcPr>
            <w:tcW w:w="1350" w:type="dxa"/>
            <w:noWrap/>
            <w:hideMark/>
          </w:tcPr>
          <w:p w14:paraId="0BF07A22" w14:textId="77777777" w:rsidR="00401F86" w:rsidRPr="00FC6EF2" w:rsidRDefault="00401F86" w:rsidP="00401F86">
            <w:pPr>
              <w:jc w:val="right"/>
              <w:rPr>
                <w:rFonts w:cs="Arial"/>
                <w:color w:val="000000"/>
              </w:rPr>
            </w:pPr>
            <w:r w:rsidRPr="00FC6EF2">
              <w:rPr>
                <w:rFonts w:cs="Arial"/>
                <w:color w:val="000000"/>
              </w:rPr>
              <w:t>3,445</w:t>
            </w:r>
          </w:p>
        </w:tc>
        <w:tc>
          <w:tcPr>
            <w:tcW w:w="1547" w:type="dxa"/>
            <w:noWrap/>
            <w:hideMark/>
          </w:tcPr>
          <w:p w14:paraId="238A3342" w14:textId="77777777" w:rsidR="00401F86" w:rsidRPr="00FC6EF2" w:rsidRDefault="00401F86" w:rsidP="00401F86">
            <w:pPr>
              <w:jc w:val="right"/>
              <w:rPr>
                <w:rFonts w:cs="Arial"/>
                <w:color w:val="000000"/>
              </w:rPr>
            </w:pPr>
            <w:r w:rsidRPr="00FC6EF2">
              <w:rPr>
                <w:rFonts w:cs="Arial"/>
                <w:color w:val="000000"/>
              </w:rPr>
              <w:t>0.92%</w:t>
            </w:r>
          </w:p>
        </w:tc>
        <w:tc>
          <w:tcPr>
            <w:tcW w:w="1688" w:type="dxa"/>
            <w:noWrap/>
            <w:hideMark/>
          </w:tcPr>
          <w:p w14:paraId="07DD3AB4" w14:textId="77777777" w:rsidR="00401F86" w:rsidRPr="00FC6EF2" w:rsidRDefault="00401F86" w:rsidP="00401F86">
            <w:pPr>
              <w:jc w:val="right"/>
              <w:rPr>
                <w:rFonts w:cs="Arial"/>
                <w:color w:val="000000"/>
              </w:rPr>
            </w:pPr>
            <w:r w:rsidRPr="00FC6EF2">
              <w:rPr>
                <w:rFonts w:cs="Arial"/>
                <w:color w:val="000000"/>
              </w:rPr>
              <w:t>1,513,531</w:t>
            </w:r>
          </w:p>
        </w:tc>
        <w:tc>
          <w:tcPr>
            <w:tcW w:w="1484" w:type="dxa"/>
            <w:noWrap/>
            <w:hideMark/>
          </w:tcPr>
          <w:p w14:paraId="4D21C90E" w14:textId="77777777" w:rsidR="00401F86" w:rsidRPr="00FC6EF2" w:rsidRDefault="00401F86" w:rsidP="00401F86">
            <w:pPr>
              <w:jc w:val="right"/>
              <w:rPr>
                <w:rFonts w:cs="Arial"/>
                <w:color w:val="000000"/>
              </w:rPr>
            </w:pPr>
            <w:r w:rsidRPr="00FC6EF2">
              <w:rPr>
                <w:rFonts w:cs="Arial"/>
                <w:color w:val="000000"/>
              </w:rPr>
              <w:t>10,231</w:t>
            </w:r>
          </w:p>
        </w:tc>
        <w:tc>
          <w:tcPr>
            <w:tcW w:w="1444" w:type="dxa"/>
            <w:noWrap/>
            <w:hideMark/>
          </w:tcPr>
          <w:p w14:paraId="242B0ABC" w14:textId="77777777" w:rsidR="00401F86" w:rsidRPr="00FC6EF2" w:rsidRDefault="00401F86" w:rsidP="00401F86">
            <w:pPr>
              <w:jc w:val="right"/>
              <w:rPr>
                <w:rFonts w:cs="Arial"/>
                <w:color w:val="000000"/>
              </w:rPr>
            </w:pPr>
            <w:r w:rsidRPr="00FC6EF2">
              <w:rPr>
                <w:rFonts w:cs="Arial"/>
                <w:color w:val="000000"/>
              </w:rPr>
              <w:t>0.68%</w:t>
            </w:r>
          </w:p>
        </w:tc>
      </w:tr>
      <w:tr w:rsidR="00401F86" w:rsidRPr="00FC6EF2" w14:paraId="508ADDE3" w14:textId="77777777" w:rsidTr="57EEB976">
        <w:trPr>
          <w:cantSplit/>
          <w:trHeight w:val="320"/>
        </w:trPr>
        <w:tc>
          <w:tcPr>
            <w:tcW w:w="1980" w:type="dxa"/>
            <w:noWrap/>
            <w:hideMark/>
          </w:tcPr>
          <w:p w14:paraId="2E780184" w14:textId="77777777" w:rsidR="00401F86" w:rsidRPr="00FC6EF2" w:rsidRDefault="00401F86" w:rsidP="00401F86">
            <w:pPr>
              <w:rPr>
                <w:rFonts w:cs="Arial"/>
                <w:color w:val="000000"/>
              </w:rPr>
            </w:pPr>
            <w:r w:rsidRPr="00FC6EF2">
              <w:rPr>
                <w:rFonts w:cs="Arial"/>
                <w:color w:val="000000"/>
              </w:rPr>
              <w:t>Males</w:t>
            </w:r>
          </w:p>
        </w:tc>
        <w:tc>
          <w:tcPr>
            <w:tcW w:w="1350" w:type="dxa"/>
            <w:noWrap/>
            <w:hideMark/>
          </w:tcPr>
          <w:p w14:paraId="4CDEDE1F" w14:textId="67E27C19" w:rsidR="00401F86" w:rsidRPr="00FC6EF2" w:rsidRDefault="231891FD" w:rsidP="00401F86">
            <w:pPr>
              <w:jc w:val="right"/>
              <w:rPr>
                <w:rFonts w:cs="Arial"/>
                <w:color w:val="000000"/>
              </w:rPr>
            </w:pPr>
            <w:r w:rsidRPr="00FC6EF2">
              <w:rPr>
                <w:rFonts w:cs="Arial"/>
                <w:color w:val="000000" w:themeColor="text1"/>
              </w:rPr>
              <w:t>1,645,295</w:t>
            </w:r>
          </w:p>
        </w:tc>
        <w:tc>
          <w:tcPr>
            <w:tcW w:w="1350" w:type="dxa"/>
            <w:noWrap/>
            <w:hideMark/>
          </w:tcPr>
          <w:p w14:paraId="1CFC3BCE" w14:textId="77777777" w:rsidR="00401F86" w:rsidRPr="00FC6EF2" w:rsidRDefault="00401F86" w:rsidP="00401F86">
            <w:pPr>
              <w:jc w:val="right"/>
              <w:rPr>
                <w:rFonts w:cs="Arial"/>
                <w:color w:val="000000"/>
              </w:rPr>
            </w:pPr>
            <w:r w:rsidRPr="00FC6EF2">
              <w:rPr>
                <w:rFonts w:cs="Arial"/>
                <w:color w:val="000000"/>
              </w:rPr>
              <w:t>25,213</w:t>
            </w:r>
          </w:p>
        </w:tc>
        <w:tc>
          <w:tcPr>
            <w:tcW w:w="1444" w:type="dxa"/>
            <w:noWrap/>
            <w:hideMark/>
          </w:tcPr>
          <w:p w14:paraId="138F20EF" w14:textId="77777777" w:rsidR="00401F86" w:rsidRPr="00FC6EF2" w:rsidRDefault="00401F86" w:rsidP="00401F86">
            <w:pPr>
              <w:jc w:val="right"/>
              <w:rPr>
                <w:rFonts w:cs="Arial"/>
                <w:color w:val="000000"/>
              </w:rPr>
            </w:pPr>
            <w:r w:rsidRPr="00FC6EF2">
              <w:rPr>
                <w:rFonts w:cs="Arial"/>
                <w:color w:val="000000"/>
              </w:rPr>
              <w:t>1.53%</w:t>
            </w:r>
          </w:p>
        </w:tc>
        <w:tc>
          <w:tcPr>
            <w:tcW w:w="1346" w:type="dxa"/>
            <w:noWrap/>
            <w:hideMark/>
          </w:tcPr>
          <w:p w14:paraId="74EF3528" w14:textId="77777777" w:rsidR="00401F86" w:rsidRPr="00FC6EF2" w:rsidRDefault="00401F86" w:rsidP="00401F86">
            <w:pPr>
              <w:jc w:val="right"/>
              <w:rPr>
                <w:rFonts w:cs="Arial"/>
                <w:color w:val="000000"/>
              </w:rPr>
            </w:pPr>
            <w:r w:rsidRPr="00FC6EF2">
              <w:rPr>
                <w:rFonts w:cs="Arial"/>
                <w:color w:val="000000"/>
              </w:rPr>
              <w:t>386,676</w:t>
            </w:r>
          </w:p>
        </w:tc>
        <w:tc>
          <w:tcPr>
            <w:tcW w:w="1350" w:type="dxa"/>
            <w:noWrap/>
            <w:hideMark/>
          </w:tcPr>
          <w:p w14:paraId="17D7328D" w14:textId="77777777" w:rsidR="00401F86" w:rsidRPr="00FC6EF2" w:rsidRDefault="00401F86" w:rsidP="00401F86">
            <w:pPr>
              <w:jc w:val="right"/>
              <w:rPr>
                <w:rFonts w:cs="Arial"/>
                <w:color w:val="000000"/>
              </w:rPr>
            </w:pPr>
            <w:r w:rsidRPr="00FC6EF2">
              <w:rPr>
                <w:rFonts w:cs="Arial"/>
                <w:color w:val="000000"/>
              </w:rPr>
              <w:t>7,528</w:t>
            </w:r>
          </w:p>
        </w:tc>
        <w:tc>
          <w:tcPr>
            <w:tcW w:w="1547" w:type="dxa"/>
            <w:noWrap/>
            <w:hideMark/>
          </w:tcPr>
          <w:p w14:paraId="35BAF7CE" w14:textId="77777777" w:rsidR="00401F86" w:rsidRPr="00FC6EF2" w:rsidRDefault="00401F86" w:rsidP="00401F86">
            <w:pPr>
              <w:jc w:val="right"/>
              <w:rPr>
                <w:rFonts w:cs="Arial"/>
                <w:color w:val="000000"/>
              </w:rPr>
            </w:pPr>
            <w:r w:rsidRPr="00FC6EF2">
              <w:rPr>
                <w:rFonts w:cs="Arial"/>
                <w:color w:val="000000"/>
              </w:rPr>
              <w:t>1.95%</w:t>
            </w:r>
          </w:p>
        </w:tc>
        <w:tc>
          <w:tcPr>
            <w:tcW w:w="1688" w:type="dxa"/>
            <w:noWrap/>
            <w:hideMark/>
          </w:tcPr>
          <w:p w14:paraId="60C17698" w14:textId="77777777" w:rsidR="00401F86" w:rsidRPr="00FC6EF2" w:rsidRDefault="00401F86" w:rsidP="00401F86">
            <w:pPr>
              <w:jc w:val="right"/>
              <w:rPr>
                <w:rFonts w:cs="Arial"/>
                <w:color w:val="000000"/>
              </w:rPr>
            </w:pPr>
            <w:r w:rsidRPr="00FC6EF2">
              <w:rPr>
                <w:rFonts w:cs="Arial"/>
                <w:color w:val="000000"/>
              </w:rPr>
              <w:t>1,600,202</w:t>
            </w:r>
          </w:p>
        </w:tc>
        <w:tc>
          <w:tcPr>
            <w:tcW w:w="1484" w:type="dxa"/>
            <w:noWrap/>
            <w:hideMark/>
          </w:tcPr>
          <w:p w14:paraId="78EFA079" w14:textId="77777777" w:rsidR="00401F86" w:rsidRPr="00FC6EF2" w:rsidRDefault="00401F86" w:rsidP="00401F86">
            <w:pPr>
              <w:jc w:val="right"/>
              <w:rPr>
                <w:rFonts w:cs="Arial"/>
                <w:color w:val="000000"/>
              </w:rPr>
            </w:pPr>
            <w:r w:rsidRPr="00FC6EF2">
              <w:rPr>
                <w:rFonts w:cs="Arial"/>
                <w:color w:val="000000"/>
              </w:rPr>
              <w:t>21,546</w:t>
            </w:r>
          </w:p>
        </w:tc>
        <w:tc>
          <w:tcPr>
            <w:tcW w:w="1444" w:type="dxa"/>
            <w:noWrap/>
            <w:hideMark/>
          </w:tcPr>
          <w:p w14:paraId="1BEC3A72" w14:textId="77777777" w:rsidR="00401F86" w:rsidRPr="00FC6EF2" w:rsidRDefault="00401F86" w:rsidP="00401F86">
            <w:pPr>
              <w:jc w:val="right"/>
              <w:rPr>
                <w:rFonts w:cs="Arial"/>
                <w:color w:val="000000"/>
              </w:rPr>
            </w:pPr>
            <w:r w:rsidRPr="00FC6EF2">
              <w:rPr>
                <w:rFonts w:cs="Arial"/>
                <w:color w:val="000000"/>
              </w:rPr>
              <w:t>1.35%</w:t>
            </w:r>
          </w:p>
        </w:tc>
      </w:tr>
      <w:tr w:rsidR="00401F86" w:rsidRPr="00FC6EF2" w14:paraId="6CEA1450" w14:textId="77777777" w:rsidTr="57EEB976">
        <w:trPr>
          <w:cantSplit/>
          <w:trHeight w:val="320"/>
        </w:trPr>
        <w:tc>
          <w:tcPr>
            <w:tcW w:w="1980" w:type="dxa"/>
            <w:noWrap/>
            <w:hideMark/>
          </w:tcPr>
          <w:p w14:paraId="7A6F2953" w14:textId="77777777" w:rsidR="00401F86" w:rsidRPr="00FC6EF2" w:rsidRDefault="00401F86" w:rsidP="00401F86">
            <w:pPr>
              <w:rPr>
                <w:rFonts w:cs="Arial"/>
                <w:color w:val="000000"/>
              </w:rPr>
            </w:pPr>
            <w:r w:rsidRPr="00FC6EF2">
              <w:rPr>
                <w:rFonts w:cs="Arial"/>
                <w:color w:val="000000"/>
              </w:rPr>
              <w:t>Black</w:t>
            </w:r>
          </w:p>
        </w:tc>
        <w:tc>
          <w:tcPr>
            <w:tcW w:w="1350" w:type="dxa"/>
            <w:noWrap/>
            <w:hideMark/>
          </w:tcPr>
          <w:p w14:paraId="15914985" w14:textId="240451E6" w:rsidR="00401F86" w:rsidRPr="00FC6EF2" w:rsidRDefault="231891FD" w:rsidP="00401F86">
            <w:pPr>
              <w:jc w:val="right"/>
              <w:rPr>
                <w:rFonts w:cs="Arial"/>
                <w:color w:val="000000"/>
              </w:rPr>
            </w:pPr>
            <w:r w:rsidRPr="00FC6EF2">
              <w:rPr>
                <w:rFonts w:cs="Arial"/>
                <w:color w:val="000000" w:themeColor="text1"/>
              </w:rPr>
              <w:t>169,891</w:t>
            </w:r>
          </w:p>
        </w:tc>
        <w:tc>
          <w:tcPr>
            <w:tcW w:w="1350" w:type="dxa"/>
            <w:noWrap/>
            <w:hideMark/>
          </w:tcPr>
          <w:p w14:paraId="01BE2A3E" w14:textId="77777777" w:rsidR="00401F86" w:rsidRPr="00FC6EF2" w:rsidRDefault="00401F86" w:rsidP="00401F86">
            <w:pPr>
              <w:jc w:val="right"/>
              <w:rPr>
                <w:rFonts w:cs="Arial"/>
                <w:color w:val="000000"/>
              </w:rPr>
            </w:pPr>
            <w:r w:rsidRPr="00FC6EF2">
              <w:rPr>
                <w:rFonts w:cs="Arial"/>
                <w:color w:val="000000"/>
              </w:rPr>
              <w:t>3,021</w:t>
            </w:r>
          </w:p>
        </w:tc>
        <w:tc>
          <w:tcPr>
            <w:tcW w:w="1444" w:type="dxa"/>
            <w:noWrap/>
            <w:hideMark/>
          </w:tcPr>
          <w:p w14:paraId="77674577" w14:textId="77777777" w:rsidR="00401F86" w:rsidRPr="00FC6EF2" w:rsidRDefault="00401F86" w:rsidP="00401F86">
            <w:pPr>
              <w:jc w:val="right"/>
              <w:rPr>
                <w:rFonts w:cs="Arial"/>
                <w:color w:val="000000"/>
              </w:rPr>
            </w:pPr>
            <w:r w:rsidRPr="00FC6EF2">
              <w:rPr>
                <w:rFonts w:cs="Arial"/>
                <w:color w:val="000000"/>
              </w:rPr>
              <w:t>1.78%</w:t>
            </w:r>
          </w:p>
        </w:tc>
        <w:tc>
          <w:tcPr>
            <w:tcW w:w="1346" w:type="dxa"/>
            <w:noWrap/>
            <w:hideMark/>
          </w:tcPr>
          <w:p w14:paraId="4FE0E83C" w14:textId="77777777" w:rsidR="00401F86" w:rsidRPr="00FC6EF2" w:rsidRDefault="00401F86" w:rsidP="00401F86">
            <w:pPr>
              <w:jc w:val="right"/>
              <w:rPr>
                <w:rFonts w:cs="Arial"/>
                <w:color w:val="000000"/>
              </w:rPr>
            </w:pPr>
            <w:r w:rsidRPr="00FC6EF2">
              <w:rPr>
                <w:rFonts w:cs="Arial"/>
                <w:color w:val="000000"/>
              </w:rPr>
              <w:t>31,908</w:t>
            </w:r>
          </w:p>
        </w:tc>
        <w:tc>
          <w:tcPr>
            <w:tcW w:w="1350" w:type="dxa"/>
            <w:noWrap/>
            <w:hideMark/>
          </w:tcPr>
          <w:p w14:paraId="023A15E6" w14:textId="77777777" w:rsidR="00401F86" w:rsidRPr="00FC6EF2" w:rsidRDefault="00401F86" w:rsidP="00401F86">
            <w:pPr>
              <w:jc w:val="right"/>
              <w:rPr>
                <w:rFonts w:cs="Arial"/>
                <w:color w:val="000000"/>
              </w:rPr>
            </w:pPr>
            <w:r w:rsidRPr="00FC6EF2">
              <w:rPr>
                <w:rFonts w:cs="Arial"/>
                <w:color w:val="000000"/>
              </w:rPr>
              <w:t>684</w:t>
            </w:r>
          </w:p>
        </w:tc>
        <w:tc>
          <w:tcPr>
            <w:tcW w:w="1547" w:type="dxa"/>
            <w:noWrap/>
            <w:hideMark/>
          </w:tcPr>
          <w:p w14:paraId="0966D2B4" w14:textId="77777777" w:rsidR="00401F86" w:rsidRPr="00FC6EF2" w:rsidRDefault="00401F86" w:rsidP="00401F86">
            <w:pPr>
              <w:jc w:val="right"/>
              <w:rPr>
                <w:rFonts w:cs="Arial"/>
                <w:color w:val="000000"/>
              </w:rPr>
            </w:pPr>
            <w:r w:rsidRPr="00FC6EF2">
              <w:rPr>
                <w:rFonts w:cs="Arial"/>
                <w:color w:val="000000"/>
              </w:rPr>
              <w:t>2.14%</w:t>
            </w:r>
          </w:p>
        </w:tc>
        <w:tc>
          <w:tcPr>
            <w:tcW w:w="1688" w:type="dxa"/>
            <w:noWrap/>
            <w:hideMark/>
          </w:tcPr>
          <w:p w14:paraId="48ADF512" w14:textId="77777777" w:rsidR="00401F86" w:rsidRPr="00FC6EF2" w:rsidRDefault="00401F86" w:rsidP="00401F86">
            <w:pPr>
              <w:jc w:val="right"/>
              <w:rPr>
                <w:rFonts w:cs="Arial"/>
                <w:color w:val="000000"/>
              </w:rPr>
            </w:pPr>
            <w:r w:rsidRPr="00FC6EF2">
              <w:rPr>
                <w:rFonts w:cs="Arial"/>
                <w:color w:val="000000"/>
              </w:rPr>
              <w:t>161,117</w:t>
            </w:r>
          </w:p>
        </w:tc>
        <w:tc>
          <w:tcPr>
            <w:tcW w:w="1484" w:type="dxa"/>
            <w:noWrap/>
            <w:hideMark/>
          </w:tcPr>
          <w:p w14:paraId="549F8E6B" w14:textId="77777777" w:rsidR="00401F86" w:rsidRPr="00FC6EF2" w:rsidRDefault="00401F86" w:rsidP="00401F86">
            <w:pPr>
              <w:jc w:val="right"/>
              <w:rPr>
                <w:rFonts w:cs="Arial"/>
                <w:color w:val="000000"/>
              </w:rPr>
            </w:pPr>
            <w:r w:rsidRPr="00FC6EF2">
              <w:rPr>
                <w:rFonts w:cs="Arial"/>
                <w:color w:val="000000"/>
              </w:rPr>
              <w:t>2,379</w:t>
            </w:r>
          </w:p>
        </w:tc>
        <w:tc>
          <w:tcPr>
            <w:tcW w:w="1444" w:type="dxa"/>
            <w:noWrap/>
            <w:hideMark/>
          </w:tcPr>
          <w:p w14:paraId="08277617" w14:textId="77777777" w:rsidR="00401F86" w:rsidRPr="00FC6EF2" w:rsidRDefault="00401F86" w:rsidP="00401F86">
            <w:pPr>
              <w:jc w:val="right"/>
              <w:rPr>
                <w:rFonts w:cs="Arial"/>
                <w:color w:val="000000"/>
              </w:rPr>
            </w:pPr>
            <w:r w:rsidRPr="00FC6EF2">
              <w:rPr>
                <w:rFonts w:cs="Arial"/>
                <w:color w:val="000000"/>
              </w:rPr>
              <w:t>1.48%</w:t>
            </w:r>
          </w:p>
        </w:tc>
      </w:tr>
      <w:tr w:rsidR="00401F86" w:rsidRPr="00FC6EF2" w14:paraId="70613D1D" w14:textId="77777777" w:rsidTr="57EEB976">
        <w:trPr>
          <w:cantSplit/>
          <w:trHeight w:val="320"/>
        </w:trPr>
        <w:tc>
          <w:tcPr>
            <w:tcW w:w="1980" w:type="dxa"/>
            <w:noWrap/>
            <w:hideMark/>
          </w:tcPr>
          <w:p w14:paraId="6B1A3799" w14:textId="77777777" w:rsidR="00401F86" w:rsidRPr="00FC6EF2" w:rsidRDefault="00401F86" w:rsidP="00401F86">
            <w:pPr>
              <w:rPr>
                <w:rFonts w:cs="Arial"/>
                <w:color w:val="000000"/>
              </w:rPr>
            </w:pPr>
            <w:r w:rsidRPr="00FC6EF2">
              <w:rPr>
                <w:rFonts w:cs="Arial"/>
                <w:color w:val="000000"/>
              </w:rPr>
              <w:t>Hispanic</w:t>
            </w:r>
          </w:p>
        </w:tc>
        <w:tc>
          <w:tcPr>
            <w:tcW w:w="1350" w:type="dxa"/>
            <w:noWrap/>
            <w:hideMark/>
          </w:tcPr>
          <w:p w14:paraId="67D3D035" w14:textId="5443AC5F" w:rsidR="00401F86" w:rsidRPr="00FC6EF2" w:rsidRDefault="231891FD" w:rsidP="00401F86">
            <w:pPr>
              <w:jc w:val="right"/>
              <w:rPr>
                <w:rFonts w:cs="Arial"/>
                <w:color w:val="000000"/>
              </w:rPr>
            </w:pPr>
            <w:r w:rsidRPr="00FC6EF2">
              <w:rPr>
                <w:rFonts w:cs="Arial"/>
                <w:color w:val="000000" w:themeColor="text1"/>
              </w:rPr>
              <w:t>1,769,667</w:t>
            </w:r>
          </w:p>
        </w:tc>
        <w:tc>
          <w:tcPr>
            <w:tcW w:w="1350" w:type="dxa"/>
            <w:noWrap/>
            <w:hideMark/>
          </w:tcPr>
          <w:p w14:paraId="43E7632F" w14:textId="77777777" w:rsidR="00401F86" w:rsidRPr="00FC6EF2" w:rsidRDefault="00401F86" w:rsidP="00401F86">
            <w:pPr>
              <w:jc w:val="right"/>
              <w:rPr>
                <w:rFonts w:cs="Arial"/>
                <w:color w:val="000000"/>
              </w:rPr>
            </w:pPr>
            <w:r w:rsidRPr="00FC6EF2">
              <w:rPr>
                <w:rFonts w:cs="Arial"/>
                <w:color w:val="000000"/>
              </w:rPr>
              <w:t>21,369</w:t>
            </w:r>
          </w:p>
        </w:tc>
        <w:tc>
          <w:tcPr>
            <w:tcW w:w="1444" w:type="dxa"/>
            <w:noWrap/>
            <w:hideMark/>
          </w:tcPr>
          <w:p w14:paraId="1ED4EB6D" w14:textId="77777777" w:rsidR="00401F86" w:rsidRPr="00FC6EF2" w:rsidRDefault="00401F86" w:rsidP="00401F86">
            <w:pPr>
              <w:jc w:val="right"/>
              <w:rPr>
                <w:rFonts w:cs="Arial"/>
                <w:color w:val="000000"/>
              </w:rPr>
            </w:pPr>
            <w:r w:rsidRPr="00FC6EF2">
              <w:rPr>
                <w:rFonts w:cs="Arial"/>
                <w:color w:val="000000"/>
              </w:rPr>
              <w:t>1.21%</w:t>
            </w:r>
          </w:p>
        </w:tc>
        <w:tc>
          <w:tcPr>
            <w:tcW w:w="1346" w:type="dxa"/>
            <w:noWrap/>
            <w:hideMark/>
          </w:tcPr>
          <w:p w14:paraId="695876E8" w14:textId="77777777" w:rsidR="00401F86" w:rsidRPr="00FC6EF2" w:rsidRDefault="00401F86" w:rsidP="00401F86">
            <w:pPr>
              <w:jc w:val="right"/>
              <w:rPr>
                <w:rFonts w:cs="Arial"/>
                <w:color w:val="000000"/>
              </w:rPr>
            </w:pPr>
            <w:r w:rsidRPr="00FC6EF2">
              <w:rPr>
                <w:rFonts w:cs="Arial"/>
                <w:color w:val="000000"/>
              </w:rPr>
              <w:t>391,099</w:t>
            </w:r>
          </w:p>
        </w:tc>
        <w:tc>
          <w:tcPr>
            <w:tcW w:w="1350" w:type="dxa"/>
            <w:noWrap/>
            <w:hideMark/>
          </w:tcPr>
          <w:p w14:paraId="01D698F9" w14:textId="77777777" w:rsidR="00401F86" w:rsidRPr="00FC6EF2" w:rsidRDefault="00401F86" w:rsidP="00401F86">
            <w:pPr>
              <w:jc w:val="right"/>
              <w:rPr>
                <w:rFonts w:cs="Arial"/>
                <w:color w:val="000000"/>
              </w:rPr>
            </w:pPr>
            <w:r w:rsidRPr="00FC6EF2">
              <w:rPr>
                <w:rFonts w:cs="Arial"/>
                <w:color w:val="000000"/>
              </w:rPr>
              <w:t>5,822</w:t>
            </w:r>
          </w:p>
        </w:tc>
        <w:tc>
          <w:tcPr>
            <w:tcW w:w="1547" w:type="dxa"/>
            <w:noWrap/>
            <w:hideMark/>
          </w:tcPr>
          <w:p w14:paraId="20B73125" w14:textId="77777777" w:rsidR="00401F86" w:rsidRPr="00FC6EF2" w:rsidRDefault="00401F86" w:rsidP="00401F86">
            <w:pPr>
              <w:jc w:val="right"/>
              <w:rPr>
                <w:rFonts w:cs="Arial"/>
                <w:color w:val="000000"/>
              </w:rPr>
            </w:pPr>
            <w:r w:rsidRPr="00FC6EF2">
              <w:rPr>
                <w:rFonts w:cs="Arial"/>
                <w:color w:val="000000"/>
              </w:rPr>
              <w:t>1.49%</w:t>
            </w:r>
          </w:p>
        </w:tc>
        <w:tc>
          <w:tcPr>
            <w:tcW w:w="1688" w:type="dxa"/>
            <w:noWrap/>
            <w:hideMark/>
          </w:tcPr>
          <w:p w14:paraId="2EE5241F" w14:textId="77777777" w:rsidR="00401F86" w:rsidRPr="00FC6EF2" w:rsidRDefault="00401F86" w:rsidP="00401F86">
            <w:pPr>
              <w:jc w:val="right"/>
              <w:rPr>
                <w:rFonts w:cs="Arial"/>
                <w:color w:val="000000"/>
              </w:rPr>
            </w:pPr>
            <w:r w:rsidRPr="00FC6EF2">
              <w:rPr>
                <w:rFonts w:cs="Arial"/>
                <w:color w:val="000000"/>
              </w:rPr>
              <w:t>1,742,381</w:t>
            </w:r>
          </w:p>
        </w:tc>
        <w:tc>
          <w:tcPr>
            <w:tcW w:w="1484" w:type="dxa"/>
            <w:noWrap/>
            <w:hideMark/>
          </w:tcPr>
          <w:p w14:paraId="27A79547" w14:textId="77777777" w:rsidR="00401F86" w:rsidRPr="00FC6EF2" w:rsidRDefault="00401F86" w:rsidP="00401F86">
            <w:pPr>
              <w:jc w:val="right"/>
              <w:rPr>
                <w:rFonts w:cs="Arial"/>
                <w:color w:val="000000"/>
              </w:rPr>
            </w:pPr>
            <w:r w:rsidRPr="00FC6EF2">
              <w:rPr>
                <w:rFonts w:cs="Arial"/>
                <w:color w:val="000000"/>
              </w:rPr>
              <w:t>18,228</w:t>
            </w:r>
          </w:p>
        </w:tc>
        <w:tc>
          <w:tcPr>
            <w:tcW w:w="1444" w:type="dxa"/>
            <w:noWrap/>
            <w:hideMark/>
          </w:tcPr>
          <w:p w14:paraId="63167A5D" w14:textId="77777777" w:rsidR="00401F86" w:rsidRPr="00FC6EF2" w:rsidRDefault="00401F86" w:rsidP="00401F86">
            <w:pPr>
              <w:jc w:val="right"/>
              <w:rPr>
                <w:rFonts w:cs="Arial"/>
                <w:color w:val="000000"/>
              </w:rPr>
            </w:pPr>
            <w:r w:rsidRPr="00FC6EF2">
              <w:rPr>
                <w:rFonts w:cs="Arial"/>
                <w:color w:val="000000"/>
              </w:rPr>
              <w:t>1.05%</w:t>
            </w:r>
          </w:p>
        </w:tc>
      </w:tr>
      <w:tr w:rsidR="00401F86" w:rsidRPr="00FC6EF2" w14:paraId="1BE7FAED" w14:textId="77777777" w:rsidTr="57EEB976">
        <w:trPr>
          <w:cantSplit/>
          <w:trHeight w:val="320"/>
        </w:trPr>
        <w:tc>
          <w:tcPr>
            <w:tcW w:w="1980" w:type="dxa"/>
            <w:noWrap/>
            <w:hideMark/>
          </w:tcPr>
          <w:p w14:paraId="5D7280FD" w14:textId="77777777" w:rsidR="00401F86" w:rsidRPr="00FC6EF2" w:rsidRDefault="00401F86" w:rsidP="00401F86">
            <w:pPr>
              <w:rPr>
                <w:rFonts w:cs="Arial"/>
                <w:color w:val="000000"/>
              </w:rPr>
            </w:pPr>
            <w:r w:rsidRPr="00FC6EF2">
              <w:rPr>
                <w:rFonts w:cs="Arial"/>
                <w:color w:val="000000"/>
              </w:rPr>
              <w:t>Asian</w:t>
            </w:r>
          </w:p>
        </w:tc>
        <w:tc>
          <w:tcPr>
            <w:tcW w:w="1350" w:type="dxa"/>
            <w:noWrap/>
            <w:hideMark/>
          </w:tcPr>
          <w:p w14:paraId="0CCB42B4" w14:textId="20E39C5C" w:rsidR="00401F86" w:rsidRPr="00FC6EF2" w:rsidRDefault="231891FD" w:rsidP="00401F86">
            <w:pPr>
              <w:jc w:val="right"/>
              <w:rPr>
                <w:rFonts w:cs="Arial"/>
                <w:color w:val="000000"/>
              </w:rPr>
            </w:pPr>
            <w:r w:rsidRPr="00FC6EF2">
              <w:rPr>
                <w:rFonts w:cs="Arial"/>
                <w:color w:val="000000" w:themeColor="text1"/>
              </w:rPr>
              <w:t>299,784</w:t>
            </w:r>
          </w:p>
        </w:tc>
        <w:tc>
          <w:tcPr>
            <w:tcW w:w="1350" w:type="dxa"/>
            <w:noWrap/>
            <w:hideMark/>
          </w:tcPr>
          <w:p w14:paraId="6CCAB03B" w14:textId="77777777" w:rsidR="00401F86" w:rsidRPr="00FC6EF2" w:rsidRDefault="00401F86" w:rsidP="00401F86">
            <w:pPr>
              <w:jc w:val="right"/>
              <w:rPr>
                <w:rFonts w:cs="Arial"/>
                <w:color w:val="000000"/>
              </w:rPr>
            </w:pPr>
            <w:r w:rsidRPr="00FC6EF2">
              <w:rPr>
                <w:rFonts w:cs="Arial"/>
                <w:color w:val="000000"/>
              </w:rPr>
              <w:t>2,906</w:t>
            </w:r>
          </w:p>
        </w:tc>
        <w:tc>
          <w:tcPr>
            <w:tcW w:w="1444" w:type="dxa"/>
            <w:noWrap/>
            <w:hideMark/>
          </w:tcPr>
          <w:p w14:paraId="36D7B428" w14:textId="77777777" w:rsidR="00401F86" w:rsidRPr="00FC6EF2" w:rsidRDefault="00401F86" w:rsidP="00401F86">
            <w:pPr>
              <w:jc w:val="right"/>
              <w:rPr>
                <w:rFonts w:cs="Arial"/>
                <w:color w:val="000000"/>
              </w:rPr>
            </w:pPr>
            <w:r w:rsidRPr="00FC6EF2">
              <w:rPr>
                <w:rFonts w:cs="Arial"/>
                <w:color w:val="000000"/>
              </w:rPr>
              <w:t>0.97%</w:t>
            </w:r>
          </w:p>
        </w:tc>
        <w:tc>
          <w:tcPr>
            <w:tcW w:w="1346" w:type="dxa"/>
            <w:noWrap/>
            <w:hideMark/>
          </w:tcPr>
          <w:p w14:paraId="0C272B97" w14:textId="77777777" w:rsidR="00401F86" w:rsidRPr="00FC6EF2" w:rsidRDefault="00401F86" w:rsidP="00401F86">
            <w:pPr>
              <w:jc w:val="right"/>
              <w:rPr>
                <w:rFonts w:cs="Arial"/>
                <w:color w:val="000000"/>
              </w:rPr>
            </w:pPr>
            <w:r w:rsidRPr="00FC6EF2">
              <w:rPr>
                <w:rFonts w:cs="Arial"/>
                <w:color w:val="000000"/>
              </w:rPr>
              <w:t>73,981</w:t>
            </w:r>
          </w:p>
        </w:tc>
        <w:tc>
          <w:tcPr>
            <w:tcW w:w="1350" w:type="dxa"/>
            <w:noWrap/>
            <w:hideMark/>
          </w:tcPr>
          <w:p w14:paraId="55BFF727" w14:textId="77777777" w:rsidR="00401F86" w:rsidRPr="00FC6EF2" w:rsidRDefault="00401F86" w:rsidP="00401F86">
            <w:pPr>
              <w:jc w:val="right"/>
              <w:rPr>
                <w:rFonts w:cs="Arial"/>
                <w:color w:val="000000"/>
              </w:rPr>
            </w:pPr>
            <w:r w:rsidRPr="00FC6EF2">
              <w:rPr>
                <w:rFonts w:cs="Arial"/>
                <w:color w:val="000000"/>
              </w:rPr>
              <w:t>891</w:t>
            </w:r>
          </w:p>
        </w:tc>
        <w:tc>
          <w:tcPr>
            <w:tcW w:w="1547" w:type="dxa"/>
            <w:noWrap/>
            <w:hideMark/>
          </w:tcPr>
          <w:p w14:paraId="40796EF5" w14:textId="77777777" w:rsidR="00401F86" w:rsidRPr="00FC6EF2" w:rsidRDefault="00401F86" w:rsidP="00401F86">
            <w:pPr>
              <w:jc w:val="right"/>
              <w:rPr>
                <w:rFonts w:cs="Arial"/>
                <w:color w:val="000000"/>
              </w:rPr>
            </w:pPr>
            <w:r w:rsidRPr="00FC6EF2">
              <w:rPr>
                <w:rFonts w:cs="Arial"/>
                <w:color w:val="000000"/>
              </w:rPr>
              <w:t>1.20%</w:t>
            </w:r>
          </w:p>
        </w:tc>
        <w:tc>
          <w:tcPr>
            <w:tcW w:w="1688" w:type="dxa"/>
            <w:noWrap/>
            <w:hideMark/>
          </w:tcPr>
          <w:p w14:paraId="0DA2740A" w14:textId="77777777" w:rsidR="00401F86" w:rsidRPr="00FC6EF2" w:rsidRDefault="00401F86" w:rsidP="00401F86">
            <w:pPr>
              <w:jc w:val="right"/>
              <w:rPr>
                <w:rFonts w:cs="Arial"/>
                <w:color w:val="000000"/>
              </w:rPr>
            </w:pPr>
            <w:r w:rsidRPr="00FC6EF2">
              <w:rPr>
                <w:rFonts w:cs="Arial"/>
                <w:color w:val="000000"/>
              </w:rPr>
              <w:t>298,542</w:t>
            </w:r>
          </w:p>
        </w:tc>
        <w:tc>
          <w:tcPr>
            <w:tcW w:w="1484" w:type="dxa"/>
            <w:noWrap/>
            <w:hideMark/>
          </w:tcPr>
          <w:p w14:paraId="2C4A5E9A" w14:textId="77777777" w:rsidR="00401F86" w:rsidRPr="00FC6EF2" w:rsidRDefault="00401F86" w:rsidP="00401F86">
            <w:pPr>
              <w:jc w:val="right"/>
              <w:rPr>
                <w:rFonts w:cs="Arial"/>
                <w:color w:val="000000"/>
              </w:rPr>
            </w:pPr>
            <w:r w:rsidRPr="00FC6EF2">
              <w:rPr>
                <w:rFonts w:cs="Arial"/>
                <w:color w:val="000000"/>
              </w:rPr>
              <w:t>2,765</w:t>
            </w:r>
          </w:p>
        </w:tc>
        <w:tc>
          <w:tcPr>
            <w:tcW w:w="1444" w:type="dxa"/>
            <w:noWrap/>
            <w:hideMark/>
          </w:tcPr>
          <w:p w14:paraId="3C1C11E9" w14:textId="77777777" w:rsidR="00401F86" w:rsidRPr="00FC6EF2" w:rsidRDefault="00401F86" w:rsidP="00401F86">
            <w:pPr>
              <w:jc w:val="right"/>
              <w:rPr>
                <w:rFonts w:cs="Arial"/>
                <w:color w:val="000000"/>
              </w:rPr>
            </w:pPr>
            <w:r w:rsidRPr="00FC6EF2">
              <w:rPr>
                <w:rFonts w:cs="Arial"/>
                <w:color w:val="000000"/>
              </w:rPr>
              <w:t>0.93%</w:t>
            </w:r>
          </w:p>
        </w:tc>
      </w:tr>
      <w:tr w:rsidR="00401F86" w:rsidRPr="00FC6EF2" w14:paraId="451AB440" w14:textId="77777777" w:rsidTr="57EEB976">
        <w:trPr>
          <w:cantSplit/>
          <w:trHeight w:val="320"/>
        </w:trPr>
        <w:tc>
          <w:tcPr>
            <w:tcW w:w="1980" w:type="dxa"/>
            <w:noWrap/>
            <w:hideMark/>
          </w:tcPr>
          <w:p w14:paraId="2D92236D" w14:textId="77777777" w:rsidR="00401F86" w:rsidRPr="00FC6EF2" w:rsidRDefault="00401F86" w:rsidP="00401F86">
            <w:pPr>
              <w:rPr>
                <w:rFonts w:cs="Arial"/>
                <w:color w:val="000000"/>
              </w:rPr>
            </w:pPr>
            <w:r w:rsidRPr="00FC6EF2">
              <w:rPr>
                <w:rFonts w:cs="Arial"/>
                <w:color w:val="000000"/>
              </w:rPr>
              <w:t>White</w:t>
            </w:r>
          </w:p>
        </w:tc>
        <w:tc>
          <w:tcPr>
            <w:tcW w:w="1350" w:type="dxa"/>
            <w:noWrap/>
            <w:hideMark/>
          </w:tcPr>
          <w:p w14:paraId="5A65D175" w14:textId="1702EC28" w:rsidR="00401F86" w:rsidRPr="00FC6EF2" w:rsidRDefault="231891FD" w:rsidP="00401F86">
            <w:pPr>
              <w:jc w:val="right"/>
              <w:rPr>
                <w:rFonts w:cs="Arial"/>
                <w:color w:val="000000"/>
              </w:rPr>
            </w:pPr>
            <w:r w:rsidRPr="00FC6EF2">
              <w:rPr>
                <w:rFonts w:cs="Arial"/>
                <w:color w:val="000000" w:themeColor="text1"/>
              </w:rPr>
              <w:t>720,316</w:t>
            </w:r>
          </w:p>
        </w:tc>
        <w:tc>
          <w:tcPr>
            <w:tcW w:w="1350" w:type="dxa"/>
            <w:noWrap/>
            <w:hideMark/>
          </w:tcPr>
          <w:p w14:paraId="0F214C93" w14:textId="77777777" w:rsidR="00401F86" w:rsidRPr="00FC6EF2" w:rsidRDefault="00401F86" w:rsidP="00401F86">
            <w:pPr>
              <w:jc w:val="right"/>
              <w:rPr>
                <w:rFonts w:cs="Arial"/>
                <w:color w:val="000000"/>
              </w:rPr>
            </w:pPr>
            <w:r w:rsidRPr="00FC6EF2">
              <w:rPr>
                <w:rFonts w:cs="Arial"/>
                <w:color w:val="000000"/>
              </w:rPr>
              <w:t>7,148</w:t>
            </w:r>
          </w:p>
        </w:tc>
        <w:tc>
          <w:tcPr>
            <w:tcW w:w="1444" w:type="dxa"/>
            <w:noWrap/>
            <w:hideMark/>
          </w:tcPr>
          <w:p w14:paraId="0B83596E" w14:textId="77777777" w:rsidR="00401F86" w:rsidRPr="00FC6EF2" w:rsidRDefault="00401F86" w:rsidP="00401F86">
            <w:pPr>
              <w:jc w:val="right"/>
              <w:rPr>
                <w:rFonts w:cs="Arial"/>
                <w:color w:val="000000"/>
              </w:rPr>
            </w:pPr>
            <w:r w:rsidRPr="00FC6EF2">
              <w:rPr>
                <w:rFonts w:cs="Arial"/>
                <w:color w:val="000000"/>
              </w:rPr>
              <w:t>0.99%</w:t>
            </w:r>
          </w:p>
        </w:tc>
        <w:tc>
          <w:tcPr>
            <w:tcW w:w="1346" w:type="dxa"/>
            <w:noWrap/>
            <w:hideMark/>
          </w:tcPr>
          <w:p w14:paraId="490A8303" w14:textId="77777777" w:rsidR="00401F86" w:rsidRPr="00FC6EF2" w:rsidRDefault="00401F86" w:rsidP="00401F86">
            <w:pPr>
              <w:jc w:val="right"/>
              <w:rPr>
                <w:rFonts w:cs="Arial"/>
                <w:color w:val="000000"/>
              </w:rPr>
            </w:pPr>
            <w:r w:rsidRPr="00FC6EF2">
              <w:rPr>
                <w:rFonts w:cs="Arial"/>
                <w:color w:val="000000"/>
              </w:rPr>
              <w:t>196,992</w:t>
            </w:r>
          </w:p>
        </w:tc>
        <w:tc>
          <w:tcPr>
            <w:tcW w:w="1350" w:type="dxa"/>
            <w:noWrap/>
            <w:hideMark/>
          </w:tcPr>
          <w:p w14:paraId="3350F0D1" w14:textId="77777777" w:rsidR="00401F86" w:rsidRPr="00FC6EF2" w:rsidRDefault="00401F86" w:rsidP="00401F86">
            <w:pPr>
              <w:jc w:val="right"/>
              <w:rPr>
                <w:rFonts w:cs="Arial"/>
                <w:color w:val="000000"/>
              </w:rPr>
            </w:pPr>
            <w:r w:rsidRPr="00FC6EF2">
              <w:rPr>
                <w:rFonts w:cs="Arial"/>
                <w:color w:val="000000"/>
              </w:rPr>
              <w:t>2,681</w:t>
            </w:r>
          </w:p>
        </w:tc>
        <w:tc>
          <w:tcPr>
            <w:tcW w:w="1547" w:type="dxa"/>
            <w:noWrap/>
            <w:hideMark/>
          </w:tcPr>
          <w:p w14:paraId="43335CE4" w14:textId="77777777" w:rsidR="00401F86" w:rsidRPr="00FC6EF2" w:rsidRDefault="00401F86" w:rsidP="00401F86">
            <w:pPr>
              <w:jc w:val="right"/>
              <w:rPr>
                <w:rFonts w:cs="Arial"/>
                <w:color w:val="000000"/>
              </w:rPr>
            </w:pPr>
            <w:r w:rsidRPr="00FC6EF2">
              <w:rPr>
                <w:rFonts w:cs="Arial"/>
                <w:color w:val="000000"/>
              </w:rPr>
              <w:t>1.36%</w:t>
            </w:r>
          </w:p>
        </w:tc>
        <w:tc>
          <w:tcPr>
            <w:tcW w:w="1688" w:type="dxa"/>
            <w:noWrap/>
            <w:hideMark/>
          </w:tcPr>
          <w:p w14:paraId="247F5DF0" w14:textId="77777777" w:rsidR="00401F86" w:rsidRPr="00FC6EF2" w:rsidRDefault="00401F86" w:rsidP="00401F86">
            <w:pPr>
              <w:jc w:val="right"/>
              <w:rPr>
                <w:rFonts w:cs="Arial"/>
                <w:color w:val="000000"/>
              </w:rPr>
            </w:pPr>
            <w:r w:rsidRPr="00FC6EF2">
              <w:rPr>
                <w:rFonts w:cs="Arial"/>
                <w:color w:val="000000"/>
              </w:rPr>
              <w:t>649,913</w:t>
            </w:r>
          </w:p>
        </w:tc>
        <w:tc>
          <w:tcPr>
            <w:tcW w:w="1484" w:type="dxa"/>
            <w:noWrap/>
            <w:hideMark/>
          </w:tcPr>
          <w:p w14:paraId="45438220" w14:textId="77777777" w:rsidR="00401F86" w:rsidRPr="00FC6EF2" w:rsidRDefault="00401F86" w:rsidP="00401F86">
            <w:pPr>
              <w:jc w:val="right"/>
              <w:rPr>
                <w:rFonts w:cs="Arial"/>
                <w:color w:val="000000"/>
              </w:rPr>
            </w:pPr>
            <w:r w:rsidRPr="00FC6EF2">
              <w:rPr>
                <w:rFonts w:cs="Arial"/>
                <w:color w:val="000000"/>
              </w:rPr>
              <w:t>5,947</w:t>
            </w:r>
          </w:p>
        </w:tc>
        <w:tc>
          <w:tcPr>
            <w:tcW w:w="1444" w:type="dxa"/>
            <w:noWrap/>
            <w:hideMark/>
          </w:tcPr>
          <w:p w14:paraId="49E3D978" w14:textId="77777777" w:rsidR="00401F86" w:rsidRPr="00FC6EF2" w:rsidRDefault="00401F86" w:rsidP="00401F86">
            <w:pPr>
              <w:jc w:val="right"/>
              <w:rPr>
                <w:rFonts w:cs="Arial"/>
                <w:color w:val="000000"/>
              </w:rPr>
            </w:pPr>
            <w:r w:rsidRPr="00FC6EF2">
              <w:rPr>
                <w:rFonts w:cs="Arial"/>
                <w:color w:val="000000"/>
              </w:rPr>
              <w:t>0.92%</w:t>
            </w:r>
          </w:p>
        </w:tc>
      </w:tr>
      <w:tr w:rsidR="00401F86" w:rsidRPr="00FC6EF2" w14:paraId="0CE41EF6" w14:textId="77777777" w:rsidTr="57EEB976">
        <w:trPr>
          <w:cantSplit/>
          <w:trHeight w:val="320"/>
        </w:trPr>
        <w:tc>
          <w:tcPr>
            <w:tcW w:w="1980" w:type="dxa"/>
            <w:noWrap/>
            <w:hideMark/>
          </w:tcPr>
          <w:p w14:paraId="2C81C50E" w14:textId="77777777" w:rsidR="00401F86" w:rsidRPr="00FC6EF2" w:rsidRDefault="00401F86" w:rsidP="00401F86">
            <w:pPr>
              <w:rPr>
                <w:rFonts w:cs="Arial"/>
                <w:color w:val="000000"/>
              </w:rPr>
            </w:pPr>
            <w:r w:rsidRPr="00FC6EF2">
              <w:rPr>
                <w:rFonts w:cs="Arial"/>
                <w:color w:val="000000"/>
              </w:rPr>
              <w:t>American Indian or Alaska Native</w:t>
            </w:r>
          </w:p>
        </w:tc>
        <w:tc>
          <w:tcPr>
            <w:tcW w:w="1350" w:type="dxa"/>
            <w:noWrap/>
            <w:hideMark/>
          </w:tcPr>
          <w:p w14:paraId="097180B5" w14:textId="21A9AE52" w:rsidR="00401F86" w:rsidRPr="00FC6EF2" w:rsidRDefault="231891FD" w:rsidP="00401F86">
            <w:pPr>
              <w:jc w:val="right"/>
              <w:rPr>
                <w:rFonts w:cs="Arial"/>
                <w:color w:val="000000"/>
              </w:rPr>
            </w:pPr>
            <w:r w:rsidRPr="00FC6EF2">
              <w:rPr>
                <w:rFonts w:cs="Arial"/>
                <w:color w:val="000000" w:themeColor="text1"/>
              </w:rPr>
              <w:t>15,867</w:t>
            </w:r>
          </w:p>
        </w:tc>
        <w:tc>
          <w:tcPr>
            <w:tcW w:w="1350" w:type="dxa"/>
            <w:noWrap/>
            <w:hideMark/>
          </w:tcPr>
          <w:p w14:paraId="62635254" w14:textId="77777777" w:rsidR="00401F86" w:rsidRPr="00FC6EF2" w:rsidRDefault="00401F86" w:rsidP="00401F86">
            <w:pPr>
              <w:jc w:val="right"/>
              <w:rPr>
                <w:rFonts w:cs="Arial"/>
                <w:color w:val="000000"/>
              </w:rPr>
            </w:pPr>
            <w:r w:rsidRPr="00FC6EF2">
              <w:rPr>
                <w:rFonts w:cs="Arial"/>
                <w:color w:val="000000"/>
              </w:rPr>
              <w:t>238</w:t>
            </w:r>
          </w:p>
        </w:tc>
        <w:tc>
          <w:tcPr>
            <w:tcW w:w="1444" w:type="dxa"/>
            <w:noWrap/>
            <w:hideMark/>
          </w:tcPr>
          <w:p w14:paraId="175A51A9" w14:textId="77777777" w:rsidR="00401F86" w:rsidRPr="00FC6EF2" w:rsidRDefault="00401F86" w:rsidP="00401F86">
            <w:pPr>
              <w:jc w:val="right"/>
              <w:rPr>
                <w:rFonts w:cs="Arial"/>
                <w:color w:val="000000"/>
              </w:rPr>
            </w:pPr>
            <w:r w:rsidRPr="00FC6EF2">
              <w:rPr>
                <w:rFonts w:cs="Arial"/>
                <w:color w:val="000000"/>
              </w:rPr>
              <w:t>1.50%</w:t>
            </w:r>
          </w:p>
        </w:tc>
        <w:tc>
          <w:tcPr>
            <w:tcW w:w="1346" w:type="dxa"/>
            <w:noWrap/>
            <w:hideMark/>
          </w:tcPr>
          <w:p w14:paraId="7EFB7E82" w14:textId="77777777" w:rsidR="00401F86" w:rsidRPr="00FC6EF2" w:rsidRDefault="00401F86" w:rsidP="00401F86">
            <w:pPr>
              <w:jc w:val="right"/>
              <w:rPr>
                <w:rFonts w:cs="Arial"/>
                <w:color w:val="000000"/>
              </w:rPr>
            </w:pPr>
            <w:r w:rsidRPr="00FC6EF2">
              <w:rPr>
                <w:rFonts w:cs="Arial"/>
                <w:color w:val="000000"/>
              </w:rPr>
              <w:t>4,826</w:t>
            </w:r>
          </w:p>
        </w:tc>
        <w:tc>
          <w:tcPr>
            <w:tcW w:w="1350" w:type="dxa"/>
            <w:noWrap/>
            <w:hideMark/>
          </w:tcPr>
          <w:p w14:paraId="11313153" w14:textId="77777777" w:rsidR="00401F86" w:rsidRPr="00FC6EF2" w:rsidRDefault="00401F86" w:rsidP="00401F86">
            <w:pPr>
              <w:jc w:val="right"/>
              <w:rPr>
                <w:rFonts w:cs="Arial"/>
                <w:color w:val="000000"/>
              </w:rPr>
            </w:pPr>
            <w:r w:rsidRPr="00FC6EF2">
              <w:rPr>
                <w:rFonts w:cs="Arial"/>
                <w:color w:val="000000"/>
              </w:rPr>
              <w:t>78</w:t>
            </w:r>
          </w:p>
        </w:tc>
        <w:tc>
          <w:tcPr>
            <w:tcW w:w="1547" w:type="dxa"/>
            <w:noWrap/>
            <w:hideMark/>
          </w:tcPr>
          <w:p w14:paraId="273DE671" w14:textId="77777777" w:rsidR="00401F86" w:rsidRPr="00FC6EF2" w:rsidRDefault="00401F86" w:rsidP="00401F86">
            <w:pPr>
              <w:jc w:val="right"/>
              <w:rPr>
                <w:rFonts w:cs="Arial"/>
                <w:color w:val="000000"/>
              </w:rPr>
            </w:pPr>
            <w:r w:rsidRPr="00FC6EF2">
              <w:rPr>
                <w:rFonts w:cs="Arial"/>
                <w:color w:val="000000"/>
              </w:rPr>
              <w:t>1.62%</w:t>
            </w:r>
          </w:p>
        </w:tc>
        <w:tc>
          <w:tcPr>
            <w:tcW w:w="1688" w:type="dxa"/>
            <w:noWrap/>
            <w:hideMark/>
          </w:tcPr>
          <w:p w14:paraId="0CBE33C0" w14:textId="77777777" w:rsidR="00401F86" w:rsidRPr="00FC6EF2" w:rsidRDefault="00401F86" w:rsidP="00401F86">
            <w:pPr>
              <w:jc w:val="right"/>
              <w:rPr>
                <w:rFonts w:cs="Arial"/>
                <w:color w:val="000000"/>
              </w:rPr>
            </w:pPr>
            <w:r w:rsidRPr="00FC6EF2">
              <w:rPr>
                <w:rFonts w:cs="Arial"/>
                <w:color w:val="000000"/>
              </w:rPr>
              <w:t>14,091</w:t>
            </w:r>
          </w:p>
        </w:tc>
        <w:tc>
          <w:tcPr>
            <w:tcW w:w="1484" w:type="dxa"/>
            <w:noWrap/>
            <w:hideMark/>
          </w:tcPr>
          <w:p w14:paraId="77D41727" w14:textId="77777777" w:rsidR="00401F86" w:rsidRPr="00FC6EF2" w:rsidRDefault="00401F86" w:rsidP="00401F86">
            <w:pPr>
              <w:jc w:val="right"/>
              <w:rPr>
                <w:rFonts w:cs="Arial"/>
                <w:color w:val="000000"/>
              </w:rPr>
            </w:pPr>
            <w:r w:rsidRPr="00FC6EF2">
              <w:rPr>
                <w:rFonts w:cs="Arial"/>
                <w:color w:val="000000"/>
              </w:rPr>
              <w:t>168</w:t>
            </w:r>
          </w:p>
        </w:tc>
        <w:tc>
          <w:tcPr>
            <w:tcW w:w="1444" w:type="dxa"/>
            <w:noWrap/>
            <w:hideMark/>
          </w:tcPr>
          <w:p w14:paraId="1E891B2C" w14:textId="77777777" w:rsidR="00401F86" w:rsidRPr="00FC6EF2" w:rsidRDefault="00401F86" w:rsidP="00401F86">
            <w:pPr>
              <w:jc w:val="right"/>
              <w:rPr>
                <w:rFonts w:cs="Arial"/>
                <w:color w:val="000000"/>
              </w:rPr>
            </w:pPr>
            <w:r w:rsidRPr="00FC6EF2">
              <w:rPr>
                <w:rFonts w:cs="Arial"/>
                <w:color w:val="000000"/>
              </w:rPr>
              <w:t>1.19%</w:t>
            </w:r>
          </w:p>
        </w:tc>
      </w:tr>
      <w:tr w:rsidR="00401F86" w:rsidRPr="00FC6EF2" w14:paraId="36BC1771" w14:textId="77777777" w:rsidTr="57EEB976">
        <w:trPr>
          <w:cantSplit/>
          <w:trHeight w:val="320"/>
        </w:trPr>
        <w:tc>
          <w:tcPr>
            <w:tcW w:w="1980" w:type="dxa"/>
            <w:noWrap/>
            <w:hideMark/>
          </w:tcPr>
          <w:p w14:paraId="26846AC8" w14:textId="77777777" w:rsidR="00401F86" w:rsidRPr="00FC6EF2" w:rsidRDefault="00401F86" w:rsidP="00401F86">
            <w:pPr>
              <w:rPr>
                <w:rFonts w:cs="Arial"/>
                <w:color w:val="000000"/>
              </w:rPr>
            </w:pPr>
            <w:r w:rsidRPr="00FC6EF2">
              <w:rPr>
                <w:rFonts w:cs="Arial"/>
                <w:color w:val="000000"/>
              </w:rPr>
              <w:t>Filipino</w:t>
            </w:r>
          </w:p>
        </w:tc>
        <w:tc>
          <w:tcPr>
            <w:tcW w:w="1350" w:type="dxa"/>
            <w:noWrap/>
            <w:hideMark/>
          </w:tcPr>
          <w:p w14:paraId="410142F6" w14:textId="17199648" w:rsidR="00401F86" w:rsidRPr="00FC6EF2" w:rsidRDefault="231891FD" w:rsidP="00401F86">
            <w:pPr>
              <w:jc w:val="right"/>
              <w:rPr>
                <w:rFonts w:cs="Arial"/>
                <w:color w:val="000000"/>
              </w:rPr>
            </w:pPr>
            <w:r w:rsidRPr="00FC6EF2">
              <w:rPr>
                <w:rFonts w:cs="Arial"/>
                <w:color w:val="000000" w:themeColor="text1"/>
              </w:rPr>
              <w:t>70,647</w:t>
            </w:r>
          </w:p>
        </w:tc>
        <w:tc>
          <w:tcPr>
            <w:tcW w:w="1350" w:type="dxa"/>
            <w:noWrap/>
            <w:hideMark/>
          </w:tcPr>
          <w:p w14:paraId="6872BC12" w14:textId="77777777" w:rsidR="00401F86" w:rsidRPr="00FC6EF2" w:rsidRDefault="00401F86" w:rsidP="00401F86">
            <w:pPr>
              <w:jc w:val="right"/>
              <w:rPr>
                <w:rFonts w:cs="Arial"/>
                <w:color w:val="000000"/>
              </w:rPr>
            </w:pPr>
            <w:r w:rsidRPr="00FC6EF2">
              <w:rPr>
                <w:rFonts w:cs="Arial"/>
                <w:color w:val="000000"/>
              </w:rPr>
              <w:t>982</w:t>
            </w:r>
          </w:p>
        </w:tc>
        <w:tc>
          <w:tcPr>
            <w:tcW w:w="1444" w:type="dxa"/>
            <w:noWrap/>
            <w:hideMark/>
          </w:tcPr>
          <w:p w14:paraId="14A5DD2D" w14:textId="77777777" w:rsidR="00401F86" w:rsidRPr="00FC6EF2" w:rsidRDefault="00401F86" w:rsidP="00401F86">
            <w:pPr>
              <w:jc w:val="right"/>
              <w:rPr>
                <w:rFonts w:cs="Arial"/>
                <w:color w:val="000000"/>
              </w:rPr>
            </w:pPr>
            <w:r w:rsidRPr="00FC6EF2">
              <w:rPr>
                <w:rFonts w:cs="Arial"/>
                <w:color w:val="000000"/>
              </w:rPr>
              <w:t>1.39%</w:t>
            </w:r>
          </w:p>
        </w:tc>
        <w:tc>
          <w:tcPr>
            <w:tcW w:w="1346" w:type="dxa"/>
            <w:noWrap/>
            <w:hideMark/>
          </w:tcPr>
          <w:p w14:paraId="3A22CAA2" w14:textId="77777777" w:rsidR="00401F86" w:rsidRPr="00FC6EF2" w:rsidRDefault="00401F86" w:rsidP="00401F86">
            <w:pPr>
              <w:jc w:val="right"/>
              <w:rPr>
                <w:rFonts w:cs="Arial"/>
                <w:color w:val="000000"/>
              </w:rPr>
            </w:pPr>
            <w:r w:rsidRPr="00FC6EF2">
              <w:rPr>
                <w:rFonts w:cs="Arial"/>
                <w:color w:val="000000"/>
              </w:rPr>
              <w:t>16,687</w:t>
            </w:r>
          </w:p>
        </w:tc>
        <w:tc>
          <w:tcPr>
            <w:tcW w:w="1350" w:type="dxa"/>
            <w:noWrap/>
            <w:hideMark/>
          </w:tcPr>
          <w:p w14:paraId="63C48709" w14:textId="77777777" w:rsidR="00401F86" w:rsidRPr="00FC6EF2" w:rsidRDefault="00401F86" w:rsidP="00401F86">
            <w:pPr>
              <w:jc w:val="right"/>
              <w:rPr>
                <w:rFonts w:cs="Arial"/>
                <w:color w:val="000000"/>
              </w:rPr>
            </w:pPr>
            <w:r w:rsidRPr="00FC6EF2">
              <w:rPr>
                <w:rFonts w:cs="Arial"/>
                <w:color w:val="000000"/>
              </w:rPr>
              <w:t>245</w:t>
            </w:r>
          </w:p>
        </w:tc>
        <w:tc>
          <w:tcPr>
            <w:tcW w:w="1547" w:type="dxa"/>
            <w:noWrap/>
            <w:hideMark/>
          </w:tcPr>
          <w:p w14:paraId="057D4A7A" w14:textId="77777777" w:rsidR="00401F86" w:rsidRPr="00FC6EF2" w:rsidRDefault="00401F86" w:rsidP="00401F86">
            <w:pPr>
              <w:jc w:val="right"/>
              <w:rPr>
                <w:rFonts w:cs="Arial"/>
                <w:color w:val="000000"/>
              </w:rPr>
            </w:pPr>
            <w:r w:rsidRPr="00FC6EF2">
              <w:rPr>
                <w:rFonts w:cs="Arial"/>
                <w:color w:val="000000"/>
              </w:rPr>
              <w:t>1.47%</w:t>
            </w:r>
          </w:p>
        </w:tc>
        <w:tc>
          <w:tcPr>
            <w:tcW w:w="1688" w:type="dxa"/>
            <w:noWrap/>
            <w:hideMark/>
          </w:tcPr>
          <w:p w14:paraId="329ED482" w14:textId="77777777" w:rsidR="00401F86" w:rsidRPr="00FC6EF2" w:rsidRDefault="00401F86" w:rsidP="00401F86">
            <w:pPr>
              <w:jc w:val="right"/>
              <w:rPr>
                <w:rFonts w:cs="Arial"/>
                <w:color w:val="000000"/>
              </w:rPr>
            </w:pPr>
            <w:r w:rsidRPr="00FC6EF2">
              <w:rPr>
                <w:rFonts w:cs="Arial"/>
                <w:color w:val="000000"/>
              </w:rPr>
              <w:t>72,562</w:t>
            </w:r>
          </w:p>
        </w:tc>
        <w:tc>
          <w:tcPr>
            <w:tcW w:w="1484" w:type="dxa"/>
            <w:noWrap/>
            <w:hideMark/>
          </w:tcPr>
          <w:p w14:paraId="124B3CD2" w14:textId="77777777" w:rsidR="00401F86" w:rsidRPr="00FC6EF2" w:rsidRDefault="00401F86" w:rsidP="00401F86">
            <w:pPr>
              <w:jc w:val="right"/>
              <w:rPr>
                <w:rFonts w:cs="Arial"/>
                <w:color w:val="000000"/>
              </w:rPr>
            </w:pPr>
            <w:r w:rsidRPr="00FC6EF2">
              <w:rPr>
                <w:rFonts w:cs="Arial"/>
                <w:color w:val="000000"/>
              </w:rPr>
              <w:t>772</w:t>
            </w:r>
          </w:p>
        </w:tc>
        <w:tc>
          <w:tcPr>
            <w:tcW w:w="1444" w:type="dxa"/>
            <w:noWrap/>
            <w:hideMark/>
          </w:tcPr>
          <w:p w14:paraId="6B69039A" w14:textId="77777777" w:rsidR="00401F86" w:rsidRPr="00FC6EF2" w:rsidRDefault="00401F86" w:rsidP="00401F86">
            <w:pPr>
              <w:jc w:val="right"/>
              <w:rPr>
                <w:rFonts w:cs="Arial"/>
                <w:color w:val="000000"/>
              </w:rPr>
            </w:pPr>
            <w:r w:rsidRPr="00FC6EF2">
              <w:rPr>
                <w:rFonts w:cs="Arial"/>
                <w:color w:val="000000"/>
              </w:rPr>
              <w:t>1.06%</w:t>
            </w:r>
          </w:p>
        </w:tc>
      </w:tr>
      <w:tr w:rsidR="00401F86" w:rsidRPr="00FC6EF2" w14:paraId="59FA378D" w14:textId="77777777" w:rsidTr="57EEB976">
        <w:trPr>
          <w:cantSplit/>
          <w:trHeight w:val="320"/>
        </w:trPr>
        <w:tc>
          <w:tcPr>
            <w:tcW w:w="1980" w:type="dxa"/>
            <w:noWrap/>
            <w:hideMark/>
          </w:tcPr>
          <w:p w14:paraId="68DC247D" w14:textId="77777777" w:rsidR="00401F86" w:rsidRPr="00FC6EF2" w:rsidRDefault="00401F86" w:rsidP="00401F86">
            <w:pPr>
              <w:rPr>
                <w:rFonts w:cs="Arial"/>
                <w:color w:val="000000"/>
              </w:rPr>
            </w:pPr>
            <w:r w:rsidRPr="00FC6EF2">
              <w:rPr>
                <w:rFonts w:cs="Arial"/>
                <w:color w:val="000000"/>
              </w:rPr>
              <w:t>Native Hawaiian or Pacific Islander</w:t>
            </w:r>
          </w:p>
        </w:tc>
        <w:tc>
          <w:tcPr>
            <w:tcW w:w="1350" w:type="dxa"/>
            <w:noWrap/>
            <w:hideMark/>
          </w:tcPr>
          <w:p w14:paraId="6070B277" w14:textId="1BF04367" w:rsidR="00401F86" w:rsidRPr="00FC6EF2" w:rsidRDefault="231891FD" w:rsidP="00401F86">
            <w:pPr>
              <w:jc w:val="right"/>
              <w:rPr>
                <w:rFonts w:cs="Arial"/>
                <w:color w:val="000000"/>
              </w:rPr>
            </w:pPr>
            <w:r w:rsidRPr="00FC6EF2">
              <w:rPr>
                <w:rFonts w:cs="Arial"/>
                <w:color w:val="000000" w:themeColor="text1"/>
              </w:rPr>
              <w:t>14,599</w:t>
            </w:r>
          </w:p>
        </w:tc>
        <w:tc>
          <w:tcPr>
            <w:tcW w:w="1350" w:type="dxa"/>
            <w:noWrap/>
            <w:hideMark/>
          </w:tcPr>
          <w:p w14:paraId="5E7B5E03" w14:textId="77777777" w:rsidR="00401F86" w:rsidRPr="00FC6EF2" w:rsidRDefault="00401F86" w:rsidP="00401F86">
            <w:pPr>
              <w:jc w:val="right"/>
              <w:rPr>
                <w:rFonts w:cs="Arial"/>
                <w:color w:val="000000"/>
              </w:rPr>
            </w:pPr>
            <w:r w:rsidRPr="00FC6EF2">
              <w:rPr>
                <w:rFonts w:cs="Arial"/>
                <w:color w:val="000000"/>
              </w:rPr>
              <w:t>169</w:t>
            </w:r>
          </w:p>
        </w:tc>
        <w:tc>
          <w:tcPr>
            <w:tcW w:w="1444" w:type="dxa"/>
            <w:noWrap/>
            <w:hideMark/>
          </w:tcPr>
          <w:p w14:paraId="3DD290AD" w14:textId="77777777" w:rsidR="00401F86" w:rsidRPr="00FC6EF2" w:rsidRDefault="00401F86" w:rsidP="00401F86">
            <w:pPr>
              <w:jc w:val="right"/>
              <w:rPr>
                <w:rFonts w:cs="Arial"/>
                <w:color w:val="000000"/>
              </w:rPr>
            </w:pPr>
            <w:r w:rsidRPr="00FC6EF2">
              <w:rPr>
                <w:rFonts w:cs="Arial"/>
                <w:color w:val="000000"/>
              </w:rPr>
              <w:t>1.16%</w:t>
            </w:r>
          </w:p>
        </w:tc>
        <w:tc>
          <w:tcPr>
            <w:tcW w:w="1346" w:type="dxa"/>
            <w:noWrap/>
            <w:hideMark/>
          </w:tcPr>
          <w:p w14:paraId="520512CA" w14:textId="77777777" w:rsidR="00401F86" w:rsidRPr="00FC6EF2" w:rsidRDefault="00401F86" w:rsidP="00401F86">
            <w:pPr>
              <w:jc w:val="right"/>
              <w:rPr>
                <w:rFonts w:cs="Arial"/>
                <w:color w:val="000000"/>
              </w:rPr>
            </w:pPr>
            <w:r w:rsidRPr="00FC6EF2">
              <w:rPr>
                <w:rFonts w:cs="Arial"/>
                <w:color w:val="000000"/>
              </w:rPr>
              <w:t>3,536</w:t>
            </w:r>
          </w:p>
        </w:tc>
        <w:tc>
          <w:tcPr>
            <w:tcW w:w="1350" w:type="dxa"/>
            <w:noWrap/>
            <w:hideMark/>
          </w:tcPr>
          <w:p w14:paraId="27AEB656" w14:textId="77777777" w:rsidR="00401F86" w:rsidRPr="00FC6EF2" w:rsidRDefault="00401F86" w:rsidP="00401F86">
            <w:pPr>
              <w:jc w:val="right"/>
              <w:rPr>
                <w:rFonts w:cs="Arial"/>
                <w:color w:val="000000"/>
              </w:rPr>
            </w:pPr>
            <w:r w:rsidRPr="00FC6EF2">
              <w:rPr>
                <w:rFonts w:cs="Arial"/>
                <w:color w:val="000000"/>
              </w:rPr>
              <w:t>41</w:t>
            </w:r>
          </w:p>
        </w:tc>
        <w:tc>
          <w:tcPr>
            <w:tcW w:w="1547" w:type="dxa"/>
            <w:noWrap/>
            <w:hideMark/>
          </w:tcPr>
          <w:p w14:paraId="7495CABE" w14:textId="77777777" w:rsidR="00401F86" w:rsidRPr="00FC6EF2" w:rsidRDefault="00401F86" w:rsidP="00401F86">
            <w:pPr>
              <w:jc w:val="right"/>
              <w:rPr>
                <w:rFonts w:cs="Arial"/>
                <w:color w:val="000000"/>
              </w:rPr>
            </w:pPr>
            <w:r w:rsidRPr="00FC6EF2">
              <w:rPr>
                <w:rFonts w:cs="Arial"/>
                <w:color w:val="000000"/>
              </w:rPr>
              <w:t>1.16%</w:t>
            </w:r>
          </w:p>
        </w:tc>
        <w:tc>
          <w:tcPr>
            <w:tcW w:w="1688" w:type="dxa"/>
            <w:noWrap/>
            <w:hideMark/>
          </w:tcPr>
          <w:p w14:paraId="318FE27F" w14:textId="77777777" w:rsidR="00401F86" w:rsidRPr="00FC6EF2" w:rsidRDefault="00401F86" w:rsidP="00401F86">
            <w:pPr>
              <w:jc w:val="right"/>
              <w:rPr>
                <w:rFonts w:cs="Arial"/>
                <w:color w:val="000000"/>
              </w:rPr>
            </w:pPr>
            <w:r w:rsidRPr="00FC6EF2">
              <w:rPr>
                <w:rFonts w:cs="Arial"/>
                <w:color w:val="000000"/>
              </w:rPr>
              <w:t>13,455</w:t>
            </w:r>
          </w:p>
        </w:tc>
        <w:tc>
          <w:tcPr>
            <w:tcW w:w="1484" w:type="dxa"/>
            <w:noWrap/>
            <w:hideMark/>
          </w:tcPr>
          <w:p w14:paraId="77F0E532" w14:textId="77777777" w:rsidR="00401F86" w:rsidRPr="00FC6EF2" w:rsidRDefault="00401F86" w:rsidP="00401F86">
            <w:pPr>
              <w:jc w:val="right"/>
              <w:rPr>
                <w:rFonts w:cs="Arial"/>
                <w:color w:val="000000"/>
              </w:rPr>
            </w:pPr>
            <w:r w:rsidRPr="00FC6EF2">
              <w:rPr>
                <w:rFonts w:cs="Arial"/>
                <w:color w:val="000000"/>
              </w:rPr>
              <w:t>124</w:t>
            </w:r>
          </w:p>
        </w:tc>
        <w:tc>
          <w:tcPr>
            <w:tcW w:w="1444" w:type="dxa"/>
            <w:noWrap/>
            <w:hideMark/>
          </w:tcPr>
          <w:p w14:paraId="6F959ECE" w14:textId="77777777" w:rsidR="00401F86" w:rsidRPr="00FC6EF2" w:rsidRDefault="00401F86" w:rsidP="00401F86">
            <w:pPr>
              <w:jc w:val="right"/>
              <w:rPr>
                <w:rFonts w:cs="Arial"/>
                <w:color w:val="000000"/>
              </w:rPr>
            </w:pPr>
            <w:r w:rsidRPr="00FC6EF2">
              <w:rPr>
                <w:rFonts w:cs="Arial"/>
                <w:color w:val="000000"/>
              </w:rPr>
              <w:t>0.92%</w:t>
            </w:r>
          </w:p>
        </w:tc>
      </w:tr>
      <w:tr w:rsidR="00401F86" w:rsidRPr="00FC6EF2" w14:paraId="439C9036" w14:textId="77777777" w:rsidTr="57EEB976">
        <w:trPr>
          <w:cantSplit/>
          <w:trHeight w:val="320"/>
        </w:trPr>
        <w:tc>
          <w:tcPr>
            <w:tcW w:w="1980" w:type="dxa"/>
            <w:noWrap/>
            <w:hideMark/>
          </w:tcPr>
          <w:p w14:paraId="6F31F9A8" w14:textId="77777777" w:rsidR="00401F86" w:rsidRPr="00FC6EF2" w:rsidRDefault="00401F86" w:rsidP="00401F86">
            <w:pPr>
              <w:rPr>
                <w:rFonts w:cs="Arial"/>
                <w:color w:val="000000"/>
              </w:rPr>
            </w:pPr>
            <w:r w:rsidRPr="00FC6EF2">
              <w:rPr>
                <w:rFonts w:cs="Arial"/>
                <w:color w:val="000000"/>
              </w:rPr>
              <w:t>Two or more races</w:t>
            </w:r>
          </w:p>
        </w:tc>
        <w:tc>
          <w:tcPr>
            <w:tcW w:w="1350" w:type="dxa"/>
            <w:noWrap/>
            <w:hideMark/>
          </w:tcPr>
          <w:p w14:paraId="6B438F46" w14:textId="260B4384" w:rsidR="00401F86" w:rsidRPr="00FC6EF2" w:rsidRDefault="231891FD" w:rsidP="00401F86">
            <w:pPr>
              <w:jc w:val="right"/>
              <w:rPr>
                <w:rFonts w:cs="Arial"/>
                <w:color w:val="000000"/>
              </w:rPr>
            </w:pPr>
            <w:r w:rsidRPr="00FC6EF2">
              <w:rPr>
                <w:rFonts w:cs="Arial"/>
                <w:color w:val="000000" w:themeColor="text1"/>
              </w:rPr>
              <w:t>125,903</w:t>
            </w:r>
          </w:p>
        </w:tc>
        <w:tc>
          <w:tcPr>
            <w:tcW w:w="1350" w:type="dxa"/>
            <w:noWrap/>
            <w:hideMark/>
          </w:tcPr>
          <w:p w14:paraId="19DC6A57" w14:textId="77777777" w:rsidR="00401F86" w:rsidRPr="00FC6EF2" w:rsidRDefault="00401F86" w:rsidP="00401F86">
            <w:pPr>
              <w:jc w:val="right"/>
              <w:rPr>
                <w:rFonts w:cs="Arial"/>
                <w:color w:val="000000"/>
              </w:rPr>
            </w:pPr>
            <w:r w:rsidRPr="00FC6EF2">
              <w:rPr>
                <w:rFonts w:cs="Arial"/>
                <w:color w:val="000000"/>
              </w:rPr>
              <w:t>1,218</w:t>
            </w:r>
          </w:p>
        </w:tc>
        <w:tc>
          <w:tcPr>
            <w:tcW w:w="1444" w:type="dxa"/>
            <w:noWrap/>
            <w:hideMark/>
          </w:tcPr>
          <w:p w14:paraId="37E85376" w14:textId="77777777" w:rsidR="00401F86" w:rsidRPr="00FC6EF2" w:rsidRDefault="00401F86" w:rsidP="00401F86">
            <w:pPr>
              <w:jc w:val="right"/>
              <w:rPr>
                <w:rFonts w:cs="Arial"/>
                <w:color w:val="000000"/>
              </w:rPr>
            </w:pPr>
            <w:r w:rsidRPr="00FC6EF2">
              <w:rPr>
                <w:rFonts w:cs="Arial"/>
                <w:color w:val="000000"/>
              </w:rPr>
              <w:t>0.97%</w:t>
            </w:r>
          </w:p>
        </w:tc>
        <w:tc>
          <w:tcPr>
            <w:tcW w:w="1346" w:type="dxa"/>
            <w:noWrap/>
            <w:hideMark/>
          </w:tcPr>
          <w:p w14:paraId="66D6B71F" w14:textId="77777777" w:rsidR="00401F86" w:rsidRPr="00FC6EF2" w:rsidRDefault="00401F86" w:rsidP="00401F86">
            <w:pPr>
              <w:jc w:val="right"/>
              <w:rPr>
                <w:rFonts w:cs="Arial"/>
                <w:color w:val="000000"/>
              </w:rPr>
            </w:pPr>
            <w:r w:rsidRPr="00FC6EF2">
              <w:rPr>
                <w:rFonts w:cs="Arial"/>
                <w:color w:val="000000"/>
              </w:rPr>
              <w:t>41,892</w:t>
            </w:r>
          </w:p>
        </w:tc>
        <w:tc>
          <w:tcPr>
            <w:tcW w:w="1350" w:type="dxa"/>
            <w:noWrap/>
            <w:hideMark/>
          </w:tcPr>
          <w:p w14:paraId="563C179F" w14:textId="77777777" w:rsidR="00401F86" w:rsidRPr="00FC6EF2" w:rsidRDefault="00401F86" w:rsidP="00401F86">
            <w:pPr>
              <w:jc w:val="right"/>
              <w:rPr>
                <w:rFonts w:cs="Arial"/>
                <w:color w:val="000000"/>
              </w:rPr>
            </w:pPr>
            <w:r w:rsidRPr="00FC6EF2">
              <w:rPr>
                <w:rFonts w:cs="Arial"/>
                <w:color w:val="000000"/>
              </w:rPr>
              <w:t>531</w:t>
            </w:r>
          </w:p>
        </w:tc>
        <w:tc>
          <w:tcPr>
            <w:tcW w:w="1547" w:type="dxa"/>
            <w:noWrap/>
            <w:hideMark/>
          </w:tcPr>
          <w:p w14:paraId="5A631629" w14:textId="77777777" w:rsidR="00401F86" w:rsidRPr="00FC6EF2" w:rsidRDefault="00401F86" w:rsidP="00401F86">
            <w:pPr>
              <w:jc w:val="right"/>
              <w:rPr>
                <w:rFonts w:cs="Arial"/>
                <w:color w:val="000000"/>
              </w:rPr>
            </w:pPr>
            <w:r w:rsidRPr="00FC6EF2">
              <w:rPr>
                <w:rFonts w:cs="Arial"/>
                <w:color w:val="000000"/>
              </w:rPr>
              <w:t>1.27%</w:t>
            </w:r>
          </w:p>
        </w:tc>
        <w:tc>
          <w:tcPr>
            <w:tcW w:w="1688" w:type="dxa"/>
            <w:noWrap/>
            <w:hideMark/>
          </w:tcPr>
          <w:p w14:paraId="26561636" w14:textId="77777777" w:rsidR="00401F86" w:rsidRPr="00FC6EF2" w:rsidRDefault="00401F86" w:rsidP="00401F86">
            <w:pPr>
              <w:jc w:val="right"/>
              <w:rPr>
                <w:rFonts w:cs="Arial"/>
                <w:color w:val="000000"/>
              </w:rPr>
            </w:pPr>
            <w:r w:rsidRPr="00FC6EF2">
              <w:rPr>
                <w:rFonts w:cs="Arial"/>
                <w:color w:val="000000"/>
              </w:rPr>
              <w:t>131,605</w:t>
            </w:r>
          </w:p>
        </w:tc>
        <w:tc>
          <w:tcPr>
            <w:tcW w:w="1484" w:type="dxa"/>
            <w:noWrap/>
            <w:hideMark/>
          </w:tcPr>
          <w:p w14:paraId="4F9EDDFF" w14:textId="77777777" w:rsidR="00401F86" w:rsidRPr="00FC6EF2" w:rsidRDefault="00401F86" w:rsidP="00401F86">
            <w:pPr>
              <w:jc w:val="right"/>
              <w:rPr>
                <w:rFonts w:cs="Arial"/>
                <w:color w:val="000000"/>
              </w:rPr>
            </w:pPr>
            <w:r w:rsidRPr="00FC6EF2">
              <w:rPr>
                <w:rFonts w:cs="Arial"/>
                <w:color w:val="000000"/>
              </w:rPr>
              <w:t>1,394</w:t>
            </w:r>
          </w:p>
        </w:tc>
        <w:tc>
          <w:tcPr>
            <w:tcW w:w="1444" w:type="dxa"/>
            <w:noWrap/>
            <w:hideMark/>
          </w:tcPr>
          <w:p w14:paraId="1CB76B50" w14:textId="77777777" w:rsidR="00401F86" w:rsidRPr="00FC6EF2" w:rsidRDefault="00401F86" w:rsidP="00401F86">
            <w:pPr>
              <w:jc w:val="right"/>
              <w:rPr>
                <w:rFonts w:cs="Arial"/>
                <w:color w:val="000000"/>
              </w:rPr>
            </w:pPr>
            <w:r w:rsidRPr="00FC6EF2">
              <w:rPr>
                <w:rFonts w:cs="Arial"/>
                <w:color w:val="000000"/>
              </w:rPr>
              <w:t>1.06%</w:t>
            </w:r>
          </w:p>
        </w:tc>
      </w:tr>
      <w:tr w:rsidR="00401F86" w:rsidRPr="00FC6EF2" w14:paraId="28884C4E" w14:textId="77777777" w:rsidTr="57EEB976">
        <w:trPr>
          <w:cantSplit/>
          <w:trHeight w:val="320"/>
        </w:trPr>
        <w:tc>
          <w:tcPr>
            <w:tcW w:w="1980" w:type="dxa"/>
            <w:noWrap/>
            <w:hideMark/>
          </w:tcPr>
          <w:p w14:paraId="685551A3" w14:textId="77777777" w:rsidR="00401F86" w:rsidRPr="00FC6EF2" w:rsidRDefault="00401F86" w:rsidP="00401F86">
            <w:pPr>
              <w:rPr>
                <w:rFonts w:cs="Arial"/>
                <w:color w:val="000000"/>
              </w:rPr>
            </w:pPr>
            <w:r w:rsidRPr="00FC6EF2">
              <w:rPr>
                <w:rFonts w:cs="Arial"/>
                <w:color w:val="000000"/>
              </w:rPr>
              <w:t>English learners</w:t>
            </w:r>
          </w:p>
        </w:tc>
        <w:tc>
          <w:tcPr>
            <w:tcW w:w="1350" w:type="dxa"/>
            <w:noWrap/>
            <w:hideMark/>
          </w:tcPr>
          <w:p w14:paraId="2C29DB3E" w14:textId="2184641D" w:rsidR="00401F86" w:rsidRPr="00FC6EF2" w:rsidRDefault="231891FD" w:rsidP="00401F86">
            <w:pPr>
              <w:jc w:val="right"/>
              <w:rPr>
                <w:rFonts w:cs="Arial"/>
                <w:color w:val="000000"/>
              </w:rPr>
            </w:pPr>
            <w:r w:rsidRPr="00FC6EF2">
              <w:rPr>
                <w:rFonts w:cs="Arial"/>
                <w:color w:val="000000" w:themeColor="text1"/>
              </w:rPr>
              <w:t>535,110</w:t>
            </w:r>
          </w:p>
        </w:tc>
        <w:tc>
          <w:tcPr>
            <w:tcW w:w="1350" w:type="dxa"/>
            <w:noWrap/>
            <w:hideMark/>
          </w:tcPr>
          <w:p w14:paraId="5CCCAB1E" w14:textId="77777777" w:rsidR="00401F86" w:rsidRPr="00FC6EF2" w:rsidRDefault="00401F86" w:rsidP="00401F86">
            <w:pPr>
              <w:jc w:val="right"/>
              <w:rPr>
                <w:rFonts w:cs="Arial"/>
                <w:color w:val="000000"/>
              </w:rPr>
            </w:pPr>
            <w:r w:rsidRPr="00FC6EF2">
              <w:rPr>
                <w:rFonts w:cs="Arial"/>
                <w:color w:val="000000"/>
              </w:rPr>
              <w:t>11,151</w:t>
            </w:r>
          </w:p>
        </w:tc>
        <w:tc>
          <w:tcPr>
            <w:tcW w:w="1444" w:type="dxa"/>
            <w:noWrap/>
            <w:hideMark/>
          </w:tcPr>
          <w:p w14:paraId="32CD96AF" w14:textId="77777777" w:rsidR="00401F86" w:rsidRPr="00FC6EF2" w:rsidRDefault="00401F86" w:rsidP="00401F86">
            <w:pPr>
              <w:jc w:val="right"/>
              <w:rPr>
                <w:rFonts w:cs="Arial"/>
                <w:color w:val="000000"/>
              </w:rPr>
            </w:pPr>
            <w:r w:rsidRPr="00FC6EF2">
              <w:rPr>
                <w:rFonts w:cs="Arial"/>
                <w:color w:val="000000"/>
              </w:rPr>
              <w:t>2.08%</w:t>
            </w:r>
          </w:p>
        </w:tc>
        <w:tc>
          <w:tcPr>
            <w:tcW w:w="1346" w:type="dxa"/>
            <w:noWrap/>
            <w:hideMark/>
          </w:tcPr>
          <w:p w14:paraId="141A89EC" w14:textId="77777777" w:rsidR="00401F86" w:rsidRPr="00FC6EF2" w:rsidRDefault="00401F86" w:rsidP="00401F86">
            <w:pPr>
              <w:jc w:val="right"/>
              <w:rPr>
                <w:rFonts w:cs="Arial"/>
                <w:color w:val="000000"/>
              </w:rPr>
            </w:pPr>
            <w:r w:rsidRPr="00FC6EF2">
              <w:rPr>
                <w:rFonts w:cs="Arial"/>
                <w:color w:val="000000"/>
              </w:rPr>
              <w:t>119,463</w:t>
            </w:r>
          </w:p>
        </w:tc>
        <w:tc>
          <w:tcPr>
            <w:tcW w:w="1350" w:type="dxa"/>
            <w:noWrap/>
            <w:hideMark/>
          </w:tcPr>
          <w:p w14:paraId="5929EE1C" w14:textId="77777777" w:rsidR="00401F86" w:rsidRPr="00FC6EF2" w:rsidRDefault="00401F86" w:rsidP="00401F86">
            <w:pPr>
              <w:jc w:val="right"/>
              <w:rPr>
                <w:rFonts w:cs="Arial"/>
                <w:color w:val="000000"/>
              </w:rPr>
            </w:pPr>
            <w:r w:rsidRPr="00FC6EF2">
              <w:rPr>
                <w:rFonts w:cs="Arial"/>
                <w:color w:val="000000"/>
              </w:rPr>
              <w:t>2,567</w:t>
            </w:r>
          </w:p>
        </w:tc>
        <w:tc>
          <w:tcPr>
            <w:tcW w:w="1547" w:type="dxa"/>
            <w:noWrap/>
            <w:hideMark/>
          </w:tcPr>
          <w:p w14:paraId="38A09E09" w14:textId="77777777" w:rsidR="00401F86" w:rsidRPr="00FC6EF2" w:rsidRDefault="00401F86" w:rsidP="00401F86">
            <w:pPr>
              <w:jc w:val="right"/>
              <w:rPr>
                <w:rFonts w:cs="Arial"/>
                <w:color w:val="000000"/>
              </w:rPr>
            </w:pPr>
            <w:r w:rsidRPr="00FC6EF2">
              <w:rPr>
                <w:rFonts w:cs="Arial"/>
                <w:color w:val="000000"/>
              </w:rPr>
              <w:t>2.15%</w:t>
            </w:r>
          </w:p>
        </w:tc>
        <w:tc>
          <w:tcPr>
            <w:tcW w:w="1688" w:type="dxa"/>
            <w:noWrap/>
            <w:hideMark/>
          </w:tcPr>
          <w:p w14:paraId="04DB8E66" w14:textId="77777777" w:rsidR="00401F86" w:rsidRPr="00FC6EF2" w:rsidRDefault="00401F86" w:rsidP="00401F86">
            <w:pPr>
              <w:jc w:val="right"/>
              <w:rPr>
                <w:rFonts w:cs="Arial"/>
                <w:color w:val="000000"/>
              </w:rPr>
            </w:pPr>
            <w:r w:rsidRPr="00FC6EF2">
              <w:rPr>
                <w:rFonts w:cs="Arial"/>
                <w:color w:val="000000"/>
              </w:rPr>
              <w:t>582,964</w:t>
            </w:r>
          </w:p>
        </w:tc>
        <w:tc>
          <w:tcPr>
            <w:tcW w:w="1484" w:type="dxa"/>
            <w:noWrap/>
            <w:hideMark/>
          </w:tcPr>
          <w:p w14:paraId="75F28B56" w14:textId="77777777" w:rsidR="00401F86" w:rsidRPr="00FC6EF2" w:rsidRDefault="00401F86" w:rsidP="00401F86">
            <w:pPr>
              <w:jc w:val="right"/>
              <w:rPr>
                <w:rFonts w:cs="Arial"/>
                <w:color w:val="000000"/>
              </w:rPr>
            </w:pPr>
            <w:r w:rsidRPr="00FC6EF2">
              <w:rPr>
                <w:rFonts w:cs="Arial"/>
                <w:color w:val="000000"/>
              </w:rPr>
              <w:t>9,454</w:t>
            </w:r>
          </w:p>
        </w:tc>
        <w:tc>
          <w:tcPr>
            <w:tcW w:w="1444" w:type="dxa"/>
            <w:noWrap/>
            <w:hideMark/>
          </w:tcPr>
          <w:p w14:paraId="74D8497E" w14:textId="77777777" w:rsidR="00401F86" w:rsidRPr="00FC6EF2" w:rsidRDefault="00401F86" w:rsidP="00401F86">
            <w:pPr>
              <w:jc w:val="right"/>
              <w:rPr>
                <w:rFonts w:cs="Arial"/>
                <w:color w:val="000000"/>
              </w:rPr>
            </w:pPr>
            <w:r w:rsidRPr="00FC6EF2">
              <w:rPr>
                <w:rFonts w:cs="Arial"/>
                <w:color w:val="000000"/>
              </w:rPr>
              <w:t>1.62%</w:t>
            </w:r>
          </w:p>
        </w:tc>
      </w:tr>
      <w:tr w:rsidR="00401F86" w:rsidRPr="00FC6EF2" w14:paraId="2D52C76B" w14:textId="77777777" w:rsidTr="57EEB976">
        <w:trPr>
          <w:cantSplit/>
          <w:trHeight w:val="320"/>
        </w:trPr>
        <w:tc>
          <w:tcPr>
            <w:tcW w:w="1980" w:type="dxa"/>
            <w:noWrap/>
            <w:hideMark/>
          </w:tcPr>
          <w:p w14:paraId="0FE4049C" w14:textId="77777777" w:rsidR="00401F86" w:rsidRPr="00FC6EF2" w:rsidRDefault="00401F86" w:rsidP="00401F86">
            <w:pPr>
              <w:rPr>
                <w:rFonts w:cs="Arial"/>
                <w:color w:val="000000"/>
              </w:rPr>
            </w:pPr>
            <w:r w:rsidRPr="00FC6EF2">
              <w:rPr>
                <w:rFonts w:cs="Arial"/>
                <w:color w:val="000000"/>
              </w:rPr>
              <w:t xml:space="preserve">Econ. </w:t>
            </w:r>
            <w:proofErr w:type="spellStart"/>
            <w:r w:rsidRPr="00FC6EF2">
              <w:rPr>
                <w:rFonts w:cs="Arial"/>
                <w:color w:val="000000"/>
              </w:rPr>
              <w:t>disadv</w:t>
            </w:r>
            <w:proofErr w:type="spellEnd"/>
            <w:r w:rsidRPr="00FC6EF2">
              <w:rPr>
                <w:rFonts w:cs="Arial"/>
                <w:color w:val="000000"/>
              </w:rPr>
              <w:t>.</w:t>
            </w:r>
          </w:p>
        </w:tc>
        <w:tc>
          <w:tcPr>
            <w:tcW w:w="1350" w:type="dxa"/>
            <w:noWrap/>
            <w:hideMark/>
          </w:tcPr>
          <w:p w14:paraId="399197F5" w14:textId="66D8B680" w:rsidR="00401F86" w:rsidRPr="00FC6EF2" w:rsidRDefault="231891FD" w:rsidP="00401F86">
            <w:pPr>
              <w:jc w:val="right"/>
              <w:rPr>
                <w:rFonts w:cs="Arial"/>
                <w:color w:val="000000"/>
              </w:rPr>
            </w:pPr>
            <w:r w:rsidRPr="00FC6EF2">
              <w:rPr>
                <w:rFonts w:cs="Arial"/>
                <w:color w:val="000000" w:themeColor="text1"/>
              </w:rPr>
              <w:t>1,958,522</w:t>
            </w:r>
          </w:p>
        </w:tc>
        <w:tc>
          <w:tcPr>
            <w:tcW w:w="1350" w:type="dxa"/>
            <w:noWrap/>
            <w:hideMark/>
          </w:tcPr>
          <w:p w14:paraId="217F7031" w14:textId="77777777" w:rsidR="00401F86" w:rsidRPr="00FC6EF2" w:rsidRDefault="00401F86" w:rsidP="00401F86">
            <w:pPr>
              <w:jc w:val="right"/>
              <w:rPr>
                <w:rFonts w:cs="Arial"/>
                <w:color w:val="000000"/>
              </w:rPr>
            </w:pPr>
            <w:r w:rsidRPr="00FC6EF2">
              <w:rPr>
                <w:rFonts w:cs="Arial"/>
                <w:color w:val="000000"/>
              </w:rPr>
              <w:t>24,471</w:t>
            </w:r>
          </w:p>
        </w:tc>
        <w:tc>
          <w:tcPr>
            <w:tcW w:w="1444" w:type="dxa"/>
            <w:noWrap/>
            <w:hideMark/>
          </w:tcPr>
          <w:p w14:paraId="30FFC7A4" w14:textId="77777777" w:rsidR="00401F86" w:rsidRPr="00FC6EF2" w:rsidRDefault="00401F86" w:rsidP="00401F86">
            <w:pPr>
              <w:jc w:val="right"/>
              <w:rPr>
                <w:rFonts w:cs="Arial"/>
                <w:color w:val="000000"/>
              </w:rPr>
            </w:pPr>
            <w:r w:rsidRPr="00FC6EF2">
              <w:rPr>
                <w:rFonts w:cs="Arial"/>
                <w:color w:val="000000"/>
              </w:rPr>
              <w:t>1.25%</w:t>
            </w:r>
          </w:p>
        </w:tc>
        <w:tc>
          <w:tcPr>
            <w:tcW w:w="1346" w:type="dxa"/>
            <w:noWrap/>
            <w:hideMark/>
          </w:tcPr>
          <w:p w14:paraId="5F9AAF20" w14:textId="77777777" w:rsidR="00401F86" w:rsidRPr="00FC6EF2" w:rsidRDefault="00401F86" w:rsidP="00401F86">
            <w:pPr>
              <w:jc w:val="right"/>
              <w:rPr>
                <w:rFonts w:cs="Arial"/>
                <w:color w:val="000000"/>
              </w:rPr>
            </w:pPr>
            <w:r w:rsidRPr="00FC6EF2">
              <w:rPr>
                <w:rFonts w:cs="Arial"/>
                <w:color w:val="000000"/>
              </w:rPr>
              <w:t>423,582</w:t>
            </w:r>
          </w:p>
        </w:tc>
        <w:tc>
          <w:tcPr>
            <w:tcW w:w="1350" w:type="dxa"/>
            <w:noWrap/>
            <w:hideMark/>
          </w:tcPr>
          <w:p w14:paraId="4C3D4294" w14:textId="77777777" w:rsidR="00401F86" w:rsidRPr="00FC6EF2" w:rsidRDefault="00401F86" w:rsidP="00401F86">
            <w:pPr>
              <w:jc w:val="right"/>
              <w:rPr>
                <w:rFonts w:cs="Arial"/>
                <w:color w:val="000000"/>
              </w:rPr>
            </w:pPr>
            <w:r w:rsidRPr="00FC6EF2">
              <w:rPr>
                <w:rFonts w:cs="Arial"/>
                <w:color w:val="000000"/>
              </w:rPr>
              <w:t>6,707</w:t>
            </w:r>
          </w:p>
        </w:tc>
        <w:tc>
          <w:tcPr>
            <w:tcW w:w="1547" w:type="dxa"/>
            <w:noWrap/>
            <w:hideMark/>
          </w:tcPr>
          <w:p w14:paraId="65300D71" w14:textId="77777777" w:rsidR="00401F86" w:rsidRPr="00FC6EF2" w:rsidRDefault="00401F86" w:rsidP="00401F86">
            <w:pPr>
              <w:jc w:val="right"/>
              <w:rPr>
                <w:rFonts w:cs="Arial"/>
                <w:color w:val="000000"/>
              </w:rPr>
            </w:pPr>
            <w:r w:rsidRPr="00FC6EF2">
              <w:rPr>
                <w:rFonts w:cs="Arial"/>
                <w:color w:val="000000"/>
              </w:rPr>
              <w:t>1.58%</w:t>
            </w:r>
          </w:p>
        </w:tc>
        <w:tc>
          <w:tcPr>
            <w:tcW w:w="1688" w:type="dxa"/>
            <w:noWrap/>
            <w:hideMark/>
          </w:tcPr>
          <w:p w14:paraId="7F80948B" w14:textId="77777777" w:rsidR="00401F86" w:rsidRPr="00FC6EF2" w:rsidRDefault="00401F86" w:rsidP="00401F86">
            <w:pPr>
              <w:jc w:val="right"/>
              <w:rPr>
                <w:rFonts w:cs="Arial"/>
                <w:color w:val="000000"/>
              </w:rPr>
            </w:pPr>
            <w:r w:rsidRPr="00FC6EF2">
              <w:rPr>
                <w:rFonts w:cs="Arial"/>
                <w:color w:val="000000"/>
              </w:rPr>
              <w:t>1,862,626</w:t>
            </w:r>
          </w:p>
        </w:tc>
        <w:tc>
          <w:tcPr>
            <w:tcW w:w="1484" w:type="dxa"/>
            <w:noWrap/>
            <w:hideMark/>
          </w:tcPr>
          <w:p w14:paraId="02CF994D" w14:textId="77777777" w:rsidR="00401F86" w:rsidRPr="00FC6EF2" w:rsidRDefault="00401F86" w:rsidP="00401F86">
            <w:pPr>
              <w:jc w:val="right"/>
              <w:rPr>
                <w:rFonts w:cs="Arial"/>
                <w:color w:val="000000"/>
              </w:rPr>
            </w:pPr>
            <w:r w:rsidRPr="00FC6EF2">
              <w:rPr>
                <w:rFonts w:cs="Arial"/>
                <w:color w:val="000000"/>
              </w:rPr>
              <w:t>20,302</w:t>
            </w:r>
          </w:p>
        </w:tc>
        <w:tc>
          <w:tcPr>
            <w:tcW w:w="1444" w:type="dxa"/>
            <w:noWrap/>
            <w:hideMark/>
          </w:tcPr>
          <w:p w14:paraId="7138DBBD" w14:textId="77777777" w:rsidR="00401F86" w:rsidRPr="00FC6EF2" w:rsidRDefault="00401F86" w:rsidP="00401F86">
            <w:pPr>
              <w:jc w:val="right"/>
              <w:rPr>
                <w:rFonts w:cs="Arial"/>
                <w:color w:val="000000"/>
              </w:rPr>
            </w:pPr>
            <w:r w:rsidRPr="00FC6EF2">
              <w:rPr>
                <w:rFonts w:cs="Arial"/>
                <w:color w:val="000000"/>
              </w:rPr>
              <w:t>1.09%</w:t>
            </w:r>
          </w:p>
        </w:tc>
      </w:tr>
      <w:bookmarkEnd w:id="3"/>
    </w:tbl>
    <w:p w14:paraId="219BD8B5" w14:textId="29679702" w:rsidR="57EEB976" w:rsidRPr="00FC6EF2" w:rsidRDefault="57EEB976"/>
    <w:p w14:paraId="5BB911B0" w14:textId="77777777" w:rsidR="00401F86" w:rsidRPr="00FC6EF2" w:rsidRDefault="00401F86" w:rsidP="00401F86">
      <w:pPr>
        <w:spacing w:after="60"/>
        <w:ind w:left="-360"/>
        <w:rPr>
          <w:rFonts w:eastAsia="Calibri" w:cs="Arial"/>
          <w:bCs/>
        </w:rPr>
      </w:pPr>
      <w:r w:rsidRPr="00FC6EF2">
        <w:rPr>
          <w:rFonts w:eastAsia="Calibri" w:cs="Arial"/>
          <w:bCs/>
        </w:rPr>
        <w:br w:type="page"/>
      </w:r>
    </w:p>
    <w:p w14:paraId="65E86128" w14:textId="3EA3131A" w:rsidR="00401F86" w:rsidRPr="00FC6EF2" w:rsidRDefault="231891FD" w:rsidP="00401F86">
      <w:pPr>
        <w:spacing w:after="60"/>
        <w:rPr>
          <w:rFonts w:cs="Arial"/>
          <w:color w:val="000000"/>
        </w:rPr>
      </w:pPr>
      <w:r w:rsidRPr="00FC6EF2">
        <w:rPr>
          <w:rFonts w:eastAsia="Calibri" w:cs="Arial"/>
        </w:rPr>
        <w:lastRenderedPageBreak/>
        <w:t xml:space="preserve">Table 12. CAA for </w:t>
      </w:r>
      <w:r w:rsidRPr="00FC6EF2">
        <w:rPr>
          <w:rFonts w:cs="Arial"/>
          <w:color w:val="000000" w:themeColor="text1"/>
        </w:rPr>
        <w:t>Science Participation Rates by Student Group</w:t>
      </w:r>
    </w:p>
    <w:tbl>
      <w:tblPr>
        <w:tblStyle w:val="TableGrid1"/>
        <w:tblW w:w="15300" w:type="dxa"/>
        <w:tblInd w:w="-815" w:type="dxa"/>
        <w:tblLayout w:type="fixed"/>
        <w:tblLook w:val="04A0" w:firstRow="1" w:lastRow="0" w:firstColumn="1" w:lastColumn="0" w:noHBand="0" w:noVBand="1"/>
        <w:tblCaption w:val="Table 12. CAA for Science Participation Rates by Student Group"/>
        <w:tblDescription w:val="Table 12 display the CAA for Science Participation Rates by Student Group."/>
      </w:tblPr>
      <w:tblGrid>
        <w:gridCol w:w="1980"/>
        <w:gridCol w:w="1440"/>
        <w:gridCol w:w="1440"/>
        <w:gridCol w:w="1530"/>
        <w:gridCol w:w="1350"/>
        <w:gridCol w:w="1350"/>
        <w:gridCol w:w="1530"/>
        <w:gridCol w:w="1620"/>
        <w:gridCol w:w="1530"/>
        <w:gridCol w:w="1530"/>
      </w:tblGrid>
      <w:tr w:rsidR="005C2602" w:rsidRPr="00FC6EF2" w14:paraId="4CE2FCBD" w14:textId="77777777" w:rsidTr="007F55A2">
        <w:trPr>
          <w:cantSplit/>
          <w:trHeight w:val="2380"/>
          <w:tblHeader/>
        </w:trPr>
        <w:tc>
          <w:tcPr>
            <w:tcW w:w="1980" w:type="dxa"/>
            <w:vAlign w:val="center"/>
            <w:hideMark/>
          </w:tcPr>
          <w:p w14:paraId="1EE41BAB" w14:textId="77777777" w:rsidR="00B431BA" w:rsidRPr="00FC6EF2" w:rsidRDefault="00B431BA" w:rsidP="00B431BA">
            <w:pPr>
              <w:jc w:val="center"/>
              <w:rPr>
                <w:rFonts w:cs="Arial"/>
                <w:color w:val="000000"/>
              </w:rPr>
            </w:pPr>
            <w:r w:rsidRPr="00FC6EF2">
              <w:rPr>
                <w:rFonts w:cs="Arial"/>
                <w:color w:val="000000"/>
              </w:rPr>
              <w:t>Student Group</w:t>
            </w:r>
          </w:p>
        </w:tc>
        <w:tc>
          <w:tcPr>
            <w:tcW w:w="1440" w:type="dxa"/>
            <w:vAlign w:val="center"/>
          </w:tcPr>
          <w:p w14:paraId="6E715269" w14:textId="48E6DEDB" w:rsidR="00B431BA" w:rsidRPr="00FC6EF2" w:rsidRDefault="00B431BA" w:rsidP="00B431BA">
            <w:pPr>
              <w:jc w:val="center"/>
              <w:rPr>
                <w:rFonts w:cs="Arial"/>
                <w:color w:val="000000"/>
              </w:rPr>
            </w:pPr>
            <w:r w:rsidRPr="00FC6EF2">
              <w:rPr>
                <w:rFonts w:cs="Arial"/>
                <w:color w:val="000000"/>
              </w:rPr>
              <w:t>Number of Students Assessed, 2019</w:t>
            </w:r>
          </w:p>
        </w:tc>
        <w:tc>
          <w:tcPr>
            <w:tcW w:w="1440" w:type="dxa"/>
            <w:vAlign w:val="center"/>
          </w:tcPr>
          <w:p w14:paraId="4E7E75CF" w14:textId="5C0064BA" w:rsidR="00B431BA" w:rsidRPr="00FC6EF2" w:rsidRDefault="00B431BA" w:rsidP="00B431BA">
            <w:pPr>
              <w:jc w:val="center"/>
              <w:rPr>
                <w:rFonts w:cs="Arial"/>
                <w:color w:val="000000"/>
              </w:rPr>
            </w:pPr>
            <w:r w:rsidRPr="00FC6EF2">
              <w:rPr>
                <w:rFonts w:cs="Arial"/>
                <w:color w:val="000000"/>
              </w:rPr>
              <w:t xml:space="preserve">Number of Students Assessed with </w:t>
            </w:r>
            <w:r w:rsidRPr="00FC6EF2">
              <w:rPr>
                <w:rFonts w:eastAsia="Calibri" w:cs="Arial"/>
              </w:rPr>
              <w:t>CAA,</w:t>
            </w:r>
            <w:r w:rsidRPr="00FC6EF2">
              <w:rPr>
                <w:rFonts w:cs="Arial"/>
                <w:color w:val="000000"/>
              </w:rPr>
              <w:t xml:space="preserve"> 2019</w:t>
            </w:r>
          </w:p>
        </w:tc>
        <w:tc>
          <w:tcPr>
            <w:tcW w:w="1530" w:type="dxa"/>
            <w:vAlign w:val="center"/>
          </w:tcPr>
          <w:p w14:paraId="50C39FAA" w14:textId="1625265D" w:rsidR="00B431BA" w:rsidRPr="00FC6EF2" w:rsidRDefault="00B431BA" w:rsidP="00B431BA">
            <w:pPr>
              <w:jc w:val="center"/>
              <w:rPr>
                <w:rFonts w:cs="Arial"/>
                <w:color w:val="000000"/>
              </w:rPr>
            </w:pPr>
            <w:r w:rsidRPr="00FC6EF2">
              <w:rPr>
                <w:rFonts w:cs="Arial"/>
                <w:color w:val="000000"/>
              </w:rPr>
              <w:t xml:space="preserve">Percentage of Students Assessed with </w:t>
            </w:r>
            <w:r w:rsidRPr="00FC6EF2">
              <w:rPr>
                <w:rFonts w:eastAsia="Calibri" w:cs="Arial"/>
              </w:rPr>
              <w:t>CAA,</w:t>
            </w:r>
            <w:r w:rsidRPr="00FC6EF2">
              <w:rPr>
                <w:rFonts w:cs="Arial"/>
                <w:color w:val="000000"/>
              </w:rPr>
              <w:t xml:space="preserve"> 2019</w:t>
            </w:r>
          </w:p>
        </w:tc>
        <w:tc>
          <w:tcPr>
            <w:tcW w:w="1350" w:type="dxa"/>
            <w:vAlign w:val="center"/>
            <w:hideMark/>
          </w:tcPr>
          <w:p w14:paraId="30062452" w14:textId="1996FF0F" w:rsidR="00B431BA" w:rsidRPr="00FC6EF2" w:rsidRDefault="00B431BA" w:rsidP="00B431BA">
            <w:pPr>
              <w:jc w:val="center"/>
              <w:rPr>
                <w:rFonts w:cs="Arial"/>
                <w:color w:val="000000"/>
              </w:rPr>
            </w:pPr>
            <w:r w:rsidRPr="00FC6EF2">
              <w:rPr>
                <w:rFonts w:cs="Arial"/>
                <w:color w:val="000000"/>
              </w:rPr>
              <w:t>Number of Students Assessed, 2021</w:t>
            </w:r>
          </w:p>
        </w:tc>
        <w:tc>
          <w:tcPr>
            <w:tcW w:w="1350" w:type="dxa"/>
            <w:vAlign w:val="center"/>
            <w:hideMark/>
          </w:tcPr>
          <w:p w14:paraId="76AC3647" w14:textId="77777777" w:rsidR="00B431BA" w:rsidRPr="00FC6EF2" w:rsidRDefault="00B431BA" w:rsidP="00B431BA">
            <w:pPr>
              <w:jc w:val="center"/>
              <w:rPr>
                <w:rFonts w:cs="Arial"/>
                <w:color w:val="000000"/>
              </w:rPr>
            </w:pPr>
            <w:r w:rsidRPr="00FC6EF2">
              <w:rPr>
                <w:rFonts w:cs="Arial"/>
                <w:color w:val="000000"/>
              </w:rPr>
              <w:t xml:space="preserve">Number of Students Assessed with </w:t>
            </w:r>
            <w:r w:rsidRPr="00FC6EF2">
              <w:rPr>
                <w:rFonts w:eastAsia="Calibri" w:cs="Arial"/>
              </w:rPr>
              <w:t>CAA,</w:t>
            </w:r>
            <w:r w:rsidRPr="00FC6EF2">
              <w:rPr>
                <w:rFonts w:cs="Arial"/>
                <w:color w:val="000000"/>
              </w:rPr>
              <w:t xml:space="preserve"> 2021</w:t>
            </w:r>
          </w:p>
        </w:tc>
        <w:tc>
          <w:tcPr>
            <w:tcW w:w="1530" w:type="dxa"/>
            <w:vAlign w:val="center"/>
            <w:hideMark/>
          </w:tcPr>
          <w:p w14:paraId="47AB2F7D" w14:textId="77777777" w:rsidR="00B431BA" w:rsidRPr="00FC6EF2" w:rsidRDefault="00B431BA" w:rsidP="00B431BA">
            <w:pPr>
              <w:jc w:val="center"/>
              <w:rPr>
                <w:rFonts w:cs="Arial"/>
                <w:color w:val="000000"/>
              </w:rPr>
            </w:pPr>
            <w:r w:rsidRPr="00FC6EF2">
              <w:rPr>
                <w:rFonts w:cs="Arial"/>
                <w:color w:val="000000"/>
              </w:rPr>
              <w:t xml:space="preserve">Percentage of Students Assessed with </w:t>
            </w:r>
            <w:r w:rsidRPr="00FC6EF2">
              <w:rPr>
                <w:rFonts w:eastAsia="Calibri" w:cs="Arial"/>
              </w:rPr>
              <w:t>CAA,</w:t>
            </w:r>
            <w:r w:rsidRPr="00FC6EF2">
              <w:rPr>
                <w:rFonts w:cs="Arial"/>
                <w:color w:val="000000"/>
              </w:rPr>
              <w:t xml:space="preserve"> 2021</w:t>
            </w:r>
          </w:p>
        </w:tc>
        <w:tc>
          <w:tcPr>
            <w:tcW w:w="1620" w:type="dxa"/>
            <w:vAlign w:val="center"/>
            <w:hideMark/>
          </w:tcPr>
          <w:p w14:paraId="0D49A541" w14:textId="77777777" w:rsidR="00B431BA" w:rsidRPr="00FC6EF2" w:rsidRDefault="00B431BA" w:rsidP="00B431BA">
            <w:pPr>
              <w:jc w:val="center"/>
              <w:rPr>
                <w:rFonts w:cs="Arial"/>
                <w:color w:val="000000"/>
              </w:rPr>
            </w:pPr>
            <w:r w:rsidRPr="00FC6EF2">
              <w:rPr>
                <w:rFonts w:cs="Arial"/>
                <w:color w:val="000000" w:themeColor="text1"/>
              </w:rPr>
              <w:t>Number of Students Assessed, 2022 (estimate based on enrollment in grades 5, 8, and HS)</w:t>
            </w:r>
          </w:p>
        </w:tc>
        <w:tc>
          <w:tcPr>
            <w:tcW w:w="1530" w:type="dxa"/>
            <w:vAlign w:val="center"/>
            <w:hideMark/>
          </w:tcPr>
          <w:p w14:paraId="5D557618" w14:textId="77777777" w:rsidR="00B431BA" w:rsidRPr="00FC6EF2" w:rsidRDefault="00B431BA" w:rsidP="00B431BA">
            <w:pPr>
              <w:jc w:val="center"/>
              <w:rPr>
                <w:rFonts w:cs="Arial"/>
                <w:color w:val="000000"/>
              </w:rPr>
            </w:pPr>
            <w:r w:rsidRPr="00FC6EF2">
              <w:rPr>
                <w:rFonts w:cs="Arial"/>
                <w:color w:val="000000"/>
              </w:rPr>
              <w:t xml:space="preserve">Number of Students Assessed with </w:t>
            </w:r>
            <w:r w:rsidRPr="00FC6EF2">
              <w:rPr>
                <w:rFonts w:eastAsia="Calibri" w:cs="Arial"/>
              </w:rPr>
              <w:t>CAA,</w:t>
            </w:r>
            <w:r w:rsidRPr="00FC6EF2">
              <w:rPr>
                <w:rFonts w:cs="Arial"/>
                <w:color w:val="000000"/>
              </w:rPr>
              <w:t xml:space="preserve"> 2022 (estimate based on 2021 test registration)</w:t>
            </w:r>
          </w:p>
        </w:tc>
        <w:tc>
          <w:tcPr>
            <w:tcW w:w="1530" w:type="dxa"/>
            <w:vAlign w:val="center"/>
            <w:hideMark/>
          </w:tcPr>
          <w:p w14:paraId="32A05B80" w14:textId="77777777" w:rsidR="00B431BA" w:rsidRPr="00FC6EF2" w:rsidRDefault="00B431BA" w:rsidP="00B431BA">
            <w:pPr>
              <w:jc w:val="center"/>
              <w:rPr>
                <w:rFonts w:cs="Arial"/>
                <w:color w:val="000000"/>
              </w:rPr>
            </w:pPr>
            <w:r w:rsidRPr="00FC6EF2">
              <w:rPr>
                <w:rFonts w:cs="Arial"/>
                <w:color w:val="000000"/>
              </w:rPr>
              <w:t xml:space="preserve">Percentage of Students Assessed with </w:t>
            </w:r>
            <w:r w:rsidRPr="00FC6EF2">
              <w:rPr>
                <w:rFonts w:eastAsia="Calibri" w:cs="Arial"/>
              </w:rPr>
              <w:t>CAA,</w:t>
            </w:r>
            <w:r w:rsidRPr="00FC6EF2">
              <w:rPr>
                <w:rFonts w:cs="Arial"/>
                <w:color w:val="000000"/>
              </w:rPr>
              <w:t xml:space="preserve"> 2022 (estimate)</w:t>
            </w:r>
          </w:p>
        </w:tc>
      </w:tr>
      <w:tr w:rsidR="00422F34" w:rsidRPr="00FC6EF2" w14:paraId="41FA2FFC" w14:textId="77777777" w:rsidTr="00E256DF">
        <w:trPr>
          <w:trHeight w:val="320"/>
        </w:trPr>
        <w:tc>
          <w:tcPr>
            <w:tcW w:w="1980" w:type="dxa"/>
            <w:noWrap/>
            <w:hideMark/>
          </w:tcPr>
          <w:p w14:paraId="3B06C430" w14:textId="77777777" w:rsidR="006A71C9" w:rsidRPr="00FC6EF2" w:rsidRDefault="006A71C9" w:rsidP="00401F86">
            <w:pPr>
              <w:rPr>
                <w:rFonts w:cs="Arial"/>
                <w:color w:val="000000"/>
              </w:rPr>
            </w:pPr>
            <w:r w:rsidRPr="00FC6EF2">
              <w:rPr>
                <w:rFonts w:cs="Arial"/>
                <w:color w:val="000000"/>
              </w:rPr>
              <w:t>All Students</w:t>
            </w:r>
          </w:p>
        </w:tc>
        <w:tc>
          <w:tcPr>
            <w:tcW w:w="1440" w:type="dxa"/>
          </w:tcPr>
          <w:p w14:paraId="2B60A947" w14:textId="6EC5606F" w:rsidR="006A71C9" w:rsidRPr="00FC6EF2" w:rsidRDefault="00717762" w:rsidP="00401F86">
            <w:pPr>
              <w:jc w:val="right"/>
              <w:rPr>
                <w:rFonts w:cs="Arial"/>
                <w:color w:val="000000"/>
              </w:rPr>
            </w:pPr>
            <w:r w:rsidRPr="00FC6EF2">
              <w:rPr>
                <w:rFonts w:cs="Arial"/>
                <w:color w:val="000000"/>
              </w:rPr>
              <w:t>1,494,156</w:t>
            </w:r>
          </w:p>
        </w:tc>
        <w:tc>
          <w:tcPr>
            <w:tcW w:w="1440" w:type="dxa"/>
          </w:tcPr>
          <w:p w14:paraId="62EF41A8" w14:textId="0A0F5540" w:rsidR="006A71C9" w:rsidRPr="00FC6EF2" w:rsidRDefault="0028291D" w:rsidP="00401F86">
            <w:pPr>
              <w:jc w:val="right"/>
              <w:rPr>
                <w:rFonts w:cs="Arial"/>
                <w:color w:val="000000"/>
              </w:rPr>
            </w:pPr>
            <w:r w:rsidRPr="00FC6EF2">
              <w:rPr>
                <w:rFonts w:cs="Arial"/>
                <w:color w:val="000000"/>
              </w:rPr>
              <w:t>19</w:t>
            </w:r>
            <w:r w:rsidR="006D6B4D" w:rsidRPr="00FC6EF2">
              <w:rPr>
                <w:rFonts w:cs="Arial"/>
                <w:color w:val="000000"/>
              </w:rPr>
              <w:t>,162</w:t>
            </w:r>
          </w:p>
        </w:tc>
        <w:tc>
          <w:tcPr>
            <w:tcW w:w="1530" w:type="dxa"/>
          </w:tcPr>
          <w:p w14:paraId="0B244E08" w14:textId="63617089" w:rsidR="006A71C9" w:rsidRPr="00FC6EF2" w:rsidRDefault="00F82CEA" w:rsidP="00401F86">
            <w:pPr>
              <w:jc w:val="right"/>
              <w:rPr>
                <w:rFonts w:cs="Arial"/>
                <w:color w:val="000000"/>
              </w:rPr>
            </w:pPr>
            <w:r w:rsidRPr="00FC6EF2">
              <w:rPr>
                <w:rFonts w:cs="Arial"/>
                <w:color w:val="000000"/>
              </w:rPr>
              <w:t>1.28%</w:t>
            </w:r>
          </w:p>
        </w:tc>
        <w:tc>
          <w:tcPr>
            <w:tcW w:w="1350" w:type="dxa"/>
            <w:noWrap/>
            <w:hideMark/>
          </w:tcPr>
          <w:p w14:paraId="0DA14400" w14:textId="12380BAB" w:rsidR="006A71C9" w:rsidRPr="00FC6EF2" w:rsidRDefault="006A71C9" w:rsidP="00401F86">
            <w:pPr>
              <w:jc w:val="right"/>
              <w:rPr>
                <w:rFonts w:cs="Arial"/>
                <w:color w:val="000000"/>
              </w:rPr>
            </w:pPr>
            <w:r w:rsidRPr="00FC6EF2">
              <w:rPr>
                <w:rFonts w:cs="Arial"/>
                <w:color w:val="000000"/>
              </w:rPr>
              <w:t>250,286</w:t>
            </w:r>
          </w:p>
        </w:tc>
        <w:tc>
          <w:tcPr>
            <w:tcW w:w="1350" w:type="dxa"/>
            <w:noWrap/>
            <w:hideMark/>
          </w:tcPr>
          <w:p w14:paraId="7EBA7050" w14:textId="77777777" w:rsidR="006A71C9" w:rsidRPr="00FC6EF2" w:rsidRDefault="006A71C9" w:rsidP="00401F86">
            <w:pPr>
              <w:jc w:val="right"/>
              <w:rPr>
                <w:rFonts w:cs="Arial"/>
                <w:color w:val="000000"/>
              </w:rPr>
            </w:pPr>
            <w:r w:rsidRPr="00FC6EF2">
              <w:rPr>
                <w:rFonts w:cs="Arial"/>
                <w:color w:val="000000"/>
              </w:rPr>
              <w:t>2,485</w:t>
            </w:r>
          </w:p>
        </w:tc>
        <w:tc>
          <w:tcPr>
            <w:tcW w:w="1530" w:type="dxa"/>
            <w:noWrap/>
            <w:hideMark/>
          </w:tcPr>
          <w:p w14:paraId="5173B5BB" w14:textId="77777777" w:rsidR="006A71C9" w:rsidRPr="00FC6EF2" w:rsidRDefault="006A71C9" w:rsidP="00401F86">
            <w:pPr>
              <w:jc w:val="right"/>
              <w:rPr>
                <w:rFonts w:cs="Arial"/>
                <w:color w:val="000000"/>
              </w:rPr>
            </w:pPr>
            <w:r w:rsidRPr="00FC6EF2">
              <w:rPr>
                <w:rFonts w:cs="Arial"/>
                <w:color w:val="000000"/>
              </w:rPr>
              <w:t>0.99%</w:t>
            </w:r>
          </w:p>
        </w:tc>
        <w:tc>
          <w:tcPr>
            <w:tcW w:w="1620" w:type="dxa"/>
            <w:noWrap/>
            <w:hideMark/>
          </w:tcPr>
          <w:p w14:paraId="5F0FACC2" w14:textId="77777777" w:rsidR="006A71C9" w:rsidRPr="00FC6EF2" w:rsidRDefault="006A71C9" w:rsidP="00401F86">
            <w:pPr>
              <w:jc w:val="right"/>
              <w:rPr>
                <w:rFonts w:cs="Arial"/>
                <w:color w:val="000000"/>
              </w:rPr>
            </w:pPr>
            <w:r w:rsidRPr="00FC6EF2">
              <w:rPr>
                <w:rFonts w:cs="Arial"/>
                <w:color w:val="000000"/>
              </w:rPr>
              <w:t>1,444,258</w:t>
            </w:r>
          </w:p>
        </w:tc>
        <w:tc>
          <w:tcPr>
            <w:tcW w:w="1530" w:type="dxa"/>
            <w:noWrap/>
            <w:hideMark/>
          </w:tcPr>
          <w:p w14:paraId="776388E8" w14:textId="77777777" w:rsidR="006A71C9" w:rsidRPr="00FC6EF2" w:rsidRDefault="006A71C9" w:rsidP="00401F86">
            <w:pPr>
              <w:jc w:val="right"/>
              <w:rPr>
                <w:rFonts w:cs="Arial"/>
                <w:color w:val="000000"/>
              </w:rPr>
            </w:pPr>
            <w:r w:rsidRPr="00FC6EF2">
              <w:rPr>
                <w:rFonts w:cs="Arial"/>
                <w:color w:val="000000"/>
              </w:rPr>
              <w:t>15,307</w:t>
            </w:r>
          </w:p>
        </w:tc>
        <w:tc>
          <w:tcPr>
            <w:tcW w:w="1530" w:type="dxa"/>
            <w:noWrap/>
            <w:hideMark/>
          </w:tcPr>
          <w:p w14:paraId="408824D7" w14:textId="77777777" w:rsidR="006A71C9" w:rsidRPr="00FC6EF2" w:rsidRDefault="006A71C9" w:rsidP="00401F86">
            <w:pPr>
              <w:jc w:val="right"/>
              <w:rPr>
                <w:rFonts w:cs="Arial"/>
                <w:color w:val="000000"/>
              </w:rPr>
            </w:pPr>
            <w:r w:rsidRPr="00FC6EF2">
              <w:rPr>
                <w:rFonts w:cs="Arial"/>
                <w:color w:val="000000"/>
              </w:rPr>
              <w:t>1.06%</w:t>
            </w:r>
          </w:p>
        </w:tc>
      </w:tr>
      <w:tr w:rsidR="00422F34" w:rsidRPr="00FC6EF2" w14:paraId="3F9592D3" w14:textId="77777777" w:rsidTr="00E256DF">
        <w:trPr>
          <w:trHeight w:val="320"/>
        </w:trPr>
        <w:tc>
          <w:tcPr>
            <w:tcW w:w="1980" w:type="dxa"/>
            <w:noWrap/>
            <w:hideMark/>
          </w:tcPr>
          <w:p w14:paraId="360FB542" w14:textId="77777777" w:rsidR="006A71C9" w:rsidRPr="00FC6EF2" w:rsidRDefault="006A71C9" w:rsidP="00401F86">
            <w:pPr>
              <w:rPr>
                <w:rFonts w:cs="Arial"/>
                <w:color w:val="000000"/>
              </w:rPr>
            </w:pPr>
            <w:r w:rsidRPr="00FC6EF2">
              <w:rPr>
                <w:rFonts w:cs="Arial"/>
                <w:color w:val="000000"/>
              </w:rPr>
              <w:t>Females</w:t>
            </w:r>
          </w:p>
        </w:tc>
        <w:tc>
          <w:tcPr>
            <w:tcW w:w="1440" w:type="dxa"/>
          </w:tcPr>
          <w:p w14:paraId="7F2874BE" w14:textId="1C78F681" w:rsidR="006A71C9" w:rsidRPr="00FC6EF2" w:rsidRDefault="00F82CEA" w:rsidP="00401F86">
            <w:pPr>
              <w:jc w:val="right"/>
              <w:rPr>
                <w:rFonts w:cs="Arial"/>
                <w:color w:val="000000"/>
              </w:rPr>
            </w:pPr>
            <w:r w:rsidRPr="00FC6EF2">
              <w:rPr>
                <w:rFonts w:cs="Arial"/>
                <w:color w:val="000000"/>
              </w:rPr>
              <w:t>729,529</w:t>
            </w:r>
          </w:p>
        </w:tc>
        <w:tc>
          <w:tcPr>
            <w:tcW w:w="1440" w:type="dxa"/>
          </w:tcPr>
          <w:p w14:paraId="518D5E25" w14:textId="67D3E960" w:rsidR="006A71C9" w:rsidRPr="00FC6EF2" w:rsidRDefault="00110616" w:rsidP="00401F86">
            <w:pPr>
              <w:jc w:val="right"/>
              <w:rPr>
                <w:rFonts w:cs="Arial"/>
                <w:color w:val="000000"/>
              </w:rPr>
            </w:pPr>
            <w:r w:rsidRPr="00FC6EF2">
              <w:rPr>
                <w:rFonts w:cs="Arial"/>
                <w:color w:val="000000"/>
              </w:rPr>
              <w:t>6,397</w:t>
            </w:r>
          </w:p>
        </w:tc>
        <w:tc>
          <w:tcPr>
            <w:tcW w:w="1530" w:type="dxa"/>
          </w:tcPr>
          <w:p w14:paraId="3983FB1A" w14:textId="45DADDFD" w:rsidR="006A71C9" w:rsidRPr="00FC6EF2" w:rsidRDefault="00F82CEA" w:rsidP="00401F86">
            <w:pPr>
              <w:jc w:val="right"/>
              <w:rPr>
                <w:rFonts w:cs="Arial"/>
                <w:color w:val="000000"/>
              </w:rPr>
            </w:pPr>
            <w:r w:rsidRPr="00FC6EF2">
              <w:rPr>
                <w:rFonts w:cs="Arial"/>
                <w:color w:val="000000"/>
              </w:rPr>
              <w:t>0.88%</w:t>
            </w:r>
          </w:p>
        </w:tc>
        <w:tc>
          <w:tcPr>
            <w:tcW w:w="1350" w:type="dxa"/>
            <w:noWrap/>
            <w:hideMark/>
          </w:tcPr>
          <w:p w14:paraId="13A96F3C" w14:textId="65564438" w:rsidR="006A71C9" w:rsidRPr="00FC6EF2" w:rsidRDefault="006A71C9" w:rsidP="00401F86">
            <w:pPr>
              <w:jc w:val="right"/>
              <w:rPr>
                <w:rFonts w:cs="Arial"/>
                <w:color w:val="000000"/>
              </w:rPr>
            </w:pPr>
            <w:r w:rsidRPr="00FC6EF2">
              <w:rPr>
                <w:rFonts w:cs="Arial"/>
                <w:color w:val="000000"/>
              </w:rPr>
              <w:t>123,820</w:t>
            </w:r>
          </w:p>
        </w:tc>
        <w:tc>
          <w:tcPr>
            <w:tcW w:w="1350" w:type="dxa"/>
            <w:noWrap/>
            <w:hideMark/>
          </w:tcPr>
          <w:p w14:paraId="661D047F" w14:textId="77777777" w:rsidR="006A71C9" w:rsidRPr="00FC6EF2" w:rsidRDefault="006A71C9" w:rsidP="00401F86">
            <w:pPr>
              <w:jc w:val="right"/>
              <w:rPr>
                <w:rFonts w:cs="Arial"/>
                <w:color w:val="000000"/>
              </w:rPr>
            </w:pPr>
            <w:r w:rsidRPr="00FC6EF2">
              <w:rPr>
                <w:rFonts w:cs="Arial"/>
                <w:color w:val="000000"/>
              </w:rPr>
              <w:t>778</w:t>
            </w:r>
          </w:p>
        </w:tc>
        <w:tc>
          <w:tcPr>
            <w:tcW w:w="1530" w:type="dxa"/>
            <w:noWrap/>
            <w:hideMark/>
          </w:tcPr>
          <w:p w14:paraId="024262B8" w14:textId="77777777" w:rsidR="006A71C9" w:rsidRPr="00FC6EF2" w:rsidRDefault="006A71C9" w:rsidP="00401F86">
            <w:pPr>
              <w:jc w:val="right"/>
              <w:rPr>
                <w:rFonts w:cs="Arial"/>
                <w:color w:val="000000"/>
              </w:rPr>
            </w:pPr>
            <w:r w:rsidRPr="00FC6EF2">
              <w:rPr>
                <w:rFonts w:cs="Arial"/>
                <w:color w:val="000000"/>
              </w:rPr>
              <w:t>0.63%</w:t>
            </w:r>
          </w:p>
        </w:tc>
        <w:tc>
          <w:tcPr>
            <w:tcW w:w="1620" w:type="dxa"/>
            <w:noWrap/>
            <w:hideMark/>
          </w:tcPr>
          <w:p w14:paraId="47D1D382" w14:textId="77777777" w:rsidR="006A71C9" w:rsidRPr="00FC6EF2" w:rsidRDefault="006A71C9" w:rsidP="00401F86">
            <w:pPr>
              <w:jc w:val="right"/>
              <w:rPr>
                <w:rFonts w:cs="Arial"/>
                <w:color w:val="000000"/>
              </w:rPr>
            </w:pPr>
            <w:r w:rsidRPr="00FC6EF2">
              <w:rPr>
                <w:rFonts w:cs="Arial"/>
                <w:color w:val="000000"/>
              </w:rPr>
              <w:t>701,718</w:t>
            </w:r>
          </w:p>
        </w:tc>
        <w:tc>
          <w:tcPr>
            <w:tcW w:w="1530" w:type="dxa"/>
            <w:noWrap/>
            <w:hideMark/>
          </w:tcPr>
          <w:p w14:paraId="57ABF194" w14:textId="77777777" w:rsidR="006A71C9" w:rsidRPr="00FC6EF2" w:rsidRDefault="006A71C9" w:rsidP="00401F86">
            <w:pPr>
              <w:jc w:val="right"/>
              <w:rPr>
                <w:rFonts w:cs="Arial"/>
                <w:color w:val="000000"/>
              </w:rPr>
            </w:pPr>
            <w:r w:rsidRPr="00FC6EF2">
              <w:rPr>
                <w:rFonts w:cs="Arial"/>
                <w:color w:val="000000"/>
              </w:rPr>
              <w:t>4,994</w:t>
            </w:r>
          </w:p>
        </w:tc>
        <w:tc>
          <w:tcPr>
            <w:tcW w:w="1530" w:type="dxa"/>
            <w:noWrap/>
            <w:hideMark/>
          </w:tcPr>
          <w:p w14:paraId="7A5F92F4" w14:textId="77777777" w:rsidR="006A71C9" w:rsidRPr="00FC6EF2" w:rsidRDefault="006A71C9" w:rsidP="00401F86">
            <w:pPr>
              <w:jc w:val="right"/>
              <w:rPr>
                <w:rFonts w:cs="Arial"/>
                <w:color w:val="000000"/>
              </w:rPr>
            </w:pPr>
            <w:r w:rsidRPr="00FC6EF2">
              <w:rPr>
                <w:rFonts w:cs="Arial"/>
                <w:color w:val="000000"/>
              </w:rPr>
              <w:t>0.71%</w:t>
            </w:r>
          </w:p>
        </w:tc>
      </w:tr>
      <w:tr w:rsidR="00422F34" w:rsidRPr="00FC6EF2" w14:paraId="6254A3A9" w14:textId="77777777" w:rsidTr="00E256DF">
        <w:trPr>
          <w:trHeight w:val="320"/>
        </w:trPr>
        <w:tc>
          <w:tcPr>
            <w:tcW w:w="1980" w:type="dxa"/>
            <w:noWrap/>
            <w:hideMark/>
          </w:tcPr>
          <w:p w14:paraId="682E8FFA" w14:textId="77777777" w:rsidR="006A71C9" w:rsidRPr="00FC6EF2" w:rsidRDefault="006A71C9" w:rsidP="00401F86">
            <w:pPr>
              <w:rPr>
                <w:rFonts w:cs="Arial"/>
                <w:color w:val="000000"/>
              </w:rPr>
            </w:pPr>
            <w:r w:rsidRPr="00FC6EF2">
              <w:rPr>
                <w:rFonts w:cs="Arial"/>
                <w:color w:val="000000"/>
              </w:rPr>
              <w:t>Males</w:t>
            </w:r>
          </w:p>
        </w:tc>
        <w:tc>
          <w:tcPr>
            <w:tcW w:w="1440" w:type="dxa"/>
          </w:tcPr>
          <w:p w14:paraId="5F4C3188" w14:textId="716119FC" w:rsidR="006A71C9" w:rsidRPr="00FC6EF2" w:rsidRDefault="00F82CEA" w:rsidP="00401F86">
            <w:pPr>
              <w:jc w:val="right"/>
              <w:rPr>
                <w:rFonts w:cs="Arial"/>
                <w:color w:val="000000"/>
              </w:rPr>
            </w:pPr>
            <w:r w:rsidRPr="00FC6EF2">
              <w:rPr>
                <w:rFonts w:cs="Arial"/>
                <w:color w:val="000000"/>
              </w:rPr>
              <w:t>764,627</w:t>
            </w:r>
          </w:p>
        </w:tc>
        <w:tc>
          <w:tcPr>
            <w:tcW w:w="1440" w:type="dxa"/>
          </w:tcPr>
          <w:p w14:paraId="1A99484E" w14:textId="6BDAC2B7" w:rsidR="006A71C9" w:rsidRPr="00FC6EF2" w:rsidRDefault="0045666A" w:rsidP="00401F86">
            <w:pPr>
              <w:jc w:val="right"/>
              <w:rPr>
                <w:rFonts w:cs="Arial"/>
                <w:color w:val="000000"/>
              </w:rPr>
            </w:pPr>
            <w:r w:rsidRPr="00FC6EF2">
              <w:rPr>
                <w:rFonts w:cs="Arial"/>
                <w:color w:val="000000"/>
              </w:rPr>
              <w:t>12,765</w:t>
            </w:r>
          </w:p>
        </w:tc>
        <w:tc>
          <w:tcPr>
            <w:tcW w:w="1530" w:type="dxa"/>
          </w:tcPr>
          <w:p w14:paraId="05A20CFC" w14:textId="09BFBB47" w:rsidR="006A71C9" w:rsidRPr="00FC6EF2" w:rsidRDefault="00F82CEA" w:rsidP="00401F86">
            <w:pPr>
              <w:jc w:val="right"/>
              <w:rPr>
                <w:rFonts w:cs="Arial"/>
                <w:color w:val="000000"/>
              </w:rPr>
            </w:pPr>
            <w:r w:rsidRPr="00FC6EF2">
              <w:rPr>
                <w:rFonts w:cs="Arial"/>
                <w:color w:val="000000"/>
              </w:rPr>
              <w:t>1.67%</w:t>
            </w:r>
          </w:p>
        </w:tc>
        <w:tc>
          <w:tcPr>
            <w:tcW w:w="1350" w:type="dxa"/>
            <w:noWrap/>
            <w:hideMark/>
          </w:tcPr>
          <w:p w14:paraId="5D56562A" w14:textId="642BF6A5" w:rsidR="006A71C9" w:rsidRPr="00FC6EF2" w:rsidRDefault="006A71C9" w:rsidP="00401F86">
            <w:pPr>
              <w:jc w:val="right"/>
              <w:rPr>
                <w:rFonts w:cs="Arial"/>
                <w:color w:val="000000"/>
              </w:rPr>
            </w:pPr>
            <w:r w:rsidRPr="00FC6EF2">
              <w:rPr>
                <w:rFonts w:cs="Arial"/>
                <w:color w:val="000000"/>
              </w:rPr>
              <w:t>126,398</w:t>
            </w:r>
          </w:p>
        </w:tc>
        <w:tc>
          <w:tcPr>
            <w:tcW w:w="1350" w:type="dxa"/>
            <w:noWrap/>
            <w:hideMark/>
          </w:tcPr>
          <w:p w14:paraId="54347C1F" w14:textId="77777777" w:rsidR="006A71C9" w:rsidRPr="00FC6EF2" w:rsidRDefault="006A71C9" w:rsidP="00401F86">
            <w:pPr>
              <w:jc w:val="right"/>
              <w:rPr>
                <w:rFonts w:cs="Arial"/>
                <w:color w:val="000000"/>
              </w:rPr>
            </w:pPr>
            <w:r w:rsidRPr="00FC6EF2">
              <w:rPr>
                <w:rFonts w:cs="Arial"/>
                <w:color w:val="000000"/>
              </w:rPr>
              <w:t>1,707</w:t>
            </w:r>
          </w:p>
        </w:tc>
        <w:tc>
          <w:tcPr>
            <w:tcW w:w="1530" w:type="dxa"/>
            <w:noWrap/>
            <w:hideMark/>
          </w:tcPr>
          <w:p w14:paraId="7C8A9C8E" w14:textId="77777777" w:rsidR="006A71C9" w:rsidRPr="00FC6EF2" w:rsidRDefault="006A71C9" w:rsidP="00401F86">
            <w:pPr>
              <w:jc w:val="right"/>
              <w:rPr>
                <w:rFonts w:cs="Arial"/>
                <w:color w:val="000000"/>
              </w:rPr>
            </w:pPr>
            <w:r w:rsidRPr="00FC6EF2">
              <w:rPr>
                <w:rFonts w:cs="Arial"/>
                <w:color w:val="000000"/>
              </w:rPr>
              <w:t>1.35%</w:t>
            </w:r>
          </w:p>
        </w:tc>
        <w:tc>
          <w:tcPr>
            <w:tcW w:w="1620" w:type="dxa"/>
            <w:noWrap/>
            <w:hideMark/>
          </w:tcPr>
          <w:p w14:paraId="6CA4F7FB" w14:textId="77777777" w:rsidR="006A71C9" w:rsidRPr="00FC6EF2" w:rsidRDefault="006A71C9" w:rsidP="00401F86">
            <w:pPr>
              <w:jc w:val="right"/>
              <w:rPr>
                <w:rFonts w:cs="Arial"/>
                <w:color w:val="000000"/>
              </w:rPr>
            </w:pPr>
            <w:r w:rsidRPr="00FC6EF2">
              <w:rPr>
                <w:rFonts w:cs="Arial"/>
                <w:color w:val="000000"/>
              </w:rPr>
              <w:t>741,613</w:t>
            </w:r>
          </w:p>
        </w:tc>
        <w:tc>
          <w:tcPr>
            <w:tcW w:w="1530" w:type="dxa"/>
            <w:noWrap/>
            <w:hideMark/>
          </w:tcPr>
          <w:p w14:paraId="0FCA56E4" w14:textId="77777777" w:rsidR="006A71C9" w:rsidRPr="00FC6EF2" w:rsidRDefault="006A71C9" w:rsidP="00401F86">
            <w:pPr>
              <w:jc w:val="right"/>
              <w:rPr>
                <w:rFonts w:cs="Arial"/>
                <w:color w:val="000000"/>
              </w:rPr>
            </w:pPr>
            <w:r w:rsidRPr="00FC6EF2">
              <w:rPr>
                <w:rFonts w:cs="Arial"/>
                <w:color w:val="000000"/>
              </w:rPr>
              <w:t>10,312</w:t>
            </w:r>
          </w:p>
        </w:tc>
        <w:tc>
          <w:tcPr>
            <w:tcW w:w="1530" w:type="dxa"/>
            <w:noWrap/>
            <w:hideMark/>
          </w:tcPr>
          <w:p w14:paraId="6074224C" w14:textId="77777777" w:rsidR="006A71C9" w:rsidRPr="00FC6EF2" w:rsidRDefault="006A71C9" w:rsidP="00401F86">
            <w:pPr>
              <w:jc w:val="right"/>
              <w:rPr>
                <w:rFonts w:cs="Arial"/>
                <w:color w:val="000000"/>
              </w:rPr>
            </w:pPr>
            <w:r w:rsidRPr="00FC6EF2">
              <w:rPr>
                <w:rFonts w:cs="Arial"/>
                <w:color w:val="000000"/>
              </w:rPr>
              <w:t>1.39%</w:t>
            </w:r>
          </w:p>
        </w:tc>
      </w:tr>
      <w:tr w:rsidR="00422F34" w:rsidRPr="00FC6EF2" w14:paraId="42C9342A" w14:textId="77777777" w:rsidTr="00E256DF">
        <w:trPr>
          <w:trHeight w:val="320"/>
        </w:trPr>
        <w:tc>
          <w:tcPr>
            <w:tcW w:w="1980" w:type="dxa"/>
            <w:noWrap/>
            <w:hideMark/>
          </w:tcPr>
          <w:p w14:paraId="6417735E" w14:textId="77777777" w:rsidR="006A71C9" w:rsidRPr="00FC6EF2" w:rsidRDefault="006A71C9" w:rsidP="00401F86">
            <w:pPr>
              <w:rPr>
                <w:rFonts w:cs="Arial"/>
                <w:color w:val="000000"/>
              </w:rPr>
            </w:pPr>
            <w:r w:rsidRPr="00FC6EF2">
              <w:rPr>
                <w:rFonts w:cs="Arial"/>
                <w:color w:val="000000"/>
              </w:rPr>
              <w:t>Black</w:t>
            </w:r>
          </w:p>
        </w:tc>
        <w:tc>
          <w:tcPr>
            <w:tcW w:w="1440" w:type="dxa"/>
          </w:tcPr>
          <w:p w14:paraId="5610D666" w14:textId="2A1C9748" w:rsidR="006A71C9" w:rsidRPr="00FC6EF2" w:rsidRDefault="00F82CEA" w:rsidP="00401F86">
            <w:pPr>
              <w:jc w:val="right"/>
              <w:rPr>
                <w:rFonts w:cs="Arial"/>
                <w:color w:val="000000"/>
              </w:rPr>
            </w:pPr>
            <w:r w:rsidRPr="00FC6EF2">
              <w:rPr>
                <w:rFonts w:cs="Arial"/>
                <w:color w:val="000000"/>
              </w:rPr>
              <w:t>79,476</w:t>
            </w:r>
          </w:p>
        </w:tc>
        <w:tc>
          <w:tcPr>
            <w:tcW w:w="1440" w:type="dxa"/>
          </w:tcPr>
          <w:p w14:paraId="26E1BB8D" w14:textId="0321EE9C" w:rsidR="006A71C9" w:rsidRPr="00FC6EF2" w:rsidRDefault="00830317" w:rsidP="00830317">
            <w:pPr>
              <w:jc w:val="right"/>
              <w:rPr>
                <w:rFonts w:cs="Arial"/>
                <w:color w:val="000000"/>
              </w:rPr>
            </w:pPr>
            <w:r w:rsidRPr="00FC6EF2">
              <w:rPr>
                <w:rFonts w:cs="Arial"/>
                <w:color w:val="000000" w:themeColor="text1"/>
              </w:rPr>
              <w:t>1,557</w:t>
            </w:r>
          </w:p>
        </w:tc>
        <w:tc>
          <w:tcPr>
            <w:tcW w:w="1530" w:type="dxa"/>
          </w:tcPr>
          <w:p w14:paraId="5E259587" w14:textId="7B0C8ADD" w:rsidR="006A71C9" w:rsidRPr="00FC6EF2" w:rsidRDefault="00F82CEA" w:rsidP="00401F86">
            <w:pPr>
              <w:jc w:val="right"/>
              <w:rPr>
                <w:rFonts w:cs="Arial"/>
                <w:color w:val="000000"/>
              </w:rPr>
            </w:pPr>
            <w:r w:rsidRPr="00FC6EF2">
              <w:rPr>
                <w:rFonts w:cs="Arial"/>
                <w:color w:val="000000"/>
              </w:rPr>
              <w:t>1.96%</w:t>
            </w:r>
          </w:p>
        </w:tc>
        <w:tc>
          <w:tcPr>
            <w:tcW w:w="1350" w:type="dxa"/>
            <w:noWrap/>
            <w:hideMark/>
          </w:tcPr>
          <w:p w14:paraId="72B1C958" w14:textId="7168D7A4" w:rsidR="006A71C9" w:rsidRPr="00FC6EF2" w:rsidRDefault="006A71C9" w:rsidP="00401F86">
            <w:pPr>
              <w:jc w:val="right"/>
              <w:rPr>
                <w:rFonts w:cs="Arial"/>
                <w:color w:val="000000"/>
              </w:rPr>
            </w:pPr>
            <w:r w:rsidRPr="00FC6EF2">
              <w:rPr>
                <w:rFonts w:cs="Arial"/>
                <w:color w:val="000000"/>
              </w:rPr>
              <w:t>9,120</w:t>
            </w:r>
          </w:p>
        </w:tc>
        <w:tc>
          <w:tcPr>
            <w:tcW w:w="1350" w:type="dxa"/>
            <w:noWrap/>
            <w:hideMark/>
          </w:tcPr>
          <w:p w14:paraId="298619E6" w14:textId="77777777" w:rsidR="006A71C9" w:rsidRPr="00FC6EF2" w:rsidRDefault="006A71C9" w:rsidP="00401F86">
            <w:pPr>
              <w:jc w:val="right"/>
              <w:rPr>
                <w:rFonts w:cs="Arial"/>
                <w:color w:val="000000"/>
              </w:rPr>
            </w:pPr>
            <w:r w:rsidRPr="00FC6EF2">
              <w:rPr>
                <w:rFonts w:cs="Arial"/>
                <w:color w:val="000000"/>
              </w:rPr>
              <w:t>128</w:t>
            </w:r>
          </w:p>
        </w:tc>
        <w:tc>
          <w:tcPr>
            <w:tcW w:w="1530" w:type="dxa"/>
            <w:noWrap/>
            <w:hideMark/>
          </w:tcPr>
          <w:p w14:paraId="189C59CF" w14:textId="77777777" w:rsidR="006A71C9" w:rsidRPr="00FC6EF2" w:rsidRDefault="006A71C9" w:rsidP="00401F86">
            <w:pPr>
              <w:jc w:val="right"/>
              <w:rPr>
                <w:rFonts w:cs="Arial"/>
                <w:color w:val="000000"/>
              </w:rPr>
            </w:pPr>
            <w:r w:rsidRPr="00FC6EF2">
              <w:rPr>
                <w:rFonts w:cs="Arial"/>
                <w:color w:val="000000"/>
              </w:rPr>
              <w:t>1.40%</w:t>
            </w:r>
          </w:p>
        </w:tc>
        <w:tc>
          <w:tcPr>
            <w:tcW w:w="1620" w:type="dxa"/>
            <w:noWrap/>
            <w:hideMark/>
          </w:tcPr>
          <w:p w14:paraId="412E1817" w14:textId="77777777" w:rsidR="006A71C9" w:rsidRPr="00FC6EF2" w:rsidRDefault="006A71C9" w:rsidP="00401F86">
            <w:pPr>
              <w:jc w:val="right"/>
              <w:rPr>
                <w:rFonts w:cs="Arial"/>
                <w:color w:val="000000"/>
              </w:rPr>
            </w:pPr>
            <w:r w:rsidRPr="00FC6EF2">
              <w:rPr>
                <w:rFonts w:cs="Arial"/>
                <w:color w:val="000000"/>
              </w:rPr>
              <w:t>74,910</w:t>
            </w:r>
          </w:p>
        </w:tc>
        <w:tc>
          <w:tcPr>
            <w:tcW w:w="1530" w:type="dxa"/>
            <w:noWrap/>
            <w:hideMark/>
          </w:tcPr>
          <w:p w14:paraId="205F058C" w14:textId="77777777" w:rsidR="006A71C9" w:rsidRPr="00FC6EF2" w:rsidRDefault="006A71C9" w:rsidP="00401F86">
            <w:pPr>
              <w:jc w:val="right"/>
              <w:rPr>
                <w:rFonts w:cs="Arial"/>
                <w:color w:val="000000"/>
              </w:rPr>
            </w:pPr>
            <w:r w:rsidRPr="00FC6EF2">
              <w:rPr>
                <w:rFonts w:cs="Arial"/>
                <w:color w:val="000000"/>
              </w:rPr>
              <w:t>1,164</w:t>
            </w:r>
          </w:p>
        </w:tc>
        <w:tc>
          <w:tcPr>
            <w:tcW w:w="1530" w:type="dxa"/>
            <w:noWrap/>
            <w:hideMark/>
          </w:tcPr>
          <w:p w14:paraId="78648181" w14:textId="77777777" w:rsidR="006A71C9" w:rsidRPr="00FC6EF2" w:rsidRDefault="006A71C9" w:rsidP="00401F86">
            <w:pPr>
              <w:jc w:val="right"/>
              <w:rPr>
                <w:rFonts w:cs="Arial"/>
                <w:color w:val="000000"/>
              </w:rPr>
            </w:pPr>
            <w:r w:rsidRPr="00FC6EF2">
              <w:rPr>
                <w:rFonts w:cs="Arial"/>
                <w:color w:val="000000"/>
              </w:rPr>
              <w:t>1.55%</w:t>
            </w:r>
          </w:p>
        </w:tc>
      </w:tr>
      <w:tr w:rsidR="00422F34" w:rsidRPr="00FC6EF2" w14:paraId="1CF36875" w14:textId="77777777" w:rsidTr="00E256DF">
        <w:trPr>
          <w:trHeight w:val="320"/>
        </w:trPr>
        <w:tc>
          <w:tcPr>
            <w:tcW w:w="1980" w:type="dxa"/>
            <w:noWrap/>
            <w:hideMark/>
          </w:tcPr>
          <w:p w14:paraId="3BE3044D" w14:textId="77777777" w:rsidR="006A71C9" w:rsidRPr="00FC6EF2" w:rsidRDefault="006A71C9" w:rsidP="00401F86">
            <w:pPr>
              <w:rPr>
                <w:rFonts w:cs="Arial"/>
                <w:color w:val="000000"/>
              </w:rPr>
            </w:pPr>
            <w:r w:rsidRPr="00FC6EF2">
              <w:rPr>
                <w:rFonts w:cs="Arial"/>
                <w:color w:val="000000"/>
              </w:rPr>
              <w:t>Hispanic</w:t>
            </w:r>
          </w:p>
        </w:tc>
        <w:tc>
          <w:tcPr>
            <w:tcW w:w="1440" w:type="dxa"/>
          </w:tcPr>
          <w:p w14:paraId="6842C4CF" w14:textId="592C3492" w:rsidR="006A71C9" w:rsidRPr="00FC6EF2" w:rsidRDefault="00F82CEA" w:rsidP="00401F86">
            <w:pPr>
              <w:jc w:val="right"/>
              <w:rPr>
                <w:rFonts w:cs="Arial"/>
                <w:color w:val="000000"/>
              </w:rPr>
            </w:pPr>
            <w:r w:rsidRPr="00FC6EF2">
              <w:rPr>
                <w:rFonts w:cs="Arial"/>
                <w:color w:val="000000"/>
              </w:rPr>
              <w:t>811,961</w:t>
            </w:r>
          </w:p>
        </w:tc>
        <w:tc>
          <w:tcPr>
            <w:tcW w:w="1440" w:type="dxa"/>
          </w:tcPr>
          <w:p w14:paraId="1C32688D" w14:textId="5BD3065D" w:rsidR="006A71C9" w:rsidRPr="00FC6EF2" w:rsidRDefault="005E7F61" w:rsidP="00401F86">
            <w:pPr>
              <w:jc w:val="right"/>
              <w:rPr>
                <w:rFonts w:cs="Arial"/>
                <w:color w:val="000000"/>
              </w:rPr>
            </w:pPr>
            <w:r w:rsidRPr="00FC6EF2">
              <w:rPr>
                <w:rFonts w:cs="Arial"/>
                <w:color w:val="000000"/>
              </w:rPr>
              <w:t>10,543</w:t>
            </w:r>
          </w:p>
        </w:tc>
        <w:tc>
          <w:tcPr>
            <w:tcW w:w="1530" w:type="dxa"/>
          </w:tcPr>
          <w:p w14:paraId="70479508" w14:textId="728BE546" w:rsidR="006A71C9" w:rsidRPr="00FC6EF2" w:rsidRDefault="00F82CEA" w:rsidP="00401F86">
            <w:pPr>
              <w:jc w:val="right"/>
              <w:rPr>
                <w:rFonts w:cs="Arial"/>
                <w:color w:val="000000"/>
              </w:rPr>
            </w:pPr>
            <w:r w:rsidRPr="00FC6EF2">
              <w:rPr>
                <w:rFonts w:cs="Arial"/>
                <w:color w:val="000000"/>
              </w:rPr>
              <w:t>1.30%</w:t>
            </w:r>
          </w:p>
        </w:tc>
        <w:tc>
          <w:tcPr>
            <w:tcW w:w="1350" w:type="dxa"/>
            <w:noWrap/>
            <w:hideMark/>
          </w:tcPr>
          <w:p w14:paraId="0F28DE09" w14:textId="116524F5" w:rsidR="006A71C9" w:rsidRPr="00FC6EF2" w:rsidRDefault="006A71C9" w:rsidP="00401F86">
            <w:pPr>
              <w:jc w:val="right"/>
              <w:rPr>
                <w:rFonts w:cs="Arial"/>
                <w:color w:val="000000"/>
              </w:rPr>
            </w:pPr>
            <w:r w:rsidRPr="00FC6EF2">
              <w:rPr>
                <w:rFonts w:cs="Arial"/>
                <w:color w:val="000000"/>
              </w:rPr>
              <w:t>130,349</w:t>
            </w:r>
          </w:p>
        </w:tc>
        <w:tc>
          <w:tcPr>
            <w:tcW w:w="1350" w:type="dxa"/>
            <w:noWrap/>
            <w:hideMark/>
          </w:tcPr>
          <w:p w14:paraId="2DDAAD80" w14:textId="77777777" w:rsidR="006A71C9" w:rsidRPr="00FC6EF2" w:rsidRDefault="006A71C9" w:rsidP="00401F86">
            <w:pPr>
              <w:jc w:val="right"/>
              <w:rPr>
                <w:rFonts w:cs="Arial"/>
                <w:color w:val="000000"/>
              </w:rPr>
            </w:pPr>
            <w:r w:rsidRPr="00FC6EF2">
              <w:rPr>
                <w:rFonts w:cs="Arial"/>
                <w:color w:val="000000"/>
              </w:rPr>
              <w:t>1,357</w:t>
            </w:r>
          </w:p>
        </w:tc>
        <w:tc>
          <w:tcPr>
            <w:tcW w:w="1530" w:type="dxa"/>
            <w:noWrap/>
            <w:hideMark/>
          </w:tcPr>
          <w:p w14:paraId="393EE41D" w14:textId="77777777" w:rsidR="006A71C9" w:rsidRPr="00FC6EF2" w:rsidRDefault="006A71C9" w:rsidP="00401F86">
            <w:pPr>
              <w:jc w:val="right"/>
              <w:rPr>
                <w:rFonts w:cs="Arial"/>
                <w:color w:val="000000"/>
              </w:rPr>
            </w:pPr>
            <w:r w:rsidRPr="00FC6EF2">
              <w:rPr>
                <w:rFonts w:cs="Arial"/>
                <w:color w:val="000000"/>
              </w:rPr>
              <w:t>1.04%</w:t>
            </w:r>
          </w:p>
        </w:tc>
        <w:tc>
          <w:tcPr>
            <w:tcW w:w="1620" w:type="dxa"/>
            <w:noWrap/>
            <w:hideMark/>
          </w:tcPr>
          <w:p w14:paraId="3CC1F37E" w14:textId="77777777" w:rsidR="006A71C9" w:rsidRPr="00FC6EF2" w:rsidRDefault="006A71C9" w:rsidP="00401F86">
            <w:pPr>
              <w:jc w:val="right"/>
              <w:rPr>
                <w:rFonts w:cs="Arial"/>
                <w:color w:val="000000"/>
              </w:rPr>
            </w:pPr>
            <w:r w:rsidRPr="00FC6EF2">
              <w:rPr>
                <w:rFonts w:cs="Arial"/>
                <w:color w:val="000000"/>
              </w:rPr>
              <w:t>801,673</w:t>
            </w:r>
          </w:p>
        </w:tc>
        <w:tc>
          <w:tcPr>
            <w:tcW w:w="1530" w:type="dxa"/>
            <w:noWrap/>
            <w:hideMark/>
          </w:tcPr>
          <w:p w14:paraId="77A70322" w14:textId="77777777" w:rsidR="006A71C9" w:rsidRPr="00FC6EF2" w:rsidRDefault="006A71C9" w:rsidP="00401F86">
            <w:pPr>
              <w:jc w:val="right"/>
              <w:rPr>
                <w:rFonts w:cs="Arial"/>
                <w:color w:val="000000"/>
              </w:rPr>
            </w:pPr>
            <w:r w:rsidRPr="00FC6EF2">
              <w:rPr>
                <w:rFonts w:cs="Arial"/>
                <w:color w:val="000000"/>
              </w:rPr>
              <w:t>8,761</w:t>
            </w:r>
          </w:p>
        </w:tc>
        <w:tc>
          <w:tcPr>
            <w:tcW w:w="1530" w:type="dxa"/>
            <w:noWrap/>
            <w:hideMark/>
          </w:tcPr>
          <w:p w14:paraId="5D3031CD" w14:textId="77777777" w:rsidR="006A71C9" w:rsidRPr="00FC6EF2" w:rsidRDefault="006A71C9" w:rsidP="00401F86">
            <w:pPr>
              <w:jc w:val="right"/>
              <w:rPr>
                <w:rFonts w:cs="Arial"/>
                <w:color w:val="000000"/>
              </w:rPr>
            </w:pPr>
            <w:r w:rsidRPr="00FC6EF2">
              <w:rPr>
                <w:rFonts w:cs="Arial"/>
                <w:color w:val="000000"/>
              </w:rPr>
              <w:t>1.09%</w:t>
            </w:r>
          </w:p>
        </w:tc>
      </w:tr>
      <w:tr w:rsidR="00422F34" w:rsidRPr="00FC6EF2" w14:paraId="77DF47AD" w14:textId="77777777" w:rsidTr="00E256DF">
        <w:trPr>
          <w:trHeight w:val="320"/>
        </w:trPr>
        <w:tc>
          <w:tcPr>
            <w:tcW w:w="1980" w:type="dxa"/>
            <w:noWrap/>
            <w:hideMark/>
          </w:tcPr>
          <w:p w14:paraId="40FB01F5" w14:textId="77777777" w:rsidR="006A71C9" w:rsidRPr="00FC6EF2" w:rsidRDefault="006A71C9" w:rsidP="00401F86">
            <w:pPr>
              <w:rPr>
                <w:rFonts w:cs="Arial"/>
                <w:color w:val="000000"/>
              </w:rPr>
            </w:pPr>
            <w:r w:rsidRPr="00FC6EF2">
              <w:rPr>
                <w:rFonts w:cs="Arial"/>
                <w:color w:val="000000"/>
              </w:rPr>
              <w:t>Asian</w:t>
            </w:r>
          </w:p>
        </w:tc>
        <w:tc>
          <w:tcPr>
            <w:tcW w:w="1440" w:type="dxa"/>
          </w:tcPr>
          <w:p w14:paraId="41D91F7F" w14:textId="4E606CE6" w:rsidR="006A71C9" w:rsidRPr="00FC6EF2" w:rsidRDefault="00F82CEA" w:rsidP="00401F86">
            <w:pPr>
              <w:jc w:val="right"/>
              <w:rPr>
                <w:rFonts w:cs="Arial"/>
                <w:color w:val="000000"/>
              </w:rPr>
            </w:pPr>
            <w:r w:rsidRPr="00FC6EF2">
              <w:rPr>
                <w:rFonts w:cs="Arial"/>
                <w:color w:val="000000"/>
              </w:rPr>
              <w:t>142,521</w:t>
            </w:r>
          </w:p>
        </w:tc>
        <w:tc>
          <w:tcPr>
            <w:tcW w:w="1440" w:type="dxa"/>
          </w:tcPr>
          <w:p w14:paraId="242AF018" w14:textId="36512345" w:rsidR="006A71C9" w:rsidRPr="00FC6EF2" w:rsidRDefault="005E7F61" w:rsidP="00401F86">
            <w:pPr>
              <w:jc w:val="right"/>
              <w:rPr>
                <w:rFonts w:cs="Arial"/>
                <w:color w:val="000000"/>
              </w:rPr>
            </w:pPr>
            <w:r w:rsidRPr="00FC6EF2">
              <w:rPr>
                <w:rFonts w:cs="Arial"/>
                <w:color w:val="000000"/>
              </w:rPr>
              <w:t>1</w:t>
            </w:r>
            <w:r w:rsidR="007E55FF" w:rsidRPr="00FC6EF2">
              <w:rPr>
                <w:rFonts w:cs="Arial"/>
                <w:color w:val="000000"/>
              </w:rPr>
              <w:t>,564</w:t>
            </w:r>
          </w:p>
        </w:tc>
        <w:tc>
          <w:tcPr>
            <w:tcW w:w="1530" w:type="dxa"/>
          </w:tcPr>
          <w:p w14:paraId="5CD9B213" w14:textId="1377FCF1" w:rsidR="006A71C9" w:rsidRPr="00FC6EF2" w:rsidRDefault="00F82CEA" w:rsidP="00401F86">
            <w:pPr>
              <w:jc w:val="right"/>
              <w:rPr>
                <w:rFonts w:cs="Arial"/>
                <w:color w:val="000000"/>
              </w:rPr>
            </w:pPr>
            <w:r w:rsidRPr="00FC6EF2">
              <w:rPr>
                <w:rFonts w:cs="Arial"/>
                <w:color w:val="000000"/>
              </w:rPr>
              <w:t>1.10%</w:t>
            </w:r>
          </w:p>
        </w:tc>
        <w:tc>
          <w:tcPr>
            <w:tcW w:w="1350" w:type="dxa"/>
            <w:noWrap/>
            <w:hideMark/>
          </w:tcPr>
          <w:p w14:paraId="7886E958" w14:textId="4680F8E8" w:rsidR="006A71C9" w:rsidRPr="00FC6EF2" w:rsidRDefault="006A71C9" w:rsidP="00401F86">
            <w:pPr>
              <w:jc w:val="right"/>
              <w:rPr>
                <w:rFonts w:cs="Arial"/>
                <w:color w:val="000000"/>
              </w:rPr>
            </w:pPr>
            <w:r w:rsidRPr="00FC6EF2">
              <w:rPr>
                <w:rFonts w:cs="Arial"/>
                <w:color w:val="000000"/>
              </w:rPr>
              <w:t>25,333</w:t>
            </w:r>
          </w:p>
        </w:tc>
        <w:tc>
          <w:tcPr>
            <w:tcW w:w="1350" w:type="dxa"/>
            <w:noWrap/>
            <w:hideMark/>
          </w:tcPr>
          <w:p w14:paraId="6AB2D0E6" w14:textId="77777777" w:rsidR="006A71C9" w:rsidRPr="00FC6EF2" w:rsidRDefault="006A71C9" w:rsidP="00401F86">
            <w:pPr>
              <w:jc w:val="right"/>
              <w:rPr>
                <w:rFonts w:cs="Arial"/>
                <w:color w:val="000000"/>
              </w:rPr>
            </w:pPr>
            <w:r w:rsidRPr="00FC6EF2">
              <w:rPr>
                <w:rFonts w:cs="Arial"/>
                <w:color w:val="000000"/>
              </w:rPr>
              <w:t>164</w:t>
            </w:r>
          </w:p>
        </w:tc>
        <w:tc>
          <w:tcPr>
            <w:tcW w:w="1530" w:type="dxa"/>
            <w:noWrap/>
            <w:hideMark/>
          </w:tcPr>
          <w:p w14:paraId="6904F22D" w14:textId="77777777" w:rsidR="006A71C9" w:rsidRPr="00FC6EF2" w:rsidRDefault="006A71C9" w:rsidP="00401F86">
            <w:pPr>
              <w:jc w:val="right"/>
              <w:rPr>
                <w:rFonts w:cs="Arial"/>
                <w:color w:val="000000"/>
              </w:rPr>
            </w:pPr>
            <w:r w:rsidRPr="00FC6EF2">
              <w:rPr>
                <w:rFonts w:cs="Arial"/>
                <w:color w:val="000000"/>
              </w:rPr>
              <w:t>0.65%</w:t>
            </w:r>
          </w:p>
        </w:tc>
        <w:tc>
          <w:tcPr>
            <w:tcW w:w="1620" w:type="dxa"/>
            <w:noWrap/>
            <w:hideMark/>
          </w:tcPr>
          <w:p w14:paraId="7DCB9464" w14:textId="77777777" w:rsidR="006A71C9" w:rsidRPr="00FC6EF2" w:rsidRDefault="006A71C9" w:rsidP="00401F86">
            <w:pPr>
              <w:jc w:val="right"/>
              <w:rPr>
                <w:rFonts w:cs="Arial"/>
                <w:color w:val="000000"/>
              </w:rPr>
            </w:pPr>
            <w:r w:rsidRPr="00FC6EF2">
              <w:rPr>
                <w:rFonts w:cs="Arial"/>
                <w:color w:val="000000"/>
              </w:rPr>
              <w:t>145,431</w:t>
            </w:r>
          </w:p>
        </w:tc>
        <w:tc>
          <w:tcPr>
            <w:tcW w:w="1530" w:type="dxa"/>
            <w:noWrap/>
            <w:hideMark/>
          </w:tcPr>
          <w:p w14:paraId="0608BDB0" w14:textId="77777777" w:rsidR="006A71C9" w:rsidRPr="00FC6EF2" w:rsidRDefault="006A71C9" w:rsidP="00401F86">
            <w:pPr>
              <w:jc w:val="right"/>
              <w:rPr>
                <w:rFonts w:cs="Arial"/>
                <w:color w:val="000000"/>
              </w:rPr>
            </w:pPr>
            <w:r w:rsidRPr="00FC6EF2">
              <w:rPr>
                <w:rFonts w:cs="Arial"/>
                <w:color w:val="000000"/>
              </w:rPr>
              <w:t>1,246</w:t>
            </w:r>
          </w:p>
        </w:tc>
        <w:tc>
          <w:tcPr>
            <w:tcW w:w="1530" w:type="dxa"/>
            <w:noWrap/>
            <w:hideMark/>
          </w:tcPr>
          <w:p w14:paraId="1861B812" w14:textId="77777777" w:rsidR="006A71C9" w:rsidRPr="00FC6EF2" w:rsidRDefault="006A71C9" w:rsidP="00401F86">
            <w:pPr>
              <w:jc w:val="right"/>
              <w:rPr>
                <w:rFonts w:cs="Arial"/>
                <w:color w:val="000000"/>
              </w:rPr>
            </w:pPr>
            <w:r w:rsidRPr="00FC6EF2">
              <w:rPr>
                <w:rFonts w:cs="Arial"/>
                <w:color w:val="000000"/>
              </w:rPr>
              <w:t>0.86%</w:t>
            </w:r>
          </w:p>
        </w:tc>
      </w:tr>
      <w:tr w:rsidR="00422F34" w:rsidRPr="00FC6EF2" w14:paraId="7B0F90E2" w14:textId="77777777" w:rsidTr="00E256DF">
        <w:trPr>
          <w:trHeight w:val="320"/>
        </w:trPr>
        <w:tc>
          <w:tcPr>
            <w:tcW w:w="1980" w:type="dxa"/>
            <w:noWrap/>
            <w:hideMark/>
          </w:tcPr>
          <w:p w14:paraId="4BCDC071" w14:textId="77777777" w:rsidR="006A71C9" w:rsidRPr="00FC6EF2" w:rsidRDefault="006A71C9" w:rsidP="00401F86">
            <w:pPr>
              <w:rPr>
                <w:rFonts w:cs="Arial"/>
                <w:color w:val="000000"/>
              </w:rPr>
            </w:pPr>
            <w:r w:rsidRPr="00FC6EF2">
              <w:rPr>
                <w:rFonts w:cs="Arial"/>
                <w:color w:val="000000"/>
              </w:rPr>
              <w:t>White</w:t>
            </w:r>
          </w:p>
        </w:tc>
        <w:tc>
          <w:tcPr>
            <w:tcW w:w="1440" w:type="dxa"/>
          </w:tcPr>
          <w:p w14:paraId="5AD0164E" w14:textId="5D5DBE1F" w:rsidR="006A71C9" w:rsidRPr="00FC6EF2" w:rsidRDefault="00F82CEA" w:rsidP="00401F86">
            <w:pPr>
              <w:jc w:val="right"/>
              <w:rPr>
                <w:rFonts w:cs="Arial"/>
                <w:color w:val="000000"/>
              </w:rPr>
            </w:pPr>
            <w:r w:rsidRPr="00FC6EF2">
              <w:rPr>
                <w:rFonts w:cs="Arial"/>
                <w:color w:val="000000"/>
              </w:rPr>
              <w:t>345,494</w:t>
            </w:r>
          </w:p>
        </w:tc>
        <w:tc>
          <w:tcPr>
            <w:tcW w:w="1440" w:type="dxa"/>
          </w:tcPr>
          <w:p w14:paraId="620EDD17" w14:textId="3988A61A" w:rsidR="006A71C9" w:rsidRPr="00FC6EF2" w:rsidRDefault="007E55FF" w:rsidP="00401F86">
            <w:pPr>
              <w:jc w:val="right"/>
              <w:rPr>
                <w:rFonts w:cs="Arial"/>
                <w:color w:val="000000"/>
              </w:rPr>
            </w:pPr>
            <w:r w:rsidRPr="00FC6EF2">
              <w:rPr>
                <w:rFonts w:cs="Arial"/>
                <w:color w:val="000000"/>
              </w:rPr>
              <w:t>3,995</w:t>
            </w:r>
          </w:p>
        </w:tc>
        <w:tc>
          <w:tcPr>
            <w:tcW w:w="1530" w:type="dxa"/>
          </w:tcPr>
          <w:p w14:paraId="5BCB0914" w14:textId="1869BCEB" w:rsidR="006A71C9" w:rsidRPr="00FC6EF2" w:rsidRDefault="00F82CEA" w:rsidP="00401F86">
            <w:pPr>
              <w:jc w:val="right"/>
              <w:rPr>
                <w:rFonts w:cs="Arial"/>
                <w:color w:val="000000"/>
              </w:rPr>
            </w:pPr>
            <w:r w:rsidRPr="00FC6EF2">
              <w:rPr>
                <w:rFonts w:cs="Arial"/>
                <w:color w:val="000000"/>
              </w:rPr>
              <w:t>1.16%</w:t>
            </w:r>
          </w:p>
        </w:tc>
        <w:tc>
          <w:tcPr>
            <w:tcW w:w="1350" w:type="dxa"/>
            <w:noWrap/>
            <w:hideMark/>
          </w:tcPr>
          <w:p w14:paraId="2F5C8DFC" w14:textId="1A2A1742" w:rsidR="006A71C9" w:rsidRPr="00FC6EF2" w:rsidRDefault="006A71C9" w:rsidP="00401F86">
            <w:pPr>
              <w:jc w:val="right"/>
              <w:rPr>
                <w:rFonts w:cs="Arial"/>
                <w:color w:val="000000"/>
              </w:rPr>
            </w:pPr>
            <w:r w:rsidRPr="00FC6EF2">
              <w:rPr>
                <w:rFonts w:cs="Arial"/>
                <w:color w:val="000000"/>
              </w:rPr>
              <w:t>64,754</w:t>
            </w:r>
          </w:p>
        </w:tc>
        <w:tc>
          <w:tcPr>
            <w:tcW w:w="1350" w:type="dxa"/>
            <w:noWrap/>
            <w:hideMark/>
          </w:tcPr>
          <w:p w14:paraId="0CBFDBB6" w14:textId="77777777" w:rsidR="006A71C9" w:rsidRPr="00FC6EF2" w:rsidRDefault="006A71C9" w:rsidP="00401F86">
            <w:pPr>
              <w:jc w:val="right"/>
              <w:rPr>
                <w:rFonts w:cs="Arial"/>
                <w:color w:val="000000"/>
              </w:rPr>
            </w:pPr>
            <w:r w:rsidRPr="00FC6EF2">
              <w:rPr>
                <w:rFonts w:cs="Arial"/>
                <w:color w:val="000000"/>
              </w:rPr>
              <w:t>642</w:t>
            </w:r>
          </w:p>
        </w:tc>
        <w:tc>
          <w:tcPr>
            <w:tcW w:w="1530" w:type="dxa"/>
            <w:noWrap/>
            <w:hideMark/>
          </w:tcPr>
          <w:p w14:paraId="375C7C75" w14:textId="77777777" w:rsidR="006A71C9" w:rsidRPr="00FC6EF2" w:rsidRDefault="006A71C9" w:rsidP="00401F86">
            <w:pPr>
              <w:jc w:val="right"/>
              <w:rPr>
                <w:rFonts w:cs="Arial"/>
                <w:color w:val="000000"/>
              </w:rPr>
            </w:pPr>
            <w:r w:rsidRPr="00FC6EF2">
              <w:rPr>
                <w:rFonts w:cs="Arial"/>
                <w:color w:val="000000"/>
              </w:rPr>
              <w:t>0.99%</w:t>
            </w:r>
          </w:p>
        </w:tc>
        <w:tc>
          <w:tcPr>
            <w:tcW w:w="1620" w:type="dxa"/>
            <w:noWrap/>
            <w:hideMark/>
          </w:tcPr>
          <w:p w14:paraId="721F55D7" w14:textId="77777777" w:rsidR="006A71C9" w:rsidRPr="00FC6EF2" w:rsidRDefault="006A71C9" w:rsidP="00401F86">
            <w:pPr>
              <w:jc w:val="right"/>
              <w:rPr>
                <w:rFonts w:cs="Arial"/>
                <w:color w:val="000000"/>
              </w:rPr>
            </w:pPr>
            <w:r w:rsidRPr="00FC6EF2">
              <w:rPr>
                <w:rFonts w:cs="Arial"/>
                <w:color w:val="000000"/>
              </w:rPr>
              <w:t>302,907</w:t>
            </w:r>
          </w:p>
        </w:tc>
        <w:tc>
          <w:tcPr>
            <w:tcW w:w="1530" w:type="dxa"/>
            <w:noWrap/>
            <w:hideMark/>
          </w:tcPr>
          <w:p w14:paraId="372D01EE" w14:textId="77777777" w:rsidR="006A71C9" w:rsidRPr="00FC6EF2" w:rsidRDefault="006A71C9" w:rsidP="00401F86">
            <w:pPr>
              <w:jc w:val="right"/>
              <w:rPr>
                <w:rFonts w:cs="Arial"/>
                <w:color w:val="000000"/>
              </w:rPr>
            </w:pPr>
            <w:r w:rsidRPr="00FC6EF2">
              <w:rPr>
                <w:rFonts w:cs="Arial"/>
                <w:color w:val="000000"/>
              </w:rPr>
              <w:t>3,003</w:t>
            </w:r>
          </w:p>
        </w:tc>
        <w:tc>
          <w:tcPr>
            <w:tcW w:w="1530" w:type="dxa"/>
            <w:noWrap/>
            <w:hideMark/>
          </w:tcPr>
          <w:p w14:paraId="54AFE5CB" w14:textId="77777777" w:rsidR="006A71C9" w:rsidRPr="00FC6EF2" w:rsidRDefault="006A71C9" w:rsidP="00401F86">
            <w:pPr>
              <w:jc w:val="right"/>
              <w:rPr>
                <w:rFonts w:cs="Arial"/>
                <w:color w:val="000000"/>
              </w:rPr>
            </w:pPr>
            <w:r w:rsidRPr="00FC6EF2">
              <w:rPr>
                <w:rFonts w:cs="Arial"/>
                <w:color w:val="000000"/>
              </w:rPr>
              <w:t>0.99%</w:t>
            </w:r>
          </w:p>
        </w:tc>
      </w:tr>
      <w:tr w:rsidR="00422F34" w:rsidRPr="00FC6EF2" w14:paraId="28DF3440" w14:textId="77777777" w:rsidTr="00E256DF">
        <w:trPr>
          <w:trHeight w:val="320"/>
        </w:trPr>
        <w:tc>
          <w:tcPr>
            <w:tcW w:w="1980" w:type="dxa"/>
            <w:noWrap/>
            <w:hideMark/>
          </w:tcPr>
          <w:p w14:paraId="1F361CC6" w14:textId="77777777" w:rsidR="006A71C9" w:rsidRPr="00FC6EF2" w:rsidRDefault="006A71C9" w:rsidP="00401F86">
            <w:pPr>
              <w:rPr>
                <w:rFonts w:cs="Arial"/>
                <w:color w:val="000000"/>
              </w:rPr>
            </w:pPr>
            <w:r w:rsidRPr="00FC6EF2">
              <w:rPr>
                <w:rFonts w:cs="Arial"/>
                <w:color w:val="000000"/>
              </w:rPr>
              <w:t>American Indian or Alaska Native</w:t>
            </w:r>
          </w:p>
        </w:tc>
        <w:tc>
          <w:tcPr>
            <w:tcW w:w="1440" w:type="dxa"/>
          </w:tcPr>
          <w:p w14:paraId="7AD7C07F" w14:textId="3BAAFC36" w:rsidR="006A71C9" w:rsidRPr="00FC6EF2" w:rsidRDefault="00F82CEA" w:rsidP="00401F86">
            <w:pPr>
              <w:jc w:val="right"/>
              <w:rPr>
                <w:rFonts w:cs="Arial"/>
                <w:color w:val="000000"/>
              </w:rPr>
            </w:pPr>
            <w:r w:rsidRPr="00FC6EF2">
              <w:rPr>
                <w:rFonts w:cs="Arial"/>
                <w:color w:val="000000"/>
              </w:rPr>
              <w:t>7,578</w:t>
            </w:r>
          </w:p>
        </w:tc>
        <w:tc>
          <w:tcPr>
            <w:tcW w:w="1440" w:type="dxa"/>
          </w:tcPr>
          <w:p w14:paraId="0F299E77" w14:textId="41A288FA" w:rsidR="006A71C9" w:rsidRPr="00FC6EF2" w:rsidRDefault="007E55FF" w:rsidP="00401F86">
            <w:pPr>
              <w:jc w:val="right"/>
              <w:rPr>
                <w:rFonts w:cs="Arial"/>
                <w:color w:val="000000"/>
              </w:rPr>
            </w:pPr>
            <w:r w:rsidRPr="00FC6EF2">
              <w:rPr>
                <w:rFonts w:cs="Arial"/>
                <w:color w:val="000000"/>
              </w:rPr>
              <w:t>111</w:t>
            </w:r>
          </w:p>
        </w:tc>
        <w:tc>
          <w:tcPr>
            <w:tcW w:w="1530" w:type="dxa"/>
          </w:tcPr>
          <w:p w14:paraId="72CEFCFC" w14:textId="5EF85D20" w:rsidR="006A71C9" w:rsidRPr="00FC6EF2" w:rsidRDefault="00F82CEA" w:rsidP="00401F86">
            <w:pPr>
              <w:jc w:val="right"/>
              <w:rPr>
                <w:rFonts w:cs="Arial"/>
                <w:color w:val="000000"/>
              </w:rPr>
            </w:pPr>
            <w:r w:rsidRPr="00FC6EF2">
              <w:rPr>
                <w:rFonts w:cs="Arial"/>
                <w:color w:val="000000"/>
              </w:rPr>
              <w:t>1.46%</w:t>
            </w:r>
          </w:p>
        </w:tc>
        <w:tc>
          <w:tcPr>
            <w:tcW w:w="1350" w:type="dxa"/>
            <w:noWrap/>
            <w:hideMark/>
          </w:tcPr>
          <w:p w14:paraId="79FA9657" w14:textId="5831351A" w:rsidR="006A71C9" w:rsidRPr="00FC6EF2" w:rsidRDefault="006A71C9" w:rsidP="00401F86">
            <w:pPr>
              <w:jc w:val="right"/>
              <w:rPr>
                <w:rFonts w:cs="Arial"/>
                <w:color w:val="000000"/>
              </w:rPr>
            </w:pPr>
            <w:r w:rsidRPr="00FC6EF2">
              <w:rPr>
                <w:rFonts w:cs="Arial"/>
                <w:color w:val="000000"/>
              </w:rPr>
              <w:t>1,743</w:t>
            </w:r>
          </w:p>
        </w:tc>
        <w:tc>
          <w:tcPr>
            <w:tcW w:w="1350" w:type="dxa"/>
            <w:noWrap/>
            <w:hideMark/>
          </w:tcPr>
          <w:p w14:paraId="1D669393" w14:textId="77777777" w:rsidR="006A71C9" w:rsidRPr="00FC6EF2" w:rsidRDefault="006A71C9" w:rsidP="00401F86">
            <w:pPr>
              <w:jc w:val="right"/>
              <w:rPr>
                <w:rFonts w:cs="Arial"/>
                <w:color w:val="000000"/>
              </w:rPr>
            </w:pPr>
            <w:r w:rsidRPr="00FC6EF2">
              <w:rPr>
                <w:rFonts w:cs="Arial"/>
                <w:color w:val="000000"/>
              </w:rPr>
              <w:t>29</w:t>
            </w:r>
          </w:p>
        </w:tc>
        <w:tc>
          <w:tcPr>
            <w:tcW w:w="1530" w:type="dxa"/>
            <w:noWrap/>
            <w:hideMark/>
          </w:tcPr>
          <w:p w14:paraId="03382D92" w14:textId="77777777" w:rsidR="006A71C9" w:rsidRPr="00FC6EF2" w:rsidRDefault="006A71C9" w:rsidP="00401F86">
            <w:pPr>
              <w:jc w:val="right"/>
              <w:rPr>
                <w:rFonts w:cs="Arial"/>
                <w:color w:val="000000"/>
              </w:rPr>
            </w:pPr>
            <w:r w:rsidRPr="00FC6EF2">
              <w:rPr>
                <w:rFonts w:cs="Arial"/>
                <w:color w:val="000000"/>
              </w:rPr>
              <w:t>1.66%</w:t>
            </w:r>
          </w:p>
        </w:tc>
        <w:tc>
          <w:tcPr>
            <w:tcW w:w="1620" w:type="dxa"/>
            <w:noWrap/>
            <w:hideMark/>
          </w:tcPr>
          <w:p w14:paraId="1D38F23D" w14:textId="77777777" w:rsidR="006A71C9" w:rsidRPr="00FC6EF2" w:rsidRDefault="006A71C9" w:rsidP="00401F86">
            <w:pPr>
              <w:jc w:val="right"/>
              <w:rPr>
                <w:rFonts w:cs="Arial"/>
                <w:color w:val="000000"/>
              </w:rPr>
            </w:pPr>
            <w:r w:rsidRPr="00FC6EF2">
              <w:rPr>
                <w:rFonts w:cs="Arial"/>
                <w:color w:val="000000"/>
              </w:rPr>
              <w:t>6,319</w:t>
            </w:r>
          </w:p>
        </w:tc>
        <w:tc>
          <w:tcPr>
            <w:tcW w:w="1530" w:type="dxa"/>
            <w:noWrap/>
            <w:hideMark/>
          </w:tcPr>
          <w:p w14:paraId="2CB1CA7B" w14:textId="77777777" w:rsidR="006A71C9" w:rsidRPr="00FC6EF2" w:rsidRDefault="006A71C9" w:rsidP="00401F86">
            <w:pPr>
              <w:jc w:val="right"/>
              <w:rPr>
                <w:rFonts w:cs="Arial"/>
                <w:color w:val="000000"/>
              </w:rPr>
            </w:pPr>
            <w:r w:rsidRPr="00FC6EF2">
              <w:rPr>
                <w:rFonts w:cs="Arial"/>
                <w:color w:val="000000"/>
              </w:rPr>
              <w:t>90</w:t>
            </w:r>
          </w:p>
        </w:tc>
        <w:tc>
          <w:tcPr>
            <w:tcW w:w="1530" w:type="dxa"/>
            <w:noWrap/>
            <w:hideMark/>
          </w:tcPr>
          <w:p w14:paraId="3BB1A3A1" w14:textId="77777777" w:rsidR="006A71C9" w:rsidRPr="00FC6EF2" w:rsidRDefault="006A71C9" w:rsidP="00401F86">
            <w:pPr>
              <w:jc w:val="right"/>
              <w:rPr>
                <w:rFonts w:cs="Arial"/>
                <w:color w:val="000000"/>
              </w:rPr>
            </w:pPr>
            <w:r w:rsidRPr="00FC6EF2">
              <w:rPr>
                <w:rFonts w:cs="Arial"/>
                <w:color w:val="000000"/>
              </w:rPr>
              <w:t>1.42%</w:t>
            </w:r>
          </w:p>
        </w:tc>
      </w:tr>
      <w:tr w:rsidR="00422F34" w:rsidRPr="00FC6EF2" w14:paraId="0675FC0A" w14:textId="77777777" w:rsidTr="00E256DF">
        <w:trPr>
          <w:trHeight w:val="320"/>
        </w:trPr>
        <w:tc>
          <w:tcPr>
            <w:tcW w:w="1980" w:type="dxa"/>
            <w:noWrap/>
            <w:hideMark/>
          </w:tcPr>
          <w:p w14:paraId="15E45026" w14:textId="77777777" w:rsidR="006A71C9" w:rsidRPr="00FC6EF2" w:rsidRDefault="006A71C9" w:rsidP="00401F86">
            <w:pPr>
              <w:rPr>
                <w:rFonts w:cs="Arial"/>
                <w:color w:val="000000"/>
              </w:rPr>
            </w:pPr>
            <w:r w:rsidRPr="00FC6EF2">
              <w:rPr>
                <w:rFonts w:cs="Arial"/>
                <w:color w:val="000000"/>
              </w:rPr>
              <w:t>Filipino</w:t>
            </w:r>
          </w:p>
        </w:tc>
        <w:tc>
          <w:tcPr>
            <w:tcW w:w="1440" w:type="dxa"/>
          </w:tcPr>
          <w:p w14:paraId="5D371FF4" w14:textId="1DBC5DBF" w:rsidR="006A71C9" w:rsidRPr="00FC6EF2" w:rsidRDefault="708CBE52" w:rsidP="00401F86">
            <w:pPr>
              <w:jc w:val="right"/>
              <w:rPr>
                <w:rFonts w:cs="Arial"/>
                <w:color w:val="000000"/>
              </w:rPr>
            </w:pPr>
            <w:r w:rsidRPr="00FC6EF2">
              <w:rPr>
                <w:rFonts w:cs="Arial"/>
                <w:color w:val="000000" w:themeColor="text1"/>
              </w:rPr>
              <w:t>3</w:t>
            </w:r>
            <w:r w:rsidR="00F82CEA" w:rsidRPr="00FC6EF2">
              <w:rPr>
                <w:rFonts w:cs="Arial"/>
                <w:color w:val="000000" w:themeColor="text1"/>
              </w:rPr>
              <w:t>7,443</w:t>
            </w:r>
          </w:p>
        </w:tc>
        <w:tc>
          <w:tcPr>
            <w:tcW w:w="1440" w:type="dxa"/>
          </w:tcPr>
          <w:p w14:paraId="3FE2A4A9" w14:textId="5E4ED582" w:rsidR="006A71C9" w:rsidRPr="00FC6EF2" w:rsidRDefault="007E55FF" w:rsidP="00401F86">
            <w:pPr>
              <w:jc w:val="right"/>
              <w:rPr>
                <w:rFonts w:cs="Arial"/>
                <w:color w:val="000000"/>
              </w:rPr>
            </w:pPr>
            <w:r w:rsidRPr="00FC6EF2">
              <w:rPr>
                <w:rFonts w:cs="Arial"/>
                <w:color w:val="000000"/>
              </w:rPr>
              <w:t>568</w:t>
            </w:r>
          </w:p>
        </w:tc>
        <w:tc>
          <w:tcPr>
            <w:tcW w:w="1530" w:type="dxa"/>
          </w:tcPr>
          <w:p w14:paraId="62F8B8FD" w14:textId="761E746D" w:rsidR="006A71C9" w:rsidRPr="00FC6EF2" w:rsidRDefault="00F82CEA" w:rsidP="00401F86">
            <w:pPr>
              <w:jc w:val="right"/>
              <w:rPr>
                <w:rFonts w:cs="Arial"/>
                <w:color w:val="000000"/>
              </w:rPr>
            </w:pPr>
            <w:r w:rsidRPr="00FC6EF2">
              <w:rPr>
                <w:rFonts w:cs="Arial"/>
                <w:color w:val="000000"/>
              </w:rPr>
              <w:t>1.52%</w:t>
            </w:r>
          </w:p>
        </w:tc>
        <w:tc>
          <w:tcPr>
            <w:tcW w:w="1350" w:type="dxa"/>
            <w:noWrap/>
            <w:hideMark/>
          </w:tcPr>
          <w:p w14:paraId="72E36D8F" w14:textId="63843BD8" w:rsidR="006A71C9" w:rsidRPr="00FC6EF2" w:rsidRDefault="006A71C9" w:rsidP="00401F86">
            <w:pPr>
              <w:jc w:val="right"/>
              <w:rPr>
                <w:rFonts w:cs="Arial"/>
                <w:color w:val="000000"/>
              </w:rPr>
            </w:pPr>
            <w:r w:rsidRPr="00FC6EF2">
              <w:rPr>
                <w:rFonts w:cs="Arial"/>
                <w:color w:val="000000"/>
              </w:rPr>
              <w:t>6,285</w:t>
            </w:r>
          </w:p>
        </w:tc>
        <w:tc>
          <w:tcPr>
            <w:tcW w:w="1350" w:type="dxa"/>
            <w:noWrap/>
            <w:hideMark/>
          </w:tcPr>
          <w:p w14:paraId="19EF0A27" w14:textId="77777777" w:rsidR="006A71C9" w:rsidRPr="00FC6EF2" w:rsidRDefault="006A71C9" w:rsidP="00401F86">
            <w:pPr>
              <w:jc w:val="right"/>
              <w:rPr>
                <w:rFonts w:cs="Arial"/>
                <w:color w:val="000000"/>
              </w:rPr>
            </w:pPr>
            <w:r w:rsidRPr="00FC6EF2">
              <w:rPr>
                <w:rFonts w:cs="Arial"/>
                <w:color w:val="000000"/>
              </w:rPr>
              <w:t>51</w:t>
            </w:r>
          </w:p>
        </w:tc>
        <w:tc>
          <w:tcPr>
            <w:tcW w:w="1530" w:type="dxa"/>
            <w:noWrap/>
            <w:hideMark/>
          </w:tcPr>
          <w:p w14:paraId="02652FBF" w14:textId="77777777" w:rsidR="006A71C9" w:rsidRPr="00FC6EF2" w:rsidRDefault="006A71C9" w:rsidP="00401F86">
            <w:pPr>
              <w:jc w:val="right"/>
              <w:rPr>
                <w:rFonts w:cs="Arial"/>
                <w:color w:val="000000"/>
              </w:rPr>
            </w:pPr>
            <w:r w:rsidRPr="00FC6EF2">
              <w:rPr>
                <w:rFonts w:cs="Arial"/>
                <w:color w:val="000000"/>
              </w:rPr>
              <w:t>0.81%</w:t>
            </w:r>
          </w:p>
        </w:tc>
        <w:tc>
          <w:tcPr>
            <w:tcW w:w="1620" w:type="dxa"/>
            <w:noWrap/>
            <w:hideMark/>
          </w:tcPr>
          <w:p w14:paraId="7EE560FD" w14:textId="77777777" w:rsidR="006A71C9" w:rsidRPr="00FC6EF2" w:rsidRDefault="006A71C9" w:rsidP="00401F86">
            <w:pPr>
              <w:jc w:val="right"/>
              <w:rPr>
                <w:rFonts w:cs="Arial"/>
                <w:color w:val="000000"/>
              </w:rPr>
            </w:pPr>
            <w:r w:rsidRPr="00FC6EF2">
              <w:rPr>
                <w:rFonts w:cs="Arial"/>
                <w:color w:val="000000"/>
              </w:rPr>
              <w:t>36,811</w:t>
            </w:r>
          </w:p>
        </w:tc>
        <w:tc>
          <w:tcPr>
            <w:tcW w:w="1530" w:type="dxa"/>
            <w:noWrap/>
            <w:hideMark/>
          </w:tcPr>
          <w:p w14:paraId="40C6C95E" w14:textId="77777777" w:rsidR="006A71C9" w:rsidRPr="00FC6EF2" w:rsidRDefault="006A71C9" w:rsidP="00401F86">
            <w:pPr>
              <w:jc w:val="right"/>
              <w:rPr>
                <w:rFonts w:cs="Arial"/>
                <w:color w:val="000000"/>
              </w:rPr>
            </w:pPr>
            <w:r w:rsidRPr="00FC6EF2">
              <w:rPr>
                <w:rFonts w:cs="Arial"/>
                <w:color w:val="000000"/>
              </w:rPr>
              <w:t>394</w:t>
            </w:r>
          </w:p>
        </w:tc>
        <w:tc>
          <w:tcPr>
            <w:tcW w:w="1530" w:type="dxa"/>
            <w:noWrap/>
            <w:hideMark/>
          </w:tcPr>
          <w:p w14:paraId="2527E481" w14:textId="77777777" w:rsidR="006A71C9" w:rsidRPr="00FC6EF2" w:rsidRDefault="006A71C9" w:rsidP="00401F86">
            <w:pPr>
              <w:jc w:val="right"/>
              <w:rPr>
                <w:rFonts w:cs="Arial"/>
                <w:color w:val="000000"/>
              </w:rPr>
            </w:pPr>
            <w:r w:rsidRPr="00FC6EF2">
              <w:rPr>
                <w:rFonts w:cs="Arial"/>
                <w:color w:val="000000"/>
              </w:rPr>
              <w:t>1.07%</w:t>
            </w:r>
          </w:p>
        </w:tc>
      </w:tr>
      <w:tr w:rsidR="00422F34" w:rsidRPr="00FC6EF2" w14:paraId="54D2739F" w14:textId="77777777" w:rsidTr="00E256DF">
        <w:trPr>
          <w:trHeight w:val="320"/>
        </w:trPr>
        <w:tc>
          <w:tcPr>
            <w:tcW w:w="1980" w:type="dxa"/>
            <w:noWrap/>
            <w:hideMark/>
          </w:tcPr>
          <w:p w14:paraId="7752B092" w14:textId="77777777" w:rsidR="006A71C9" w:rsidRPr="00FC6EF2" w:rsidRDefault="006A71C9" w:rsidP="00401F86">
            <w:pPr>
              <w:rPr>
                <w:rFonts w:cs="Arial"/>
                <w:color w:val="000000"/>
              </w:rPr>
            </w:pPr>
            <w:r w:rsidRPr="00FC6EF2">
              <w:rPr>
                <w:rFonts w:cs="Arial"/>
                <w:color w:val="000000"/>
              </w:rPr>
              <w:t>Native Hawaiian or Pacific Islander</w:t>
            </w:r>
          </w:p>
        </w:tc>
        <w:tc>
          <w:tcPr>
            <w:tcW w:w="1440" w:type="dxa"/>
          </w:tcPr>
          <w:p w14:paraId="405A1F93" w14:textId="1E7F4D2F" w:rsidR="006A71C9" w:rsidRPr="00FC6EF2" w:rsidRDefault="00F82CEA" w:rsidP="00401F86">
            <w:pPr>
              <w:jc w:val="right"/>
              <w:rPr>
                <w:rFonts w:cs="Arial"/>
                <w:color w:val="000000"/>
              </w:rPr>
            </w:pPr>
            <w:r w:rsidRPr="00FC6EF2">
              <w:rPr>
                <w:rFonts w:cs="Arial"/>
                <w:color w:val="000000"/>
              </w:rPr>
              <w:t>6,957</w:t>
            </w:r>
          </w:p>
        </w:tc>
        <w:tc>
          <w:tcPr>
            <w:tcW w:w="1440" w:type="dxa"/>
          </w:tcPr>
          <w:p w14:paraId="633F0687" w14:textId="3A6EE85F" w:rsidR="006A71C9" w:rsidRPr="00FC6EF2" w:rsidRDefault="00A213E3" w:rsidP="00401F86">
            <w:pPr>
              <w:jc w:val="right"/>
              <w:rPr>
                <w:rFonts w:cs="Arial"/>
                <w:color w:val="000000"/>
              </w:rPr>
            </w:pPr>
            <w:r w:rsidRPr="00FC6EF2">
              <w:rPr>
                <w:rFonts w:cs="Arial"/>
                <w:color w:val="000000"/>
              </w:rPr>
              <w:t>102</w:t>
            </w:r>
          </w:p>
        </w:tc>
        <w:tc>
          <w:tcPr>
            <w:tcW w:w="1530" w:type="dxa"/>
          </w:tcPr>
          <w:p w14:paraId="0E4F1A27" w14:textId="1A5405B6" w:rsidR="006A71C9" w:rsidRPr="00FC6EF2" w:rsidRDefault="00F82CEA" w:rsidP="00401F86">
            <w:pPr>
              <w:jc w:val="right"/>
              <w:rPr>
                <w:rFonts w:cs="Arial"/>
                <w:color w:val="000000"/>
              </w:rPr>
            </w:pPr>
            <w:r w:rsidRPr="00FC6EF2">
              <w:rPr>
                <w:rFonts w:cs="Arial"/>
                <w:color w:val="000000"/>
              </w:rPr>
              <w:t>1.47%</w:t>
            </w:r>
          </w:p>
        </w:tc>
        <w:tc>
          <w:tcPr>
            <w:tcW w:w="1350" w:type="dxa"/>
            <w:noWrap/>
            <w:hideMark/>
          </w:tcPr>
          <w:p w14:paraId="3A4CBFEF" w14:textId="2C352813" w:rsidR="006A71C9" w:rsidRPr="00FC6EF2" w:rsidRDefault="006A71C9" w:rsidP="00401F86">
            <w:pPr>
              <w:jc w:val="right"/>
              <w:rPr>
                <w:rFonts w:cs="Arial"/>
                <w:color w:val="000000"/>
              </w:rPr>
            </w:pPr>
            <w:r w:rsidRPr="00FC6EF2">
              <w:rPr>
                <w:rFonts w:cs="Arial"/>
                <w:color w:val="000000"/>
              </w:rPr>
              <w:t>949</w:t>
            </w:r>
          </w:p>
        </w:tc>
        <w:tc>
          <w:tcPr>
            <w:tcW w:w="1350" w:type="dxa"/>
            <w:noWrap/>
            <w:hideMark/>
          </w:tcPr>
          <w:p w14:paraId="2D6C0712" w14:textId="77777777" w:rsidR="006A71C9" w:rsidRPr="00FC6EF2" w:rsidRDefault="006A71C9" w:rsidP="00401F86">
            <w:pPr>
              <w:jc w:val="right"/>
              <w:rPr>
                <w:rFonts w:cs="Arial"/>
                <w:color w:val="000000"/>
              </w:rPr>
            </w:pPr>
            <w:r w:rsidRPr="00FC6EF2">
              <w:rPr>
                <w:rFonts w:cs="Arial"/>
                <w:color w:val="000000"/>
              </w:rPr>
              <w:t>6</w:t>
            </w:r>
          </w:p>
        </w:tc>
        <w:tc>
          <w:tcPr>
            <w:tcW w:w="1530" w:type="dxa"/>
            <w:noWrap/>
            <w:hideMark/>
          </w:tcPr>
          <w:p w14:paraId="24580FD0" w14:textId="77777777" w:rsidR="006A71C9" w:rsidRPr="00FC6EF2" w:rsidRDefault="006A71C9" w:rsidP="00401F86">
            <w:pPr>
              <w:jc w:val="right"/>
              <w:rPr>
                <w:rFonts w:cs="Arial"/>
                <w:color w:val="000000"/>
              </w:rPr>
            </w:pPr>
            <w:r w:rsidRPr="00FC6EF2">
              <w:rPr>
                <w:rFonts w:cs="Arial"/>
                <w:color w:val="000000"/>
              </w:rPr>
              <w:t>0.63%</w:t>
            </w:r>
          </w:p>
        </w:tc>
        <w:tc>
          <w:tcPr>
            <w:tcW w:w="1620" w:type="dxa"/>
            <w:noWrap/>
            <w:hideMark/>
          </w:tcPr>
          <w:p w14:paraId="616362F8" w14:textId="77777777" w:rsidR="006A71C9" w:rsidRPr="00FC6EF2" w:rsidRDefault="006A71C9" w:rsidP="00401F86">
            <w:pPr>
              <w:jc w:val="right"/>
              <w:rPr>
                <w:rFonts w:cs="Arial"/>
                <w:color w:val="000000"/>
              </w:rPr>
            </w:pPr>
            <w:r w:rsidRPr="00FC6EF2">
              <w:rPr>
                <w:rFonts w:cs="Arial"/>
                <w:color w:val="000000"/>
              </w:rPr>
              <w:t>6,510</w:t>
            </w:r>
          </w:p>
        </w:tc>
        <w:tc>
          <w:tcPr>
            <w:tcW w:w="1530" w:type="dxa"/>
            <w:noWrap/>
            <w:hideMark/>
          </w:tcPr>
          <w:p w14:paraId="3CD8BE14" w14:textId="77777777" w:rsidR="006A71C9" w:rsidRPr="00FC6EF2" w:rsidRDefault="006A71C9" w:rsidP="00401F86">
            <w:pPr>
              <w:jc w:val="right"/>
              <w:rPr>
                <w:rFonts w:cs="Arial"/>
                <w:color w:val="000000"/>
              </w:rPr>
            </w:pPr>
            <w:r w:rsidRPr="00FC6EF2">
              <w:rPr>
                <w:rFonts w:cs="Arial"/>
                <w:color w:val="000000"/>
              </w:rPr>
              <w:t>65</w:t>
            </w:r>
          </w:p>
        </w:tc>
        <w:tc>
          <w:tcPr>
            <w:tcW w:w="1530" w:type="dxa"/>
            <w:noWrap/>
            <w:hideMark/>
          </w:tcPr>
          <w:p w14:paraId="6200D403" w14:textId="77777777" w:rsidR="006A71C9" w:rsidRPr="00FC6EF2" w:rsidRDefault="006A71C9" w:rsidP="00401F86">
            <w:pPr>
              <w:jc w:val="right"/>
              <w:rPr>
                <w:rFonts w:cs="Arial"/>
                <w:color w:val="000000"/>
              </w:rPr>
            </w:pPr>
            <w:r w:rsidRPr="00FC6EF2">
              <w:rPr>
                <w:rFonts w:cs="Arial"/>
                <w:color w:val="000000"/>
              </w:rPr>
              <w:t>1.00%</w:t>
            </w:r>
          </w:p>
        </w:tc>
      </w:tr>
      <w:tr w:rsidR="00422F34" w:rsidRPr="00FC6EF2" w14:paraId="3F5A1680" w14:textId="77777777" w:rsidTr="00E256DF">
        <w:trPr>
          <w:trHeight w:val="320"/>
        </w:trPr>
        <w:tc>
          <w:tcPr>
            <w:tcW w:w="1980" w:type="dxa"/>
            <w:noWrap/>
            <w:hideMark/>
          </w:tcPr>
          <w:p w14:paraId="28AA7042" w14:textId="77777777" w:rsidR="006A71C9" w:rsidRPr="00FC6EF2" w:rsidRDefault="006A71C9" w:rsidP="00401F86">
            <w:pPr>
              <w:rPr>
                <w:rFonts w:cs="Arial"/>
                <w:color w:val="000000"/>
              </w:rPr>
            </w:pPr>
            <w:r w:rsidRPr="00FC6EF2">
              <w:rPr>
                <w:rFonts w:cs="Arial"/>
                <w:color w:val="000000"/>
              </w:rPr>
              <w:t>Two or more races</w:t>
            </w:r>
          </w:p>
        </w:tc>
        <w:tc>
          <w:tcPr>
            <w:tcW w:w="1440" w:type="dxa"/>
          </w:tcPr>
          <w:p w14:paraId="7C41D30A" w14:textId="362FCB8C" w:rsidR="006A71C9" w:rsidRPr="00FC6EF2" w:rsidRDefault="00F82CEA" w:rsidP="00401F86">
            <w:pPr>
              <w:jc w:val="right"/>
              <w:rPr>
                <w:rFonts w:cs="Arial"/>
                <w:color w:val="000000"/>
              </w:rPr>
            </w:pPr>
            <w:r w:rsidRPr="00FC6EF2">
              <w:rPr>
                <w:rFonts w:cs="Arial"/>
                <w:color w:val="000000"/>
              </w:rPr>
              <w:t>53,789</w:t>
            </w:r>
          </w:p>
        </w:tc>
        <w:tc>
          <w:tcPr>
            <w:tcW w:w="1440" w:type="dxa"/>
          </w:tcPr>
          <w:p w14:paraId="6039152F" w14:textId="1D5AFB5C" w:rsidR="006A71C9" w:rsidRPr="00FC6EF2" w:rsidRDefault="00A213E3" w:rsidP="00401F86">
            <w:pPr>
              <w:jc w:val="right"/>
              <w:rPr>
                <w:rFonts w:cs="Arial"/>
                <w:color w:val="000000"/>
              </w:rPr>
            </w:pPr>
            <w:r w:rsidRPr="00FC6EF2">
              <w:rPr>
                <w:rFonts w:cs="Arial"/>
                <w:color w:val="000000"/>
              </w:rPr>
              <w:t>590</w:t>
            </w:r>
          </w:p>
        </w:tc>
        <w:tc>
          <w:tcPr>
            <w:tcW w:w="1530" w:type="dxa"/>
          </w:tcPr>
          <w:p w14:paraId="7317C04D" w14:textId="326F2B4D" w:rsidR="006A71C9" w:rsidRPr="00FC6EF2" w:rsidRDefault="00F82CEA" w:rsidP="00401F86">
            <w:pPr>
              <w:jc w:val="right"/>
              <w:rPr>
                <w:rFonts w:cs="Arial"/>
                <w:color w:val="000000"/>
              </w:rPr>
            </w:pPr>
            <w:r w:rsidRPr="00FC6EF2">
              <w:rPr>
                <w:rFonts w:cs="Arial"/>
                <w:color w:val="000000"/>
              </w:rPr>
              <w:t>1.10%</w:t>
            </w:r>
          </w:p>
        </w:tc>
        <w:tc>
          <w:tcPr>
            <w:tcW w:w="1350" w:type="dxa"/>
            <w:noWrap/>
            <w:hideMark/>
          </w:tcPr>
          <w:p w14:paraId="2DA1511F" w14:textId="3B8B891C" w:rsidR="006A71C9" w:rsidRPr="00FC6EF2" w:rsidRDefault="006A71C9" w:rsidP="00401F86">
            <w:pPr>
              <w:jc w:val="right"/>
              <w:rPr>
                <w:rFonts w:cs="Arial"/>
                <w:color w:val="000000"/>
              </w:rPr>
            </w:pPr>
            <w:r w:rsidRPr="00FC6EF2">
              <w:rPr>
                <w:rFonts w:cs="Arial"/>
                <w:color w:val="000000"/>
              </w:rPr>
              <w:t>11,753</w:t>
            </w:r>
          </w:p>
        </w:tc>
        <w:tc>
          <w:tcPr>
            <w:tcW w:w="1350" w:type="dxa"/>
            <w:noWrap/>
            <w:hideMark/>
          </w:tcPr>
          <w:p w14:paraId="20B1CE22" w14:textId="77777777" w:rsidR="006A71C9" w:rsidRPr="00FC6EF2" w:rsidRDefault="006A71C9" w:rsidP="00401F86">
            <w:pPr>
              <w:jc w:val="right"/>
              <w:rPr>
                <w:rFonts w:cs="Arial"/>
                <w:color w:val="000000"/>
              </w:rPr>
            </w:pPr>
            <w:r w:rsidRPr="00FC6EF2">
              <w:rPr>
                <w:rFonts w:cs="Arial"/>
                <w:color w:val="000000"/>
              </w:rPr>
              <w:t>108</w:t>
            </w:r>
          </w:p>
        </w:tc>
        <w:tc>
          <w:tcPr>
            <w:tcW w:w="1530" w:type="dxa"/>
            <w:noWrap/>
            <w:hideMark/>
          </w:tcPr>
          <w:p w14:paraId="603DA6D9" w14:textId="77777777" w:rsidR="006A71C9" w:rsidRPr="00FC6EF2" w:rsidRDefault="006A71C9" w:rsidP="00401F86">
            <w:pPr>
              <w:jc w:val="right"/>
              <w:rPr>
                <w:rFonts w:cs="Arial"/>
                <w:color w:val="000000"/>
              </w:rPr>
            </w:pPr>
            <w:r w:rsidRPr="00FC6EF2">
              <w:rPr>
                <w:rFonts w:cs="Arial"/>
                <w:color w:val="000000"/>
              </w:rPr>
              <w:t>0.92%</w:t>
            </w:r>
          </w:p>
        </w:tc>
        <w:tc>
          <w:tcPr>
            <w:tcW w:w="1620" w:type="dxa"/>
            <w:noWrap/>
            <w:hideMark/>
          </w:tcPr>
          <w:p w14:paraId="3836AB06" w14:textId="77777777" w:rsidR="006A71C9" w:rsidRPr="00FC6EF2" w:rsidRDefault="006A71C9" w:rsidP="00401F86">
            <w:pPr>
              <w:jc w:val="right"/>
              <w:rPr>
                <w:rFonts w:cs="Arial"/>
                <w:color w:val="000000"/>
              </w:rPr>
            </w:pPr>
            <w:r w:rsidRPr="00FC6EF2">
              <w:rPr>
                <w:rFonts w:cs="Arial"/>
                <w:color w:val="000000"/>
              </w:rPr>
              <w:t>57,222</w:t>
            </w:r>
          </w:p>
        </w:tc>
        <w:tc>
          <w:tcPr>
            <w:tcW w:w="1530" w:type="dxa"/>
            <w:noWrap/>
            <w:hideMark/>
          </w:tcPr>
          <w:p w14:paraId="244BD701" w14:textId="77777777" w:rsidR="006A71C9" w:rsidRPr="00FC6EF2" w:rsidRDefault="006A71C9" w:rsidP="00401F86">
            <w:pPr>
              <w:jc w:val="right"/>
              <w:rPr>
                <w:rFonts w:cs="Arial"/>
                <w:color w:val="000000"/>
              </w:rPr>
            </w:pPr>
            <w:r w:rsidRPr="00FC6EF2">
              <w:rPr>
                <w:rFonts w:cs="Arial"/>
                <w:color w:val="000000"/>
              </w:rPr>
              <w:t>584</w:t>
            </w:r>
          </w:p>
        </w:tc>
        <w:tc>
          <w:tcPr>
            <w:tcW w:w="1530" w:type="dxa"/>
            <w:noWrap/>
            <w:hideMark/>
          </w:tcPr>
          <w:p w14:paraId="0C840254" w14:textId="77777777" w:rsidR="006A71C9" w:rsidRPr="00FC6EF2" w:rsidRDefault="006A71C9" w:rsidP="00401F86">
            <w:pPr>
              <w:jc w:val="right"/>
              <w:rPr>
                <w:rFonts w:cs="Arial"/>
                <w:color w:val="000000"/>
              </w:rPr>
            </w:pPr>
            <w:r w:rsidRPr="00FC6EF2">
              <w:rPr>
                <w:rFonts w:cs="Arial"/>
                <w:color w:val="000000"/>
              </w:rPr>
              <w:t>1.02%</w:t>
            </w:r>
          </w:p>
        </w:tc>
      </w:tr>
      <w:tr w:rsidR="00422F34" w:rsidRPr="00FC6EF2" w14:paraId="5FF54F3B" w14:textId="77777777" w:rsidTr="00E256DF">
        <w:trPr>
          <w:trHeight w:val="320"/>
        </w:trPr>
        <w:tc>
          <w:tcPr>
            <w:tcW w:w="1980" w:type="dxa"/>
            <w:noWrap/>
            <w:hideMark/>
          </w:tcPr>
          <w:p w14:paraId="7E1DF900" w14:textId="77777777" w:rsidR="006A71C9" w:rsidRPr="00FC6EF2" w:rsidRDefault="006A71C9" w:rsidP="00401F86">
            <w:pPr>
              <w:rPr>
                <w:rFonts w:cs="Arial"/>
                <w:color w:val="000000"/>
              </w:rPr>
            </w:pPr>
            <w:r w:rsidRPr="00FC6EF2">
              <w:rPr>
                <w:rFonts w:cs="Arial"/>
                <w:color w:val="000000"/>
              </w:rPr>
              <w:t>English learners</w:t>
            </w:r>
          </w:p>
        </w:tc>
        <w:tc>
          <w:tcPr>
            <w:tcW w:w="1440" w:type="dxa"/>
          </w:tcPr>
          <w:p w14:paraId="445D8A6D" w14:textId="5719251E" w:rsidR="006A71C9" w:rsidRPr="00FC6EF2" w:rsidRDefault="381294B7" w:rsidP="00401F86">
            <w:pPr>
              <w:jc w:val="right"/>
              <w:rPr>
                <w:rFonts w:cs="Arial"/>
                <w:color w:val="000000"/>
              </w:rPr>
            </w:pPr>
            <w:r w:rsidRPr="00FC6EF2">
              <w:rPr>
                <w:rFonts w:cs="Arial"/>
                <w:color w:val="000000" w:themeColor="text1"/>
              </w:rPr>
              <w:t>195,400</w:t>
            </w:r>
          </w:p>
        </w:tc>
        <w:tc>
          <w:tcPr>
            <w:tcW w:w="1440" w:type="dxa"/>
          </w:tcPr>
          <w:p w14:paraId="63FFEBA4" w14:textId="20126412" w:rsidR="006A71C9" w:rsidRPr="00FC6EF2" w:rsidRDefault="00A213E3" w:rsidP="00401F86">
            <w:pPr>
              <w:jc w:val="right"/>
              <w:rPr>
                <w:rFonts w:cs="Arial"/>
                <w:color w:val="000000"/>
              </w:rPr>
            </w:pPr>
            <w:r w:rsidRPr="00FC6EF2">
              <w:rPr>
                <w:rFonts w:cs="Arial"/>
                <w:color w:val="000000"/>
              </w:rPr>
              <w:t>5,103</w:t>
            </w:r>
          </w:p>
        </w:tc>
        <w:tc>
          <w:tcPr>
            <w:tcW w:w="1530" w:type="dxa"/>
          </w:tcPr>
          <w:p w14:paraId="3DEBD59F" w14:textId="64E6189F" w:rsidR="006A71C9" w:rsidRPr="00FC6EF2" w:rsidRDefault="00F82CEA" w:rsidP="00401F86">
            <w:pPr>
              <w:jc w:val="right"/>
              <w:rPr>
                <w:rFonts w:cs="Arial"/>
                <w:color w:val="000000"/>
              </w:rPr>
            </w:pPr>
            <w:r w:rsidRPr="00FC6EF2">
              <w:rPr>
                <w:rFonts w:cs="Arial"/>
                <w:color w:val="000000"/>
              </w:rPr>
              <w:t>2.61%</w:t>
            </w:r>
          </w:p>
        </w:tc>
        <w:tc>
          <w:tcPr>
            <w:tcW w:w="1350" w:type="dxa"/>
            <w:noWrap/>
            <w:hideMark/>
          </w:tcPr>
          <w:p w14:paraId="5EE6604C" w14:textId="3AF0AB63" w:rsidR="006A71C9" w:rsidRPr="00FC6EF2" w:rsidRDefault="006A71C9" w:rsidP="00401F86">
            <w:pPr>
              <w:jc w:val="right"/>
              <w:rPr>
                <w:rFonts w:cs="Arial"/>
                <w:color w:val="000000"/>
              </w:rPr>
            </w:pPr>
            <w:r w:rsidRPr="00FC6EF2">
              <w:rPr>
                <w:rFonts w:cs="Arial"/>
                <w:color w:val="000000"/>
              </w:rPr>
              <w:t>31,626</w:t>
            </w:r>
          </w:p>
        </w:tc>
        <w:tc>
          <w:tcPr>
            <w:tcW w:w="1350" w:type="dxa"/>
            <w:noWrap/>
            <w:hideMark/>
          </w:tcPr>
          <w:p w14:paraId="470921A5" w14:textId="77777777" w:rsidR="006A71C9" w:rsidRPr="00FC6EF2" w:rsidRDefault="006A71C9" w:rsidP="00401F86">
            <w:pPr>
              <w:jc w:val="right"/>
              <w:rPr>
                <w:rFonts w:cs="Arial"/>
                <w:color w:val="000000"/>
              </w:rPr>
            </w:pPr>
            <w:r w:rsidRPr="00FC6EF2">
              <w:rPr>
                <w:rFonts w:cs="Arial"/>
                <w:color w:val="000000"/>
              </w:rPr>
              <w:t>459</w:t>
            </w:r>
          </w:p>
        </w:tc>
        <w:tc>
          <w:tcPr>
            <w:tcW w:w="1530" w:type="dxa"/>
            <w:noWrap/>
            <w:hideMark/>
          </w:tcPr>
          <w:p w14:paraId="445C8F35" w14:textId="77777777" w:rsidR="006A71C9" w:rsidRPr="00FC6EF2" w:rsidRDefault="006A71C9" w:rsidP="00401F86">
            <w:pPr>
              <w:jc w:val="right"/>
              <w:rPr>
                <w:rFonts w:cs="Arial"/>
                <w:color w:val="000000"/>
              </w:rPr>
            </w:pPr>
            <w:r w:rsidRPr="00FC6EF2">
              <w:rPr>
                <w:rFonts w:cs="Arial"/>
                <w:color w:val="000000"/>
              </w:rPr>
              <w:t>1.45%</w:t>
            </w:r>
          </w:p>
        </w:tc>
        <w:tc>
          <w:tcPr>
            <w:tcW w:w="1620" w:type="dxa"/>
            <w:noWrap/>
            <w:hideMark/>
          </w:tcPr>
          <w:p w14:paraId="2DEEBD0C" w14:textId="77777777" w:rsidR="006A71C9" w:rsidRPr="00FC6EF2" w:rsidRDefault="006A71C9" w:rsidP="00401F86">
            <w:pPr>
              <w:jc w:val="right"/>
              <w:rPr>
                <w:rFonts w:cs="Arial"/>
                <w:color w:val="000000"/>
              </w:rPr>
            </w:pPr>
            <w:r w:rsidRPr="00FC6EF2">
              <w:rPr>
                <w:rFonts w:cs="Arial"/>
                <w:color w:val="000000"/>
              </w:rPr>
              <w:t>217,387</w:t>
            </w:r>
          </w:p>
        </w:tc>
        <w:tc>
          <w:tcPr>
            <w:tcW w:w="1530" w:type="dxa"/>
            <w:noWrap/>
            <w:hideMark/>
          </w:tcPr>
          <w:p w14:paraId="3AD73234" w14:textId="77777777" w:rsidR="006A71C9" w:rsidRPr="00FC6EF2" w:rsidRDefault="006A71C9" w:rsidP="00401F86">
            <w:pPr>
              <w:jc w:val="right"/>
              <w:rPr>
                <w:rFonts w:cs="Arial"/>
                <w:color w:val="000000"/>
              </w:rPr>
            </w:pPr>
            <w:r w:rsidRPr="00FC6EF2">
              <w:rPr>
                <w:rFonts w:cs="Arial"/>
                <w:color w:val="000000"/>
              </w:rPr>
              <w:t>4,240</w:t>
            </w:r>
          </w:p>
        </w:tc>
        <w:tc>
          <w:tcPr>
            <w:tcW w:w="1530" w:type="dxa"/>
            <w:noWrap/>
            <w:hideMark/>
          </w:tcPr>
          <w:p w14:paraId="6CADBB3F" w14:textId="77777777" w:rsidR="006A71C9" w:rsidRPr="00FC6EF2" w:rsidRDefault="006A71C9" w:rsidP="00401F86">
            <w:pPr>
              <w:jc w:val="right"/>
              <w:rPr>
                <w:rFonts w:cs="Arial"/>
                <w:color w:val="000000"/>
              </w:rPr>
            </w:pPr>
            <w:r w:rsidRPr="00FC6EF2">
              <w:rPr>
                <w:rFonts w:cs="Arial"/>
                <w:color w:val="000000"/>
              </w:rPr>
              <w:t>1.95%</w:t>
            </w:r>
          </w:p>
        </w:tc>
      </w:tr>
      <w:tr w:rsidR="00422F34" w:rsidRPr="00FC6EF2" w14:paraId="2DEDBBF7" w14:textId="77777777" w:rsidTr="00E256DF">
        <w:trPr>
          <w:trHeight w:val="320"/>
        </w:trPr>
        <w:tc>
          <w:tcPr>
            <w:tcW w:w="1980" w:type="dxa"/>
            <w:noWrap/>
            <w:hideMark/>
          </w:tcPr>
          <w:p w14:paraId="60ED6146" w14:textId="77777777" w:rsidR="006A71C9" w:rsidRPr="00FC6EF2" w:rsidRDefault="006A71C9" w:rsidP="00401F86">
            <w:pPr>
              <w:rPr>
                <w:rFonts w:cs="Arial"/>
                <w:color w:val="000000"/>
              </w:rPr>
            </w:pPr>
            <w:r w:rsidRPr="00FC6EF2">
              <w:rPr>
                <w:rFonts w:cs="Arial"/>
                <w:color w:val="000000"/>
              </w:rPr>
              <w:t xml:space="preserve">Econ. </w:t>
            </w:r>
            <w:proofErr w:type="spellStart"/>
            <w:r w:rsidRPr="00FC6EF2">
              <w:rPr>
                <w:rFonts w:cs="Arial"/>
                <w:color w:val="000000"/>
              </w:rPr>
              <w:t>disadv</w:t>
            </w:r>
            <w:proofErr w:type="spellEnd"/>
            <w:r w:rsidRPr="00FC6EF2">
              <w:rPr>
                <w:rFonts w:cs="Arial"/>
                <w:color w:val="000000"/>
              </w:rPr>
              <w:t>.</w:t>
            </w:r>
          </w:p>
        </w:tc>
        <w:tc>
          <w:tcPr>
            <w:tcW w:w="1440" w:type="dxa"/>
          </w:tcPr>
          <w:p w14:paraId="29A5D964" w14:textId="2A90A83E" w:rsidR="006A71C9" w:rsidRPr="00FC6EF2" w:rsidRDefault="00F82CEA" w:rsidP="00401F86">
            <w:pPr>
              <w:jc w:val="right"/>
              <w:rPr>
                <w:rFonts w:cs="Arial"/>
                <w:color w:val="000000"/>
              </w:rPr>
            </w:pPr>
            <w:r w:rsidRPr="00FC6EF2">
              <w:rPr>
                <w:rFonts w:cs="Arial"/>
                <w:color w:val="000000"/>
              </w:rPr>
              <w:t>888,475</w:t>
            </w:r>
          </w:p>
        </w:tc>
        <w:tc>
          <w:tcPr>
            <w:tcW w:w="1440" w:type="dxa"/>
          </w:tcPr>
          <w:p w14:paraId="783D3487" w14:textId="2215E259" w:rsidR="006A71C9" w:rsidRPr="00FC6EF2" w:rsidRDefault="002A3D14" w:rsidP="00401F86">
            <w:pPr>
              <w:jc w:val="right"/>
              <w:rPr>
                <w:rFonts w:cs="Arial"/>
                <w:color w:val="000000"/>
              </w:rPr>
            </w:pPr>
            <w:r w:rsidRPr="00FC6EF2">
              <w:rPr>
                <w:rFonts w:cs="Arial"/>
                <w:color w:val="000000"/>
              </w:rPr>
              <w:t>12,078</w:t>
            </w:r>
          </w:p>
        </w:tc>
        <w:tc>
          <w:tcPr>
            <w:tcW w:w="1530" w:type="dxa"/>
          </w:tcPr>
          <w:p w14:paraId="79F99574" w14:textId="0061EFE7" w:rsidR="006A71C9" w:rsidRPr="00FC6EF2" w:rsidRDefault="00F82CEA" w:rsidP="00401F86">
            <w:pPr>
              <w:jc w:val="right"/>
              <w:rPr>
                <w:rFonts w:cs="Arial"/>
                <w:color w:val="000000"/>
              </w:rPr>
            </w:pPr>
            <w:r w:rsidRPr="00FC6EF2">
              <w:rPr>
                <w:rFonts w:cs="Arial"/>
                <w:color w:val="000000"/>
              </w:rPr>
              <w:t>1.36%</w:t>
            </w:r>
          </w:p>
        </w:tc>
        <w:tc>
          <w:tcPr>
            <w:tcW w:w="1350" w:type="dxa"/>
            <w:noWrap/>
            <w:hideMark/>
          </w:tcPr>
          <w:p w14:paraId="0DB9A847" w14:textId="0D43B814" w:rsidR="006A71C9" w:rsidRPr="00FC6EF2" w:rsidRDefault="006A71C9" w:rsidP="00401F86">
            <w:pPr>
              <w:jc w:val="right"/>
              <w:rPr>
                <w:rFonts w:cs="Arial"/>
                <w:color w:val="000000"/>
              </w:rPr>
            </w:pPr>
            <w:r w:rsidRPr="00FC6EF2">
              <w:rPr>
                <w:rFonts w:cs="Arial"/>
                <w:color w:val="000000"/>
              </w:rPr>
              <w:t>141,228</w:t>
            </w:r>
          </w:p>
        </w:tc>
        <w:tc>
          <w:tcPr>
            <w:tcW w:w="1350" w:type="dxa"/>
            <w:noWrap/>
            <w:hideMark/>
          </w:tcPr>
          <w:p w14:paraId="26796A36" w14:textId="77777777" w:rsidR="006A71C9" w:rsidRPr="00FC6EF2" w:rsidRDefault="006A71C9" w:rsidP="00401F86">
            <w:pPr>
              <w:jc w:val="right"/>
              <w:rPr>
                <w:rFonts w:cs="Arial"/>
                <w:color w:val="000000"/>
              </w:rPr>
            </w:pPr>
            <w:r w:rsidRPr="00FC6EF2">
              <w:rPr>
                <w:rFonts w:cs="Arial"/>
                <w:color w:val="000000"/>
              </w:rPr>
              <w:t>1,547</w:t>
            </w:r>
          </w:p>
        </w:tc>
        <w:tc>
          <w:tcPr>
            <w:tcW w:w="1530" w:type="dxa"/>
            <w:noWrap/>
            <w:hideMark/>
          </w:tcPr>
          <w:p w14:paraId="1AEC58DC" w14:textId="77777777" w:rsidR="006A71C9" w:rsidRPr="00FC6EF2" w:rsidRDefault="006A71C9" w:rsidP="00401F86">
            <w:pPr>
              <w:jc w:val="right"/>
              <w:rPr>
                <w:rFonts w:cs="Arial"/>
                <w:color w:val="000000"/>
              </w:rPr>
            </w:pPr>
            <w:r w:rsidRPr="00FC6EF2">
              <w:rPr>
                <w:rFonts w:cs="Arial"/>
                <w:color w:val="000000"/>
              </w:rPr>
              <w:t>1.10%</w:t>
            </w:r>
          </w:p>
        </w:tc>
        <w:tc>
          <w:tcPr>
            <w:tcW w:w="1620" w:type="dxa"/>
            <w:noWrap/>
            <w:hideMark/>
          </w:tcPr>
          <w:p w14:paraId="7819AF15" w14:textId="77777777" w:rsidR="006A71C9" w:rsidRPr="00FC6EF2" w:rsidRDefault="006A71C9" w:rsidP="00401F86">
            <w:pPr>
              <w:jc w:val="right"/>
              <w:rPr>
                <w:rFonts w:cs="Arial"/>
                <w:color w:val="000000"/>
              </w:rPr>
            </w:pPr>
            <w:r w:rsidRPr="00FC6EF2">
              <w:rPr>
                <w:rFonts w:cs="Arial"/>
                <w:color w:val="000000"/>
              </w:rPr>
              <w:t>848,128</w:t>
            </w:r>
          </w:p>
        </w:tc>
        <w:tc>
          <w:tcPr>
            <w:tcW w:w="1530" w:type="dxa"/>
            <w:noWrap/>
            <w:hideMark/>
          </w:tcPr>
          <w:p w14:paraId="0C5EBD8E" w14:textId="77777777" w:rsidR="006A71C9" w:rsidRPr="00FC6EF2" w:rsidRDefault="006A71C9" w:rsidP="00401F86">
            <w:pPr>
              <w:jc w:val="right"/>
              <w:rPr>
                <w:rFonts w:cs="Arial"/>
                <w:color w:val="000000"/>
              </w:rPr>
            </w:pPr>
            <w:r w:rsidRPr="00FC6EF2">
              <w:rPr>
                <w:rFonts w:cs="Arial"/>
                <w:color w:val="000000"/>
              </w:rPr>
              <w:t>9,826</w:t>
            </w:r>
          </w:p>
        </w:tc>
        <w:tc>
          <w:tcPr>
            <w:tcW w:w="1530" w:type="dxa"/>
            <w:noWrap/>
            <w:hideMark/>
          </w:tcPr>
          <w:p w14:paraId="299AAD0E" w14:textId="77777777" w:rsidR="006A71C9" w:rsidRPr="00FC6EF2" w:rsidRDefault="006A71C9" w:rsidP="00401F86">
            <w:pPr>
              <w:jc w:val="right"/>
              <w:rPr>
                <w:rFonts w:cs="Arial"/>
                <w:color w:val="000000"/>
              </w:rPr>
            </w:pPr>
            <w:r w:rsidRPr="00FC6EF2">
              <w:rPr>
                <w:rFonts w:cs="Arial"/>
                <w:color w:val="000000"/>
              </w:rPr>
              <w:t>1.16%</w:t>
            </w:r>
          </w:p>
        </w:tc>
      </w:tr>
    </w:tbl>
    <w:p w14:paraId="1450D052" w14:textId="77777777" w:rsidR="00401F86" w:rsidRPr="00FC6EF2" w:rsidRDefault="00401F86" w:rsidP="00401F86">
      <w:pPr>
        <w:spacing w:after="160" w:line="259" w:lineRule="auto"/>
        <w:rPr>
          <w:rFonts w:eastAsia="Arial" w:cs="Arial"/>
          <w:color w:val="000000" w:themeColor="text1"/>
        </w:rPr>
      </w:pPr>
    </w:p>
    <w:p w14:paraId="7B54883E" w14:textId="77777777" w:rsidR="00401F86" w:rsidRPr="00FC6EF2" w:rsidRDefault="00401F86" w:rsidP="00401F86">
      <w:pPr>
        <w:spacing w:after="160" w:line="259" w:lineRule="auto"/>
        <w:rPr>
          <w:rFonts w:eastAsia="Arial" w:cs="Arial"/>
          <w:color w:val="000000" w:themeColor="text1"/>
        </w:rPr>
        <w:sectPr w:rsidR="00401F86" w:rsidRPr="00FC6EF2" w:rsidSect="009B2C6C">
          <w:pgSz w:w="15840" w:h="12240" w:orient="landscape" w:code="1"/>
          <w:pgMar w:top="1440" w:right="1080" w:bottom="1440" w:left="1080" w:header="720" w:footer="720" w:gutter="0"/>
          <w:cols w:space="720"/>
          <w:docGrid w:linePitch="360"/>
        </w:sectPr>
      </w:pPr>
    </w:p>
    <w:p w14:paraId="2E33C067" w14:textId="1C26DE1E" w:rsidR="004D047F" w:rsidRPr="00FC6EF2" w:rsidRDefault="231891FD" w:rsidP="00692126">
      <w:pPr>
        <w:spacing w:after="240"/>
        <w:rPr>
          <w:rFonts w:eastAsia="Arial" w:cs="Arial"/>
          <w:color w:val="000000" w:themeColor="text1"/>
        </w:rPr>
      </w:pPr>
      <w:r w:rsidRPr="00FC6EF2">
        <w:rPr>
          <w:rFonts w:eastAsia="Arial" w:cs="Arial"/>
          <w:b/>
          <w:bCs/>
        </w:rPr>
        <w:lastRenderedPageBreak/>
        <w:t>Requirement 3</w:t>
      </w:r>
      <w:r w:rsidR="00E564B9" w:rsidRPr="00FC6EF2">
        <w:rPr>
          <w:rFonts w:eastAsia="Arial" w:cs="Arial"/>
          <w:b/>
          <w:bCs/>
        </w:rPr>
        <w:t>—</w:t>
      </w:r>
      <w:r w:rsidRPr="00FC6EF2">
        <w:rPr>
          <w:rFonts w:eastAsia="Arial" w:cs="Arial"/>
          <w:b/>
          <w:bCs/>
          <w:color w:val="000000" w:themeColor="text1"/>
        </w:rPr>
        <w:t>34</w:t>
      </w:r>
      <w:r w:rsidRPr="00FC6EF2">
        <w:rPr>
          <w:rFonts w:eastAsia="Arial" w:cs="Arial"/>
          <w:b/>
          <w:color w:val="000000" w:themeColor="text1"/>
        </w:rPr>
        <w:t xml:space="preserve"> </w:t>
      </w:r>
      <w:r w:rsidRPr="00FC6EF2">
        <w:rPr>
          <w:rFonts w:eastAsia="Arial" w:cs="Arial"/>
          <w:b/>
          <w:i/>
          <w:color w:val="000000" w:themeColor="text1"/>
        </w:rPr>
        <w:t>CFR</w:t>
      </w:r>
      <w:r w:rsidRPr="00FC6EF2">
        <w:rPr>
          <w:rFonts w:eastAsia="Arial" w:cs="Arial"/>
          <w:b/>
          <w:color w:val="000000" w:themeColor="text1"/>
        </w:rPr>
        <w:t xml:space="preserve"> Section 200.6(c)(4)(iii)</w:t>
      </w:r>
      <w:r w:rsidRPr="00FC6EF2">
        <w:rPr>
          <w:rFonts w:eastAsia="Arial" w:cs="Arial"/>
          <w:color w:val="000000" w:themeColor="text1"/>
        </w:rPr>
        <w:t>:</w:t>
      </w:r>
      <w:r w:rsidRPr="00FC6EF2">
        <w:rPr>
          <w:rFonts w:eastAsia="Arial" w:cs="Arial"/>
          <w:b/>
          <w:bCs/>
          <w:color w:val="000000" w:themeColor="text1"/>
        </w:rPr>
        <w:t xml:space="preserve"> </w:t>
      </w:r>
      <w:r w:rsidRPr="00FC6EF2">
        <w:rPr>
          <w:rFonts w:eastAsia="Arial" w:cs="Arial"/>
          <w:color w:val="000000" w:themeColor="text1"/>
        </w:rPr>
        <w:t xml:space="preserve">Provide assurances that the state has verified that each LEA that the state anticipates will assess more than 1.0 percent of its assessed students in a subject using the AA-AAAS </w:t>
      </w:r>
      <w:r w:rsidR="797DD1B7" w:rsidRPr="00FC6EF2">
        <w:rPr>
          <w:rFonts w:eastAsia="Arial" w:cs="Arial"/>
          <w:color w:val="000000" w:themeColor="text1"/>
        </w:rPr>
        <w:t>followed</w:t>
      </w:r>
      <w:r w:rsidRPr="00FC6EF2">
        <w:rPr>
          <w:rFonts w:eastAsia="Arial" w:cs="Arial"/>
          <w:color w:val="000000" w:themeColor="text1"/>
        </w:rPr>
        <w:t xml:space="preserve"> the </w:t>
      </w:r>
      <w:r w:rsidR="797DD1B7" w:rsidRPr="00FC6EF2">
        <w:rPr>
          <w:rFonts w:eastAsia="Arial" w:cs="Arial"/>
          <w:color w:val="000000" w:themeColor="text1"/>
        </w:rPr>
        <w:t>State's guidelines for students with the most significant cognitive disability</w:t>
      </w:r>
      <w:r w:rsidR="78DFAA0D" w:rsidRPr="00FC6EF2">
        <w:rPr>
          <w:rFonts w:eastAsia="Arial" w:cs="Arial"/>
          <w:color w:val="000000" w:themeColor="text1"/>
        </w:rPr>
        <w:t>.</w:t>
      </w:r>
      <w:r w:rsidRPr="00FC6EF2">
        <w:rPr>
          <w:rFonts w:eastAsia="Arial" w:cs="Arial"/>
          <w:color w:val="000000" w:themeColor="text1"/>
        </w:rPr>
        <w:t xml:space="preserve">  </w:t>
      </w:r>
    </w:p>
    <w:p w14:paraId="51476D3D" w14:textId="361E8AE3" w:rsidR="00401F86" w:rsidRPr="00FC6EF2" w:rsidRDefault="231891FD" w:rsidP="00692126">
      <w:pPr>
        <w:spacing w:after="240"/>
        <w:rPr>
          <w:rFonts w:eastAsia="Arial"/>
          <w:color w:val="000000" w:themeColor="text1"/>
        </w:rPr>
      </w:pPr>
      <w:r w:rsidRPr="00FC6EF2">
        <w:rPr>
          <w:rFonts w:eastAsia="Arial" w:cs="Arial"/>
          <w:color w:val="000000" w:themeColor="text1"/>
        </w:rPr>
        <w:t>California had all the LEAs in the state submit a two-part Justification Form. Part A of the form is completed by all the LEAs and provides participation projections for the spring assessment administration. If the LEA anticipated exceeding the 1.0 percent threshold of students who w</w:t>
      </w:r>
      <w:r w:rsidR="00415879" w:rsidRPr="00FC6EF2">
        <w:rPr>
          <w:rFonts w:eastAsia="Arial" w:cs="Arial"/>
          <w:color w:val="000000" w:themeColor="text1"/>
        </w:rPr>
        <w:t>ould</w:t>
      </w:r>
      <w:r w:rsidRPr="00FC6EF2">
        <w:rPr>
          <w:rFonts w:eastAsia="Arial" w:cs="Arial"/>
          <w:color w:val="000000" w:themeColor="text1"/>
        </w:rPr>
        <w:t xml:space="preserve"> be assessed using the AA-AAAS, the LEA was required to complete Part B and provide a written justification. The CDE’s </w:t>
      </w:r>
      <w:r w:rsidRPr="00FC6EF2">
        <w:rPr>
          <w:rFonts w:eastAsia="Arial" w:cs="Arial"/>
        </w:rPr>
        <w:t>1 Percent Threshold on Alternate Assessments</w:t>
      </w:r>
      <w:r w:rsidRPr="00FC6EF2">
        <w:rPr>
          <w:rFonts w:eastAsia="Arial" w:cs="Arial"/>
          <w:color w:val="000000" w:themeColor="text1"/>
        </w:rPr>
        <w:t xml:space="preserve"> web page at </w:t>
      </w:r>
      <w:hyperlink r:id="rId37" w:tooltip="This link opens the CDE’s 1 Percent Threshold on Alternate Assessments web page." w:history="1">
        <w:r w:rsidR="00EF3394" w:rsidRPr="00FC6EF2">
          <w:rPr>
            <w:rStyle w:val="Hyperlink"/>
            <w:rFonts w:eastAsia="Arial" w:cs="Arial"/>
          </w:rPr>
          <w:t>https://www.cde.ca.gov/ta/tg/ca/caaonepercent.asp</w:t>
        </w:r>
      </w:hyperlink>
      <w:r w:rsidRPr="00FC6EF2">
        <w:rPr>
          <w:rFonts w:eastAsia="Arial" w:cs="Arial"/>
          <w:color w:val="000000" w:themeColor="text1"/>
        </w:rPr>
        <w:t xml:space="preserve"> provides information on this requirement. </w:t>
      </w:r>
    </w:p>
    <w:p w14:paraId="3C3695F3" w14:textId="1100CFC8" w:rsidR="00401F86" w:rsidRPr="00FC6EF2" w:rsidRDefault="231891FD" w:rsidP="00692126">
      <w:pPr>
        <w:spacing w:after="240"/>
        <w:rPr>
          <w:rFonts w:eastAsia="Arial" w:cs="Arial"/>
          <w:color w:val="000000" w:themeColor="text1"/>
        </w:rPr>
      </w:pPr>
      <w:r w:rsidRPr="00FC6EF2">
        <w:rPr>
          <w:rFonts w:eastAsia="Arial" w:cs="Arial"/>
          <w:color w:val="000000" w:themeColor="text1"/>
        </w:rPr>
        <w:t xml:space="preserve">LEAs were required to submit the justification form to the CDE by October 22, 2021. The </w:t>
      </w:r>
      <w:r w:rsidR="6AEE7A6F" w:rsidRPr="00FC6EF2">
        <w:rPr>
          <w:rFonts w:eastAsia="Arial" w:cs="Arial"/>
          <w:color w:val="000000" w:themeColor="text1"/>
        </w:rPr>
        <w:t>j</w:t>
      </w:r>
      <w:r w:rsidRPr="00FC6EF2">
        <w:rPr>
          <w:rFonts w:eastAsia="Arial" w:cs="Arial"/>
          <w:color w:val="000000" w:themeColor="text1"/>
        </w:rPr>
        <w:t xml:space="preserve">ustification form for 2021–22 includes assurances that the LEA has ensured that its educators have been trained on the state guidelines and that IEP teams are adhering to the state’s identified criteria of eligibility in making participation decisions for students who participate in the AA-AAAS. Allowance is made for the LEA to provide further explanation on the reasons for exceeding the 1.0 percent cap. The LEA assessment coordinator is required to sign the justification document to provide assurance that the contents of the LEA’s plan are accurate: </w:t>
      </w:r>
    </w:p>
    <w:p w14:paraId="15236E7C" w14:textId="796DA41B" w:rsidR="00401F86" w:rsidRPr="00FC6EF2" w:rsidRDefault="208C8888" w:rsidP="00692126">
      <w:pPr>
        <w:spacing w:after="240"/>
        <w:ind w:right="360"/>
        <w:rPr>
          <w:rFonts w:eastAsia="Arial" w:cs="Arial"/>
          <w:color w:val="000000" w:themeColor="text1"/>
        </w:rPr>
      </w:pPr>
      <w:r w:rsidRPr="00FC6EF2">
        <w:rPr>
          <w:rFonts w:eastAsia="Arial" w:cs="Arial"/>
          <w:color w:val="000000" w:themeColor="text1"/>
        </w:rPr>
        <w:t>By submitting th</w:t>
      </w:r>
      <w:r w:rsidR="7BBD89E3" w:rsidRPr="00FC6EF2">
        <w:rPr>
          <w:rFonts w:eastAsia="Arial" w:cs="Arial"/>
          <w:color w:val="000000" w:themeColor="text1"/>
        </w:rPr>
        <w:t>e justification form</w:t>
      </w:r>
      <w:r w:rsidRPr="00FC6EF2">
        <w:rPr>
          <w:rFonts w:eastAsia="Arial" w:cs="Arial"/>
          <w:color w:val="000000" w:themeColor="text1"/>
        </w:rPr>
        <w:t>, the LEA certifie</w:t>
      </w:r>
      <w:r w:rsidR="7BBD89E3" w:rsidRPr="00FC6EF2">
        <w:rPr>
          <w:rFonts w:eastAsia="Arial" w:cs="Arial"/>
          <w:color w:val="000000" w:themeColor="text1"/>
        </w:rPr>
        <w:t>d</w:t>
      </w:r>
      <w:r w:rsidRPr="00FC6EF2">
        <w:rPr>
          <w:rFonts w:eastAsia="Arial" w:cs="Arial"/>
          <w:color w:val="000000" w:themeColor="text1"/>
        </w:rPr>
        <w:t xml:space="preserve"> that </w:t>
      </w:r>
      <w:r w:rsidR="7BBD89E3" w:rsidRPr="00FC6EF2">
        <w:rPr>
          <w:rFonts w:eastAsia="Arial" w:cs="Arial"/>
          <w:color w:val="000000" w:themeColor="text1"/>
        </w:rPr>
        <w:t xml:space="preserve">eligible </w:t>
      </w:r>
      <w:r w:rsidRPr="00FC6EF2">
        <w:rPr>
          <w:rFonts w:eastAsia="Arial" w:cs="Arial"/>
          <w:color w:val="000000" w:themeColor="text1"/>
        </w:rPr>
        <w:t>students identified to take the CAAs met the criteria below (34</w:t>
      </w:r>
      <w:r w:rsidRPr="00FC6EF2">
        <w:rPr>
          <w:rFonts w:eastAsia="Arial" w:cs="Arial"/>
          <w:i/>
          <w:iCs/>
          <w:color w:val="000000" w:themeColor="text1"/>
        </w:rPr>
        <w:t xml:space="preserve"> CFR</w:t>
      </w:r>
      <w:r w:rsidRPr="00FC6EF2">
        <w:rPr>
          <w:rFonts w:eastAsia="Arial" w:cs="Arial"/>
          <w:color w:val="000000" w:themeColor="text1"/>
        </w:rPr>
        <w:t xml:space="preserve"> Section 200.6) for students with the most significant cognitive disabilities enrolled in th</w:t>
      </w:r>
      <w:r w:rsidR="00640D5C" w:rsidRPr="00FC6EF2">
        <w:rPr>
          <w:rFonts w:eastAsia="Arial" w:cs="Arial"/>
          <w:color w:val="000000" w:themeColor="text1"/>
        </w:rPr>
        <w:t>e</w:t>
      </w:r>
      <w:r w:rsidRPr="00FC6EF2">
        <w:rPr>
          <w:rFonts w:eastAsia="Arial" w:cs="Arial"/>
          <w:color w:val="000000" w:themeColor="text1"/>
        </w:rPr>
        <w:t xml:space="preserve"> LEA. </w:t>
      </w:r>
    </w:p>
    <w:p w14:paraId="0B525168" w14:textId="77777777" w:rsidR="00401F86" w:rsidRPr="00FC6EF2" w:rsidRDefault="231891FD" w:rsidP="00692126">
      <w:pPr>
        <w:numPr>
          <w:ilvl w:val="0"/>
          <w:numId w:val="10"/>
        </w:numPr>
        <w:spacing w:after="240"/>
        <w:ind w:right="360"/>
        <w:rPr>
          <w:rFonts w:eastAsia="Arial" w:cs="Arial"/>
          <w:color w:val="000000" w:themeColor="text1"/>
        </w:rPr>
      </w:pPr>
      <w:r w:rsidRPr="00FC6EF2">
        <w:rPr>
          <w:rFonts w:eastAsia="Arial" w:cs="Arial"/>
          <w:color w:val="000000" w:themeColor="text1"/>
        </w:rPr>
        <w:t>All students identified for alternate assessment have been determined to be the most significantly cognitively impaired, including factors related to cognitive functioning and adaptive behavior, within the LEA.</w:t>
      </w:r>
    </w:p>
    <w:p w14:paraId="7009CBC2" w14:textId="77777777" w:rsidR="00401F86" w:rsidRPr="00FC6EF2" w:rsidRDefault="231891FD" w:rsidP="00692126">
      <w:pPr>
        <w:numPr>
          <w:ilvl w:val="0"/>
          <w:numId w:val="10"/>
        </w:numPr>
        <w:spacing w:after="240"/>
        <w:ind w:right="1440"/>
        <w:rPr>
          <w:rFonts w:eastAsia="Arial" w:cs="Arial"/>
          <w:color w:val="000000" w:themeColor="text1"/>
        </w:rPr>
      </w:pPr>
      <w:r w:rsidRPr="00FC6EF2">
        <w:rPr>
          <w:rFonts w:eastAsia="Arial" w:cs="Arial"/>
          <w:color w:val="000000" w:themeColor="text1"/>
        </w:rPr>
        <w:t>All students identified for alternate assessment have been shown to require extensive, direct individualized instruction and substantial supports to achieve measurable gains on the challenging state alternate academic achievement content standards for the grade in which the student is enrolled.</w:t>
      </w:r>
    </w:p>
    <w:p w14:paraId="42DACE88" w14:textId="36A5E871" w:rsidR="00D23549" w:rsidRPr="00FC6EF2" w:rsidRDefault="231891FD" w:rsidP="00692126">
      <w:pPr>
        <w:numPr>
          <w:ilvl w:val="0"/>
          <w:numId w:val="10"/>
        </w:numPr>
        <w:spacing w:after="240"/>
        <w:ind w:right="1440"/>
        <w:rPr>
          <w:rFonts w:eastAsia="Arial" w:cs="Arial"/>
          <w:color w:val="000000" w:themeColor="text1"/>
        </w:rPr>
      </w:pPr>
      <w:r w:rsidRPr="00FC6EF2">
        <w:rPr>
          <w:rFonts w:eastAsia="Arial" w:cs="Arial"/>
          <w:color w:val="000000" w:themeColor="text1"/>
        </w:rPr>
        <w:t>Students with the most significant cognitive disabilities are not identified solely on the basis of the student’s previous low academic achievement, or the student’s previous need for accommodations to participate in general state or districtwide assessments.</w:t>
      </w:r>
      <w:r w:rsidR="00401F86" w:rsidRPr="00FC6EF2">
        <w:br/>
      </w:r>
    </w:p>
    <w:p w14:paraId="17DE67FB" w14:textId="1061BE86" w:rsidR="00401F86" w:rsidRPr="00FC6EF2" w:rsidRDefault="01CEB48A" w:rsidP="00692126">
      <w:pPr>
        <w:keepNext/>
        <w:keepLines/>
        <w:spacing w:after="240"/>
        <w:rPr>
          <w:color w:val="000000" w:themeColor="text1"/>
        </w:rPr>
      </w:pPr>
      <w:r w:rsidRPr="00FC6EF2">
        <w:rPr>
          <w:rFonts w:eastAsia="Arial" w:cs="Arial"/>
          <w:b/>
          <w:bCs/>
        </w:rPr>
        <w:lastRenderedPageBreak/>
        <w:t>Requirement 4</w:t>
      </w:r>
      <w:r w:rsidR="000C181A" w:rsidRPr="00FC6EF2">
        <w:rPr>
          <w:rFonts w:eastAsia="Arial" w:cs="Arial"/>
          <w:b/>
          <w:bCs/>
        </w:rPr>
        <w:t>—</w:t>
      </w:r>
      <w:r w:rsidRPr="00FC6EF2">
        <w:rPr>
          <w:rFonts w:eastAsia="Arial" w:cs="Arial"/>
          <w:b/>
          <w:bCs/>
        </w:rPr>
        <w:t>(§200.6(c)(4)(iv)):</w:t>
      </w:r>
      <w:r w:rsidRPr="00FC6EF2">
        <w:rPr>
          <w:color w:val="000000" w:themeColor="text1"/>
        </w:rPr>
        <w:t xml:space="preserve"> Submit a plan and timeline by which the following will be accomplished: (A) State will improve the implementation of its participation guidelines, including if necessary, revising its definition of “students with the most significant cognitive disabilities”; (B) State will take additional steps to support and provide appropriate oversight to each LEA that the state anticipates will assess more than 1.0 percent with the AA-AAAS to ensure that only students with the most significant cognitive disabilities take the AA-AAAS (this must include a description of how the state will monitor and regularly evaluate each of these LEAs to ensure that the LEA provides sufficient training for IEP team members); and (C) state will address any disproportionality in the percentage of students taking the AA-AAAS.</w:t>
      </w:r>
    </w:p>
    <w:p w14:paraId="03CC5E46" w14:textId="0984F650" w:rsidR="00401F86" w:rsidRPr="00FC6EF2" w:rsidRDefault="231891FD" w:rsidP="00AE75A1">
      <w:pPr>
        <w:pStyle w:val="Heading4"/>
      </w:pPr>
      <w:r w:rsidRPr="00FC6EF2">
        <w:rPr>
          <w:rFonts w:eastAsia="Arial"/>
        </w:rPr>
        <w:t xml:space="preserve">California’s Waiver Plan for 2021–22 </w:t>
      </w:r>
    </w:p>
    <w:p w14:paraId="52494346" w14:textId="77777777" w:rsidR="00401F86" w:rsidRPr="00FC6EF2" w:rsidRDefault="00401F86" w:rsidP="00692126">
      <w:pPr>
        <w:spacing w:after="240"/>
        <w:rPr>
          <w:rFonts w:eastAsia="Arial" w:cs="Arial"/>
          <w:color w:val="000000" w:themeColor="text1"/>
        </w:rPr>
      </w:pPr>
      <w:r w:rsidRPr="00FC6EF2">
        <w:rPr>
          <w:rFonts w:eastAsia="Arial" w:cs="Arial"/>
          <w:color w:val="000000" w:themeColor="text1"/>
        </w:rPr>
        <w:t xml:space="preserve">The state will continue to meet all other requirements of Section 1111 of the ESEA as well as implement regulations with respect to all state-determined academic standards and assessments, including reporting student achievement and school performance, disaggregated by student groups, to parents and the public. </w:t>
      </w:r>
    </w:p>
    <w:p w14:paraId="5FA6B5D6" w14:textId="215047BF" w:rsidR="00401F86" w:rsidRPr="00FC6EF2" w:rsidRDefault="3CDD7E2A" w:rsidP="00692126">
      <w:pPr>
        <w:spacing w:after="240"/>
        <w:rPr>
          <w:rFonts w:eastAsia="Arial" w:cs="Arial"/>
          <w:color w:val="000000" w:themeColor="text1"/>
        </w:rPr>
      </w:pPr>
      <w:r w:rsidRPr="00FC6EF2">
        <w:rPr>
          <w:rFonts w:eastAsia="Arial" w:cs="Arial"/>
          <w:color w:val="000000" w:themeColor="text1"/>
        </w:rPr>
        <w:t>The state plan and timeline intended to address the reduction of percentages exceeding the 1</w:t>
      </w:r>
      <w:r w:rsidR="00586C55" w:rsidRPr="00FC6EF2">
        <w:rPr>
          <w:rFonts w:eastAsia="Arial" w:cs="Arial"/>
          <w:color w:val="000000" w:themeColor="text1"/>
        </w:rPr>
        <w:t>.0</w:t>
      </w:r>
      <w:r w:rsidRPr="00FC6EF2">
        <w:rPr>
          <w:rFonts w:eastAsia="Arial" w:cs="Arial"/>
          <w:color w:val="000000" w:themeColor="text1"/>
        </w:rPr>
        <w:t xml:space="preserve"> percent cap of alternate assessment participation will be included, pursuant to the additional federal requirements detailed in 34 CFR Section 200.6(c)(4). This plan will also include clarification of state guidelines, professional development, oversight, and support for identified areas of need. Consistent with the plan submitted in this waiver request, the CDE will implement system improvements and monitor future administrations to avoid exceeding the 1</w:t>
      </w:r>
      <w:r w:rsidR="006E0F5F" w:rsidRPr="00FC6EF2">
        <w:rPr>
          <w:rFonts w:eastAsia="Arial" w:cs="Arial"/>
          <w:color w:val="000000" w:themeColor="text1"/>
        </w:rPr>
        <w:t>.0</w:t>
      </w:r>
      <w:r w:rsidRPr="00FC6EF2">
        <w:rPr>
          <w:rFonts w:eastAsia="Arial" w:cs="Arial"/>
          <w:color w:val="000000" w:themeColor="text1"/>
        </w:rPr>
        <w:t xml:space="preserve"> percent cap. </w:t>
      </w:r>
    </w:p>
    <w:p w14:paraId="78F65663" w14:textId="0C4764D8" w:rsidR="57EEB976" w:rsidRPr="00FC6EF2" w:rsidRDefault="57EEB976" w:rsidP="00692126">
      <w:pPr>
        <w:pStyle w:val="ListParagraph"/>
        <w:numPr>
          <w:ilvl w:val="0"/>
          <w:numId w:val="56"/>
        </w:numPr>
        <w:spacing w:after="240"/>
        <w:contextualSpacing w:val="0"/>
        <w:rPr>
          <w:rFonts w:asciiTheme="minorHAnsi" w:eastAsiaTheme="minorEastAsia" w:hAnsiTheme="minorHAnsi" w:cstheme="minorBidi"/>
          <w:color w:val="000000" w:themeColor="text1"/>
        </w:rPr>
      </w:pPr>
      <w:r w:rsidRPr="00FC6EF2">
        <w:rPr>
          <w:rFonts w:eastAsia="Arial" w:cs="Arial"/>
        </w:rPr>
        <w:t xml:space="preserve">A clear description of how the State will improve the implementation of its guidelines for participation in the AA-AAAS, including by reviewing the definition of students with the most significant cognitive disabilities (see 34 </w:t>
      </w:r>
      <w:r w:rsidRPr="00FC6EF2">
        <w:rPr>
          <w:rFonts w:eastAsia="Arial" w:cs="Arial"/>
          <w:i/>
          <w:iCs/>
        </w:rPr>
        <w:t>CFR</w:t>
      </w:r>
      <w:r w:rsidRPr="00FC6EF2">
        <w:rPr>
          <w:rFonts w:eastAsia="Arial" w:cs="Arial"/>
        </w:rPr>
        <w:t xml:space="preserve"> 200.6</w:t>
      </w:r>
      <w:r w:rsidR="00730498" w:rsidRPr="00FC6EF2">
        <w:rPr>
          <w:rFonts w:eastAsia="Arial" w:cs="Arial"/>
        </w:rPr>
        <w:t>[</w:t>
      </w:r>
      <w:r w:rsidRPr="00FC6EF2">
        <w:rPr>
          <w:rFonts w:eastAsia="Arial" w:cs="Arial"/>
        </w:rPr>
        <w:t>c</w:t>
      </w:r>
      <w:r w:rsidR="00730498" w:rsidRPr="00FC6EF2">
        <w:rPr>
          <w:rFonts w:eastAsia="Arial" w:cs="Arial"/>
        </w:rPr>
        <w:t>][</w:t>
      </w:r>
      <w:r w:rsidRPr="00FC6EF2">
        <w:rPr>
          <w:rFonts w:eastAsia="Arial" w:cs="Arial"/>
        </w:rPr>
        <w:t>4</w:t>
      </w:r>
      <w:r w:rsidR="00730498" w:rsidRPr="00FC6EF2">
        <w:rPr>
          <w:rFonts w:eastAsia="Arial" w:cs="Arial"/>
        </w:rPr>
        <w:t>][</w:t>
      </w:r>
      <w:r w:rsidRPr="00FC6EF2">
        <w:rPr>
          <w:rFonts w:eastAsia="Arial" w:cs="Arial"/>
        </w:rPr>
        <w:t>iv</w:t>
      </w:r>
      <w:r w:rsidR="00730498" w:rsidRPr="00FC6EF2">
        <w:rPr>
          <w:rFonts w:eastAsia="Arial" w:cs="Arial"/>
        </w:rPr>
        <w:t>][</w:t>
      </w:r>
      <w:r w:rsidRPr="00FC6EF2">
        <w:rPr>
          <w:rFonts w:eastAsia="Arial" w:cs="Arial"/>
        </w:rPr>
        <w:t>A</w:t>
      </w:r>
      <w:r w:rsidR="00730498" w:rsidRPr="00FC6EF2">
        <w:rPr>
          <w:rFonts w:eastAsia="Arial" w:cs="Arial"/>
        </w:rPr>
        <w:t>]</w:t>
      </w:r>
      <w:r w:rsidRPr="00FC6EF2">
        <w:rPr>
          <w:rFonts w:eastAsia="Arial" w:cs="Arial"/>
        </w:rPr>
        <w:t>), so that the State meets the 1.0 percent cap in each subject for which assessments are administered in future school years;</w:t>
      </w:r>
    </w:p>
    <w:p w14:paraId="7D2ABA2E" w14:textId="304526F6" w:rsidR="231891FD" w:rsidRPr="00FC6EF2" w:rsidRDefault="231891FD" w:rsidP="00692126">
      <w:pPr>
        <w:spacing w:after="240"/>
        <w:ind w:left="720"/>
        <w:rPr>
          <w:rFonts w:eastAsia="Arial" w:cs="Arial"/>
          <w:color w:val="000000" w:themeColor="text1"/>
        </w:rPr>
      </w:pPr>
      <w:r w:rsidRPr="00FC6EF2">
        <w:rPr>
          <w:rFonts w:eastAsia="Arial" w:cs="Arial"/>
          <w:color w:val="000000" w:themeColor="text1"/>
        </w:rPr>
        <w:t xml:space="preserve">The CDE revised its guidelines to clarify that students identified with a specific learning disability do not meet the criteria for identification as significantly cognitively impaired. This revised guidance has been added to </w:t>
      </w:r>
      <w:r w:rsidR="00640D5C" w:rsidRPr="00FC6EF2">
        <w:rPr>
          <w:rFonts w:eastAsia="Arial" w:cs="Arial"/>
          <w:color w:val="000000" w:themeColor="text1"/>
        </w:rPr>
        <w:t xml:space="preserve">the </w:t>
      </w:r>
      <w:r w:rsidRPr="00FC6EF2">
        <w:rPr>
          <w:rFonts w:eastAsia="Arial" w:cs="Arial"/>
          <w:color w:val="000000" w:themeColor="text1"/>
        </w:rPr>
        <w:t>state decision-making tool.</w:t>
      </w:r>
    </w:p>
    <w:p w14:paraId="4CAC65D1" w14:textId="433987DF" w:rsidR="208C8888" w:rsidRPr="00FC6EF2" w:rsidRDefault="208C8888" w:rsidP="00692126">
      <w:pPr>
        <w:spacing w:after="240"/>
        <w:ind w:left="720"/>
        <w:rPr>
          <w:rFonts w:eastAsia="Arial" w:cs="Arial"/>
          <w:color w:val="000000" w:themeColor="text1"/>
        </w:rPr>
      </w:pPr>
      <w:r w:rsidRPr="00FC6EF2">
        <w:rPr>
          <w:rFonts w:eastAsia="Arial" w:cs="Arial"/>
          <w:color w:val="000000" w:themeColor="text1"/>
        </w:rPr>
        <w:t xml:space="preserve">The </w:t>
      </w:r>
      <w:r w:rsidRPr="00FC6EF2">
        <w:rPr>
          <w:rFonts w:eastAsia="Arial" w:cs="Arial"/>
        </w:rPr>
        <w:t>Alternate Assessment Decision Confirmation Workshee</w:t>
      </w:r>
      <w:r w:rsidRPr="00FC6EF2">
        <w:rPr>
          <w:rFonts w:eastAsia="Arial" w:cs="Arial"/>
          <w:color w:val="000000" w:themeColor="text1"/>
        </w:rPr>
        <w:t>t (</w:t>
      </w:r>
      <w:hyperlink r:id="rId38" w:tooltip="This link opens the Alternate Assessment Decision Confirmation Worksheet." w:history="1">
        <w:r w:rsidRPr="00FC6EF2">
          <w:rPr>
            <w:rFonts w:eastAsia="Arial" w:cs="Arial"/>
            <w:color w:val="0000FF"/>
            <w:u w:val="single"/>
          </w:rPr>
          <w:t>https://www.cde.ca.gov/ta/tg/ca/documents/altassessmentdecision.pdf</w:t>
        </w:r>
      </w:hyperlink>
      <w:r w:rsidRPr="00FC6EF2">
        <w:rPr>
          <w:rFonts w:eastAsia="Arial" w:cs="Arial"/>
          <w:color w:val="000000" w:themeColor="text1"/>
        </w:rPr>
        <w:t xml:space="preserve">) is posted on the </w:t>
      </w:r>
      <w:r w:rsidR="00EB7FE1" w:rsidRPr="00FC6EF2">
        <w:rPr>
          <w:rFonts w:eastAsia="Arial" w:cs="Arial"/>
        </w:rPr>
        <w:t>CAA</w:t>
      </w:r>
      <w:r w:rsidRPr="00FC6EF2">
        <w:rPr>
          <w:rFonts w:eastAsia="Arial" w:cs="Arial"/>
        </w:rPr>
        <w:t xml:space="preserve">s for ELA and Math web page at </w:t>
      </w:r>
      <w:hyperlink r:id="rId39" w:tooltip="This link opens the California Alternate Assessments for ELA and Math web page." w:history="1">
        <w:r w:rsidRPr="00FC6EF2">
          <w:rPr>
            <w:rFonts w:eastAsia="Arial" w:cs="Arial"/>
            <w:color w:val="0000FF"/>
            <w:u w:val="single"/>
          </w:rPr>
          <w:t>https://www.cde.ca.gov/ta/tg/ca/altassessment.asp</w:t>
        </w:r>
      </w:hyperlink>
      <w:r w:rsidRPr="00FC6EF2">
        <w:rPr>
          <w:rFonts w:eastAsia="Arial" w:cs="Arial"/>
          <w:color w:val="000000" w:themeColor="text1"/>
        </w:rPr>
        <w:t xml:space="preserve"> and the </w:t>
      </w:r>
      <w:r w:rsidR="00EB7FE1" w:rsidRPr="00FC6EF2">
        <w:rPr>
          <w:rFonts w:eastAsia="Arial" w:cs="Arial"/>
        </w:rPr>
        <w:t>CAA</w:t>
      </w:r>
      <w:r w:rsidRPr="00FC6EF2">
        <w:rPr>
          <w:rFonts w:eastAsia="Arial" w:cs="Arial"/>
        </w:rPr>
        <w:t xml:space="preserve"> for Science</w:t>
      </w:r>
      <w:r w:rsidRPr="00FC6EF2">
        <w:rPr>
          <w:rFonts w:eastAsia="Arial" w:cs="Arial"/>
          <w:color w:val="000000" w:themeColor="text1"/>
        </w:rPr>
        <w:t xml:space="preserve"> web page at </w:t>
      </w:r>
      <w:hyperlink r:id="rId40" w:tooltip="This link opens the California Alternate Assessment for Science web page." w:history="1">
        <w:r w:rsidRPr="00FC6EF2">
          <w:rPr>
            <w:rFonts w:eastAsia="Arial" w:cs="Arial"/>
            <w:color w:val="0000FF"/>
            <w:u w:val="single"/>
          </w:rPr>
          <w:t>https://www.cde.ca.gov/ta/tg/ca/caascience.asp</w:t>
        </w:r>
      </w:hyperlink>
      <w:r w:rsidRPr="00FC6EF2">
        <w:rPr>
          <w:rFonts w:eastAsia="Arial" w:cs="Arial"/>
          <w:color w:val="000000" w:themeColor="text1"/>
        </w:rPr>
        <w:t xml:space="preserve">. The decision to participate in the CAAs is made by </w:t>
      </w:r>
      <w:r w:rsidR="7BBD89E3" w:rsidRPr="00FC6EF2">
        <w:rPr>
          <w:rFonts w:eastAsia="Arial" w:cs="Arial"/>
          <w:color w:val="000000" w:themeColor="text1"/>
        </w:rPr>
        <w:t>students’</w:t>
      </w:r>
      <w:r w:rsidRPr="00FC6EF2">
        <w:rPr>
          <w:rFonts w:eastAsia="Arial" w:cs="Arial"/>
          <w:color w:val="000000" w:themeColor="text1"/>
        </w:rPr>
        <w:t xml:space="preserve"> individualized education program (IEP) team and documented accordingly in </w:t>
      </w:r>
      <w:r w:rsidR="7BBD89E3" w:rsidRPr="00FC6EF2">
        <w:rPr>
          <w:rFonts w:eastAsia="Arial" w:cs="Arial"/>
          <w:color w:val="000000" w:themeColor="text1"/>
        </w:rPr>
        <w:t xml:space="preserve">each </w:t>
      </w:r>
      <w:r w:rsidRPr="00FC6EF2">
        <w:rPr>
          <w:rFonts w:eastAsia="Arial" w:cs="Arial"/>
          <w:color w:val="000000" w:themeColor="text1"/>
        </w:rPr>
        <w:t xml:space="preserve">student's IEP. The CDE also created the following accompanying resources for IEP </w:t>
      </w:r>
      <w:r w:rsidR="000C1E2F" w:rsidRPr="00FC6EF2">
        <w:rPr>
          <w:rFonts w:eastAsia="Arial" w:cs="Arial"/>
          <w:color w:val="000000" w:themeColor="text1"/>
        </w:rPr>
        <w:t>t</w:t>
      </w:r>
      <w:r w:rsidRPr="00FC6EF2">
        <w:rPr>
          <w:rFonts w:eastAsia="Arial" w:cs="Arial"/>
          <w:color w:val="000000" w:themeColor="text1"/>
        </w:rPr>
        <w:t>eams</w:t>
      </w:r>
      <w:r w:rsidR="005F5E4F" w:rsidRPr="00FC6EF2">
        <w:rPr>
          <w:rFonts w:eastAsia="Arial" w:cs="Arial"/>
          <w:color w:val="000000" w:themeColor="text1"/>
        </w:rPr>
        <w:t>:</w:t>
      </w:r>
      <w:r w:rsidRPr="00FC6EF2">
        <w:rPr>
          <w:rFonts w:eastAsia="Arial" w:cs="Arial"/>
          <w:color w:val="000000" w:themeColor="text1"/>
        </w:rPr>
        <w:t xml:space="preserve"> </w:t>
      </w:r>
    </w:p>
    <w:p w14:paraId="1BACD2EB" w14:textId="1E396C75" w:rsidR="231891FD" w:rsidRPr="00FC6EF2" w:rsidRDefault="231891FD" w:rsidP="00692126">
      <w:pPr>
        <w:numPr>
          <w:ilvl w:val="0"/>
          <w:numId w:val="6"/>
        </w:numPr>
        <w:spacing w:after="240"/>
        <w:ind w:right="1440"/>
        <w:rPr>
          <w:rFonts w:eastAsia="Arial" w:cs="Arial"/>
          <w:color w:val="000000" w:themeColor="text1"/>
        </w:rPr>
      </w:pPr>
      <w:bookmarkStart w:id="4" w:name="_Hlk95893564"/>
      <w:r w:rsidRPr="00FC6EF2">
        <w:rPr>
          <w:rFonts w:eastAsia="Arial" w:cs="Arial"/>
          <w:color w:val="000000" w:themeColor="text1"/>
        </w:rPr>
        <w:lastRenderedPageBreak/>
        <w:t>IEP Teams Resources</w:t>
      </w:r>
      <w:bookmarkEnd w:id="4"/>
      <w:r w:rsidRPr="00FC6EF2">
        <w:rPr>
          <w:rFonts w:eastAsia="Arial" w:cs="Arial"/>
          <w:color w:val="000000" w:themeColor="text1"/>
        </w:rPr>
        <w:t xml:space="preserve"> flyer, which provides information on identifying the correct assessment for students and identifying appropriate accessibility resources for students</w:t>
      </w:r>
      <w:r w:rsidR="00A800D8" w:rsidRPr="00FC6EF2">
        <w:rPr>
          <w:rFonts w:eastAsia="Arial" w:cs="Arial"/>
          <w:color w:val="000000" w:themeColor="text1"/>
        </w:rPr>
        <w:t xml:space="preserve"> (</w:t>
      </w:r>
      <w:hyperlink r:id="rId41" w:tooltip="This link opens the IEP Teams Resources flyer on the CDE website." w:history="1">
        <w:r w:rsidR="00A800D8" w:rsidRPr="00FC6EF2">
          <w:rPr>
            <w:rStyle w:val="Hyperlink"/>
            <w:rFonts w:eastAsia="Arial" w:cs="Arial"/>
          </w:rPr>
          <w:t>https://www.cde.ca.gov/ta/tg/sa/documents/iepedresource.pdf</w:t>
        </w:r>
      </w:hyperlink>
      <w:r w:rsidR="00A800D8" w:rsidRPr="00FC6EF2">
        <w:rPr>
          <w:rFonts w:eastAsia="Arial" w:cs="Arial"/>
          <w:color w:val="000000" w:themeColor="text1"/>
        </w:rPr>
        <w:t xml:space="preserve">) </w:t>
      </w:r>
    </w:p>
    <w:p w14:paraId="5C6D2AF5" w14:textId="15BD45C4" w:rsidR="231891FD" w:rsidRPr="00FC6EF2" w:rsidRDefault="4902A8C8" w:rsidP="00692126">
      <w:pPr>
        <w:numPr>
          <w:ilvl w:val="0"/>
          <w:numId w:val="6"/>
        </w:numPr>
        <w:spacing w:after="240"/>
        <w:ind w:right="1440"/>
        <w:rPr>
          <w:rFonts w:eastAsia="Arial" w:cs="Arial"/>
          <w:color w:val="000000" w:themeColor="text1"/>
        </w:rPr>
      </w:pPr>
      <w:r w:rsidRPr="00FC6EF2">
        <w:rPr>
          <w:rFonts w:eastAsia="Arial" w:cs="Arial"/>
          <w:color w:val="000000" w:themeColor="text1"/>
        </w:rPr>
        <w:t>Alternate Assessment IEP Team Guidance, which provides basic information on alternate assessments in California and specific participation criteria</w:t>
      </w:r>
      <w:r w:rsidR="53D00B1C" w:rsidRPr="00FC6EF2">
        <w:rPr>
          <w:rFonts w:eastAsia="Arial" w:cs="Arial"/>
          <w:color w:val="000000" w:themeColor="text1"/>
        </w:rPr>
        <w:t xml:space="preserve"> (</w:t>
      </w:r>
      <w:hyperlink r:id="rId42" w:tooltip="This link opens the Alternate Assessment IEP Team Guidance on the CDE website.">
        <w:r w:rsidR="53D00B1C" w:rsidRPr="00FC6EF2">
          <w:rPr>
            <w:rStyle w:val="Hyperlink"/>
            <w:rFonts w:eastAsia="Arial" w:cs="Arial"/>
          </w:rPr>
          <w:t>https://www.cde.ca.gov/ta/tg/ca/caaiepteamrev.asp</w:t>
        </w:r>
      </w:hyperlink>
      <w:r w:rsidR="53D00B1C" w:rsidRPr="00FC6EF2">
        <w:rPr>
          <w:rFonts w:eastAsia="Arial" w:cs="Arial"/>
          <w:color w:val="000000" w:themeColor="text1"/>
        </w:rPr>
        <w:t xml:space="preserve">) </w:t>
      </w:r>
    </w:p>
    <w:p w14:paraId="2ACD91A0" w14:textId="77777777" w:rsidR="00DF5787" w:rsidRPr="00FC6EF2" w:rsidRDefault="57EEB976" w:rsidP="001B06FB">
      <w:pPr>
        <w:pStyle w:val="ListParagraph"/>
        <w:numPr>
          <w:ilvl w:val="0"/>
          <w:numId w:val="56"/>
        </w:numPr>
        <w:spacing w:after="240"/>
        <w:contextualSpacing w:val="0"/>
        <w:rPr>
          <w:rFonts w:eastAsia="Arial" w:cs="Arial"/>
          <w:color w:val="000000" w:themeColor="text1"/>
        </w:rPr>
      </w:pPr>
      <w:r w:rsidRPr="00FC6EF2">
        <w:rPr>
          <w:rFonts w:eastAsia="Arial" w:cs="Arial"/>
        </w:rPr>
        <w:t xml:space="preserve">A clear description of how it will monitor and regularly evaluate each LEA to ensure that the LEA provides sufficient training such that school staff who participate as members of an IEP </w:t>
      </w:r>
      <w:r w:rsidR="00286A2A" w:rsidRPr="00FC6EF2">
        <w:rPr>
          <w:rFonts w:eastAsia="Arial" w:cs="Arial"/>
        </w:rPr>
        <w:t>t</w:t>
      </w:r>
      <w:r w:rsidRPr="00FC6EF2">
        <w:rPr>
          <w:rFonts w:eastAsia="Arial" w:cs="Arial"/>
        </w:rPr>
        <w:t xml:space="preserve">eam or other placement team understand and implement the guidelines established by the State for participation in an AA-AAAS so that all students are appropriately assessed (see 34 </w:t>
      </w:r>
      <w:r w:rsidRPr="00FC6EF2">
        <w:rPr>
          <w:rFonts w:eastAsia="Arial" w:cs="Arial"/>
          <w:i/>
          <w:iCs/>
        </w:rPr>
        <w:t>CFR</w:t>
      </w:r>
      <w:r w:rsidRPr="00FC6EF2">
        <w:rPr>
          <w:rFonts w:eastAsia="Arial" w:cs="Arial"/>
        </w:rPr>
        <w:t xml:space="preserve"> 200.6</w:t>
      </w:r>
      <w:r w:rsidR="00491985" w:rsidRPr="00FC6EF2">
        <w:rPr>
          <w:rFonts w:eastAsia="Arial" w:cs="Arial"/>
        </w:rPr>
        <w:t>[</w:t>
      </w:r>
      <w:r w:rsidRPr="00FC6EF2">
        <w:rPr>
          <w:rFonts w:eastAsia="Arial" w:cs="Arial"/>
        </w:rPr>
        <w:t>c</w:t>
      </w:r>
      <w:r w:rsidR="00491985" w:rsidRPr="00FC6EF2">
        <w:rPr>
          <w:rFonts w:eastAsia="Arial" w:cs="Arial"/>
        </w:rPr>
        <w:t>][</w:t>
      </w:r>
      <w:r w:rsidRPr="00FC6EF2">
        <w:rPr>
          <w:rFonts w:eastAsia="Arial" w:cs="Arial"/>
        </w:rPr>
        <w:t>4</w:t>
      </w:r>
      <w:r w:rsidR="00AD37BB" w:rsidRPr="00FC6EF2">
        <w:rPr>
          <w:rFonts w:eastAsia="Arial" w:cs="Arial"/>
        </w:rPr>
        <w:t>][</w:t>
      </w:r>
      <w:r w:rsidRPr="00FC6EF2">
        <w:rPr>
          <w:rFonts w:eastAsia="Arial" w:cs="Arial"/>
        </w:rPr>
        <w:t>iv</w:t>
      </w:r>
      <w:r w:rsidR="000D0326" w:rsidRPr="00FC6EF2">
        <w:rPr>
          <w:rFonts w:eastAsia="Arial" w:cs="Arial"/>
        </w:rPr>
        <w:t>][</w:t>
      </w:r>
      <w:r w:rsidRPr="00FC6EF2">
        <w:rPr>
          <w:rFonts w:eastAsia="Arial" w:cs="Arial"/>
        </w:rPr>
        <w:t>B</w:t>
      </w:r>
      <w:r w:rsidR="000D0326" w:rsidRPr="00FC6EF2">
        <w:rPr>
          <w:rFonts w:eastAsia="Arial" w:cs="Arial"/>
        </w:rPr>
        <w:t>]</w:t>
      </w:r>
      <w:r w:rsidRPr="00FC6EF2">
        <w:rPr>
          <w:rFonts w:eastAsia="Arial" w:cs="Arial"/>
        </w:rPr>
        <w:t>)</w:t>
      </w:r>
      <w:r w:rsidR="00640D5C" w:rsidRPr="00FC6EF2">
        <w:rPr>
          <w:rFonts w:eastAsia="Arial" w:cs="Arial"/>
        </w:rPr>
        <w:t>.</w:t>
      </w:r>
    </w:p>
    <w:p w14:paraId="24098B1F" w14:textId="2B585E33" w:rsidR="07413D82" w:rsidRPr="00FC6EF2" w:rsidRDefault="07413D82" w:rsidP="00DF5787">
      <w:pPr>
        <w:pStyle w:val="ListParagraph"/>
        <w:spacing w:after="240"/>
        <w:ind w:left="360"/>
        <w:contextualSpacing w:val="0"/>
        <w:rPr>
          <w:rFonts w:eastAsia="Arial" w:cs="Arial"/>
          <w:color w:val="000000" w:themeColor="text1"/>
        </w:rPr>
      </w:pPr>
      <w:r w:rsidRPr="00FC6EF2">
        <w:rPr>
          <w:rFonts w:eastAsia="Arial" w:cs="Arial"/>
          <w:color w:val="000000" w:themeColor="text1"/>
        </w:rPr>
        <w:t xml:space="preserve">The CDE will annually monitor and address all LEAs that have exceeded the 1 percent threshold on participation with the AA-AAAS. Current CDE procedures require all LEAs to report their specific participation rates, regardless of whether the LEA exceeded the threshold. The CDE will engage with LEAs that exceeded the 1 percent threshold. </w:t>
      </w:r>
      <w:r w:rsidR="0000722B" w:rsidRPr="00FC6EF2">
        <w:rPr>
          <w:rFonts w:eastAsia="Arial" w:cs="Arial"/>
          <w:color w:val="000000" w:themeColor="text1"/>
        </w:rPr>
        <w:t>That e</w:t>
      </w:r>
      <w:r w:rsidRPr="00FC6EF2">
        <w:rPr>
          <w:rFonts w:eastAsia="Arial" w:cs="Arial"/>
          <w:color w:val="000000" w:themeColor="text1"/>
        </w:rPr>
        <w:t xml:space="preserve">ngagement may include </w:t>
      </w:r>
      <w:r w:rsidR="0000722B" w:rsidRPr="00FC6EF2">
        <w:rPr>
          <w:rFonts w:eastAsia="Arial" w:cs="Arial"/>
          <w:color w:val="000000" w:themeColor="text1"/>
        </w:rPr>
        <w:t>the dissemination of</w:t>
      </w:r>
      <w:r w:rsidRPr="00FC6EF2">
        <w:rPr>
          <w:rFonts w:eastAsia="Arial" w:cs="Arial"/>
          <w:color w:val="000000" w:themeColor="text1"/>
        </w:rPr>
        <w:t xml:space="preserve"> information related to the appropriate identification of students, </w:t>
      </w:r>
      <w:r w:rsidR="0000722B" w:rsidRPr="00FC6EF2">
        <w:rPr>
          <w:rFonts w:eastAsia="Arial" w:cs="Arial"/>
          <w:color w:val="000000" w:themeColor="text1"/>
        </w:rPr>
        <w:t xml:space="preserve">the dissemination of </w:t>
      </w:r>
      <w:r w:rsidRPr="00FC6EF2">
        <w:rPr>
          <w:rFonts w:eastAsia="Arial" w:cs="Arial"/>
          <w:color w:val="000000" w:themeColor="text1"/>
        </w:rPr>
        <w:t xml:space="preserve">general IEP team guidance, </w:t>
      </w:r>
      <w:r w:rsidR="0000722B" w:rsidRPr="00FC6EF2">
        <w:rPr>
          <w:rFonts w:eastAsia="Arial" w:cs="Arial"/>
          <w:color w:val="000000" w:themeColor="text1"/>
        </w:rPr>
        <w:t xml:space="preserve">the use of </w:t>
      </w:r>
      <w:r w:rsidRPr="00FC6EF2">
        <w:rPr>
          <w:rFonts w:eastAsia="Arial" w:cs="Arial"/>
          <w:color w:val="000000" w:themeColor="text1"/>
        </w:rPr>
        <w:t xml:space="preserve">targeted strategies for confirming and reducing participation rates in the alternate assessment, and </w:t>
      </w:r>
      <w:r w:rsidR="0000722B" w:rsidRPr="00FC6EF2">
        <w:rPr>
          <w:rFonts w:eastAsia="Arial" w:cs="Arial"/>
          <w:color w:val="000000" w:themeColor="text1"/>
        </w:rPr>
        <w:t xml:space="preserve">the use of </w:t>
      </w:r>
      <w:r w:rsidRPr="00FC6EF2">
        <w:rPr>
          <w:rFonts w:eastAsia="Arial" w:cs="Arial"/>
          <w:color w:val="000000" w:themeColor="text1"/>
        </w:rPr>
        <w:t>potential findings of noncompliance.</w:t>
      </w:r>
    </w:p>
    <w:p w14:paraId="3B2EDB42" w14:textId="6CBFD15A" w:rsidR="57EEB976" w:rsidRPr="00FC6EF2" w:rsidRDefault="2ED7EBF5" w:rsidP="00DF5787">
      <w:pPr>
        <w:pStyle w:val="ListParagraph"/>
        <w:numPr>
          <w:ilvl w:val="0"/>
          <w:numId w:val="56"/>
        </w:numPr>
        <w:spacing w:after="240"/>
        <w:contextualSpacing w:val="0"/>
        <w:rPr>
          <w:rFonts w:asciiTheme="minorHAnsi" w:eastAsiaTheme="minorEastAsia" w:hAnsiTheme="minorHAnsi" w:cstheme="minorBidi"/>
        </w:rPr>
      </w:pPr>
      <w:r w:rsidRPr="00FC6EF2">
        <w:rPr>
          <w:rFonts w:eastAsia="Arial" w:cs="Arial"/>
        </w:rPr>
        <w:t xml:space="preserve">A clear description of how the State will address any disproportionality in the percentage of students taking an AA-AAAS as identified through the data provided (see 34 </w:t>
      </w:r>
      <w:r w:rsidRPr="00FC6EF2">
        <w:rPr>
          <w:rFonts w:eastAsia="Arial" w:cs="Arial"/>
          <w:i/>
          <w:iCs/>
        </w:rPr>
        <w:t>CFR</w:t>
      </w:r>
      <w:r w:rsidRPr="00FC6EF2">
        <w:rPr>
          <w:rFonts w:eastAsia="Arial" w:cs="Arial"/>
        </w:rPr>
        <w:t xml:space="preserve"> 200.6</w:t>
      </w:r>
      <w:r w:rsidR="7ABB0FB1" w:rsidRPr="00FC6EF2">
        <w:rPr>
          <w:rFonts w:eastAsia="Arial" w:cs="Arial"/>
        </w:rPr>
        <w:t>[</w:t>
      </w:r>
      <w:r w:rsidRPr="00FC6EF2">
        <w:rPr>
          <w:rFonts w:eastAsia="Arial" w:cs="Arial"/>
        </w:rPr>
        <w:t>c</w:t>
      </w:r>
      <w:r w:rsidR="7ABB0FB1" w:rsidRPr="00FC6EF2">
        <w:rPr>
          <w:rFonts w:eastAsia="Arial" w:cs="Arial"/>
        </w:rPr>
        <w:t>][</w:t>
      </w:r>
      <w:r w:rsidRPr="00FC6EF2">
        <w:rPr>
          <w:rFonts w:eastAsia="Arial" w:cs="Arial"/>
        </w:rPr>
        <w:t>4</w:t>
      </w:r>
      <w:r w:rsidR="7ABB0FB1" w:rsidRPr="00FC6EF2">
        <w:rPr>
          <w:rFonts w:eastAsia="Arial" w:cs="Arial"/>
        </w:rPr>
        <w:t>][</w:t>
      </w:r>
      <w:r w:rsidRPr="00FC6EF2">
        <w:rPr>
          <w:rFonts w:eastAsia="Arial" w:cs="Arial"/>
        </w:rPr>
        <w:t>iv</w:t>
      </w:r>
      <w:r w:rsidR="7ABB0FB1" w:rsidRPr="00FC6EF2">
        <w:rPr>
          <w:rFonts w:eastAsia="Arial" w:cs="Arial"/>
        </w:rPr>
        <w:t>][</w:t>
      </w:r>
      <w:r w:rsidRPr="00FC6EF2">
        <w:rPr>
          <w:rFonts w:eastAsia="Arial" w:cs="Arial"/>
        </w:rPr>
        <w:t>C</w:t>
      </w:r>
      <w:r w:rsidR="7ABB0FB1" w:rsidRPr="00FC6EF2">
        <w:rPr>
          <w:rFonts w:eastAsia="Arial" w:cs="Arial"/>
        </w:rPr>
        <w:t>]</w:t>
      </w:r>
      <w:r w:rsidRPr="00FC6EF2">
        <w:rPr>
          <w:rFonts w:eastAsia="Arial" w:cs="Arial"/>
        </w:rPr>
        <w:t>)</w:t>
      </w:r>
      <w:r w:rsidR="001F20C4" w:rsidRPr="00FC6EF2">
        <w:rPr>
          <w:rFonts w:eastAsia="Arial" w:cs="Arial"/>
        </w:rPr>
        <w:t>.</w:t>
      </w:r>
      <w:r w:rsidR="57EEB976" w:rsidRPr="00FC6EF2">
        <w:br/>
      </w:r>
      <w:r w:rsidR="57EEB976" w:rsidRPr="00FC6EF2">
        <w:br/>
      </w:r>
      <w:r w:rsidR="5CECF555" w:rsidRPr="00FC6EF2">
        <w:rPr>
          <w:rFonts w:eastAsia="Arial" w:cs="Arial"/>
          <w:color w:val="000000" w:themeColor="text1"/>
        </w:rPr>
        <w:t xml:space="preserve">To determine a risk for disproportionality, the CDE will examine the participation in the CAAs of each subgroup, compared to the participation in the CAAs of students not in the subgroup. The analysis of this risk will identify whether any of the subgroups are more likely than others not in the subgroup to participate in the CAAs. Information from this analysis will provide the CDE with anticipated participation and potential risk of disproportionality of student subgroups taking the CAAs. In turn, this information will be used to provide the basis for engaging affected LEAs to provide oversight and monitoring through the implementation of </w:t>
      </w:r>
      <w:r w:rsidR="43B10042" w:rsidRPr="00FC6EF2">
        <w:rPr>
          <w:rFonts w:eastAsia="Arial" w:cs="Arial"/>
          <w:color w:val="000000" w:themeColor="text1"/>
        </w:rPr>
        <w:t xml:space="preserve">the </w:t>
      </w:r>
      <w:r w:rsidR="5CECF555" w:rsidRPr="00FC6EF2">
        <w:rPr>
          <w:rFonts w:eastAsia="Arial" w:cs="Arial"/>
          <w:color w:val="000000" w:themeColor="text1"/>
        </w:rPr>
        <w:t xml:space="preserve">CDE’s </w:t>
      </w:r>
      <w:r w:rsidR="43B10042" w:rsidRPr="00FC6EF2">
        <w:rPr>
          <w:rFonts w:eastAsia="Arial" w:cs="Arial"/>
          <w:color w:val="000000" w:themeColor="text1"/>
        </w:rPr>
        <w:t>m</w:t>
      </w:r>
      <w:r w:rsidR="5CECF555" w:rsidRPr="00FC6EF2">
        <w:rPr>
          <w:rFonts w:eastAsia="Arial" w:cs="Arial"/>
          <w:color w:val="000000" w:themeColor="text1"/>
        </w:rPr>
        <w:t xml:space="preserve">onitoring requirements under 34 </w:t>
      </w:r>
      <w:r w:rsidR="5CECF555" w:rsidRPr="00FC6EF2">
        <w:rPr>
          <w:rFonts w:eastAsia="Arial" w:cs="Arial"/>
          <w:i/>
          <w:iCs/>
          <w:color w:val="000000" w:themeColor="text1"/>
        </w:rPr>
        <w:t>CFR</w:t>
      </w:r>
      <w:r w:rsidR="5CECF555" w:rsidRPr="00FC6EF2">
        <w:rPr>
          <w:rFonts w:eastAsia="Arial" w:cs="Arial"/>
          <w:color w:val="000000" w:themeColor="text1"/>
        </w:rPr>
        <w:t xml:space="preserve"> 300.600.</w:t>
      </w:r>
    </w:p>
    <w:p w14:paraId="199AB1AE" w14:textId="77777777" w:rsidR="00401F86" w:rsidRPr="00FC6EF2" w:rsidRDefault="0823229B" w:rsidP="006C1D77">
      <w:pPr>
        <w:keepNext/>
        <w:spacing w:after="60" w:line="259" w:lineRule="auto"/>
        <w:rPr>
          <w:rFonts w:eastAsia="Arial" w:cs="Arial"/>
          <w:b/>
          <w:color w:val="000000" w:themeColor="text1"/>
        </w:rPr>
      </w:pPr>
      <w:r w:rsidRPr="00FC6EF2">
        <w:rPr>
          <w:rFonts w:eastAsia="Arial" w:cs="Arial"/>
          <w:b/>
          <w:bCs/>
          <w:color w:val="000000" w:themeColor="text1"/>
        </w:rPr>
        <w:lastRenderedPageBreak/>
        <w:t xml:space="preserve">California’s Timeline </w:t>
      </w:r>
    </w:p>
    <w:tbl>
      <w:tblPr>
        <w:tblStyle w:val="TableGrid"/>
        <w:tblW w:w="5000" w:type="pct"/>
        <w:tblLayout w:type="fixed"/>
        <w:tblLook w:val="04A0" w:firstRow="1" w:lastRow="0" w:firstColumn="1" w:lastColumn="0" w:noHBand="0" w:noVBand="1"/>
        <w:tblCaption w:val="California’s Timeline "/>
        <w:tblDescription w:val="This table display California’s Timeline."/>
      </w:tblPr>
      <w:tblGrid>
        <w:gridCol w:w="5036"/>
        <w:gridCol w:w="2162"/>
        <w:gridCol w:w="2152"/>
      </w:tblGrid>
      <w:tr w:rsidR="00084BDB" w:rsidRPr="00FC6EF2" w14:paraId="5C743292" w14:textId="77777777" w:rsidTr="00084BDB">
        <w:trPr>
          <w:cantSplit/>
          <w:tblHeader/>
        </w:trPr>
        <w:tc>
          <w:tcPr>
            <w:tcW w:w="2693" w:type="pct"/>
            <w:shd w:val="clear" w:color="auto" w:fill="D9D9D9" w:themeFill="background1" w:themeFillShade="D9"/>
          </w:tcPr>
          <w:p w14:paraId="6F03D5A3" w14:textId="406D3CEF" w:rsidR="00084BDB" w:rsidRPr="00FC6EF2" w:rsidRDefault="00084BDB" w:rsidP="1062B9E6">
            <w:pPr>
              <w:spacing w:before="120" w:after="120"/>
              <w:ind w:right="-15"/>
              <w:jc w:val="center"/>
              <w:rPr>
                <w:rFonts w:eastAsia="Arial" w:cs="Arial"/>
                <w:color w:val="000000" w:themeColor="text1"/>
              </w:rPr>
            </w:pPr>
            <w:r w:rsidRPr="00FC6EF2">
              <w:rPr>
                <w:rFonts w:eastAsia="Arial" w:cs="Arial"/>
                <w:b/>
                <w:bCs/>
                <w:color w:val="000000" w:themeColor="text1"/>
              </w:rPr>
              <w:t>Description of Activity</w:t>
            </w:r>
          </w:p>
        </w:tc>
        <w:tc>
          <w:tcPr>
            <w:tcW w:w="1156" w:type="pct"/>
            <w:shd w:val="clear" w:color="auto" w:fill="D9D9D9" w:themeFill="background1" w:themeFillShade="D9"/>
          </w:tcPr>
          <w:p w14:paraId="7E0FE492" w14:textId="45833E2B" w:rsidR="00084BDB" w:rsidRPr="00FC6EF2" w:rsidRDefault="00084BDB" w:rsidP="1062B9E6">
            <w:pPr>
              <w:spacing w:before="120" w:after="120"/>
              <w:ind w:right="-18"/>
              <w:jc w:val="center"/>
              <w:rPr>
                <w:rFonts w:eastAsia="Arial" w:cs="Arial"/>
                <w:color w:val="000000" w:themeColor="text1"/>
              </w:rPr>
            </w:pPr>
            <w:r w:rsidRPr="00FC6EF2">
              <w:rPr>
                <w:rFonts w:eastAsia="Arial" w:cs="Arial"/>
                <w:b/>
                <w:bCs/>
                <w:color w:val="000000" w:themeColor="text1"/>
              </w:rPr>
              <w:t>2021 Completion Date</w:t>
            </w:r>
          </w:p>
        </w:tc>
        <w:tc>
          <w:tcPr>
            <w:tcW w:w="1152" w:type="pct"/>
            <w:shd w:val="clear" w:color="auto" w:fill="D9D9D9" w:themeFill="background1" w:themeFillShade="D9"/>
          </w:tcPr>
          <w:p w14:paraId="12402392" w14:textId="56F4C6BF" w:rsidR="00084BDB" w:rsidRPr="00FC6EF2" w:rsidRDefault="00084BDB" w:rsidP="1062B9E6">
            <w:pPr>
              <w:spacing w:before="120" w:after="120"/>
              <w:ind w:right="-5"/>
              <w:jc w:val="center"/>
              <w:rPr>
                <w:rFonts w:eastAsia="Arial" w:cs="Arial"/>
                <w:b/>
                <w:bCs/>
                <w:color w:val="000000" w:themeColor="text1"/>
              </w:rPr>
            </w:pPr>
            <w:r w:rsidRPr="00FC6EF2">
              <w:rPr>
                <w:rFonts w:eastAsia="Arial" w:cs="Arial"/>
                <w:b/>
                <w:bCs/>
                <w:color w:val="000000" w:themeColor="text1"/>
              </w:rPr>
              <w:t>2022 Completion Date</w:t>
            </w:r>
          </w:p>
        </w:tc>
      </w:tr>
      <w:tr w:rsidR="00084BDB" w:rsidRPr="00FC6EF2" w14:paraId="053EB36C" w14:textId="77777777" w:rsidTr="00084BDB">
        <w:trPr>
          <w:cantSplit/>
        </w:trPr>
        <w:tc>
          <w:tcPr>
            <w:tcW w:w="2693" w:type="pct"/>
          </w:tcPr>
          <w:p w14:paraId="0161C0E1" w14:textId="07796009" w:rsidR="00084BDB" w:rsidRPr="00FC6EF2" w:rsidRDefault="00084BDB" w:rsidP="003C3E81">
            <w:pPr>
              <w:pStyle w:val="ListParagraph"/>
              <w:numPr>
                <w:ilvl w:val="0"/>
                <w:numId w:val="1"/>
              </w:numPr>
              <w:spacing w:before="120" w:after="120"/>
              <w:rPr>
                <w:rFonts w:eastAsiaTheme="minorEastAsia" w:cs="Arial"/>
                <w:color w:val="000000" w:themeColor="text1"/>
              </w:rPr>
            </w:pPr>
            <w:r w:rsidRPr="00FC6EF2">
              <w:rPr>
                <w:rFonts w:eastAsia="Arial" w:cs="Arial"/>
                <w:color w:val="000000" w:themeColor="text1"/>
              </w:rPr>
              <w:t>Presentation to the Advisory Commission for Special Education for awareness and input</w:t>
            </w:r>
          </w:p>
        </w:tc>
        <w:tc>
          <w:tcPr>
            <w:tcW w:w="1156" w:type="pct"/>
          </w:tcPr>
          <w:p w14:paraId="73D25DDD" w14:textId="5665FA28" w:rsidR="00084BDB" w:rsidRPr="00FC6EF2" w:rsidRDefault="00084BDB" w:rsidP="1062B9E6">
            <w:pPr>
              <w:spacing w:before="120" w:after="120"/>
              <w:ind w:right="-18"/>
              <w:jc w:val="center"/>
              <w:rPr>
                <w:rFonts w:eastAsia="Arial" w:cs="Arial"/>
                <w:color w:val="000000" w:themeColor="text1"/>
              </w:rPr>
            </w:pPr>
            <w:r w:rsidRPr="00FC6EF2">
              <w:rPr>
                <w:rFonts w:eastAsia="Arial" w:cs="Arial"/>
                <w:color w:val="000000" w:themeColor="text1"/>
              </w:rPr>
              <w:t>Did not present</w:t>
            </w:r>
          </w:p>
        </w:tc>
        <w:tc>
          <w:tcPr>
            <w:tcW w:w="1152" w:type="pct"/>
          </w:tcPr>
          <w:p w14:paraId="55185BB7" w14:textId="56D1734F" w:rsidR="00084BDB" w:rsidRPr="00FC6EF2" w:rsidRDefault="00084BDB" w:rsidP="1062B9E6">
            <w:pPr>
              <w:spacing w:before="120" w:after="120"/>
              <w:ind w:right="-18"/>
              <w:jc w:val="center"/>
              <w:rPr>
                <w:rFonts w:eastAsia="Arial" w:cs="Arial"/>
                <w:color w:val="000000" w:themeColor="text1"/>
              </w:rPr>
            </w:pPr>
            <w:r w:rsidRPr="00FC6EF2">
              <w:rPr>
                <w:rFonts w:eastAsia="Arial" w:cs="Arial"/>
                <w:color w:val="000000" w:themeColor="text1"/>
              </w:rPr>
              <w:t>February 2022</w:t>
            </w:r>
          </w:p>
        </w:tc>
      </w:tr>
      <w:tr w:rsidR="00084BDB" w:rsidRPr="00FC6EF2" w14:paraId="489F6424" w14:textId="77777777" w:rsidTr="00084BDB">
        <w:trPr>
          <w:cantSplit/>
        </w:trPr>
        <w:tc>
          <w:tcPr>
            <w:tcW w:w="2693" w:type="pct"/>
          </w:tcPr>
          <w:p w14:paraId="09BB84DC" w14:textId="3CC118DA" w:rsidR="00084BDB" w:rsidRPr="00FC6EF2" w:rsidRDefault="00084BDB" w:rsidP="003C3E81">
            <w:pPr>
              <w:pStyle w:val="ListParagraph"/>
              <w:numPr>
                <w:ilvl w:val="0"/>
                <w:numId w:val="1"/>
              </w:numPr>
              <w:spacing w:before="120" w:after="120"/>
              <w:rPr>
                <w:rFonts w:eastAsiaTheme="minorEastAsia" w:cs="Arial"/>
                <w:color w:val="000000" w:themeColor="text1"/>
              </w:rPr>
            </w:pPr>
            <w:r w:rsidRPr="00FC6EF2">
              <w:rPr>
                <w:rFonts w:eastAsia="Arial" w:cs="Arial"/>
                <w:color w:val="000000" w:themeColor="text1"/>
              </w:rPr>
              <w:t>Analysis of assessment data to identify LEAs that exceeded the 1.0 percent threshold and did not complete the 1.0 Percent Threshold Survey; notification to LEAs of their responsibility to report and provide justification</w:t>
            </w:r>
          </w:p>
        </w:tc>
        <w:tc>
          <w:tcPr>
            <w:tcW w:w="1156" w:type="pct"/>
          </w:tcPr>
          <w:p w14:paraId="2D6F539C" w14:textId="3C9F5252" w:rsidR="00084BDB" w:rsidRPr="00FC6EF2" w:rsidRDefault="00084BDB" w:rsidP="1062B9E6">
            <w:pPr>
              <w:spacing w:before="120" w:after="120"/>
              <w:ind w:right="-18"/>
              <w:jc w:val="center"/>
              <w:rPr>
                <w:rFonts w:eastAsia="Arial" w:cs="Arial"/>
                <w:color w:val="000000" w:themeColor="text1"/>
              </w:rPr>
            </w:pPr>
            <w:r w:rsidRPr="00FC6EF2">
              <w:rPr>
                <w:rFonts w:eastAsia="Arial" w:cs="Arial"/>
                <w:color w:val="000000" w:themeColor="text1"/>
              </w:rPr>
              <w:t xml:space="preserve">November 2021 </w:t>
            </w:r>
          </w:p>
        </w:tc>
        <w:tc>
          <w:tcPr>
            <w:tcW w:w="1152" w:type="pct"/>
          </w:tcPr>
          <w:p w14:paraId="17751B8C" w14:textId="2ED28FE2" w:rsidR="00084BDB" w:rsidRPr="00FC6EF2" w:rsidRDefault="00084BDB" w:rsidP="1062B9E6">
            <w:pPr>
              <w:spacing w:before="120" w:after="120"/>
              <w:ind w:right="-18"/>
              <w:jc w:val="center"/>
              <w:rPr>
                <w:rFonts w:eastAsia="Arial" w:cs="Arial"/>
                <w:color w:val="000000" w:themeColor="text1"/>
              </w:rPr>
            </w:pPr>
            <w:r w:rsidRPr="00FC6EF2">
              <w:rPr>
                <w:rFonts w:eastAsia="Arial" w:cs="Arial"/>
                <w:color w:val="000000" w:themeColor="text1"/>
              </w:rPr>
              <w:t>October 2022</w:t>
            </w:r>
          </w:p>
        </w:tc>
      </w:tr>
      <w:tr w:rsidR="00084BDB" w:rsidRPr="00FC6EF2" w14:paraId="4E349C07" w14:textId="77777777" w:rsidTr="00084BDB">
        <w:trPr>
          <w:cantSplit/>
        </w:trPr>
        <w:tc>
          <w:tcPr>
            <w:tcW w:w="2693" w:type="pct"/>
          </w:tcPr>
          <w:p w14:paraId="41EF03AB" w14:textId="7E9204BC" w:rsidR="00084BDB" w:rsidRPr="00FC6EF2" w:rsidRDefault="00084BDB" w:rsidP="003C3E81">
            <w:pPr>
              <w:pStyle w:val="ListParagraph"/>
              <w:numPr>
                <w:ilvl w:val="0"/>
                <w:numId w:val="1"/>
              </w:numPr>
              <w:spacing w:before="120" w:after="120"/>
              <w:rPr>
                <w:rFonts w:eastAsiaTheme="minorEastAsia" w:cs="Arial"/>
                <w:color w:val="000000" w:themeColor="text1"/>
              </w:rPr>
            </w:pPr>
            <w:r w:rsidRPr="00FC6EF2">
              <w:rPr>
                <w:rFonts w:eastAsia="Arial" w:cs="Arial"/>
                <w:color w:val="000000" w:themeColor="text1"/>
              </w:rPr>
              <w:t>Presentation of 1.0 percent threshold requirements to LEA coordinators at the annual statewide assessment information meetings</w:t>
            </w:r>
          </w:p>
        </w:tc>
        <w:tc>
          <w:tcPr>
            <w:tcW w:w="1156" w:type="pct"/>
          </w:tcPr>
          <w:p w14:paraId="731B7777" w14:textId="4CC3A902" w:rsidR="00084BDB" w:rsidRPr="00FC6EF2" w:rsidRDefault="00084BDB" w:rsidP="2D7D7EB4">
            <w:pPr>
              <w:spacing w:before="120" w:after="120"/>
              <w:ind w:right="-18"/>
              <w:jc w:val="center"/>
              <w:rPr>
                <w:rFonts w:eastAsia="Arial" w:cs="Arial"/>
                <w:color w:val="000000" w:themeColor="text1"/>
              </w:rPr>
            </w:pPr>
            <w:r w:rsidRPr="00FC6EF2">
              <w:rPr>
                <w:rFonts w:eastAsia="Arial" w:cs="Arial"/>
                <w:color w:val="000000" w:themeColor="text1"/>
              </w:rPr>
              <w:t>August 2021</w:t>
            </w:r>
          </w:p>
        </w:tc>
        <w:tc>
          <w:tcPr>
            <w:tcW w:w="1152" w:type="pct"/>
          </w:tcPr>
          <w:p w14:paraId="09AF36D3" w14:textId="09379A41" w:rsidR="00084BDB" w:rsidRPr="00FC6EF2" w:rsidRDefault="00084BDB" w:rsidP="1062B9E6">
            <w:pPr>
              <w:spacing w:before="120" w:after="120"/>
              <w:ind w:right="-18"/>
              <w:jc w:val="center"/>
              <w:rPr>
                <w:rFonts w:eastAsia="Arial" w:cs="Arial"/>
                <w:color w:val="000000" w:themeColor="text1"/>
              </w:rPr>
            </w:pPr>
            <w:r w:rsidRPr="00FC6EF2">
              <w:rPr>
                <w:rFonts w:eastAsia="Arial" w:cs="Arial"/>
                <w:color w:val="000000" w:themeColor="text1"/>
              </w:rPr>
              <w:t>August 2022</w:t>
            </w:r>
          </w:p>
        </w:tc>
      </w:tr>
      <w:tr w:rsidR="00084BDB" w:rsidRPr="00FC6EF2" w14:paraId="502174AD" w14:textId="77777777" w:rsidTr="00084BDB">
        <w:trPr>
          <w:cantSplit/>
        </w:trPr>
        <w:tc>
          <w:tcPr>
            <w:tcW w:w="2693" w:type="pct"/>
          </w:tcPr>
          <w:p w14:paraId="09BF234E" w14:textId="7AC1DD51" w:rsidR="00084BDB" w:rsidRPr="00FC6EF2" w:rsidRDefault="00084BDB" w:rsidP="003C3E81">
            <w:pPr>
              <w:pStyle w:val="ListParagraph"/>
              <w:numPr>
                <w:ilvl w:val="0"/>
                <w:numId w:val="1"/>
              </w:numPr>
              <w:spacing w:before="120" w:after="120"/>
              <w:rPr>
                <w:rFonts w:eastAsiaTheme="minorEastAsia" w:cs="Arial"/>
                <w:color w:val="000000" w:themeColor="text1"/>
              </w:rPr>
            </w:pPr>
            <w:r w:rsidRPr="00FC6EF2">
              <w:rPr>
                <w:rFonts w:eastAsia="Arial" w:cs="Arial"/>
                <w:color w:val="000000" w:themeColor="text1"/>
              </w:rPr>
              <w:t>Notification to LEA superintendents about the requirement to test all students and the importance of reporting and providing justification for potentially exceeding the 1.0 percent threshold</w:t>
            </w:r>
          </w:p>
        </w:tc>
        <w:tc>
          <w:tcPr>
            <w:tcW w:w="1156" w:type="pct"/>
          </w:tcPr>
          <w:p w14:paraId="16B08EFC" w14:textId="4C1FDFE8" w:rsidR="00084BDB" w:rsidRPr="00FC6EF2" w:rsidRDefault="00084BDB">
            <w:pPr>
              <w:spacing w:before="120" w:after="120"/>
              <w:ind w:right="-18"/>
              <w:jc w:val="center"/>
              <w:rPr>
                <w:rFonts w:eastAsia="Arial" w:cs="Arial"/>
                <w:color w:val="000000" w:themeColor="text1"/>
              </w:rPr>
            </w:pPr>
            <w:r w:rsidRPr="00FC6EF2">
              <w:rPr>
                <w:rFonts w:eastAsia="Arial" w:cs="Arial"/>
                <w:color w:val="000000" w:themeColor="text1"/>
              </w:rPr>
              <w:t>October 2021</w:t>
            </w:r>
          </w:p>
        </w:tc>
        <w:tc>
          <w:tcPr>
            <w:tcW w:w="1152" w:type="pct"/>
          </w:tcPr>
          <w:p w14:paraId="542D1C31" w14:textId="3910C43B" w:rsidR="00084BDB" w:rsidRPr="00FC6EF2" w:rsidRDefault="00084BDB" w:rsidP="1062B9E6">
            <w:pPr>
              <w:spacing w:before="120" w:after="120"/>
              <w:ind w:right="-18"/>
              <w:jc w:val="center"/>
              <w:rPr>
                <w:rFonts w:eastAsia="Arial" w:cs="Arial"/>
                <w:color w:val="000000" w:themeColor="text1"/>
              </w:rPr>
            </w:pPr>
            <w:r w:rsidRPr="00FC6EF2">
              <w:rPr>
                <w:rFonts w:eastAsia="Arial" w:cs="Arial"/>
                <w:color w:val="000000" w:themeColor="text1"/>
              </w:rPr>
              <w:t>September 2022</w:t>
            </w:r>
          </w:p>
        </w:tc>
      </w:tr>
      <w:tr w:rsidR="00084BDB" w:rsidRPr="00FC6EF2" w14:paraId="371AC652" w14:textId="77777777" w:rsidTr="00084BDB">
        <w:trPr>
          <w:cantSplit/>
        </w:trPr>
        <w:tc>
          <w:tcPr>
            <w:tcW w:w="2693" w:type="pct"/>
          </w:tcPr>
          <w:p w14:paraId="5B2E3C45" w14:textId="77777777" w:rsidR="00084BDB" w:rsidRPr="00FC6EF2" w:rsidRDefault="00084BDB" w:rsidP="003C3E81">
            <w:pPr>
              <w:pStyle w:val="ListParagraph"/>
              <w:numPr>
                <w:ilvl w:val="0"/>
                <w:numId w:val="1"/>
              </w:numPr>
              <w:spacing w:before="120" w:after="120"/>
              <w:rPr>
                <w:rFonts w:eastAsiaTheme="minorEastAsia" w:cs="Arial"/>
                <w:color w:val="000000" w:themeColor="text1"/>
              </w:rPr>
            </w:pPr>
            <w:r w:rsidRPr="00FC6EF2">
              <w:rPr>
                <w:rFonts w:eastAsia="Arial" w:cs="Arial"/>
                <w:color w:val="000000" w:themeColor="text1"/>
              </w:rPr>
              <w:t>Administration of the 1.0 Percent Threshold Survey to LEAs</w:t>
            </w:r>
          </w:p>
          <w:p w14:paraId="004EB7BD" w14:textId="19CC1BD2" w:rsidR="00084BDB" w:rsidRPr="00FC6EF2" w:rsidRDefault="006E4C98" w:rsidP="00084BDB">
            <w:pPr>
              <w:pStyle w:val="ListParagraph"/>
              <w:spacing w:before="120" w:after="120"/>
              <w:rPr>
                <w:rFonts w:eastAsiaTheme="minorEastAsia" w:cs="Arial"/>
                <w:color w:val="000000" w:themeColor="text1"/>
              </w:rPr>
            </w:pPr>
            <w:hyperlink r:id="rId43" w:tooltip="This link opens the One Percent Threshold on Alternate Assessments web page on the CDE website.">
              <w:r w:rsidR="00084BDB" w:rsidRPr="00FC6EF2">
                <w:rPr>
                  <w:rStyle w:val="Hyperlink"/>
                  <w:rFonts w:eastAsia="Arial" w:cs="Arial"/>
                </w:rPr>
                <w:t>https://www.cde.ca.gov/ta/tg/ca/caaonepercent.asp</w:t>
              </w:r>
            </w:hyperlink>
          </w:p>
        </w:tc>
        <w:tc>
          <w:tcPr>
            <w:tcW w:w="1156" w:type="pct"/>
          </w:tcPr>
          <w:p w14:paraId="48153FCA" w14:textId="125F1FA9" w:rsidR="00084BDB" w:rsidRPr="00FC6EF2" w:rsidRDefault="00084BDB" w:rsidP="1062B9E6">
            <w:pPr>
              <w:spacing w:before="120" w:after="120"/>
              <w:ind w:right="-18"/>
              <w:jc w:val="center"/>
              <w:rPr>
                <w:rFonts w:eastAsia="Arial" w:cs="Arial"/>
                <w:color w:val="000000" w:themeColor="text1"/>
              </w:rPr>
            </w:pPr>
            <w:r w:rsidRPr="00FC6EF2">
              <w:rPr>
                <w:rFonts w:eastAsia="Arial" w:cs="Arial"/>
                <w:color w:val="000000" w:themeColor="text1"/>
              </w:rPr>
              <w:t>Fall 2021</w:t>
            </w:r>
          </w:p>
        </w:tc>
        <w:tc>
          <w:tcPr>
            <w:tcW w:w="1152" w:type="pct"/>
          </w:tcPr>
          <w:p w14:paraId="5AE3659A" w14:textId="6599F47E" w:rsidR="00084BDB" w:rsidRPr="00FC6EF2" w:rsidRDefault="00084BDB" w:rsidP="1062B9E6">
            <w:pPr>
              <w:spacing w:before="120" w:after="120"/>
              <w:ind w:right="-18"/>
              <w:jc w:val="center"/>
              <w:rPr>
                <w:rFonts w:eastAsia="Arial" w:cs="Arial"/>
                <w:color w:val="000000" w:themeColor="text1"/>
              </w:rPr>
            </w:pPr>
            <w:r w:rsidRPr="00FC6EF2">
              <w:rPr>
                <w:rFonts w:eastAsia="Arial" w:cs="Arial"/>
                <w:color w:val="000000" w:themeColor="text1"/>
              </w:rPr>
              <w:t>Fall 2022</w:t>
            </w:r>
          </w:p>
        </w:tc>
      </w:tr>
      <w:tr w:rsidR="00084BDB" w:rsidRPr="00FC6EF2" w14:paraId="40A8EC4F" w14:textId="77777777" w:rsidTr="00084BDB">
        <w:trPr>
          <w:cantSplit/>
        </w:trPr>
        <w:tc>
          <w:tcPr>
            <w:tcW w:w="2693" w:type="pct"/>
          </w:tcPr>
          <w:p w14:paraId="7BA33945" w14:textId="03A8F81E" w:rsidR="00084BDB" w:rsidRPr="00FC6EF2" w:rsidRDefault="00084BDB" w:rsidP="003C3E81">
            <w:pPr>
              <w:pStyle w:val="ListParagraph"/>
              <w:numPr>
                <w:ilvl w:val="0"/>
                <w:numId w:val="1"/>
              </w:numPr>
              <w:spacing w:before="120" w:after="120"/>
              <w:rPr>
                <w:rFonts w:eastAsiaTheme="minorEastAsia" w:cs="Arial"/>
                <w:color w:val="000000" w:themeColor="text1"/>
              </w:rPr>
            </w:pPr>
            <w:r w:rsidRPr="00FC6EF2">
              <w:rPr>
                <w:rFonts w:eastAsia="Arial" w:cs="Arial"/>
                <w:color w:val="000000" w:themeColor="text1"/>
              </w:rPr>
              <w:t>Submission of the 1.0 percent cap waiver if a review of the 1.0 Percent Threshold Survey data indicates a need for such a request</w:t>
            </w:r>
          </w:p>
        </w:tc>
        <w:tc>
          <w:tcPr>
            <w:tcW w:w="1156" w:type="pct"/>
          </w:tcPr>
          <w:p w14:paraId="029CDC6C" w14:textId="3825F10D" w:rsidR="00084BDB" w:rsidRPr="00FC6EF2" w:rsidRDefault="00084BDB">
            <w:pPr>
              <w:spacing w:before="120" w:after="120"/>
              <w:ind w:right="-18"/>
              <w:jc w:val="center"/>
            </w:pPr>
            <w:r w:rsidRPr="00FC6EF2">
              <w:rPr>
                <w:rFonts w:eastAsia="Arial" w:cs="Arial"/>
                <w:color w:val="000000" w:themeColor="text1"/>
              </w:rPr>
              <w:t>March 2022</w:t>
            </w:r>
          </w:p>
        </w:tc>
        <w:tc>
          <w:tcPr>
            <w:tcW w:w="1152" w:type="pct"/>
          </w:tcPr>
          <w:p w14:paraId="67CD9840" w14:textId="4D44687D" w:rsidR="00084BDB" w:rsidRPr="00FC6EF2" w:rsidRDefault="00084BDB" w:rsidP="1062B9E6">
            <w:pPr>
              <w:spacing w:before="120" w:after="120"/>
              <w:ind w:right="-18"/>
              <w:jc w:val="center"/>
              <w:rPr>
                <w:rFonts w:eastAsia="Arial" w:cs="Arial"/>
                <w:color w:val="000000" w:themeColor="text1"/>
              </w:rPr>
            </w:pPr>
            <w:r w:rsidRPr="00FC6EF2">
              <w:rPr>
                <w:rFonts w:eastAsia="Arial" w:cs="Arial"/>
                <w:color w:val="000000" w:themeColor="text1"/>
              </w:rPr>
              <w:t>October 2022, if necessary</w:t>
            </w:r>
          </w:p>
        </w:tc>
      </w:tr>
      <w:tr w:rsidR="00084BDB" w:rsidRPr="00FC6EF2" w14:paraId="397C959E" w14:textId="77777777" w:rsidTr="00084BDB">
        <w:trPr>
          <w:cantSplit/>
        </w:trPr>
        <w:tc>
          <w:tcPr>
            <w:tcW w:w="2693" w:type="pct"/>
          </w:tcPr>
          <w:p w14:paraId="06AE9E4A" w14:textId="4F5E9E74" w:rsidR="00084BDB" w:rsidRPr="00FC6EF2" w:rsidRDefault="00084BDB" w:rsidP="003C3E81">
            <w:pPr>
              <w:pStyle w:val="ListParagraph"/>
              <w:numPr>
                <w:ilvl w:val="0"/>
                <w:numId w:val="1"/>
              </w:numPr>
              <w:spacing w:before="120" w:after="120"/>
              <w:rPr>
                <w:rFonts w:eastAsiaTheme="minorEastAsia" w:cs="Arial"/>
                <w:color w:val="000000" w:themeColor="text1"/>
              </w:rPr>
            </w:pPr>
            <w:r w:rsidRPr="00FC6EF2">
              <w:rPr>
                <w:rFonts w:eastAsia="Arial" w:cs="Arial"/>
                <w:color w:val="000000" w:themeColor="text1"/>
              </w:rPr>
              <w:t>Review of guidelines and provision of guidance, during pretest workshops throughout the state, on eligibility for participation in the AA-AAAS to ensure appropriate identification of students for alternate assessments</w:t>
            </w:r>
          </w:p>
        </w:tc>
        <w:tc>
          <w:tcPr>
            <w:tcW w:w="1156" w:type="pct"/>
          </w:tcPr>
          <w:p w14:paraId="4AA01831" w14:textId="221A131D" w:rsidR="00084BDB" w:rsidRPr="00FC6EF2" w:rsidRDefault="00084BDB">
            <w:pPr>
              <w:spacing w:before="120" w:after="120"/>
              <w:ind w:right="-18"/>
              <w:jc w:val="center"/>
              <w:rPr>
                <w:rFonts w:eastAsia="Arial" w:cs="Arial"/>
                <w:color w:val="000000" w:themeColor="text1"/>
              </w:rPr>
            </w:pPr>
            <w:r w:rsidRPr="00FC6EF2">
              <w:rPr>
                <w:rFonts w:eastAsia="Arial" w:cs="Arial"/>
                <w:color w:val="000000" w:themeColor="text1"/>
              </w:rPr>
              <w:t>September 2020 – September 2021</w:t>
            </w:r>
          </w:p>
        </w:tc>
        <w:tc>
          <w:tcPr>
            <w:tcW w:w="1152" w:type="pct"/>
          </w:tcPr>
          <w:p w14:paraId="6F4FEE11" w14:textId="2FC23B02" w:rsidR="00084BDB" w:rsidRPr="00FC6EF2" w:rsidRDefault="00084BDB" w:rsidP="1062B9E6">
            <w:pPr>
              <w:spacing w:before="120" w:after="120"/>
              <w:ind w:right="-18"/>
              <w:jc w:val="center"/>
              <w:rPr>
                <w:rFonts w:eastAsia="Arial" w:cs="Arial"/>
                <w:color w:val="000000" w:themeColor="text1"/>
              </w:rPr>
            </w:pPr>
            <w:r w:rsidRPr="00FC6EF2">
              <w:rPr>
                <w:rFonts w:eastAsia="Arial" w:cs="Arial"/>
                <w:color w:val="000000" w:themeColor="text1"/>
              </w:rPr>
              <w:t>September 2021–February 2022</w:t>
            </w:r>
          </w:p>
        </w:tc>
      </w:tr>
      <w:tr w:rsidR="00084BDB" w:rsidRPr="00FC6EF2" w14:paraId="5775535D" w14:textId="77777777" w:rsidTr="00084BDB">
        <w:trPr>
          <w:cantSplit/>
        </w:trPr>
        <w:tc>
          <w:tcPr>
            <w:tcW w:w="2693" w:type="pct"/>
          </w:tcPr>
          <w:p w14:paraId="0CDC8808" w14:textId="55A8E52B" w:rsidR="00084BDB" w:rsidRPr="00FC6EF2" w:rsidRDefault="00084BDB" w:rsidP="003C3E81">
            <w:pPr>
              <w:pStyle w:val="ListParagraph"/>
              <w:numPr>
                <w:ilvl w:val="0"/>
                <w:numId w:val="1"/>
              </w:numPr>
              <w:spacing w:before="120" w:after="120"/>
              <w:rPr>
                <w:rFonts w:eastAsiaTheme="minorEastAsia" w:cs="Arial"/>
                <w:color w:val="000000" w:themeColor="text1"/>
              </w:rPr>
            </w:pPr>
            <w:r w:rsidRPr="00FC6EF2">
              <w:rPr>
                <w:rFonts w:eastAsia="Arial" w:cs="Arial"/>
                <w:color w:val="000000" w:themeColor="text1"/>
              </w:rPr>
              <w:lastRenderedPageBreak/>
              <w:t xml:space="preserve">Review of data to determine LEAs exceeding the 1.0 percent cap and potential disproportionality; engage with LEAs that exceed the 1.0 percent cap and/or potential disproportionality  </w:t>
            </w:r>
          </w:p>
        </w:tc>
        <w:tc>
          <w:tcPr>
            <w:tcW w:w="1156" w:type="pct"/>
          </w:tcPr>
          <w:p w14:paraId="6367BC16" w14:textId="49AE6F1A" w:rsidR="00084BDB" w:rsidRPr="00FC6EF2" w:rsidRDefault="00084BDB" w:rsidP="1062B9E6">
            <w:pPr>
              <w:spacing w:before="120" w:after="120"/>
              <w:ind w:right="-18"/>
              <w:jc w:val="center"/>
              <w:rPr>
                <w:rFonts w:eastAsia="Arial" w:cs="Arial"/>
                <w:color w:val="000000" w:themeColor="text1"/>
              </w:rPr>
            </w:pPr>
            <w:r w:rsidRPr="00FC6EF2">
              <w:rPr>
                <w:rFonts w:eastAsia="Arial" w:cs="Arial"/>
                <w:color w:val="000000" w:themeColor="text1"/>
              </w:rPr>
              <w:t>January 2022-July 2022</w:t>
            </w:r>
          </w:p>
        </w:tc>
        <w:tc>
          <w:tcPr>
            <w:tcW w:w="1152" w:type="pct"/>
          </w:tcPr>
          <w:p w14:paraId="1952CB02" w14:textId="55A876AD" w:rsidR="00084BDB" w:rsidRPr="00FC6EF2" w:rsidRDefault="00084BDB" w:rsidP="1062B9E6">
            <w:pPr>
              <w:spacing w:before="120" w:after="120"/>
              <w:ind w:right="-18"/>
              <w:jc w:val="center"/>
              <w:rPr>
                <w:rFonts w:eastAsia="Arial" w:cs="Arial"/>
                <w:color w:val="000000" w:themeColor="text1"/>
              </w:rPr>
            </w:pPr>
            <w:r w:rsidRPr="00FC6EF2">
              <w:rPr>
                <w:rFonts w:eastAsia="Arial" w:cs="Arial"/>
                <w:color w:val="000000" w:themeColor="text1"/>
              </w:rPr>
              <w:t>January 2023-July 2023</w:t>
            </w:r>
          </w:p>
        </w:tc>
      </w:tr>
    </w:tbl>
    <w:p w14:paraId="539FE5AA" w14:textId="3ED09981" w:rsidR="00401F86" w:rsidRPr="00FC6EF2" w:rsidRDefault="00401F86" w:rsidP="57EEB976">
      <w:pPr>
        <w:spacing w:after="160" w:line="259" w:lineRule="auto"/>
      </w:pPr>
    </w:p>
    <w:p w14:paraId="5D27B710" w14:textId="4B6C83E1" w:rsidR="00401F86" w:rsidRPr="00051FB2" w:rsidRDefault="57EEB976" w:rsidP="4B23F663">
      <w:pPr>
        <w:pStyle w:val="ListParagraph"/>
        <w:numPr>
          <w:ilvl w:val="0"/>
          <w:numId w:val="56"/>
        </w:numPr>
        <w:spacing w:after="160" w:line="259" w:lineRule="auto"/>
        <w:rPr>
          <w:rFonts w:asciiTheme="minorHAnsi" w:eastAsiaTheme="minorEastAsia" w:hAnsiTheme="minorHAnsi" w:cstheme="minorBidi"/>
        </w:rPr>
      </w:pPr>
      <w:r w:rsidRPr="00051FB2">
        <w:rPr>
          <w:rFonts w:eastAsia="Arial" w:cs="Arial"/>
        </w:rPr>
        <w:t xml:space="preserve">Fulfillment of requirements in </w:t>
      </w:r>
      <w:r w:rsidR="00D867A0" w:rsidRPr="00051FB2">
        <w:rPr>
          <w:rFonts w:eastAsia="Arial" w:cs="Arial"/>
        </w:rPr>
        <w:t>S</w:t>
      </w:r>
      <w:r w:rsidRPr="00051FB2">
        <w:rPr>
          <w:rFonts w:eastAsia="Arial" w:cs="Arial"/>
        </w:rPr>
        <w:t>ection 8401 of the ESEA related to public comment.</w:t>
      </w:r>
    </w:p>
    <w:p w14:paraId="481B504C" w14:textId="4B67DBCD" w:rsidR="00401F86" w:rsidRPr="00FC6EF2" w:rsidRDefault="006332F1" w:rsidP="00165547">
      <w:pPr>
        <w:spacing w:after="160"/>
        <w:ind w:left="1440" w:right="1440"/>
        <w:rPr>
          <w:rFonts w:eastAsia="Arial" w:cs="Arial"/>
          <w:color w:val="000000" w:themeColor="text1"/>
        </w:rPr>
        <w:sectPr w:rsidR="00401F86" w:rsidRPr="00FC6EF2" w:rsidSect="009B2C6C">
          <w:pgSz w:w="12240" w:h="15840" w:code="1"/>
          <w:pgMar w:top="1440" w:right="1440" w:bottom="1440" w:left="1440" w:header="720" w:footer="720" w:gutter="0"/>
          <w:cols w:space="720"/>
          <w:docGrid w:linePitch="360"/>
        </w:sectPr>
      </w:pPr>
      <w:r w:rsidRPr="0026142E">
        <w:t xml:space="preserve">California provided </w:t>
      </w:r>
      <w:r w:rsidR="00147565" w:rsidRPr="0026142E">
        <w:t xml:space="preserve">to the public and to local educational agencies </w:t>
      </w:r>
      <w:r w:rsidRPr="0026142E">
        <w:t xml:space="preserve">notice and reasonable time </w:t>
      </w:r>
      <w:r w:rsidR="00147565" w:rsidRPr="0026142E">
        <w:t xml:space="preserve">for </w:t>
      </w:r>
      <w:r w:rsidRPr="0026142E">
        <w:t>comment in the manner in which California customarily</w:t>
      </w:r>
      <w:r w:rsidR="004B235E" w:rsidRPr="0026142E">
        <w:t xml:space="preserve"> </w:t>
      </w:r>
      <w:r w:rsidRPr="0026142E">
        <w:t xml:space="preserve">provides similar notice and opportunity </w:t>
      </w:r>
      <w:r w:rsidR="00147565" w:rsidRPr="0026142E">
        <w:t xml:space="preserve">for </w:t>
      </w:r>
      <w:r w:rsidRPr="0026142E">
        <w:t>comment. </w:t>
      </w:r>
      <w:r w:rsidRPr="0026142E">
        <w:rPr>
          <w:rFonts w:eastAsia="Arial"/>
        </w:rPr>
        <w:t xml:space="preserve">The agenda for the SBE meeting was uploaded ten days prior to the </w:t>
      </w:r>
      <w:proofErr w:type="spellStart"/>
      <w:r w:rsidR="00147565" w:rsidRPr="0026142E">
        <w:rPr>
          <w:rFonts w:eastAsia="Arial"/>
        </w:rPr>
        <w:t>SBE</w:t>
      </w:r>
      <w:r w:rsidRPr="0026142E">
        <w:rPr>
          <w:rFonts w:eastAsia="Arial"/>
        </w:rPr>
        <w:t>'s</w:t>
      </w:r>
      <w:proofErr w:type="spellEnd"/>
      <w:r w:rsidRPr="0026142E">
        <w:rPr>
          <w:rFonts w:eastAsia="Arial"/>
        </w:rPr>
        <w:t xml:space="preserve"> monthly meeting along with any supporting materials that </w:t>
      </w:r>
      <w:r w:rsidR="00147565" w:rsidRPr="0026142E">
        <w:rPr>
          <w:rFonts w:eastAsia="Arial"/>
        </w:rPr>
        <w:t xml:space="preserve">were </w:t>
      </w:r>
      <w:r w:rsidRPr="0026142E">
        <w:rPr>
          <w:rFonts w:eastAsia="Arial"/>
        </w:rPr>
        <w:t xml:space="preserve">electronically available. All supporting materials for the agenda items </w:t>
      </w:r>
      <w:r w:rsidR="00147565" w:rsidRPr="0026142E">
        <w:rPr>
          <w:rFonts w:eastAsia="Arial"/>
        </w:rPr>
        <w:t xml:space="preserve">were </w:t>
      </w:r>
      <w:r w:rsidRPr="0026142E">
        <w:rPr>
          <w:rFonts w:eastAsia="Arial"/>
        </w:rPr>
        <w:t xml:space="preserve">available for public inspection at the </w:t>
      </w:r>
      <w:r w:rsidR="00147565" w:rsidRPr="0026142E">
        <w:rPr>
          <w:rFonts w:eastAsia="Arial"/>
        </w:rPr>
        <w:t>SBE</w:t>
      </w:r>
      <w:r w:rsidRPr="0026142E">
        <w:rPr>
          <w:rFonts w:eastAsia="Arial"/>
        </w:rPr>
        <w:t>, 1430 N Street, Suite 5111, Sacramento, California, 95814.</w:t>
      </w:r>
      <w:r w:rsidR="00F473EA" w:rsidRPr="0026142E">
        <w:rPr>
          <w:rFonts w:eastAsia="Arial"/>
        </w:rPr>
        <w:t xml:space="preserve"> </w:t>
      </w:r>
      <w:r w:rsidR="005C2189" w:rsidRPr="0026142E">
        <w:rPr>
          <w:rFonts w:eastAsia="Arial"/>
        </w:rPr>
        <w:t xml:space="preserve">Public comments </w:t>
      </w:r>
      <w:r w:rsidR="00E1599C" w:rsidRPr="0026142E">
        <w:rPr>
          <w:rFonts w:eastAsia="Arial"/>
        </w:rPr>
        <w:t>that impa</w:t>
      </w:r>
      <w:r w:rsidR="00FF7A55" w:rsidRPr="0026142E">
        <w:rPr>
          <w:rFonts w:eastAsia="Arial"/>
        </w:rPr>
        <w:t xml:space="preserve">ct this </w:t>
      </w:r>
      <w:r w:rsidR="004C0608" w:rsidRPr="0026142E">
        <w:rPr>
          <w:rFonts w:eastAsia="Arial"/>
        </w:rPr>
        <w:t>waiver will be included before submission to the ED</w:t>
      </w:r>
      <w:r w:rsidR="004C0608" w:rsidRPr="00FC6EF2">
        <w:rPr>
          <w:rFonts w:eastAsia="Arial" w:cs="Arial"/>
          <w:color w:val="000000" w:themeColor="text1"/>
        </w:rPr>
        <w:t>.</w:t>
      </w:r>
    </w:p>
    <w:p w14:paraId="5AE45C6F" w14:textId="77777777" w:rsidR="00401F86" w:rsidRPr="00FC6EF2" w:rsidRDefault="00401F86" w:rsidP="001C478A">
      <w:pPr>
        <w:pStyle w:val="Heading2"/>
      </w:pPr>
      <w:r w:rsidRPr="00FC6EF2">
        <w:lastRenderedPageBreak/>
        <w:t>Extension to Use Preliminary Indicators for Reporting the</w:t>
      </w:r>
      <w:r w:rsidRPr="00FC6EF2">
        <w:br/>
        <w:t>2020–21 California Alternate Assessment for Science Results</w:t>
      </w:r>
    </w:p>
    <w:p w14:paraId="05BAEC97" w14:textId="5A71C0B0" w:rsidR="00401F86" w:rsidRPr="00FC6EF2" w:rsidRDefault="00401F86" w:rsidP="00401F86">
      <w:pPr>
        <w:spacing w:after="240"/>
        <w:textAlignment w:val="baseline"/>
        <w:rPr>
          <w:rFonts w:cs="Arial"/>
          <w:color w:val="000000" w:themeColor="text1"/>
        </w:rPr>
      </w:pPr>
      <w:r w:rsidRPr="00FC6EF2">
        <w:rPr>
          <w:rFonts w:cs="Arial"/>
          <w:color w:val="000000" w:themeColor="text1"/>
        </w:rPr>
        <w:t xml:space="preserve">In November 2017, the California Department of Education (CDE) submitted a plan to the U.S. Department of Education (ED) to comply with </w:t>
      </w:r>
      <w:r w:rsidRPr="00FC6EF2">
        <w:rPr>
          <w:rFonts w:eastAsia="Arial" w:cs="Arial"/>
          <w:color w:val="000000" w:themeColor="text1"/>
        </w:rPr>
        <w:t>Elementary and Secondary Education Act (ESEA)</w:t>
      </w:r>
      <w:r w:rsidRPr="00FC6EF2">
        <w:rPr>
          <w:rFonts w:cs="Arial"/>
          <w:color w:val="000000" w:themeColor="text1"/>
        </w:rPr>
        <w:t xml:space="preserve"> sections and subsections within 1111(b)(1) and 1111(b)(3) in lieu of receiving a two-year waiver from double testing. This plan outlined how the CDE would comply with the ESEA requirements for both the California Science Test (CAST) and the California Alternate Assessment (CAA) for Science</w:t>
      </w:r>
      <w:r w:rsidR="00E80836" w:rsidRPr="00FC6EF2">
        <w:rPr>
          <w:rFonts w:cs="Arial"/>
          <w:color w:val="000000" w:themeColor="text1"/>
        </w:rPr>
        <w:t xml:space="preserve"> </w:t>
      </w:r>
      <w:r w:rsidRPr="00FC6EF2">
        <w:rPr>
          <w:rFonts w:cs="Arial"/>
          <w:color w:val="000000" w:themeColor="text1"/>
        </w:rPr>
        <w:t>until the CAA for Science became operational (</w:t>
      </w:r>
      <w:hyperlink r:id="rId44" w:tooltip="This link opens the December 2017 CDE ESEA plan for the CAST and the CAA for Science.">
        <w:r w:rsidRPr="00FC6EF2">
          <w:rPr>
            <w:rFonts w:cs="Arial"/>
            <w:color w:val="0000FF"/>
            <w:u w:val="single"/>
          </w:rPr>
          <w:t>https://www.cde.ca.gov/be/pn/im/memo-pptb-adad-dec17item01a01.asp</w:t>
        </w:r>
      </w:hyperlink>
      <w:r w:rsidRPr="00FC6EF2">
        <w:rPr>
          <w:rFonts w:cs="Arial"/>
          <w:color w:val="000000" w:themeColor="text1"/>
        </w:rPr>
        <w:t xml:space="preserve">). </w:t>
      </w:r>
    </w:p>
    <w:p w14:paraId="6F12FD4C" w14:textId="1C1A3CB8" w:rsidR="00401F86" w:rsidRPr="00FC6EF2" w:rsidRDefault="00401F86" w:rsidP="00401F86">
      <w:pPr>
        <w:spacing w:after="240"/>
        <w:ind w:right="165"/>
        <w:textAlignment w:val="baseline"/>
        <w:rPr>
          <w:rFonts w:eastAsia="Arial" w:cs="Arial"/>
        </w:rPr>
      </w:pPr>
      <w:r w:rsidRPr="00FC6EF2">
        <w:rPr>
          <w:rFonts w:eastAsia="Arial" w:cs="Arial"/>
        </w:rPr>
        <w:t>T</w:t>
      </w:r>
      <w:r w:rsidR="00B56615" w:rsidRPr="00FC6EF2">
        <w:rPr>
          <w:rFonts w:eastAsia="Arial" w:cs="Arial"/>
        </w:rPr>
        <w:t>he following t</w:t>
      </w:r>
      <w:r w:rsidRPr="00FC6EF2">
        <w:rPr>
          <w:rFonts w:eastAsia="Arial" w:cs="Arial"/>
        </w:rPr>
        <w:t xml:space="preserve">wo factors, however, have required the CDE to delay the CAA for Science operational field test for an additional year: </w:t>
      </w:r>
    </w:p>
    <w:p w14:paraId="468C3F66" w14:textId="77777777" w:rsidR="00401F86" w:rsidRPr="00FC6EF2" w:rsidRDefault="00401F86" w:rsidP="004B235E">
      <w:pPr>
        <w:numPr>
          <w:ilvl w:val="0"/>
          <w:numId w:val="9"/>
        </w:numPr>
        <w:spacing w:after="240"/>
        <w:ind w:right="158"/>
        <w:textAlignment w:val="baseline"/>
        <w:rPr>
          <w:rFonts w:eastAsia="Arial" w:cs="Arial"/>
        </w:rPr>
      </w:pPr>
      <w:r w:rsidRPr="00FC6EF2">
        <w:rPr>
          <w:rFonts w:eastAsia="Arial" w:cs="Arial"/>
        </w:rPr>
        <w:t xml:space="preserve">The suspension of testing for the 2019–20 administration due to the novel coronavirus 2019 pandemic </w:t>
      </w:r>
    </w:p>
    <w:p w14:paraId="0D691063" w14:textId="77777777" w:rsidR="00401F86" w:rsidRPr="00FC6EF2" w:rsidRDefault="60CB5E39" w:rsidP="004B235E">
      <w:pPr>
        <w:numPr>
          <w:ilvl w:val="0"/>
          <w:numId w:val="9"/>
        </w:numPr>
        <w:spacing w:after="240"/>
        <w:ind w:right="158"/>
        <w:textAlignment w:val="baseline"/>
        <w:rPr>
          <w:rFonts w:eastAsia="Arial" w:cs="Arial"/>
        </w:rPr>
      </w:pPr>
      <w:r w:rsidRPr="00FC6EF2">
        <w:rPr>
          <w:rFonts w:eastAsia="Arial" w:cs="Arial"/>
        </w:rPr>
        <w:t xml:space="preserve">The limited number of </w:t>
      </w:r>
      <w:r w:rsidR="2CA38F40" w:rsidRPr="00FC6EF2">
        <w:rPr>
          <w:rFonts w:eastAsia="Arial" w:cs="Arial"/>
        </w:rPr>
        <w:t xml:space="preserve">eligible </w:t>
      </w:r>
      <w:r w:rsidRPr="00FC6EF2">
        <w:rPr>
          <w:rFonts w:eastAsia="Arial" w:cs="Arial"/>
        </w:rPr>
        <w:t xml:space="preserve">students who completed testing in the 2020–21 administration of the CAA for Science. </w:t>
      </w:r>
    </w:p>
    <w:p w14:paraId="12A661C3" w14:textId="47F27F08" w:rsidR="00401F86" w:rsidRPr="00FC6EF2" w:rsidRDefault="60CB5E39" w:rsidP="00401F86">
      <w:pPr>
        <w:spacing w:after="240"/>
        <w:ind w:right="165"/>
        <w:textAlignment w:val="baseline"/>
        <w:rPr>
          <w:rFonts w:cs="Arial"/>
        </w:rPr>
      </w:pPr>
      <w:r w:rsidRPr="00FC6EF2">
        <w:rPr>
          <w:rFonts w:eastAsia="Arial" w:cs="Arial"/>
        </w:rPr>
        <w:t>T</w:t>
      </w:r>
      <w:r w:rsidR="2CA38F40" w:rsidRPr="00FC6EF2">
        <w:rPr>
          <w:rFonts w:eastAsia="Arial" w:cs="Arial"/>
        </w:rPr>
        <w:t>herefore, on behalf of the SBE, t</w:t>
      </w:r>
      <w:r w:rsidRPr="00FC6EF2">
        <w:rPr>
          <w:rFonts w:cs="Arial"/>
        </w:rPr>
        <w:t>he CDE request</w:t>
      </w:r>
      <w:r w:rsidR="2CA38F40" w:rsidRPr="00FC6EF2">
        <w:rPr>
          <w:rFonts w:cs="Arial"/>
        </w:rPr>
        <w:t>s</w:t>
      </w:r>
      <w:r w:rsidRPr="00FC6EF2">
        <w:rPr>
          <w:rFonts w:cs="Arial"/>
        </w:rPr>
        <w:t xml:space="preserve"> an extension to use preliminary indicators for reporting the 2020–21 CAA for Science results. Using the preliminary indicators would address those sections of the ESEA that are required each school year. Table 1 provides the additional updated details regarding California's compliance, by ESEA section/subsection.</w:t>
      </w:r>
    </w:p>
    <w:p w14:paraId="1401275F" w14:textId="77777777" w:rsidR="00401F86" w:rsidRPr="00FC6EF2" w:rsidRDefault="00401F86" w:rsidP="00401F86">
      <w:pPr>
        <w:spacing w:after="120"/>
        <w:textAlignment w:val="baseline"/>
        <w:rPr>
          <w:rFonts w:ascii="Segoe UI" w:hAnsi="Segoe UI" w:cs="Segoe UI"/>
          <w:sz w:val="18"/>
          <w:szCs w:val="18"/>
        </w:rPr>
      </w:pPr>
      <w:r w:rsidRPr="00FC6EF2">
        <w:rPr>
          <w:rFonts w:cs="Arial"/>
        </w:rPr>
        <w:t>Table 1. California Plan for Compliance with the ESEA for the CAA for Science </w:t>
      </w:r>
    </w:p>
    <w:tbl>
      <w:tblPr>
        <w:tblStyle w:val="TableGrid1"/>
        <w:tblW w:w="0" w:type="dxa"/>
        <w:tblLook w:val="04A0" w:firstRow="1" w:lastRow="0" w:firstColumn="1" w:lastColumn="0" w:noHBand="0" w:noVBand="1"/>
        <w:tblCaption w:val="Table 1. California Plan for Compliance with the ESEA for the CAA for Science"/>
        <w:tblDescription w:val="Table 1. displays the California Plan for Compliance with the ESEA for the CAA for Science "/>
      </w:tblPr>
      <w:tblGrid>
        <w:gridCol w:w="3303"/>
        <w:gridCol w:w="6047"/>
      </w:tblGrid>
      <w:tr w:rsidR="00401F86" w:rsidRPr="00FC6EF2" w14:paraId="267D2CEA" w14:textId="77777777" w:rsidTr="009B2C6C">
        <w:trPr>
          <w:cantSplit/>
          <w:trHeight w:val="60"/>
          <w:tblHeader/>
        </w:trPr>
        <w:tc>
          <w:tcPr>
            <w:tcW w:w="3375" w:type="dxa"/>
            <w:tcMar>
              <w:top w:w="72" w:type="dxa"/>
              <w:left w:w="115" w:type="dxa"/>
              <w:bottom w:w="72" w:type="dxa"/>
              <w:right w:w="115" w:type="dxa"/>
            </w:tcMar>
            <w:hideMark/>
          </w:tcPr>
          <w:p w14:paraId="0B501D77" w14:textId="77777777" w:rsidR="00401F86" w:rsidRPr="00FC6EF2" w:rsidRDefault="00401F86" w:rsidP="00401F86">
            <w:pPr>
              <w:ind w:left="-30"/>
              <w:jc w:val="center"/>
              <w:textAlignment w:val="baseline"/>
              <w:rPr>
                <w:rFonts w:ascii="Times New Roman" w:hAnsi="Times New Roman"/>
              </w:rPr>
            </w:pPr>
            <w:r w:rsidRPr="00FC6EF2">
              <w:rPr>
                <w:rFonts w:cs="Arial"/>
                <w:b/>
                <w:bCs/>
              </w:rPr>
              <w:t>ESEA Section/Subsection</w:t>
            </w:r>
          </w:p>
        </w:tc>
        <w:tc>
          <w:tcPr>
            <w:tcW w:w="6360" w:type="dxa"/>
            <w:tcMar>
              <w:top w:w="72" w:type="dxa"/>
              <w:left w:w="115" w:type="dxa"/>
              <w:bottom w:w="72" w:type="dxa"/>
              <w:right w:w="115" w:type="dxa"/>
            </w:tcMar>
            <w:hideMark/>
          </w:tcPr>
          <w:p w14:paraId="1B870951" w14:textId="77777777" w:rsidR="00401F86" w:rsidRPr="00FC6EF2" w:rsidRDefault="00401F86" w:rsidP="00401F86">
            <w:pPr>
              <w:jc w:val="center"/>
              <w:textAlignment w:val="baseline"/>
              <w:rPr>
                <w:rFonts w:ascii="Times New Roman" w:hAnsi="Times New Roman"/>
              </w:rPr>
            </w:pPr>
            <w:r w:rsidRPr="00FC6EF2">
              <w:rPr>
                <w:rFonts w:cs="Arial"/>
                <w:b/>
                <w:bCs/>
              </w:rPr>
              <w:t>California Compliance</w:t>
            </w:r>
          </w:p>
        </w:tc>
      </w:tr>
      <w:tr w:rsidR="00401F86" w:rsidRPr="00FC6EF2" w14:paraId="147B5D25" w14:textId="77777777" w:rsidTr="009B2C6C">
        <w:trPr>
          <w:cantSplit/>
          <w:trHeight w:val="2925"/>
        </w:trPr>
        <w:tc>
          <w:tcPr>
            <w:tcW w:w="3375" w:type="dxa"/>
            <w:tcMar>
              <w:top w:w="72" w:type="dxa"/>
              <w:left w:w="115" w:type="dxa"/>
              <w:bottom w:w="72" w:type="dxa"/>
              <w:right w:w="115" w:type="dxa"/>
            </w:tcMar>
            <w:hideMark/>
          </w:tcPr>
          <w:p w14:paraId="2B30C13C" w14:textId="77777777" w:rsidR="00401F86" w:rsidRPr="00FC6EF2" w:rsidRDefault="00401F86" w:rsidP="00401F86">
            <w:pPr>
              <w:ind w:left="-30"/>
              <w:textAlignment w:val="baseline"/>
              <w:rPr>
                <w:rFonts w:ascii="Times New Roman" w:hAnsi="Times New Roman"/>
              </w:rPr>
            </w:pPr>
            <w:r w:rsidRPr="00FC6EF2">
              <w:rPr>
                <w:rFonts w:cs="Arial"/>
              </w:rPr>
              <w:t>1111(b)(1)(A) requires the state adoption of challenging academic standards and achievement standards.</w:t>
            </w:r>
          </w:p>
        </w:tc>
        <w:tc>
          <w:tcPr>
            <w:tcW w:w="6360" w:type="dxa"/>
            <w:tcMar>
              <w:top w:w="72" w:type="dxa"/>
              <w:left w:w="115" w:type="dxa"/>
              <w:bottom w:w="72" w:type="dxa"/>
              <w:right w:w="115" w:type="dxa"/>
            </w:tcMar>
            <w:hideMark/>
          </w:tcPr>
          <w:p w14:paraId="0871E56E" w14:textId="3E59C6A2" w:rsidR="00401F86" w:rsidRPr="00FC6EF2" w:rsidRDefault="00401F86" w:rsidP="00401F86">
            <w:pPr>
              <w:ind w:right="105"/>
              <w:textAlignment w:val="baseline"/>
              <w:rPr>
                <w:rFonts w:ascii="Times New Roman" w:hAnsi="Times New Roman"/>
              </w:rPr>
            </w:pPr>
            <w:r w:rsidRPr="00FC6EF2">
              <w:rPr>
                <w:rFonts w:cs="Arial"/>
              </w:rPr>
              <w:t xml:space="preserve">California adopted the California Next Generation Science Standards (CA NGSS) on September 4, 2013. All eligible students in grades five and eight and one grade in high school (i.e., grade ten, eleven, or twelve) </w:t>
            </w:r>
            <w:r w:rsidRPr="00FC6EF2">
              <w:rPr>
                <w:rFonts w:cs="Arial"/>
                <w:color w:val="010101"/>
              </w:rPr>
              <w:t xml:space="preserve">whose IEP designates an alternate assessment </w:t>
            </w:r>
            <w:r w:rsidRPr="00FC6EF2">
              <w:rPr>
                <w:rFonts w:cs="Arial"/>
              </w:rPr>
              <w:t>will participate in the CAA for Science. The CAA for Science items are aligned with Core Content Connectors that are linked to the CA NGSS. A common set of achievement standards, preliminary indicators, will be used to measure performance.</w:t>
            </w:r>
          </w:p>
        </w:tc>
      </w:tr>
      <w:tr w:rsidR="00401F86" w:rsidRPr="00FC6EF2" w14:paraId="4B1FD4DE" w14:textId="77777777" w:rsidTr="009B2C6C">
        <w:trPr>
          <w:cantSplit/>
          <w:trHeight w:val="2355"/>
        </w:trPr>
        <w:tc>
          <w:tcPr>
            <w:tcW w:w="3375" w:type="dxa"/>
            <w:tcMar>
              <w:top w:w="72" w:type="dxa"/>
              <w:left w:w="115" w:type="dxa"/>
              <w:bottom w:w="72" w:type="dxa"/>
              <w:right w:w="115" w:type="dxa"/>
            </w:tcMar>
            <w:hideMark/>
          </w:tcPr>
          <w:p w14:paraId="5BB1000C" w14:textId="77777777" w:rsidR="00401F86" w:rsidRPr="00FC6EF2" w:rsidRDefault="00401F86" w:rsidP="00401F86">
            <w:pPr>
              <w:textAlignment w:val="baseline"/>
              <w:rPr>
                <w:rFonts w:ascii="Times New Roman" w:hAnsi="Times New Roman"/>
              </w:rPr>
            </w:pPr>
            <w:r w:rsidRPr="00FC6EF2">
              <w:rPr>
                <w:rFonts w:cs="Arial"/>
                <w:color w:val="010101"/>
              </w:rPr>
              <w:lastRenderedPageBreak/>
              <w:t>1111(b)(1)(C) requires the state to have academic standards for science, which shall include the same knowledge, skills, and levels of achievement expected of all children.</w:t>
            </w:r>
          </w:p>
        </w:tc>
        <w:tc>
          <w:tcPr>
            <w:tcW w:w="6360" w:type="dxa"/>
            <w:tcMar>
              <w:top w:w="72" w:type="dxa"/>
              <w:left w:w="115" w:type="dxa"/>
              <w:bottom w:w="72" w:type="dxa"/>
              <w:right w:w="115" w:type="dxa"/>
            </w:tcMar>
            <w:hideMark/>
          </w:tcPr>
          <w:p w14:paraId="305BC1A0" w14:textId="77777777" w:rsidR="00401F86" w:rsidRPr="00FC6EF2" w:rsidRDefault="00401F86" w:rsidP="00401F86">
            <w:pPr>
              <w:textAlignment w:val="baseline"/>
              <w:rPr>
                <w:rFonts w:ascii="Times New Roman" w:hAnsi="Times New Roman"/>
              </w:rPr>
            </w:pPr>
            <w:r w:rsidRPr="00FC6EF2">
              <w:rPr>
                <w:rFonts w:cs="Arial"/>
                <w:color w:val="010101"/>
              </w:rPr>
              <w:t>All eligible students in grades five and eight and once in high school (i.e., grade ten, eleven, or twelve) whose IEP designates an alternate assessment will participate in the assessment by taking the CAA for Science. The CAA for Science items are aligned with Core Content Connectors that are linked to the CA NGSS. A common set of achievement standards, preliminary indicators, will be used to measure performance.</w:t>
            </w:r>
          </w:p>
        </w:tc>
      </w:tr>
      <w:tr w:rsidR="00401F86" w:rsidRPr="00FC6EF2" w14:paraId="1CD96C64" w14:textId="77777777" w:rsidTr="009B2C6C">
        <w:trPr>
          <w:cantSplit/>
          <w:trHeight w:val="1785"/>
        </w:trPr>
        <w:tc>
          <w:tcPr>
            <w:tcW w:w="3375" w:type="dxa"/>
            <w:tcMar>
              <w:top w:w="72" w:type="dxa"/>
              <w:left w:w="115" w:type="dxa"/>
              <w:bottom w:w="72" w:type="dxa"/>
              <w:right w:w="115" w:type="dxa"/>
            </w:tcMar>
            <w:hideMark/>
          </w:tcPr>
          <w:p w14:paraId="1F3615E7" w14:textId="77777777" w:rsidR="00401F86" w:rsidRPr="00FC6EF2" w:rsidRDefault="00401F86" w:rsidP="00401F86">
            <w:pPr>
              <w:textAlignment w:val="baseline"/>
              <w:rPr>
                <w:rFonts w:ascii="Times New Roman" w:hAnsi="Times New Roman"/>
              </w:rPr>
            </w:pPr>
            <w:r w:rsidRPr="00FC6EF2">
              <w:rPr>
                <w:rFonts w:cs="Arial"/>
                <w:color w:val="010101"/>
              </w:rPr>
              <w:t>1111(b)(3)(A) requires the state to implement for students yearly academic assessments, including science, that will be used as the primary means of determining the yearly performance of the state, local educational agency (LEA), and school.</w:t>
            </w:r>
          </w:p>
        </w:tc>
        <w:tc>
          <w:tcPr>
            <w:tcW w:w="6360" w:type="dxa"/>
            <w:tcMar>
              <w:top w:w="72" w:type="dxa"/>
              <w:left w:w="115" w:type="dxa"/>
              <w:bottom w:w="72" w:type="dxa"/>
              <w:right w:w="115" w:type="dxa"/>
            </w:tcMar>
            <w:hideMark/>
          </w:tcPr>
          <w:p w14:paraId="78F2FCCE" w14:textId="77777777" w:rsidR="00401F86" w:rsidRPr="00FC6EF2" w:rsidRDefault="00401F86" w:rsidP="00401F86">
            <w:pPr>
              <w:ind w:right="105"/>
              <w:textAlignment w:val="baseline"/>
              <w:rPr>
                <w:rFonts w:ascii="Times New Roman" w:hAnsi="Times New Roman"/>
              </w:rPr>
            </w:pPr>
            <w:r w:rsidRPr="00FC6EF2">
              <w:rPr>
                <w:rFonts w:cs="Arial"/>
                <w:color w:val="010101"/>
              </w:rPr>
              <w:t>California will administer, to all eligible students with an IEP indicating an alternate assessment (i.e., in grades five, eight, and once in high school), the CAA for Science. As part of the plan, California will aggregate student results by the state, LEA, school, and student groups. These results will be available to the public via the California Assessment of Student Performance and Progress Reporting website.</w:t>
            </w:r>
          </w:p>
        </w:tc>
      </w:tr>
      <w:tr w:rsidR="00401F86" w:rsidRPr="00FC6EF2" w14:paraId="1CEE3057" w14:textId="77777777" w:rsidTr="009B2C6C">
        <w:trPr>
          <w:cantSplit/>
          <w:trHeight w:val="1425"/>
        </w:trPr>
        <w:tc>
          <w:tcPr>
            <w:tcW w:w="3375" w:type="dxa"/>
            <w:tcMar>
              <w:top w:w="72" w:type="dxa"/>
              <w:left w:w="115" w:type="dxa"/>
              <w:bottom w:w="72" w:type="dxa"/>
              <w:right w:w="115" w:type="dxa"/>
            </w:tcMar>
            <w:hideMark/>
          </w:tcPr>
          <w:p w14:paraId="5C1FEE0D" w14:textId="77777777" w:rsidR="00401F86" w:rsidRPr="00FC6EF2" w:rsidRDefault="00401F86" w:rsidP="00401F86">
            <w:pPr>
              <w:textAlignment w:val="baseline"/>
              <w:rPr>
                <w:rFonts w:ascii="Times New Roman" w:hAnsi="Times New Roman"/>
              </w:rPr>
            </w:pPr>
            <w:r w:rsidRPr="00FC6EF2">
              <w:rPr>
                <w:rFonts w:cs="Arial"/>
                <w:color w:val="010101"/>
              </w:rPr>
              <w:t>1111(b)(3)(C)(ii) requires the state assessments to be aligned with the adopted academic content standards and achievement standards.</w:t>
            </w:r>
          </w:p>
        </w:tc>
        <w:tc>
          <w:tcPr>
            <w:tcW w:w="6360" w:type="dxa"/>
            <w:tcMar>
              <w:top w:w="72" w:type="dxa"/>
              <w:left w:w="115" w:type="dxa"/>
              <w:bottom w:w="72" w:type="dxa"/>
              <w:right w:w="115" w:type="dxa"/>
            </w:tcMar>
            <w:hideMark/>
          </w:tcPr>
          <w:p w14:paraId="4FFC4BA1" w14:textId="77777777" w:rsidR="00401F86" w:rsidRPr="00FC6EF2" w:rsidRDefault="00401F86" w:rsidP="00401F86">
            <w:pPr>
              <w:ind w:right="105"/>
              <w:textAlignment w:val="baseline"/>
              <w:rPr>
                <w:rFonts w:ascii="Times New Roman" w:hAnsi="Times New Roman"/>
              </w:rPr>
            </w:pPr>
            <w:r w:rsidRPr="00FC6EF2">
              <w:rPr>
                <w:rFonts w:cs="Arial"/>
                <w:color w:val="010101"/>
              </w:rPr>
              <w:t>The CAA for Science items are aligned with Core Content Connectors that are linked to the CA NGSS. A common set of achievement standards, preliminary indicators, will be used to measure performance.</w:t>
            </w:r>
          </w:p>
        </w:tc>
      </w:tr>
      <w:tr w:rsidR="00401F86" w:rsidRPr="00FC6EF2" w14:paraId="281461FC" w14:textId="77777777" w:rsidTr="009B2C6C">
        <w:trPr>
          <w:cantSplit/>
          <w:trHeight w:val="1965"/>
        </w:trPr>
        <w:tc>
          <w:tcPr>
            <w:tcW w:w="3375" w:type="dxa"/>
            <w:tcMar>
              <w:top w:w="72" w:type="dxa"/>
              <w:left w:w="115" w:type="dxa"/>
              <w:bottom w:w="72" w:type="dxa"/>
              <w:right w:w="115" w:type="dxa"/>
            </w:tcMar>
            <w:hideMark/>
          </w:tcPr>
          <w:p w14:paraId="78C12CB4" w14:textId="77777777" w:rsidR="00401F86" w:rsidRPr="00FC6EF2" w:rsidRDefault="00401F86" w:rsidP="00401F86">
            <w:pPr>
              <w:textAlignment w:val="baseline"/>
              <w:rPr>
                <w:rFonts w:ascii="Times New Roman" w:hAnsi="Times New Roman"/>
              </w:rPr>
            </w:pPr>
            <w:r w:rsidRPr="00FC6EF2">
              <w:rPr>
                <w:rFonts w:cs="Arial"/>
                <w:color w:val="010101"/>
              </w:rPr>
              <w:t>1111(b)(3)(C)(v)(II) requires the state to measure the proficiency of all students in science at least once in grades three through five; grades six through eight; and grades ten through twelve.</w:t>
            </w:r>
          </w:p>
        </w:tc>
        <w:tc>
          <w:tcPr>
            <w:tcW w:w="6360" w:type="dxa"/>
            <w:tcMar>
              <w:top w:w="72" w:type="dxa"/>
              <w:left w:w="115" w:type="dxa"/>
              <w:bottom w:w="72" w:type="dxa"/>
              <w:right w:w="115" w:type="dxa"/>
            </w:tcMar>
            <w:hideMark/>
          </w:tcPr>
          <w:p w14:paraId="25DCF0F3" w14:textId="77777777" w:rsidR="00401F86" w:rsidRPr="00FC6EF2" w:rsidRDefault="00401F86" w:rsidP="00401F86">
            <w:pPr>
              <w:ind w:right="105"/>
              <w:textAlignment w:val="baseline"/>
              <w:rPr>
                <w:rFonts w:ascii="Times New Roman" w:hAnsi="Times New Roman"/>
              </w:rPr>
            </w:pPr>
            <w:r w:rsidRPr="00FC6EF2">
              <w:rPr>
                <w:rFonts w:cs="Arial"/>
                <w:color w:val="010101"/>
              </w:rPr>
              <w:t>The tests offer a comprehensive suite of universal tools, designated supports, and accommodations. With the assistance of content experts, California will develop preliminary indicators of student attainment of the CA NGSS for the CAA for Science. The preliminary indicators will consist of three levels.</w:t>
            </w:r>
          </w:p>
        </w:tc>
      </w:tr>
      <w:tr w:rsidR="00401F86" w:rsidRPr="00401F86" w14:paraId="17E11F1F" w14:textId="77777777" w:rsidTr="009B2C6C">
        <w:trPr>
          <w:cantSplit/>
          <w:trHeight w:val="3840"/>
        </w:trPr>
        <w:tc>
          <w:tcPr>
            <w:tcW w:w="3375" w:type="dxa"/>
            <w:tcMar>
              <w:top w:w="72" w:type="dxa"/>
              <w:left w:w="115" w:type="dxa"/>
              <w:bottom w:w="72" w:type="dxa"/>
              <w:right w:w="115" w:type="dxa"/>
            </w:tcMar>
            <w:hideMark/>
          </w:tcPr>
          <w:p w14:paraId="30FFD3DE" w14:textId="77777777" w:rsidR="00401F86" w:rsidRPr="00FC6EF2" w:rsidRDefault="00401F86" w:rsidP="00401F86">
            <w:pPr>
              <w:textAlignment w:val="baseline"/>
              <w:rPr>
                <w:rFonts w:ascii="Times New Roman" w:hAnsi="Times New Roman"/>
              </w:rPr>
            </w:pPr>
            <w:r w:rsidRPr="00FC6EF2">
              <w:rPr>
                <w:rFonts w:cs="Arial"/>
              </w:rPr>
              <w:lastRenderedPageBreak/>
              <w:t>1111(b)(3)(C)(xii) requires the state to produce individual student interpretive, descriptive, and diagnostic reports by using valid and reliable assessments that are aligned with the state academic standards. These reports allow parents, teachers, and principals to understand and address the specific academic needs of students.</w:t>
            </w:r>
          </w:p>
        </w:tc>
        <w:tc>
          <w:tcPr>
            <w:tcW w:w="6360" w:type="dxa"/>
            <w:tcMar>
              <w:top w:w="72" w:type="dxa"/>
              <w:left w:w="115" w:type="dxa"/>
              <w:bottom w:w="72" w:type="dxa"/>
              <w:right w:w="115" w:type="dxa"/>
            </w:tcMar>
            <w:hideMark/>
          </w:tcPr>
          <w:p w14:paraId="616FC4E3" w14:textId="77777777" w:rsidR="00401F86" w:rsidRPr="00401F86" w:rsidRDefault="00401F86" w:rsidP="00401F86">
            <w:pPr>
              <w:ind w:right="105"/>
              <w:textAlignment w:val="baseline"/>
              <w:rPr>
                <w:rFonts w:ascii="Times New Roman" w:hAnsi="Times New Roman"/>
              </w:rPr>
            </w:pPr>
            <w:r w:rsidRPr="00FC6EF2">
              <w:rPr>
                <w:rFonts w:cs="Arial"/>
              </w:rPr>
              <w:t>Beginning with the 2017–18 science test administrations, California will continue to produce student scores and preliminary indicators until the first operational field test is completed and to provide LEAs the results for communication to parents and educators.</w:t>
            </w:r>
          </w:p>
        </w:tc>
      </w:tr>
    </w:tbl>
    <w:p w14:paraId="327395E5" w14:textId="77777777" w:rsidR="00401F86" w:rsidRPr="00401F86" w:rsidRDefault="00401F86" w:rsidP="00401F86">
      <w:pPr>
        <w:spacing w:after="160" w:line="259" w:lineRule="auto"/>
        <w:rPr>
          <w:rFonts w:eastAsia="Calibri" w:cs="Arial"/>
        </w:rPr>
      </w:pPr>
    </w:p>
    <w:p w14:paraId="174A3D6C" w14:textId="69AFE2BB" w:rsidR="00E16594" w:rsidRPr="00E16594" w:rsidRDefault="00E16594" w:rsidP="57EEB976">
      <w:pPr>
        <w:pStyle w:val="ListParagraph"/>
        <w:spacing w:after="240"/>
        <w:ind w:left="0"/>
        <w:rPr>
          <w:rFonts w:eastAsia="Arial"/>
        </w:rPr>
      </w:pPr>
    </w:p>
    <w:sectPr w:rsidR="00E16594" w:rsidRPr="00E16594" w:rsidSect="009B2C6C">
      <w:headerReference w:type="default" r:id="rId45"/>
      <w:headerReference w:type="first" r:id="rId46"/>
      <w:pgSz w:w="12240" w:h="15840" w:code="1"/>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3E162" w16cex:dateUtc="2022-02-11T00:28:00Z"/>
  <w16cex:commentExtensible w16cex:durableId="65C08E33" w16cex:dateUtc="2022-02-14T17:10:00Z"/>
  <w16cex:commentExtensible w16cex:durableId="307BE268" w16cex:dateUtc="2022-02-17T02:35:00Z"/>
  <w16cex:commentExtensible w16cex:durableId="07B89931" w16cex:dateUtc="2022-02-17T16:06:00Z"/>
  <w16cex:commentExtensible w16cex:durableId="25C09F6F" w16cex:dateUtc="2022-02-23T19:56:00Z"/>
  <w16cex:commentExtensible w16cex:durableId="25B3E165" w16cex:dateUtc="2022-02-10T23:42:00Z"/>
  <w16cex:commentExtensible w16cex:durableId="7F78AF45" w16cex:dateUtc="2022-02-14T17:14:00Z"/>
  <w16cex:commentExtensible w16cex:durableId="25C0D6CB" w16cex:dateUtc="2022-02-23T23:52:00Z"/>
  <w16cex:commentExtensible w16cex:durableId="375A9C2A" w16cex:dateUtc="2022-02-24T00:55:00Z"/>
  <w16cex:commentExtensible w16cex:durableId="25B3E167" w16cex:dateUtc="2022-02-11T00:18:00Z"/>
  <w16cex:commentExtensible w16cex:durableId="3480E066" w16cex:dateUtc="2022-02-14T18:30:00Z"/>
  <w16cex:commentExtensible w16cex:durableId="25C0A225" w16cex:dateUtc="2022-02-23T20:08:00Z"/>
  <w16cex:commentExtensible w16cex:durableId="25C0D4D6" w16cex:dateUtc="2022-02-23T23:44:00Z"/>
  <w16cex:commentExtensible w16cex:durableId="6DD29CE4" w16cex:dateUtc="2022-02-24T00:55:00Z"/>
  <w16cex:commentExtensible w16cex:durableId="25C0A107" w16cex:dateUtc="2022-02-23T20:03:00Z"/>
  <w16cex:commentExtensible w16cex:durableId="25C0D618" w16cex:dateUtc="2022-02-23T23:48:00Z"/>
  <w16cex:commentExtensible w16cex:durableId="0E42B013" w16cex:dateUtc="2022-02-24T15:55:00Z"/>
  <w16cex:commentExtensible w16cex:durableId="25C0A1CD" w16cex:dateUtc="2022-02-23T20:06:00Z"/>
  <w16cex:commentExtensible w16cex:durableId="3A590E04" w16cex:dateUtc="2022-02-24T00:55:00Z"/>
  <w16cex:commentExtensible w16cex:durableId="25B3E169" w16cex:dateUtc="2022-02-10T23:58:00Z"/>
  <w16cex:commentExtensible w16cex:durableId="25C0A287" w16cex:dateUtc="2022-02-23T20:09:00Z"/>
  <w16cex:commentExtensible w16cex:durableId="25C1206F" w16cex:dateUtc="2022-02-24T05:06:00Z"/>
  <w16cex:commentExtensible w16cex:durableId="25B3E16A" w16cex:dateUtc="2022-02-11T00:00:00Z"/>
  <w16cex:commentExtensible w16cex:durableId="51CDDB7B" w16cex:dateUtc="2022-02-14T18:32:00Z"/>
  <w16cex:commentExtensible w16cex:durableId="25B3E16B" w16cex:dateUtc="2022-02-11T00:25:00Z"/>
  <w16cex:commentExtensible w16cex:durableId="7651EC3E" w16cex:dateUtc="2022-02-14T18:32:00Z"/>
  <w16cex:commentExtensible w16cex:durableId="25B3E16D" w16cex:dateUtc="2022-02-11T00:05:00Z"/>
  <w16cex:commentExtensible w16cex:durableId="7CF3B288" w16cex:dateUtc="2022-02-14T21:51:00Z"/>
  <w16cex:commentExtensible w16cex:durableId="25B3E16E" w16cex:dateUtc="2022-02-11T00:05:00Z"/>
  <w16cex:commentExtensible w16cex:durableId="18FB38B6" w16cex:dateUtc="2022-02-16T19:01:00Z"/>
  <w16cex:commentExtensible w16cex:durableId="25B65049" w16cex:dateUtc="2022-02-11T00:16:00Z"/>
  <w16cex:commentExtensible w16cex:durableId="25B65048" w16cex:dateUtc="2022-02-14T18:31:00Z"/>
  <w16cex:commentExtensible w16cex:durableId="25C083BC" w16cex:dateUtc="2022-02-23T17:58:00Z"/>
  <w16cex:commentExtensible w16cex:durableId="25C0D136" w16cex:dateUtc="2022-02-23T23:28:00Z"/>
  <w16cex:commentExtensible w16cex:durableId="25B3E16F" w16cex:dateUtc="2022-02-11T00:14:00Z"/>
  <w16cex:commentExtensible w16cex:durableId="292A07B3" w16cex:dateUtc="2022-02-14T16:43:00Z"/>
  <w16cex:commentExtensible w16cex:durableId="25C0847B" w16cex:dateUtc="2022-02-23T18:01:00Z"/>
  <w16cex:commentExtensible w16cex:durableId="25C0D8B5" w16cex:dateUtc="2022-02-24T00:00:00Z"/>
  <w16cex:commentExtensible w16cex:durableId="25C0862B" w16cex:dateUtc="2022-02-23T18:08:00Z"/>
  <w16cex:commentExtensible w16cex:durableId="25C0CF5A" w16cex:dateUtc="2022-02-23T23:20:00Z"/>
  <w16cex:commentExtensible w16cex:durableId="25C0868E" w16cex:dateUtc="2022-02-23T18:10:00Z"/>
  <w16cex:commentExtensible w16cex:durableId="25C0D900" w16cex:dateUtc="2022-02-24T00:02:00Z"/>
  <w16cex:commentExtensible w16cex:durableId="25C09443" w16cex:dateUtc="2022-02-23T19:08:00Z"/>
  <w16cex:commentExtensible w16cex:durableId="25C2448B" w16cex:dateUtc="2022-02-25T01:51:00Z"/>
  <w16cex:commentExtensible w16cex:durableId="25C097D4" w16cex:dateUtc="2022-02-23T19:24:00Z"/>
  <w16cex:commentExtensible w16cex:durableId="25C24719" w16cex:dateUtc="2022-02-25T02:04:00Z"/>
  <w16cex:commentExtensible w16cex:durableId="25C098DB" w16cex:dateUtc="2022-02-23T19:28:00Z"/>
  <w16cex:commentExtensible w16cex:durableId="25C24735" w16cex:dateUtc="2022-02-25T02:04:00Z"/>
  <w16cex:commentExtensible w16cex:durableId="25C0994E" w16cex:dateUtc="2022-02-23T19:30:00Z"/>
  <w16cex:commentExtensible w16cex:durableId="25C24796" w16cex:dateUtc="2022-02-25T02: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00B21" w14:textId="77777777" w:rsidR="006E4C98" w:rsidRDefault="006E4C98" w:rsidP="000E09DC">
      <w:r>
        <w:separator/>
      </w:r>
    </w:p>
  </w:endnote>
  <w:endnote w:type="continuationSeparator" w:id="0">
    <w:p w14:paraId="171C9745" w14:textId="77777777" w:rsidR="006E4C98" w:rsidRDefault="006E4C98" w:rsidP="000E09DC">
      <w:r>
        <w:continuationSeparator/>
      </w:r>
    </w:p>
  </w:endnote>
  <w:endnote w:type="continuationNotice" w:id="1">
    <w:p w14:paraId="46CD43F9" w14:textId="77777777" w:rsidR="006E4C98" w:rsidRDefault="006E4C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D54424" w14:paraId="22610C2C" w14:textId="77777777" w:rsidTr="2B2151B8">
      <w:tc>
        <w:tcPr>
          <w:tcW w:w="3120" w:type="dxa"/>
        </w:tcPr>
        <w:p w14:paraId="62E198E5" w14:textId="77777777" w:rsidR="00D54424" w:rsidRDefault="00D54424" w:rsidP="2B2151B8">
          <w:pPr>
            <w:pStyle w:val="Header"/>
            <w:ind w:left="-115"/>
          </w:pPr>
        </w:p>
      </w:tc>
      <w:tc>
        <w:tcPr>
          <w:tcW w:w="3120" w:type="dxa"/>
        </w:tcPr>
        <w:p w14:paraId="03B37FCF" w14:textId="77777777" w:rsidR="00D54424" w:rsidRDefault="00D54424" w:rsidP="2B2151B8">
          <w:pPr>
            <w:pStyle w:val="Header"/>
            <w:jc w:val="center"/>
          </w:pPr>
        </w:p>
      </w:tc>
      <w:tc>
        <w:tcPr>
          <w:tcW w:w="3120" w:type="dxa"/>
        </w:tcPr>
        <w:p w14:paraId="183AC9EB" w14:textId="77777777" w:rsidR="00D54424" w:rsidRDefault="00D54424" w:rsidP="2B2151B8">
          <w:pPr>
            <w:pStyle w:val="Header"/>
            <w:ind w:right="-115"/>
            <w:jc w:val="right"/>
          </w:pPr>
        </w:p>
      </w:tc>
    </w:tr>
  </w:tbl>
  <w:p w14:paraId="001CB89F" w14:textId="77777777" w:rsidR="00D54424" w:rsidRDefault="00D54424" w:rsidP="2B2151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D54424" w14:paraId="3D3C145E" w14:textId="77777777" w:rsidTr="2B2151B8">
      <w:tc>
        <w:tcPr>
          <w:tcW w:w="3120" w:type="dxa"/>
        </w:tcPr>
        <w:p w14:paraId="75EADA86" w14:textId="77777777" w:rsidR="00D54424" w:rsidRDefault="00D54424" w:rsidP="2B2151B8">
          <w:pPr>
            <w:pStyle w:val="Header"/>
            <w:ind w:left="-115"/>
          </w:pPr>
        </w:p>
      </w:tc>
      <w:tc>
        <w:tcPr>
          <w:tcW w:w="3120" w:type="dxa"/>
        </w:tcPr>
        <w:p w14:paraId="4DCE3ABF" w14:textId="77777777" w:rsidR="00D54424" w:rsidRDefault="00D54424" w:rsidP="2B2151B8">
          <w:pPr>
            <w:pStyle w:val="Header"/>
            <w:jc w:val="center"/>
          </w:pPr>
        </w:p>
      </w:tc>
      <w:tc>
        <w:tcPr>
          <w:tcW w:w="3120" w:type="dxa"/>
        </w:tcPr>
        <w:p w14:paraId="7BB0806F" w14:textId="77777777" w:rsidR="00D54424" w:rsidRDefault="00D54424" w:rsidP="2B2151B8">
          <w:pPr>
            <w:pStyle w:val="Header"/>
            <w:ind w:right="-115"/>
            <w:jc w:val="right"/>
          </w:pPr>
        </w:p>
      </w:tc>
    </w:tr>
  </w:tbl>
  <w:p w14:paraId="44E61F4F" w14:textId="77777777" w:rsidR="00D54424" w:rsidRDefault="00D54424" w:rsidP="2B2151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659F9" w14:textId="77777777" w:rsidR="00D54424" w:rsidRDefault="00D54424" w:rsidP="2B2151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04AC0" w14:textId="77777777" w:rsidR="00D54424" w:rsidRDefault="00D54424" w:rsidP="009B2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828A5" w14:textId="77777777" w:rsidR="006E4C98" w:rsidRDefault="006E4C98" w:rsidP="000E09DC">
      <w:r>
        <w:separator/>
      </w:r>
    </w:p>
  </w:footnote>
  <w:footnote w:type="continuationSeparator" w:id="0">
    <w:p w14:paraId="2BBB2423" w14:textId="77777777" w:rsidR="006E4C98" w:rsidRDefault="006E4C98" w:rsidP="000E09DC">
      <w:r>
        <w:continuationSeparator/>
      </w:r>
    </w:p>
  </w:footnote>
  <w:footnote w:type="continuationNotice" w:id="1">
    <w:p w14:paraId="792A5363" w14:textId="77777777" w:rsidR="006E4C98" w:rsidRDefault="006E4C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2ED0D" w14:textId="77777777" w:rsidR="00D54424" w:rsidRPr="000E09DC" w:rsidRDefault="00D54424" w:rsidP="000E09DC">
    <w:pPr>
      <w:tabs>
        <w:tab w:val="center" w:pos="4680"/>
        <w:tab w:val="right" w:pos="9360"/>
      </w:tabs>
      <w:autoSpaceDE w:val="0"/>
      <w:autoSpaceDN w:val="0"/>
      <w:adjustRightInd w:val="0"/>
      <w:jc w:val="right"/>
      <w:rPr>
        <w:rFonts w:eastAsia="Calibri" w:cs="Arial"/>
      </w:rPr>
    </w:pPr>
    <w:r>
      <w:rPr>
        <w:rFonts w:eastAsia="Calibri" w:cs="Arial"/>
      </w:rPr>
      <w:t>General Waiver</w:t>
    </w:r>
  </w:p>
  <w:p w14:paraId="76DCD287" w14:textId="77777777" w:rsidR="00D54424" w:rsidRDefault="00D54424" w:rsidP="000E09DC">
    <w:pPr>
      <w:pStyle w:val="Header"/>
      <w:jc w:val="right"/>
      <w:rPr>
        <w:rFonts w:cs="Arial"/>
      </w:rPr>
    </w:pP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Pr>
        <w:rFonts w:cs="Arial"/>
        <w:noProof/>
      </w:rPr>
      <w:t>2</w:t>
    </w:r>
    <w:r w:rsidRPr="000E09DC">
      <w:rPr>
        <w:rFonts w:cs="Arial"/>
        <w:noProof/>
      </w:rPr>
      <w:fldChar w:fldCharType="end"/>
    </w:r>
    <w:r w:rsidRPr="000E09DC">
      <w:rPr>
        <w:rFonts w:cs="Arial"/>
      </w:rPr>
      <w:t xml:space="preserve"> of </w:t>
    </w:r>
    <w:r>
      <w:rPr>
        <w:rFonts w:cs="Arial"/>
      </w:rPr>
      <w:t>3</w:t>
    </w:r>
  </w:p>
  <w:p w14:paraId="108577D6" w14:textId="77777777" w:rsidR="00D54424" w:rsidRPr="00527B0E" w:rsidRDefault="00D54424" w:rsidP="000E09DC">
    <w:pPr>
      <w:pStyle w:val="Header"/>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14:paraId="326DF210" w14:textId="77777777" w:rsidR="00D54424" w:rsidRDefault="00D54424">
        <w:pPr>
          <w:pStyle w:val="Header"/>
          <w:jc w:val="right"/>
        </w:pPr>
        <w:r>
          <w:t>imab-adad-mar22item02</w:t>
        </w:r>
      </w:p>
      <w:p w14:paraId="3EEC242F" w14:textId="54F087B3" w:rsidR="00D54424" w:rsidRPr="00103BC6" w:rsidRDefault="00D54424" w:rsidP="00103BC6">
        <w:pPr>
          <w:pStyle w:val="Header"/>
          <w:spacing w:after="360"/>
          <w:jc w:val="right"/>
        </w:pPr>
        <w:r>
          <w:t xml:space="preserve">Page </w:t>
        </w:r>
        <w:r w:rsidRPr="00103BC6">
          <w:rPr>
            <w:bCs/>
          </w:rPr>
          <w:fldChar w:fldCharType="begin"/>
        </w:r>
        <w:r w:rsidRPr="00103BC6">
          <w:rPr>
            <w:bCs/>
          </w:rPr>
          <w:instrText xml:space="preserve"> PAGE </w:instrText>
        </w:r>
        <w:r w:rsidRPr="00103BC6">
          <w:rPr>
            <w:bCs/>
          </w:rPr>
          <w:fldChar w:fldCharType="separate"/>
        </w:r>
        <w:r w:rsidRPr="00103BC6">
          <w:rPr>
            <w:bCs/>
            <w:noProof/>
          </w:rPr>
          <w:t>2</w:t>
        </w:r>
        <w:r w:rsidRPr="00103BC6">
          <w:rPr>
            <w:bCs/>
          </w:rPr>
          <w:fldChar w:fldCharType="end"/>
        </w:r>
        <w:r>
          <w:t xml:space="preserve"> of </w:t>
        </w:r>
        <w:r>
          <w:rPr>
            <w:bCs/>
          </w:rPr>
          <w:fldChar w:fldCharType="begin"/>
        </w:r>
        <w:r>
          <w:rPr>
            <w:bCs/>
          </w:rPr>
          <w:instrText xml:space="preserve"> SECTIONPAGES  </w:instrText>
        </w:r>
        <w:r>
          <w:rPr>
            <w:bCs/>
          </w:rPr>
          <w:fldChar w:fldCharType="separate"/>
        </w:r>
        <w:r w:rsidR="007F55A2">
          <w:rPr>
            <w:bCs/>
            <w:noProof/>
          </w:rPr>
          <w:t>7</w:t>
        </w:r>
        <w:r>
          <w:rPr>
            <w:bCs/>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95EB2" w14:textId="77777777" w:rsidR="00D54424" w:rsidRDefault="00D54424" w:rsidP="00401F86">
    <w:pPr>
      <w:pStyle w:val="Header"/>
      <w:ind w:right="1440"/>
      <w:jc w:val="right"/>
    </w:pPr>
    <w:r>
      <w:t>imab-adad-mar22item02</w:t>
    </w:r>
  </w:p>
  <w:p w14:paraId="7E527A86" w14:textId="77777777" w:rsidR="00D54424" w:rsidRDefault="00D54424" w:rsidP="00401F86">
    <w:pPr>
      <w:pStyle w:val="Header"/>
      <w:ind w:right="1440"/>
      <w:jc w:val="right"/>
    </w:pPr>
    <w:r>
      <w:t>Attachment 1</w:t>
    </w:r>
  </w:p>
  <w:p w14:paraId="3D3358CC" w14:textId="18A56751" w:rsidR="00D54424" w:rsidRPr="00D17665" w:rsidRDefault="00D54424" w:rsidP="00401F86">
    <w:pPr>
      <w:pStyle w:val="Header"/>
      <w:spacing w:after="360"/>
      <w:ind w:right="1440"/>
      <w:jc w:val="right"/>
    </w:pPr>
    <w:r>
      <w:t xml:space="preserve">Page </w:t>
    </w:r>
    <w:r w:rsidRPr="001B207B">
      <w:rPr>
        <w:bCs/>
      </w:rPr>
      <w:fldChar w:fldCharType="begin"/>
    </w:r>
    <w:r w:rsidRPr="001B207B">
      <w:rPr>
        <w:bCs/>
      </w:rPr>
      <w:instrText xml:space="preserve"> PAGE  \* Arabic  \* MERGEFORMAT </w:instrText>
    </w:r>
    <w:r w:rsidRPr="001B207B">
      <w:rPr>
        <w:bCs/>
      </w:rPr>
      <w:fldChar w:fldCharType="separate"/>
    </w:r>
    <w:r w:rsidRPr="001B207B">
      <w:rPr>
        <w:bCs/>
        <w:noProof/>
      </w:rPr>
      <w:t>1</w:t>
    </w:r>
    <w:r w:rsidRPr="001B207B">
      <w:rPr>
        <w:bCs/>
      </w:rPr>
      <w:fldChar w:fldCharType="end"/>
    </w:r>
    <w:r>
      <w:t xml:space="preserve"> of </w:t>
    </w:r>
    <w:r>
      <w:rPr>
        <w:bCs/>
      </w:rPr>
      <w:t>2</w:t>
    </w:r>
    <w:r w:rsidR="00051FB2">
      <w:rPr>
        <w:bCs/>
      </w:rPr>
      <w:t>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682421C7" w14:textId="77777777" w:rsidR="00D54424" w:rsidRDefault="00D54424" w:rsidP="009B2C6C">
        <w:pPr>
          <w:pStyle w:val="Header"/>
          <w:jc w:val="right"/>
        </w:pPr>
        <w:r>
          <w:t>imab-adad-mar22item02</w:t>
        </w:r>
      </w:p>
      <w:p w14:paraId="4D30B4F8" w14:textId="77777777" w:rsidR="00D54424" w:rsidRDefault="00D54424" w:rsidP="009B2C6C">
        <w:pPr>
          <w:pStyle w:val="Header"/>
          <w:jc w:val="right"/>
        </w:pPr>
        <w:r>
          <w:t>Attachment 1</w:t>
        </w:r>
      </w:p>
      <w:p w14:paraId="609B7A97" w14:textId="77777777" w:rsidR="00D54424" w:rsidRPr="00D17665" w:rsidRDefault="00D54424" w:rsidP="009B2C6C">
        <w:pPr>
          <w:pStyle w:val="Header"/>
          <w:jc w:val="right"/>
        </w:pPr>
        <w:r w:rsidRPr="00D17665">
          <w:t xml:space="preserve">Page </w:t>
        </w:r>
        <w:r w:rsidRPr="00D17665">
          <w:rPr>
            <w:bCs/>
          </w:rPr>
          <w:fldChar w:fldCharType="begin"/>
        </w:r>
        <w:r w:rsidRPr="00D17665">
          <w:rPr>
            <w:bCs/>
          </w:rPr>
          <w:instrText xml:space="preserve"> PAGE </w:instrText>
        </w:r>
        <w:r w:rsidRPr="00D17665">
          <w:rPr>
            <w:bCs/>
          </w:rPr>
          <w:fldChar w:fldCharType="separate"/>
        </w:r>
        <w:r w:rsidRPr="00D17665">
          <w:rPr>
            <w:bCs/>
            <w:noProof/>
          </w:rPr>
          <w:t>2</w:t>
        </w:r>
        <w:r w:rsidRPr="00D17665">
          <w:rPr>
            <w:bCs/>
          </w:rPr>
          <w:fldChar w:fldCharType="end"/>
        </w:r>
        <w:r w:rsidRPr="00D17665">
          <w:t xml:space="preserve"> of </w:t>
        </w:r>
        <w:r w:rsidRPr="00D17665">
          <w:rPr>
            <w:bCs/>
          </w:rPr>
          <w:fldChar w:fldCharType="begin"/>
        </w:r>
        <w:r w:rsidRPr="00D17665">
          <w:rPr>
            <w:bCs/>
          </w:rPr>
          <w:instrText xml:space="preserve"> NUMPAGES  </w:instrText>
        </w:r>
        <w:r w:rsidRPr="00D17665">
          <w:rPr>
            <w:bCs/>
          </w:rPr>
          <w:fldChar w:fldCharType="separate"/>
        </w:r>
        <w:r w:rsidRPr="00D17665">
          <w:rPr>
            <w:bCs/>
            <w:noProof/>
          </w:rPr>
          <w:t>2</w:t>
        </w:r>
        <w:r w:rsidRPr="00D17665">
          <w:rPr>
            <w:bCs/>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97779" w14:textId="77777777" w:rsidR="00D54424" w:rsidRDefault="00D54424" w:rsidP="009B2C6C">
    <w:pPr>
      <w:pStyle w:val="Header"/>
      <w:jc w:val="right"/>
    </w:pPr>
    <w:r>
      <w:t>imab-adad-mar22item02</w:t>
    </w:r>
  </w:p>
  <w:p w14:paraId="06893F7E" w14:textId="77777777" w:rsidR="00D54424" w:rsidRDefault="00D54424" w:rsidP="009B2C6C">
    <w:pPr>
      <w:pStyle w:val="Header"/>
      <w:jc w:val="right"/>
    </w:pPr>
    <w:r>
      <w:t>Attachment 1</w:t>
    </w:r>
  </w:p>
  <w:sdt>
    <w:sdtPr>
      <w:id w:val="-745881637"/>
      <w:docPartObj>
        <w:docPartGallery w:val="Page Numbers (Top of Page)"/>
        <w:docPartUnique/>
      </w:docPartObj>
    </w:sdtPr>
    <w:sdtEndPr/>
    <w:sdtContent>
      <w:p w14:paraId="5A5572C7" w14:textId="009933A7" w:rsidR="00D54424" w:rsidRPr="00D17665" w:rsidRDefault="00D54424" w:rsidP="009B2C6C">
        <w:pPr>
          <w:pStyle w:val="Header"/>
          <w:spacing w:after="360"/>
          <w:jc w:val="right"/>
        </w:pPr>
        <w:r w:rsidRPr="00D17665">
          <w:t xml:space="preserve">Page </w:t>
        </w:r>
        <w:r w:rsidRPr="00D17665">
          <w:rPr>
            <w:bCs/>
          </w:rPr>
          <w:fldChar w:fldCharType="begin"/>
        </w:r>
        <w:r w:rsidRPr="00D17665">
          <w:rPr>
            <w:bCs/>
          </w:rPr>
          <w:instrText xml:space="preserve"> PAGE </w:instrText>
        </w:r>
        <w:r w:rsidRPr="00D17665">
          <w:rPr>
            <w:bCs/>
          </w:rPr>
          <w:fldChar w:fldCharType="separate"/>
        </w:r>
        <w:r w:rsidRPr="00D17665">
          <w:rPr>
            <w:bCs/>
            <w:noProof/>
          </w:rPr>
          <w:t>2</w:t>
        </w:r>
        <w:r w:rsidRPr="00D17665">
          <w:rPr>
            <w:bCs/>
          </w:rPr>
          <w:fldChar w:fldCharType="end"/>
        </w:r>
        <w:r w:rsidRPr="00D17665">
          <w:t xml:space="preserve"> of </w:t>
        </w:r>
        <w:r>
          <w:rPr>
            <w:bCs/>
          </w:rPr>
          <w:t>2</w:t>
        </w:r>
        <w:r w:rsidR="00051FB2">
          <w:rPr>
            <w:bCs/>
          </w:rPr>
          <w:t>0</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3051B" w14:textId="77777777" w:rsidR="00D54424" w:rsidRDefault="00D54424" w:rsidP="009B2C6C">
    <w:pPr>
      <w:pStyle w:val="Header"/>
      <w:jc w:val="right"/>
    </w:pPr>
    <w:r>
      <w:t>Attachment 1: Waiver Requests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6040528"/>
      <w:docPartObj>
        <w:docPartGallery w:val="Page Numbers (Top of Page)"/>
        <w:docPartUnique/>
      </w:docPartObj>
    </w:sdtPr>
    <w:sdtEndPr/>
    <w:sdtContent>
      <w:p w14:paraId="5BA17E79" w14:textId="37234F92" w:rsidR="00D54424" w:rsidRDefault="00D54424" w:rsidP="009B2C6C">
        <w:pPr>
          <w:pStyle w:val="Header"/>
          <w:jc w:val="right"/>
        </w:pPr>
        <w:r>
          <w:t>imab-adad-mar22item02</w:t>
        </w:r>
      </w:p>
      <w:p w14:paraId="5D7DE037" w14:textId="77777777" w:rsidR="00D54424" w:rsidRDefault="00D54424" w:rsidP="009B2C6C">
        <w:pPr>
          <w:pStyle w:val="Header"/>
          <w:jc w:val="right"/>
        </w:pPr>
        <w:r>
          <w:t>Attachment 1</w:t>
        </w:r>
      </w:p>
      <w:p w14:paraId="410F8C46" w14:textId="12868D17" w:rsidR="00D54424" w:rsidRPr="00051FB2" w:rsidRDefault="00D54424" w:rsidP="00051FB2">
        <w:pPr>
          <w:pStyle w:val="Header"/>
          <w:spacing w:after="360"/>
          <w:jc w:val="right"/>
          <w:rPr>
            <w:bCs/>
          </w:rPr>
        </w:pPr>
        <w:r w:rsidRPr="000C58AB">
          <w:t xml:space="preserve">Page </w:t>
        </w:r>
        <w:r w:rsidRPr="000C58AB">
          <w:rPr>
            <w:bCs/>
          </w:rPr>
          <w:fldChar w:fldCharType="begin"/>
        </w:r>
        <w:r w:rsidRPr="000C58AB">
          <w:rPr>
            <w:bCs/>
          </w:rPr>
          <w:instrText xml:space="preserve"> PAGE </w:instrText>
        </w:r>
        <w:r w:rsidRPr="000C58AB">
          <w:rPr>
            <w:bCs/>
          </w:rPr>
          <w:fldChar w:fldCharType="separate"/>
        </w:r>
        <w:r w:rsidRPr="000C58AB">
          <w:rPr>
            <w:bCs/>
            <w:noProof/>
          </w:rPr>
          <w:t>2</w:t>
        </w:r>
        <w:r w:rsidRPr="000C58AB">
          <w:rPr>
            <w:bCs/>
          </w:rPr>
          <w:fldChar w:fldCharType="end"/>
        </w:r>
        <w:r w:rsidRPr="000C58AB">
          <w:t xml:space="preserve"> of </w:t>
        </w:r>
        <w:r>
          <w:rPr>
            <w:bCs/>
          </w:rPr>
          <w:t>2</w:t>
        </w:r>
        <w:r w:rsidR="00051FB2">
          <w:rPr>
            <w:bCs/>
          </w:rPr>
          <w:t>0</w:t>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496E8" w14:textId="77777777" w:rsidR="00D54424" w:rsidRDefault="00D54424" w:rsidP="009B2C6C">
    <w:pPr>
      <w:pStyle w:val="Header"/>
      <w:jc w:val="right"/>
    </w:pPr>
    <w:r>
      <w:t>Attachment 2: Extension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2CE1"/>
    <w:multiLevelType w:val="hybridMultilevel"/>
    <w:tmpl w:val="FEC4498C"/>
    <w:lvl w:ilvl="0" w:tplc="FD7AEC78">
      <w:start w:val="1"/>
      <w:numFmt w:val="decimal"/>
      <w:lvlText w:val="%1."/>
      <w:lvlJc w:val="left"/>
      <w:pPr>
        <w:ind w:left="720" w:hanging="360"/>
      </w:pPr>
    </w:lvl>
    <w:lvl w:ilvl="1" w:tplc="691CB47E">
      <w:start w:val="1"/>
      <w:numFmt w:val="lowerLetter"/>
      <w:lvlText w:val="%2."/>
      <w:lvlJc w:val="left"/>
      <w:pPr>
        <w:ind w:left="1440" w:hanging="360"/>
      </w:pPr>
    </w:lvl>
    <w:lvl w:ilvl="2" w:tplc="FCF84932">
      <w:start w:val="1"/>
      <w:numFmt w:val="lowerRoman"/>
      <w:lvlText w:val="%3."/>
      <w:lvlJc w:val="right"/>
      <w:pPr>
        <w:ind w:left="2160" w:hanging="180"/>
      </w:pPr>
    </w:lvl>
    <w:lvl w:ilvl="3" w:tplc="76922D96">
      <w:start w:val="1"/>
      <w:numFmt w:val="decimal"/>
      <w:lvlText w:val="%4."/>
      <w:lvlJc w:val="left"/>
      <w:pPr>
        <w:ind w:left="2880" w:hanging="360"/>
      </w:pPr>
    </w:lvl>
    <w:lvl w:ilvl="4" w:tplc="3FE48CD2">
      <w:start w:val="1"/>
      <w:numFmt w:val="lowerLetter"/>
      <w:lvlText w:val="%5."/>
      <w:lvlJc w:val="left"/>
      <w:pPr>
        <w:ind w:left="3600" w:hanging="360"/>
      </w:pPr>
    </w:lvl>
    <w:lvl w:ilvl="5" w:tplc="EE8C1614">
      <w:start w:val="1"/>
      <w:numFmt w:val="lowerRoman"/>
      <w:lvlText w:val="%6."/>
      <w:lvlJc w:val="right"/>
      <w:pPr>
        <w:ind w:left="4320" w:hanging="180"/>
      </w:pPr>
    </w:lvl>
    <w:lvl w:ilvl="6" w:tplc="61A45C40">
      <w:start w:val="1"/>
      <w:numFmt w:val="decimal"/>
      <w:lvlText w:val="%7."/>
      <w:lvlJc w:val="left"/>
      <w:pPr>
        <w:ind w:left="5040" w:hanging="360"/>
      </w:pPr>
    </w:lvl>
    <w:lvl w:ilvl="7" w:tplc="8F16C076">
      <w:start w:val="1"/>
      <w:numFmt w:val="lowerLetter"/>
      <w:lvlText w:val="%8."/>
      <w:lvlJc w:val="left"/>
      <w:pPr>
        <w:ind w:left="5760" w:hanging="360"/>
      </w:pPr>
    </w:lvl>
    <w:lvl w:ilvl="8" w:tplc="F8F22574">
      <w:start w:val="1"/>
      <w:numFmt w:val="lowerRoman"/>
      <w:lvlText w:val="%9."/>
      <w:lvlJc w:val="right"/>
      <w:pPr>
        <w:ind w:left="6480" w:hanging="180"/>
      </w:pPr>
    </w:lvl>
  </w:abstractNum>
  <w:abstractNum w:abstractNumId="1" w15:restartNumberingAfterBreak="0">
    <w:nsid w:val="05606798"/>
    <w:multiLevelType w:val="hybridMultilevel"/>
    <w:tmpl w:val="D954119C"/>
    <w:lvl w:ilvl="0" w:tplc="E29C2F74">
      <w:start w:val="1"/>
      <w:numFmt w:val="bullet"/>
      <w:lvlText w:val=""/>
      <w:lvlJc w:val="left"/>
      <w:pPr>
        <w:ind w:left="720" w:hanging="360"/>
      </w:pPr>
      <w:rPr>
        <w:rFonts w:ascii="Symbol" w:hAnsi="Symbol" w:hint="default"/>
      </w:rPr>
    </w:lvl>
    <w:lvl w:ilvl="1" w:tplc="BF28D330">
      <w:start w:val="1"/>
      <w:numFmt w:val="bullet"/>
      <w:lvlText w:val="o"/>
      <w:lvlJc w:val="left"/>
      <w:pPr>
        <w:ind w:left="1440" w:hanging="360"/>
      </w:pPr>
      <w:rPr>
        <w:rFonts w:ascii="Courier New" w:hAnsi="Courier New" w:hint="default"/>
      </w:rPr>
    </w:lvl>
    <w:lvl w:ilvl="2" w:tplc="6B704818">
      <w:start w:val="1"/>
      <w:numFmt w:val="bullet"/>
      <w:lvlText w:val=""/>
      <w:lvlJc w:val="left"/>
      <w:pPr>
        <w:ind w:left="2160" w:hanging="360"/>
      </w:pPr>
      <w:rPr>
        <w:rFonts w:ascii="Symbol" w:hAnsi="Symbol" w:hint="default"/>
      </w:rPr>
    </w:lvl>
    <w:lvl w:ilvl="3" w:tplc="298A0122">
      <w:start w:val="1"/>
      <w:numFmt w:val="bullet"/>
      <w:lvlText w:val=""/>
      <w:lvlJc w:val="left"/>
      <w:pPr>
        <w:ind w:left="2880" w:hanging="360"/>
      </w:pPr>
      <w:rPr>
        <w:rFonts w:ascii="Symbol" w:hAnsi="Symbol" w:hint="default"/>
      </w:rPr>
    </w:lvl>
    <w:lvl w:ilvl="4" w:tplc="BA50311A">
      <w:start w:val="1"/>
      <w:numFmt w:val="bullet"/>
      <w:lvlText w:val="o"/>
      <w:lvlJc w:val="left"/>
      <w:pPr>
        <w:ind w:left="3600" w:hanging="360"/>
      </w:pPr>
      <w:rPr>
        <w:rFonts w:ascii="Courier New" w:hAnsi="Courier New" w:hint="default"/>
      </w:rPr>
    </w:lvl>
    <w:lvl w:ilvl="5" w:tplc="3C4A562A">
      <w:start w:val="1"/>
      <w:numFmt w:val="bullet"/>
      <w:lvlText w:val=""/>
      <w:lvlJc w:val="left"/>
      <w:pPr>
        <w:ind w:left="4320" w:hanging="360"/>
      </w:pPr>
      <w:rPr>
        <w:rFonts w:ascii="Wingdings" w:hAnsi="Wingdings" w:hint="default"/>
      </w:rPr>
    </w:lvl>
    <w:lvl w:ilvl="6" w:tplc="F294CF9C">
      <w:start w:val="1"/>
      <w:numFmt w:val="bullet"/>
      <w:lvlText w:val=""/>
      <w:lvlJc w:val="left"/>
      <w:pPr>
        <w:ind w:left="5040" w:hanging="360"/>
      </w:pPr>
      <w:rPr>
        <w:rFonts w:ascii="Symbol" w:hAnsi="Symbol" w:hint="default"/>
      </w:rPr>
    </w:lvl>
    <w:lvl w:ilvl="7" w:tplc="255ECC78">
      <w:start w:val="1"/>
      <w:numFmt w:val="bullet"/>
      <w:lvlText w:val="o"/>
      <w:lvlJc w:val="left"/>
      <w:pPr>
        <w:ind w:left="5760" w:hanging="360"/>
      </w:pPr>
      <w:rPr>
        <w:rFonts w:ascii="Courier New" w:hAnsi="Courier New" w:hint="default"/>
      </w:rPr>
    </w:lvl>
    <w:lvl w:ilvl="8" w:tplc="BD087178">
      <w:start w:val="1"/>
      <w:numFmt w:val="bullet"/>
      <w:lvlText w:val=""/>
      <w:lvlJc w:val="left"/>
      <w:pPr>
        <w:ind w:left="6480" w:hanging="360"/>
      </w:pPr>
      <w:rPr>
        <w:rFonts w:ascii="Wingdings" w:hAnsi="Wingdings" w:hint="default"/>
      </w:rPr>
    </w:lvl>
  </w:abstractNum>
  <w:abstractNum w:abstractNumId="2" w15:restartNumberingAfterBreak="0">
    <w:nsid w:val="05DA2428"/>
    <w:multiLevelType w:val="hybridMultilevel"/>
    <w:tmpl w:val="89AC36BC"/>
    <w:lvl w:ilvl="0" w:tplc="308822C4">
      <w:start w:val="1"/>
      <w:numFmt w:val="upperLetter"/>
      <w:lvlText w:val="%1."/>
      <w:lvlJc w:val="left"/>
      <w:pPr>
        <w:ind w:left="360" w:hanging="360"/>
      </w:pPr>
    </w:lvl>
    <w:lvl w:ilvl="1" w:tplc="0D6A0FF8">
      <w:start w:val="1"/>
      <w:numFmt w:val="lowerLetter"/>
      <w:lvlText w:val="%2."/>
      <w:lvlJc w:val="left"/>
      <w:pPr>
        <w:ind w:left="1080" w:hanging="360"/>
      </w:pPr>
    </w:lvl>
    <w:lvl w:ilvl="2" w:tplc="E4620316">
      <w:start w:val="1"/>
      <w:numFmt w:val="lowerRoman"/>
      <w:lvlText w:val="%3."/>
      <w:lvlJc w:val="right"/>
      <w:pPr>
        <w:ind w:left="1800" w:hanging="180"/>
      </w:pPr>
    </w:lvl>
    <w:lvl w:ilvl="3" w:tplc="C12ADCAE">
      <w:start w:val="1"/>
      <w:numFmt w:val="decimal"/>
      <w:lvlText w:val="%4."/>
      <w:lvlJc w:val="left"/>
      <w:pPr>
        <w:ind w:left="2520" w:hanging="360"/>
      </w:pPr>
    </w:lvl>
    <w:lvl w:ilvl="4" w:tplc="883CCDF6">
      <w:start w:val="1"/>
      <w:numFmt w:val="lowerLetter"/>
      <w:lvlText w:val="%5."/>
      <w:lvlJc w:val="left"/>
      <w:pPr>
        <w:ind w:left="3240" w:hanging="360"/>
      </w:pPr>
    </w:lvl>
    <w:lvl w:ilvl="5" w:tplc="D15AE3B4">
      <w:start w:val="1"/>
      <w:numFmt w:val="lowerRoman"/>
      <w:lvlText w:val="%6."/>
      <w:lvlJc w:val="right"/>
      <w:pPr>
        <w:ind w:left="3960" w:hanging="180"/>
      </w:pPr>
    </w:lvl>
    <w:lvl w:ilvl="6" w:tplc="21F86F22">
      <w:start w:val="1"/>
      <w:numFmt w:val="decimal"/>
      <w:lvlText w:val="%7."/>
      <w:lvlJc w:val="left"/>
      <w:pPr>
        <w:ind w:left="4680" w:hanging="360"/>
      </w:pPr>
    </w:lvl>
    <w:lvl w:ilvl="7" w:tplc="FFAE414E">
      <w:start w:val="1"/>
      <w:numFmt w:val="lowerLetter"/>
      <w:lvlText w:val="%8."/>
      <w:lvlJc w:val="left"/>
      <w:pPr>
        <w:ind w:left="5400" w:hanging="360"/>
      </w:pPr>
    </w:lvl>
    <w:lvl w:ilvl="8" w:tplc="B130EC9A">
      <w:start w:val="1"/>
      <w:numFmt w:val="lowerRoman"/>
      <w:lvlText w:val="%9."/>
      <w:lvlJc w:val="right"/>
      <w:pPr>
        <w:ind w:left="6120" w:hanging="180"/>
      </w:pPr>
    </w:lvl>
  </w:abstractNum>
  <w:abstractNum w:abstractNumId="3" w15:restartNumberingAfterBreak="0">
    <w:nsid w:val="09040452"/>
    <w:multiLevelType w:val="hybridMultilevel"/>
    <w:tmpl w:val="90022BF4"/>
    <w:lvl w:ilvl="0" w:tplc="385C73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3229E"/>
    <w:multiLevelType w:val="hybridMultilevel"/>
    <w:tmpl w:val="EF30A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4198E"/>
    <w:multiLevelType w:val="hybridMultilevel"/>
    <w:tmpl w:val="2C32FFDE"/>
    <w:lvl w:ilvl="0" w:tplc="91A29A50">
      <w:start w:val="1"/>
      <w:numFmt w:val="bullet"/>
      <w:lvlText w:val=""/>
      <w:lvlJc w:val="left"/>
      <w:pPr>
        <w:ind w:left="720" w:hanging="360"/>
      </w:pPr>
      <w:rPr>
        <w:rFonts w:ascii="Symbol" w:hAnsi="Symbol" w:hint="default"/>
      </w:rPr>
    </w:lvl>
    <w:lvl w:ilvl="1" w:tplc="7D28CD18">
      <w:start w:val="1"/>
      <w:numFmt w:val="bullet"/>
      <w:lvlText w:val="o"/>
      <w:lvlJc w:val="left"/>
      <w:pPr>
        <w:ind w:left="1440" w:hanging="360"/>
      </w:pPr>
      <w:rPr>
        <w:rFonts w:ascii="Courier New" w:hAnsi="Courier New" w:hint="default"/>
      </w:rPr>
    </w:lvl>
    <w:lvl w:ilvl="2" w:tplc="BD90E9C0">
      <w:start w:val="1"/>
      <w:numFmt w:val="bullet"/>
      <w:lvlText w:val=""/>
      <w:lvlJc w:val="left"/>
      <w:pPr>
        <w:ind w:left="2160" w:hanging="360"/>
      </w:pPr>
      <w:rPr>
        <w:rFonts w:ascii="Wingdings" w:hAnsi="Wingdings" w:hint="default"/>
      </w:rPr>
    </w:lvl>
    <w:lvl w:ilvl="3" w:tplc="F542A628">
      <w:start w:val="1"/>
      <w:numFmt w:val="bullet"/>
      <w:lvlText w:val=""/>
      <w:lvlJc w:val="left"/>
      <w:pPr>
        <w:ind w:left="2880" w:hanging="360"/>
      </w:pPr>
      <w:rPr>
        <w:rFonts w:ascii="Symbol" w:hAnsi="Symbol" w:hint="default"/>
      </w:rPr>
    </w:lvl>
    <w:lvl w:ilvl="4" w:tplc="DF2093B4">
      <w:start w:val="1"/>
      <w:numFmt w:val="bullet"/>
      <w:lvlText w:val="o"/>
      <w:lvlJc w:val="left"/>
      <w:pPr>
        <w:ind w:left="3600" w:hanging="360"/>
      </w:pPr>
      <w:rPr>
        <w:rFonts w:ascii="Courier New" w:hAnsi="Courier New" w:hint="default"/>
      </w:rPr>
    </w:lvl>
    <w:lvl w:ilvl="5" w:tplc="FD205CFA">
      <w:start w:val="1"/>
      <w:numFmt w:val="bullet"/>
      <w:lvlText w:val=""/>
      <w:lvlJc w:val="left"/>
      <w:pPr>
        <w:ind w:left="4320" w:hanging="360"/>
      </w:pPr>
      <w:rPr>
        <w:rFonts w:ascii="Wingdings" w:hAnsi="Wingdings" w:hint="default"/>
      </w:rPr>
    </w:lvl>
    <w:lvl w:ilvl="6" w:tplc="708C1F3C">
      <w:start w:val="1"/>
      <w:numFmt w:val="bullet"/>
      <w:lvlText w:val=""/>
      <w:lvlJc w:val="left"/>
      <w:pPr>
        <w:ind w:left="5040" w:hanging="360"/>
      </w:pPr>
      <w:rPr>
        <w:rFonts w:ascii="Symbol" w:hAnsi="Symbol" w:hint="default"/>
      </w:rPr>
    </w:lvl>
    <w:lvl w:ilvl="7" w:tplc="994CA606">
      <w:start w:val="1"/>
      <w:numFmt w:val="bullet"/>
      <w:lvlText w:val="o"/>
      <w:lvlJc w:val="left"/>
      <w:pPr>
        <w:ind w:left="5760" w:hanging="360"/>
      </w:pPr>
      <w:rPr>
        <w:rFonts w:ascii="Courier New" w:hAnsi="Courier New" w:hint="default"/>
      </w:rPr>
    </w:lvl>
    <w:lvl w:ilvl="8" w:tplc="C04E2530">
      <w:start w:val="1"/>
      <w:numFmt w:val="bullet"/>
      <w:lvlText w:val=""/>
      <w:lvlJc w:val="left"/>
      <w:pPr>
        <w:ind w:left="6480" w:hanging="360"/>
      </w:pPr>
      <w:rPr>
        <w:rFonts w:ascii="Wingdings" w:hAnsi="Wingdings" w:hint="default"/>
      </w:rPr>
    </w:lvl>
  </w:abstractNum>
  <w:abstractNum w:abstractNumId="7" w15:restartNumberingAfterBreak="0">
    <w:nsid w:val="0DBB6E69"/>
    <w:multiLevelType w:val="hybridMultilevel"/>
    <w:tmpl w:val="EA28A6F0"/>
    <w:lvl w:ilvl="0" w:tplc="AF0A8384">
      <w:start w:val="1"/>
      <w:numFmt w:val="bullet"/>
      <w:lvlText w:val=""/>
      <w:lvlJc w:val="left"/>
      <w:pPr>
        <w:ind w:left="720" w:hanging="360"/>
      </w:pPr>
      <w:rPr>
        <w:rFonts w:ascii="Symbol" w:hAnsi="Symbol" w:hint="default"/>
      </w:rPr>
    </w:lvl>
    <w:lvl w:ilvl="1" w:tplc="F896441C">
      <w:start w:val="1"/>
      <w:numFmt w:val="bullet"/>
      <w:lvlText w:val="o"/>
      <w:lvlJc w:val="left"/>
      <w:pPr>
        <w:ind w:left="1440" w:hanging="360"/>
      </w:pPr>
      <w:rPr>
        <w:rFonts w:ascii="Courier New" w:hAnsi="Courier New" w:hint="default"/>
      </w:rPr>
    </w:lvl>
    <w:lvl w:ilvl="2" w:tplc="3B44ED2C">
      <w:start w:val="1"/>
      <w:numFmt w:val="bullet"/>
      <w:lvlText w:val=""/>
      <w:lvlJc w:val="left"/>
      <w:pPr>
        <w:ind w:left="2160" w:hanging="360"/>
      </w:pPr>
      <w:rPr>
        <w:rFonts w:ascii="Wingdings" w:hAnsi="Wingdings" w:hint="default"/>
      </w:rPr>
    </w:lvl>
    <w:lvl w:ilvl="3" w:tplc="5F0CB282">
      <w:start w:val="1"/>
      <w:numFmt w:val="bullet"/>
      <w:lvlText w:val=""/>
      <w:lvlJc w:val="left"/>
      <w:pPr>
        <w:ind w:left="2880" w:hanging="360"/>
      </w:pPr>
      <w:rPr>
        <w:rFonts w:ascii="Symbol" w:hAnsi="Symbol" w:hint="default"/>
      </w:rPr>
    </w:lvl>
    <w:lvl w:ilvl="4" w:tplc="B6BE2A84">
      <w:start w:val="1"/>
      <w:numFmt w:val="bullet"/>
      <w:lvlText w:val="o"/>
      <w:lvlJc w:val="left"/>
      <w:pPr>
        <w:ind w:left="3600" w:hanging="360"/>
      </w:pPr>
      <w:rPr>
        <w:rFonts w:ascii="Courier New" w:hAnsi="Courier New" w:hint="default"/>
      </w:rPr>
    </w:lvl>
    <w:lvl w:ilvl="5" w:tplc="8DFA2436">
      <w:start w:val="1"/>
      <w:numFmt w:val="bullet"/>
      <w:lvlText w:val=""/>
      <w:lvlJc w:val="left"/>
      <w:pPr>
        <w:ind w:left="4320" w:hanging="360"/>
      </w:pPr>
      <w:rPr>
        <w:rFonts w:ascii="Wingdings" w:hAnsi="Wingdings" w:hint="default"/>
      </w:rPr>
    </w:lvl>
    <w:lvl w:ilvl="6" w:tplc="759C68AE">
      <w:start w:val="1"/>
      <w:numFmt w:val="bullet"/>
      <w:lvlText w:val=""/>
      <w:lvlJc w:val="left"/>
      <w:pPr>
        <w:ind w:left="5040" w:hanging="360"/>
      </w:pPr>
      <w:rPr>
        <w:rFonts w:ascii="Symbol" w:hAnsi="Symbol" w:hint="default"/>
      </w:rPr>
    </w:lvl>
    <w:lvl w:ilvl="7" w:tplc="73CA8E6E">
      <w:start w:val="1"/>
      <w:numFmt w:val="bullet"/>
      <w:lvlText w:val="o"/>
      <w:lvlJc w:val="left"/>
      <w:pPr>
        <w:ind w:left="5760" w:hanging="360"/>
      </w:pPr>
      <w:rPr>
        <w:rFonts w:ascii="Courier New" w:hAnsi="Courier New" w:hint="default"/>
      </w:rPr>
    </w:lvl>
    <w:lvl w:ilvl="8" w:tplc="B044D2F2">
      <w:start w:val="1"/>
      <w:numFmt w:val="bullet"/>
      <w:lvlText w:val=""/>
      <w:lvlJc w:val="left"/>
      <w:pPr>
        <w:ind w:left="6480" w:hanging="360"/>
      </w:pPr>
      <w:rPr>
        <w:rFonts w:ascii="Wingdings" w:hAnsi="Wingdings" w:hint="default"/>
      </w:rPr>
    </w:lvl>
  </w:abstractNum>
  <w:abstractNum w:abstractNumId="8" w15:restartNumberingAfterBreak="0">
    <w:nsid w:val="0E092E33"/>
    <w:multiLevelType w:val="hybridMultilevel"/>
    <w:tmpl w:val="1EC4C304"/>
    <w:lvl w:ilvl="0" w:tplc="15C21F4C">
      <w:start w:val="1"/>
      <w:numFmt w:val="decimal"/>
      <w:lvlText w:val="%1."/>
      <w:lvlJc w:val="left"/>
      <w:pPr>
        <w:ind w:left="360" w:hanging="360"/>
      </w:pPr>
    </w:lvl>
    <w:lvl w:ilvl="1" w:tplc="1356354A">
      <w:start w:val="1"/>
      <w:numFmt w:val="lowerLetter"/>
      <w:lvlText w:val="%2."/>
      <w:lvlJc w:val="left"/>
      <w:pPr>
        <w:ind w:left="1080" w:hanging="360"/>
      </w:pPr>
    </w:lvl>
    <w:lvl w:ilvl="2" w:tplc="E53E2ACE">
      <w:start w:val="1"/>
      <w:numFmt w:val="lowerRoman"/>
      <w:lvlText w:val="%3."/>
      <w:lvlJc w:val="right"/>
      <w:pPr>
        <w:ind w:left="1800" w:hanging="180"/>
      </w:pPr>
    </w:lvl>
    <w:lvl w:ilvl="3" w:tplc="99B073C6">
      <w:start w:val="1"/>
      <w:numFmt w:val="decimal"/>
      <w:lvlText w:val="%4."/>
      <w:lvlJc w:val="left"/>
      <w:pPr>
        <w:ind w:left="2520" w:hanging="360"/>
      </w:pPr>
    </w:lvl>
    <w:lvl w:ilvl="4" w:tplc="0E808916">
      <w:start w:val="1"/>
      <w:numFmt w:val="lowerLetter"/>
      <w:lvlText w:val="%5."/>
      <w:lvlJc w:val="left"/>
      <w:pPr>
        <w:ind w:left="3240" w:hanging="360"/>
      </w:pPr>
    </w:lvl>
    <w:lvl w:ilvl="5" w:tplc="9864D6E0">
      <w:start w:val="1"/>
      <w:numFmt w:val="lowerRoman"/>
      <w:lvlText w:val="%6."/>
      <w:lvlJc w:val="right"/>
      <w:pPr>
        <w:ind w:left="3960" w:hanging="180"/>
      </w:pPr>
    </w:lvl>
    <w:lvl w:ilvl="6" w:tplc="E2C2CA04">
      <w:start w:val="1"/>
      <w:numFmt w:val="decimal"/>
      <w:lvlText w:val="%7."/>
      <w:lvlJc w:val="left"/>
      <w:pPr>
        <w:ind w:left="4680" w:hanging="360"/>
      </w:pPr>
    </w:lvl>
    <w:lvl w:ilvl="7" w:tplc="9D1E0BE6">
      <w:start w:val="1"/>
      <w:numFmt w:val="lowerLetter"/>
      <w:lvlText w:val="%8."/>
      <w:lvlJc w:val="left"/>
      <w:pPr>
        <w:ind w:left="5400" w:hanging="360"/>
      </w:pPr>
    </w:lvl>
    <w:lvl w:ilvl="8" w:tplc="EE6410BE">
      <w:start w:val="1"/>
      <w:numFmt w:val="lowerRoman"/>
      <w:lvlText w:val="%9."/>
      <w:lvlJc w:val="right"/>
      <w:pPr>
        <w:ind w:left="6120" w:hanging="180"/>
      </w:pPr>
    </w:lvl>
  </w:abstractNum>
  <w:abstractNum w:abstractNumId="9" w15:restartNumberingAfterBreak="0">
    <w:nsid w:val="0E6208DA"/>
    <w:multiLevelType w:val="hybridMultilevel"/>
    <w:tmpl w:val="71B23632"/>
    <w:lvl w:ilvl="0" w:tplc="6972BCBC">
      <w:start w:val="1"/>
      <w:numFmt w:val="upperLetter"/>
      <w:lvlText w:val="%1."/>
      <w:lvlJc w:val="left"/>
      <w:pPr>
        <w:ind w:left="720" w:hanging="360"/>
      </w:pPr>
    </w:lvl>
    <w:lvl w:ilvl="1" w:tplc="0DEC58A0">
      <w:start w:val="1"/>
      <w:numFmt w:val="lowerLetter"/>
      <w:lvlText w:val="%2."/>
      <w:lvlJc w:val="left"/>
      <w:pPr>
        <w:ind w:left="1440" w:hanging="360"/>
      </w:pPr>
    </w:lvl>
    <w:lvl w:ilvl="2" w:tplc="6010CEC0">
      <w:start w:val="1"/>
      <w:numFmt w:val="lowerRoman"/>
      <w:lvlText w:val="%3."/>
      <w:lvlJc w:val="right"/>
      <w:pPr>
        <w:ind w:left="2160" w:hanging="180"/>
      </w:pPr>
    </w:lvl>
    <w:lvl w:ilvl="3" w:tplc="19A64012">
      <w:start w:val="1"/>
      <w:numFmt w:val="decimal"/>
      <w:lvlText w:val="%4."/>
      <w:lvlJc w:val="left"/>
      <w:pPr>
        <w:ind w:left="2880" w:hanging="360"/>
      </w:pPr>
    </w:lvl>
    <w:lvl w:ilvl="4" w:tplc="6BD8A118">
      <w:start w:val="1"/>
      <w:numFmt w:val="lowerLetter"/>
      <w:lvlText w:val="%5."/>
      <w:lvlJc w:val="left"/>
      <w:pPr>
        <w:ind w:left="3600" w:hanging="360"/>
      </w:pPr>
    </w:lvl>
    <w:lvl w:ilvl="5" w:tplc="94DAF950">
      <w:start w:val="1"/>
      <w:numFmt w:val="lowerRoman"/>
      <w:lvlText w:val="%6."/>
      <w:lvlJc w:val="right"/>
      <w:pPr>
        <w:ind w:left="4320" w:hanging="180"/>
      </w:pPr>
    </w:lvl>
    <w:lvl w:ilvl="6" w:tplc="0792BDFC">
      <w:start w:val="1"/>
      <w:numFmt w:val="decimal"/>
      <w:lvlText w:val="%7."/>
      <w:lvlJc w:val="left"/>
      <w:pPr>
        <w:ind w:left="5040" w:hanging="360"/>
      </w:pPr>
    </w:lvl>
    <w:lvl w:ilvl="7" w:tplc="EFDEBB54">
      <w:start w:val="1"/>
      <w:numFmt w:val="lowerLetter"/>
      <w:lvlText w:val="%8."/>
      <w:lvlJc w:val="left"/>
      <w:pPr>
        <w:ind w:left="5760" w:hanging="360"/>
      </w:pPr>
    </w:lvl>
    <w:lvl w:ilvl="8" w:tplc="0B065616">
      <w:start w:val="1"/>
      <w:numFmt w:val="lowerRoman"/>
      <w:lvlText w:val="%9."/>
      <w:lvlJc w:val="right"/>
      <w:pPr>
        <w:ind w:left="6480" w:hanging="180"/>
      </w:pPr>
    </w:lvl>
  </w:abstractNum>
  <w:abstractNum w:abstractNumId="10" w15:restartNumberingAfterBreak="0">
    <w:nsid w:val="0E9400CF"/>
    <w:multiLevelType w:val="hybridMultilevel"/>
    <w:tmpl w:val="3CBEAA5C"/>
    <w:lvl w:ilvl="0" w:tplc="385C736A">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3">
      <w:start w:val="1"/>
      <w:numFmt w:val="bullet"/>
      <w:lvlText w:val="o"/>
      <w:lvlJc w:val="left"/>
      <w:pPr>
        <w:ind w:left="1440" w:hanging="360"/>
      </w:pPr>
      <w:rPr>
        <w:rFonts w:ascii="Courier New" w:hAnsi="Courier New" w:cs="Courier New"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1" w15:restartNumberingAfterBreak="0">
    <w:nsid w:val="12173CDF"/>
    <w:multiLevelType w:val="hybridMultilevel"/>
    <w:tmpl w:val="CC0A23BC"/>
    <w:lvl w:ilvl="0" w:tplc="25882894">
      <w:start w:val="1"/>
      <w:numFmt w:val="upperLetter"/>
      <w:lvlText w:val="%1."/>
      <w:lvlJc w:val="left"/>
      <w:pPr>
        <w:ind w:left="360" w:hanging="360"/>
      </w:pPr>
    </w:lvl>
    <w:lvl w:ilvl="1" w:tplc="1F50CC10">
      <w:start w:val="1"/>
      <w:numFmt w:val="lowerLetter"/>
      <w:lvlText w:val="%2."/>
      <w:lvlJc w:val="left"/>
      <w:pPr>
        <w:ind w:left="1080" w:hanging="360"/>
      </w:pPr>
    </w:lvl>
    <w:lvl w:ilvl="2" w:tplc="04BCE510">
      <w:start w:val="1"/>
      <w:numFmt w:val="lowerRoman"/>
      <w:lvlText w:val="%3."/>
      <w:lvlJc w:val="right"/>
      <w:pPr>
        <w:ind w:left="1800" w:hanging="180"/>
      </w:pPr>
    </w:lvl>
    <w:lvl w:ilvl="3" w:tplc="32404538">
      <w:start w:val="1"/>
      <w:numFmt w:val="decimal"/>
      <w:lvlText w:val="%4."/>
      <w:lvlJc w:val="left"/>
      <w:pPr>
        <w:ind w:left="2520" w:hanging="360"/>
      </w:pPr>
    </w:lvl>
    <w:lvl w:ilvl="4" w:tplc="D6D8BD4A">
      <w:start w:val="1"/>
      <w:numFmt w:val="lowerLetter"/>
      <w:lvlText w:val="%5."/>
      <w:lvlJc w:val="left"/>
      <w:pPr>
        <w:ind w:left="3240" w:hanging="360"/>
      </w:pPr>
    </w:lvl>
    <w:lvl w:ilvl="5" w:tplc="771AABE4">
      <w:start w:val="1"/>
      <w:numFmt w:val="lowerRoman"/>
      <w:lvlText w:val="%6."/>
      <w:lvlJc w:val="right"/>
      <w:pPr>
        <w:ind w:left="3960" w:hanging="180"/>
      </w:pPr>
    </w:lvl>
    <w:lvl w:ilvl="6" w:tplc="D98EC1D4">
      <w:start w:val="1"/>
      <w:numFmt w:val="decimal"/>
      <w:lvlText w:val="%7."/>
      <w:lvlJc w:val="left"/>
      <w:pPr>
        <w:ind w:left="4680" w:hanging="360"/>
      </w:pPr>
    </w:lvl>
    <w:lvl w:ilvl="7" w:tplc="7794DE9C">
      <w:start w:val="1"/>
      <w:numFmt w:val="lowerLetter"/>
      <w:lvlText w:val="%8."/>
      <w:lvlJc w:val="left"/>
      <w:pPr>
        <w:ind w:left="5400" w:hanging="360"/>
      </w:pPr>
    </w:lvl>
    <w:lvl w:ilvl="8" w:tplc="C26AF912">
      <w:start w:val="1"/>
      <w:numFmt w:val="lowerRoman"/>
      <w:lvlText w:val="%9."/>
      <w:lvlJc w:val="right"/>
      <w:pPr>
        <w:ind w:left="6120" w:hanging="180"/>
      </w:pPr>
    </w:lvl>
  </w:abstractNum>
  <w:abstractNum w:abstractNumId="12" w15:restartNumberingAfterBreak="0">
    <w:nsid w:val="134A30A3"/>
    <w:multiLevelType w:val="hybridMultilevel"/>
    <w:tmpl w:val="B33223E6"/>
    <w:lvl w:ilvl="0" w:tplc="385C736A">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3">
      <w:start w:val="1"/>
      <w:numFmt w:val="bullet"/>
      <w:lvlText w:val="o"/>
      <w:lvlJc w:val="left"/>
      <w:pPr>
        <w:ind w:left="1440" w:hanging="360"/>
      </w:pPr>
      <w:rPr>
        <w:rFonts w:ascii="Courier New" w:hAnsi="Courier New" w:cs="Courier New"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3" w15:restartNumberingAfterBreak="0">
    <w:nsid w:val="142577C8"/>
    <w:multiLevelType w:val="hybridMultilevel"/>
    <w:tmpl w:val="D2CA308C"/>
    <w:lvl w:ilvl="0" w:tplc="385C73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622CE2"/>
    <w:multiLevelType w:val="hybridMultilevel"/>
    <w:tmpl w:val="4D1EF6B2"/>
    <w:lvl w:ilvl="0" w:tplc="9448353C">
      <w:start w:val="1"/>
      <w:numFmt w:val="decimal"/>
      <w:lvlText w:val="%1."/>
      <w:lvlJc w:val="left"/>
      <w:pPr>
        <w:ind w:left="360" w:hanging="360"/>
      </w:pPr>
      <w:rPr>
        <w:rFonts w:hint="default"/>
      </w:rPr>
    </w:lvl>
    <w:lvl w:ilvl="1" w:tplc="96049A3C">
      <w:start w:val="1"/>
      <w:numFmt w:val="bullet"/>
      <w:lvlText w:val="o"/>
      <w:lvlJc w:val="left"/>
      <w:pPr>
        <w:ind w:left="1080" w:hanging="360"/>
      </w:pPr>
      <w:rPr>
        <w:rFonts w:ascii="Courier New" w:hAnsi="Courier New" w:hint="default"/>
      </w:rPr>
    </w:lvl>
    <w:lvl w:ilvl="2" w:tplc="60DEB260">
      <w:start w:val="1"/>
      <w:numFmt w:val="bullet"/>
      <w:lvlText w:val=""/>
      <w:lvlJc w:val="left"/>
      <w:pPr>
        <w:ind w:left="1800" w:hanging="360"/>
      </w:pPr>
      <w:rPr>
        <w:rFonts w:ascii="Wingdings" w:hAnsi="Wingdings" w:hint="default"/>
      </w:rPr>
    </w:lvl>
    <w:lvl w:ilvl="3" w:tplc="8C28801C">
      <w:start w:val="1"/>
      <w:numFmt w:val="bullet"/>
      <w:lvlText w:val=""/>
      <w:lvlJc w:val="left"/>
      <w:pPr>
        <w:ind w:left="2520" w:hanging="360"/>
      </w:pPr>
      <w:rPr>
        <w:rFonts w:ascii="Symbol" w:hAnsi="Symbol" w:hint="default"/>
      </w:rPr>
    </w:lvl>
    <w:lvl w:ilvl="4" w:tplc="14ECF514">
      <w:start w:val="1"/>
      <w:numFmt w:val="bullet"/>
      <w:lvlText w:val="o"/>
      <w:lvlJc w:val="left"/>
      <w:pPr>
        <w:ind w:left="3240" w:hanging="360"/>
      </w:pPr>
      <w:rPr>
        <w:rFonts w:ascii="Courier New" w:hAnsi="Courier New" w:hint="default"/>
      </w:rPr>
    </w:lvl>
    <w:lvl w:ilvl="5" w:tplc="AAB8F21E">
      <w:start w:val="1"/>
      <w:numFmt w:val="bullet"/>
      <w:lvlText w:val=""/>
      <w:lvlJc w:val="left"/>
      <w:pPr>
        <w:ind w:left="3960" w:hanging="360"/>
      </w:pPr>
      <w:rPr>
        <w:rFonts w:ascii="Wingdings" w:hAnsi="Wingdings" w:hint="default"/>
      </w:rPr>
    </w:lvl>
    <w:lvl w:ilvl="6" w:tplc="0BD653EA">
      <w:start w:val="1"/>
      <w:numFmt w:val="bullet"/>
      <w:lvlText w:val=""/>
      <w:lvlJc w:val="left"/>
      <w:pPr>
        <w:ind w:left="4680" w:hanging="360"/>
      </w:pPr>
      <w:rPr>
        <w:rFonts w:ascii="Symbol" w:hAnsi="Symbol" w:hint="default"/>
      </w:rPr>
    </w:lvl>
    <w:lvl w:ilvl="7" w:tplc="9C6A0FDE">
      <w:start w:val="1"/>
      <w:numFmt w:val="bullet"/>
      <w:lvlText w:val="o"/>
      <w:lvlJc w:val="left"/>
      <w:pPr>
        <w:ind w:left="5400" w:hanging="360"/>
      </w:pPr>
      <w:rPr>
        <w:rFonts w:ascii="Courier New" w:hAnsi="Courier New" w:hint="default"/>
      </w:rPr>
    </w:lvl>
    <w:lvl w:ilvl="8" w:tplc="1986A228">
      <w:start w:val="1"/>
      <w:numFmt w:val="bullet"/>
      <w:lvlText w:val=""/>
      <w:lvlJc w:val="left"/>
      <w:pPr>
        <w:ind w:left="6120" w:hanging="360"/>
      </w:pPr>
      <w:rPr>
        <w:rFonts w:ascii="Wingdings" w:hAnsi="Wingdings" w:hint="default"/>
      </w:rPr>
    </w:lvl>
  </w:abstractNum>
  <w:abstractNum w:abstractNumId="15" w15:restartNumberingAfterBreak="0">
    <w:nsid w:val="181A458A"/>
    <w:multiLevelType w:val="hybridMultilevel"/>
    <w:tmpl w:val="24D44778"/>
    <w:lvl w:ilvl="0" w:tplc="4AC2644E">
      <w:start w:val="1"/>
      <w:numFmt w:val="bullet"/>
      <w:lvlText w:val=""/>
      <w:lvlJc w:val="left"/>
      <w:pPr>
        <w:ind w:left="720" w:hanging="360"/>
      </w:pPr>
      <w:rPr>
        <w:rFonts w:ascii="Symbol" w:hAnsi="Symbol" w:hint="default"/>
      </w:rPr>
    </w:lvl>
    <w:lvl w:ilvl="1" w:tplc="9DB4986A">
      <w:start w:val="1"/>
      <w:numFmt w:val="bullet"/>
      <w:lvlText w:val="o"/>
      <w:lvlJc w:val="left"/>
      <w:pPr>
        <w:ind w:left="1440" w:hanging="360"/>
      </w:pPr>
      <w:rPr>
        <w:rFonts w:ascii="Courier New" w:hAnsi="Courier New" w:hint="default"/>
      </w:rPr>
    </w:lvl>
    <w:lvl w:ilvl="2" w:tplc="908CECAA">
      <w:start w:val="1"/>
      <w:numFmt w:val="bullet"/>
      <w:lvlText w:val=""/>
      <w:lvlJc w:val="left"/>
      <w:pPr>
        <w:ind w:left="2160" w:hanging="360"/>
      </w:pPr>
      <w:rPr>
        <w:rFonts w:ascii="Symbol" w:hAnsi="Symbol" w:hint="default"/>
      </w:rPr>
    </w:lvl>
    <w:lvl w:ilvl="3" w:tplc="CD3ADAFE">
      <w:start w:val="1"/>
      <w:numFmt w:val="bullet"/>
      <w:lvlText w:val=""/>
      <w:lvlJc w:val="left"/>
      <w:pPr>
        <w:ind w:left="2880" w:hanging="360"/>
      </w:pPr>
      <w:rPr>
        <w:rFonts w:ascii="Symbol" w:hAnsi="Symbol" w:hint="default"/>
      </w:rPr>
    </w:lvl>
    <w:lvl w:ilvl="4" w:tplc="D03AFE80">
      <w:start w:val="1"/>
      <w:numFmt w:val="bullet"/>
      <w:lvlText w:val="o"/>
      <w:lvlJc w:val="left"/>
      <w:pPr>
        <w:ind w:left="3600" w:hanging="360"/>
      </w:pPr>
      <w:rPr>
        <w:rFonts w:ascii="Courier New" w:hAnsi="Courier New" w:hint="default"/>
      </w:rPr>
    </w:lvl>
    <w:lvl w:ilvl="5" w:tplc="3A94AA46">
      <w:start w:val="1"/>
      <w:numFmt w:val="bullet"/>
      <w:lvlText w:val=""/>
      <w:lvlJc w:val="left"/>
      <w:pPr>
        <w:ind w:left="4320" w:hanging="360"/>
      </w:pPr>
      <w:rPr>
        <w:rFonts w:ascii="Wingdings" w:hAnsi="Wingdings" w:hint="default"/>
      </w:rPr>
    </w:lvl>
    <w:lvl w:ilvl="6" w:tplc="AA9A5458">
      <w:start w:val="1"/>
      <w:numFmt w:val="bullet"/>
      <w:lvlText w:val=""/>
      <w:lvlJc w:val="left"/>
      <w:pPr>
        <w:ind w:left="5040" w:hanging="360"/>
      </w:pPr>
      <w:rPr>
        <w:rFonts w:ascii="Symbol" w:hAnsi="Symbol" w:hint="default"/>
      </w:rPr>
    </w:lvl>
    <w:lvl w:ilvl="7" w:tplc="0AB2BFB2">
      <w:start w:val="1"/>
      <w:numFmt w:val="bullet"/>
      <w:lvlText w:val="o"/>
      <w:lvlJc w:val="left"/>
      <w:pPr>
        <w:ind w:left="5760" w:hanging="360"/>
      </w:pPr>
      <w:rPr>
        <w:rFonts w:ascii="Courier New" w:hAnsi="Courier New" w:hint="default"/>
      </w:rPr>
    </w:lvl>
    <w:lvl w:ilvl="8" w:tplc="B19AE416">
      <w:start w:val="1"/>
      <w:numFmt w:val="bullet"/>
      <w:lvlText w:val=""/>
      <w:lvlJc w:val="left"/>
      <w:pPr>
        <w:ind w:left="6480" w:hanging="360"/>
      </w:pPr>
      <w:rPr>
        <w:rFonts w:ascii="Wingdings" w:hAnsi="Wingdings" w:hint="default"/>
      </w:rPr>
    </w:lvl>
  </w:abstractNum>
  <w:abstractNum w:abstractNumId="16" w15:restartNumberingAfterBreak="0">
    <w:nsid w:val="1AC10FAD"/>
    <w:multiLevelType w:val="hybridMultilevel"/>
    <w:tmpl w:val="09DEDC8A"/>
    <w:lvl w:ilvl="0" w:tplc="385C73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EF6090"/>
    <w:multiLevelType w:val="hybridMultilevel"/>
    <w:tmpl w:val="6F6ABC90"/>
    <w:lvl w:ilvl="0" w:tplc="7CFC68C2">
      <w:start w:val="1"/>
      <w:numFmt w:val="upperLetter"/>
      <w:lvlText w:val="%1."/>
      <w:lvlJc w:val="left"/>
      <w:pPr>
        <w:ind w:left="720" w:hanging="360"/>
      </w:pPr>
    </w:lvl>
    <w:lvl w:ilvl="1" w:tplc="6A025B16">
      <w:start w:val="1"/>
      <w:numFmt w:val="lowerLetter"/>
      <w:lvlText w:val="%2."/>
      <w:lvlJc w:val="left"/>
      <w:pPr>
        <w:ind w:left="1440" w:hanging="360"/>
      </w:pPr>
    </w:lvl>
    <w:lvl w:ilvl="2" w:tplc="F70AFF0C">
      <w:start w:val="1"/>
      <w:numFmt w:val="lowerRoman"/>
      <w:lvlText w:val="%3."/>
      <w:lvlJc w:val="right"/>
      <w:pPr>
        <w:ind w:left="2160" w:hanging="180"/>
      </w:pPr>
    </w:lvl>
    <w:lvl w:ilvl="3" w:tplc="2D849618">
      <w:start w:val="1"/>
      <w:numFmt w:val="decimal"/>
      <w:lvlText w:val="%4."/>
      <w:lvlJc w:val="left"/>
      <w:pPr>
        <w:ind w:left="2880" w:hanging="360"/>
      </w:pPr>
    </w:lvl>
    <w:lvl w:ilvl="4" w:tplc="BEDC8010">
      <w:start w:val="1"/>
      <w:numFmt w:val="lowerLetter"/>
      <w:lvlText w:val="%5."/>
      <w:lvlJc w:val="left"/>
      <w:pPr>
        <w:ind w:left="3600" w:hanging="360"/>
      </w:pPr>
    </w:lvl>
    <w:lvl w:ilvl="5" w:tplc="75F25900">
      <w:start w:val="1"/>
      <w:numFmt w:val="lowerRoman"/>
      <w:lvlText w:val="%6."/>
      <w:lvlJc w:val="right"/>
      <w:pPr>
        <w:ind w:left="4320" w:hanging="180"/>
      </w:pPr>
    </w:lvl>
    <w:lvl w:ilvl="6" w:tplc="B1BAD74A">
      <w:start w:val="1"/>
      <w:numFmt w:val="decimal"/>
      <w:lvlText w:val="%7."/>
      <w:lvlJc w:val="left"/>
      <w:pPr>
        <w:ind w:left="5040" w:hanging="360"/>
      </w:pPr>
    </w:lvl>
    <w:lvl w:ilvl="7" w:tplc="F19230F6">
      <w:start w:val="1"/>
      <w:numFmt w:val="lowerLetter"/>
      <w:lvlText w:val="%8."/>
      <w:lvlJc w:val="left"/>
      <w:pPr>
        <w:ind w:left="5760" w:hanging="360"/>
      </w:pPr>
    </w:lvl>
    <w:lvl w:ilvl="8" w:tplc="C21AECE2">
      <w:start w:val="1"/>
      <w:numFmt w:val="lowerRoman"/>
      <w:lvlText w:val="%9."/>
      <w:lvlJc w:val="right"/>
      <w:pPr>
        <w:ind w:left="6480" w:hanging="180"/>
      </w:pPr>
    </w:lvl>
  </w:abstractNum>
  <w:abstractNum w:abstractNumId="18" w15:restartNumberingAfterBreak="0">
    <w:nsid w:val="20190780"/>
    <w:multiLevelType w:val="hybridMultilevel"/>
    <w:tmpl w:val="F3BE6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316ADA"/>
    <w:multiLevelType w:val="hybridMultilevel"/>
    <w:tmpl w:val="D4242AF4"/>
    <w:lvl w:ilvl="0" w:tplc="34E23876">
      <w:start w:val="1"/>
      <w:numFmt w:val="upperLetter"/>
      <w:lvlText w:val="%1."/>
      <w:lvlJc w:val="left"/>
      <w:pPr>
        <w:ind w:left="360" w:hanging="360"/>
      </w:pPr>
    </w:lvl>
    <w:lvl w:ilvl="1" w:tplc="837252F8">
      <w:start w:val="1"/>
      <w:numFmt w:val="lowerLetter"/>
      <w:lvlText w:val="%2."/>
      <w:lvlJc w:val="left"/>
      <w:pPr>
        <w:ind w:left="1080" w:hanging="360"/>
      </w:pPr>
    </w:lvl>
    <w:lvl w:ilvl="2" w:tplc="8A6CD1DE">
      <w:start w:val="1"/>
      <w:numFmt w:val="lowerRoman"/>
      <w:lvlText w:val="%3."/>
      <w:lvlJc w:val="right"/>
      <w:pPr>
        <w:ind w:left="1800" w:hanging="180"/>
      </w:pPr>
    </w:lvl>
    <w:lvl w:ilvl="3" w:tplc="B2B09AB2">
      <w:start w:val="1"/>
      <w:numFmt w:val="decimal"/>
      <w:lvlText w:val="%4."/>
      <w:lvlJc w:val="left"/>
      <w:pPr>
        <w:ind w:left="2520" w:hanging="360"/>
      </w:pPr>
    </w:lvl>
    <w:lvl w:ilvl="4" w:tplc="0A92023C">
      <w:start w:val="1"/>
      <w:numFmt w:val="lowerLetter"/>
      <w:lvlText w:val="%5."/>
      <w:lvlJc w:val="left"/>
      <w:pPr>
        <w:ind w:left="3240" w:hanging="360"/>
      </w:pPr>
    </w:lvl>
    <w:lvl w:ilvl="5" w:tplc="20D28C28">
      <w:start w:val="1"/>
      <w:numFmt w:val="lowerRoman"/>
      <w:lvlText w:val="%6."/>
      <w:lvlJc w:val="right"/>
      <w:pPr>
        <w:ind w:left="3960" w:hanging="180"/>
      </w:pPr>
    </w:lvl>
    <w:lvl w:ilvl="6" w:tplc="3BAA42FA">
      <w:start w:val="1"/>
      <w:numFmt w:val="decimal"/>
      <w:lvlText w:val="%7."/>
      <w:lvlJc w:val="left"/>
      <w:pPr>
        <w:ind w:left="4680" w:hanging="360"/>
      </w:pPr>
    </w:lvl>
    <w:lvl w:ilvl="7" w:tplc="C9DCA060">
      <w:start w:val="1"/>
      <w:numFmt w:val="lowerLetter"/>
      <w:lvlText w:val="%8."/>
      <w:lvlJc w:val="left"/>
      <w:pPr>
        <w:ind w:left="5400" w:hanging="360"/>
      </w:pPr>
    </w:lvl>
    <w:lvl w:ilvl="8" w:tplc="2C30A7C8">
      <w:start w:val="1"/>
      <w:numFmt w:val="lowerRoman"/>
      <w:lvlText w:val="%9."/>
      <w:lvlJc w:val="right"/>
      <w:pPr>
        <w:ind w:left="6120" w:hanging="180"/>
      </w:pPr>
    </w:lvl>
  </w:abstractNum>
  <w:abstractNum w:abstractNumId="21"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48651A"/>
    <w:multiLevelType w:val="hybridMultilevel"/>
    <w:tmpl w:val="A3380FFC"/>
    <w:lvl w:ilvl="0" w:tplc="BD1431AE">
      <w:start w:val="1"/>
      <w:numFmt w:val="upperLetter"/>
      <w:lvlText w:val="%1."/>
      <w:lvlJc w:val="left"/>
      <w:pPr>
        <w:ind w:left="360" w:hanging="360"/>
      </w:pPr>
    </w:lvl>
    <w:lvl w:ilvl="1" w:tplc="45A2E6E2">
      <w:start w:val="1"/>
      <w:numFmt w:val="lowerLetter"/>
      <w:lvlText w:val="%2."/>
      <w:lvlJc w:val="left"/>
      <w:pPr>
        <w:ind w:left="1080" w:hanging="360"/>
      </w:pPr>
    </w:lvl>
    <w:lvl w:ilvl="2" w:tplc="EF949630">
      <w:start w:val="1"/>
      <w:numFmt w:val="lowerRoman"/>
      <w:lvlText w:val="%3."/>
      <w:lvlJc w:val="right"/>
      <w:pPr>
        <w:ind w:left="1800" w:hanging="180"/>
      </w:pPr>
    </w:lvl>
    <w:lvl w:ilvl="3" w:tplc="1C1A6F32">
      <w:start w:val="1"/>
      <w:numFmt w:val="decimal"/>
      <w:lvlText w:val="%4."/>
      <w:lvlJc w:val="left"/>
      <w:pPr>
        <w:ind w:left="2520" w:hanging="360"/>
      </w:pPr>
    </w:lvl>
    <w:lvl w:ilvl="4" w:tplc="49FA7020">
      <w:start w:val="1"/>
      <w:numFmt w:val="lowerLetter"/>
      <w:lvlText w:val="%5."/>
      <w:lvlJc w:val="left"/>
      <w:pPr>
        <w:ind w:left="3240" w:hanging="360"/>
      </w:pPr>
    </w:lvl>
    <w:lvl w:ilvl="5" w:tplc="0CFC5A44">
      <w:start w:val="1"/>
      <w:numFmt w:val="lowerRoman"/>
      <w:lvlText w:val="%6."/>
      <w:lvlJc w:val="right"/>
      <w:pPr>
        <w:ind w:left="3960" w:hanging="180"/>
      </w:pPr>
    </w:lvl>
    <w:lvl w:ilvl="6" w:tplc="719CFE0C">
      <w:start w:val="1"/>
      <w:numFmt w:val="decimal"/>
      <w:lvlText w:val="%7."/>
      <w:lvlJc w:val="left"/>
      <w:pPr>
        <w:ind w:left="4680" w:hanging="360"/>
      </w:pPr>
    </w:lvl>
    <w:lvl w:ilvl="7" w:tplc="DD886768">
      <w:start w:val="1"/>
      <w:numFmt w:val="lowerLetter"/>
      <w:lvlText w:val="%8."/>
      <w:lvlJc w:val="left"/>
      <w:pPr>
        <w:ind w:left="5400" w:hanging="360"/>
      </w:pPr>
    </w:lvl>
    <w:lvl w:ilvl="8" w:tplc="9F5AE902">
      <w:start w:val="1"/>
      <w:numFmt w:val="lowerRoman"/>
      <w:lvlText w:val="%9."/>
      <w:lvlJc w:val="right"/>
      <w:pPr>
        <w:ind w:left="6120" w:hanging="180"/>
      </w:pPr>
    </w:lvl>
  </w:abstractNum>
  <w:abstractNum w:abstractNumId="23" w15:restartNumberingAfterBreak="0">
    <w:nsid w:val="2ED26271"/>
    <w:multiLevelType w:val="hybridMultilevel"/>
    <w:tmpl w:val="AD0C1C8C"/>
    <w:lvl w:ilvl="0" w:tplc="79D0B278">
      <w:start w:val="1"/>
      <w:numFmt w:val="bullet"/>
      <w:lvlText w:val=""/>
      <w:lvlJc w:val="left"/>
      <w:pPr>
        <w:ind w:left="720" w:hanging="360"/>
      </w:pPr>
      <w:rPr>
        <w:rFonts w:ascii="Symbol" w:hAnsi="Symbol" w:hint="default"/>
      </w:rPr>
    </w:lvl>
    <w:lvl w:ilvl="1" w:tplc="5448CF60">
      <w:start w:val="1"/>
      <w:numFmt w:val="bullet"/>
      <w:lvlText w:val="o"/>
      <w:lvlJc w:val="left"/>
      <w:pPr>
        <w:ind w:left="1440" w:hanging="360"/>
      </w:pPr>
      <w:rPr>
        <w:rFonts w:ascii="Courier New" w:hAnsi="Courier New" w:hint="default"/>
      </w:rPr>
    </w:lvl>
    <w:lvl w:ilvl="2" w:tplc="1D5222D2">
      <w:start w:val="1"/>
      <w:numFmt w:val="bullet"/>
      <w:lvlText w:val=""/>
      <w:lvlJc w:val="left"/>
      <w:pPr>
        <w:ind w:left="2160" w:hanging="360"/>
      </w:pPr>
      <w:rPr>
        <w:rFonts w:ascii="Wingdings" w:hAnsi="Wingdings" w:hint="default"/>
      </w:rPr>
    </w:lvl>
    <w:lvl w:ilvl="3" w:tplc="35C07776">
      <w:start w:val="1"/>
      <w:numFmt w:val="bullet"/>
      <w:lvlText w:val=""/>
      <w:lvlJc w:val="left"/>
      <w:pPr>
        <w:ind w:left="2880" w:hanging="360"/>
      </w:pPr>
      <w:rPr>
        <w:rFonts w:ascii="Symbol" w:hAnsi="Symbol" w:hint="default"/>
      </w:rPr>
    </w:lvl>
    <w:lvl w:ilvl="4" w:tplc="4970BE54">
      <w:start w:val="1"/>
      <w:numFmt w:val="bullet"/>
      <w:lvlText w:val="o"/>
      <w:lvlJc w:val="left"/>
      <w:pPr>
        <w:ind w:left="3600" w:hanging="360"/>
      </w:pPr>
      <w:rPr>
        <w:rFonts w:ascii="Courier New" w:hAnsi="Courier New" w:hint="default"/>
      </w:rPr>
    </w:lvl>
    <w:lvl w:ilvl="5" w:tplc="12E413E6">
      <w:start w:val="1"/>
      <w:numFmt w:val="bullet"/>
      <w:lvlText w:val=""/>
      <w:lvlJc w:val="left"/>
      <w:pPr>
        <w:ind w:left="4320" w:hanging="360"/>
      </w:pPr>
      <w:rPr>
        <w:rFonts w:ascii="Wingdings" w:hAnsi="Wingdings" w:hint="default"/>
      </w:rPr>
    </w:lvl>
    <w:lvl w:ilvl="6" w:tplc="D23CD2E8">
      <w:start w:val="1"/>
      <w:numFmt w:val="bullet"/>
      <w:lvlText w:val=""/>
      <w:lvlJc w:val="left"/>
      <w:pPr>
        <w:ind w:left="5040" w:hanging="360"/>
      </w:pPr>
      <w:rPr>
        <w:rFonts w:ascii="Symbol" w:hAnsi="Symbol" w:hint="default"/>
      </w:rPr>
    </w:lvl>
    <w:lvl w:ilvl="7" w:tplc="936E680C">
      <w:start w:val="1"/>
      <w:numFmt w:val="bullet"/>
      <w:lvlText w:val="o"/>
      <w:lvlJc w:val="left"/>
      <w:pPr>
        <w:ind w:left="5760" w:hanging="360"/>
      </w:pPr>
      <w:rPr>
        <w:rFonts w:ascii="Courier New" w:hAnsi="Courier New" w:hint="default"/>
      </w:rPr>
    </w:lvl>
    <w:lvl w:ilvl="8" w:tplc="F7C01926">
      <w:start w:val="1"/>
      <w:numFmt w:val="bullet"/>
      <w:lvlText w:val=""/>
      <w:lvlJc w:val="left"/>
      <w:pPr>
        <w:ind w:left="6480" w:hanging="360"/>
      </w:pPr>
      <w:rPr>
        <w:rFonts w:ascii="Wingdings" w:hAnsi="Wingdings" w:hint="default"/>
      </w:rPr>
    </w:lvl>
  </w:abstractNum>
  <w:abstractNum w:abstractNumId="24" w15:restartNumberingAfterBreak="0">
    <w:nsid w:val="303F2B4E"/>
    <w:multiLevelType w:val="hybridMultilevel"/>
    <w:tmpl w:val="1418443E"/>
    <w:lvl w:ilvl="0" w:tplc="4C54B9CC">
      <w:start w:val="1"/>
      <w:numFmt w:val="decimal"/>
      <w:lvlText w:val="%1."/>
      <w:lvlJc w:val="left"/>
      <w:pPr>
        <w:ind w:left="360" w:hanging="360"/>
      </w:pPr>
      <w:rPr>
        <w:rFonts w:hint="default"/>
      </w:rPr>
    </w:lvl>
    <w:lvl w:ilvl="1" w:tplc="3FB692F6">
      <w:start w:val="1"/>
      <w:numFmt w:val="bullet"/>
      <w:lvlText w:val="o"/>
      <w:lvlJc w:val="left"/>
      <w:pPr>
        <w:ind w:left="1080" w:hanging="360"/>
      </w:pPr>
      <w:rPr>
        <w:rFonts w:ascii="Courier New" w:hAnsi="Courier New" w:hint="default"/>
      </w:rPr>
    </w:lvl>
    <w:lvl w:ilvl="2" w:tplc="7F685022">
      <w:start w:val="1"/>
      <w:numFmt w:val="bullet"/>
      <w:lvlText w:val=""/>
      <w:lvlJc w:val="left"/>
      <w:pPr>
        <w:ind w:left="1800" w:hanging="360"/>
      </w:pPr>
      <w:rPr>
        <w:rFonts w:ascii="Wingdings" w:hAnsi="Wingdings" w:hint="default"/>
      </w:rPr>
    </w:lvl>
    <w:lvl w:ilvl="3" w:tplc="8C507052">
      <w:start w:val="1"/>
      <w:numFmt w:val="bullet"/>
      <w:lvlText w:val=""/>
      <w:lvlJc w:val="left"/>
      <w:pPr>
        <w:ind w:left="2520" w:hanging="360"/>
      </w:pPr>
      <w:rPr>
        <w:rFonts w:ascii="Symbol" w:hAnsi="Symbol" w:hint="default"/>
      </w:rPr>
    </w:lvl>
    <w:lvl w:ilvl="4" w:tplc="6FEC4C12">
      <w:start w:val="1"/>
      <w:numFmt w:val="bullet"/>
      <w:lvlText w:val="o"/>
      <w:lvlJc w:val="left"/>
      <w:pPr>
        <w:ind w:left="3240" w:hanging="360"/>
      </w:pPr>
      <w:rPr>
        <w:rFonts w:ascii="Courier New" w:hAnsi="Courier New" w:hint="default"/>
      </w:rPr>
    </w:lvl>
    <w:lvl w:ilvl="5" w:tplc="C4267134">
      <w:start w:val="1"/>
      <w:numFmt w:val="bullet"/>
      <w:lvlText w:val=""/>
      <w:lvlJc w:val="left"/>
      <w:pPr>
        <w:ind w:left="3960" w:hanging="360"/>
      </w:pPr>
      <w:rPr>
        <w:rFonts w:ascii="Wingdings" w:hAnsi="Wingdings" w:hint="default"/>
      </w:rPr>
    </w:lvl>
    <w:lvl w:ilvl="6" w:tplc="3A5890DE">
      <w:start w:val="1"/>
      <w:numFmt w:val="bullet"/>
      <w:lvlText w:val=""/>
      <w:lvlJc w:val="left"/>
      <w:pPr>
        <w:ind w:left="4680" w:hanging="360"/>
      </w:pPr>
      <w:rPr>
        <w:rFonts w:ascii="Symbol" w:hAnsi="Symbol" w:hint="default"/>
      </w:rPr>
    </w:lvl>
    <w:lvl w:ilvl="7" w:tplc="0A640DBE">
      <w:start w:val="1"/>
      <w:numFmt w:val="bullet"/>
      <w:lvlText w:val="o"/>
      <w:lvlJc w:val="left"/>
      <w:pPr>
        <w:ind w:left="5400" w:hanging="360"/>
      </w:pPr>
      <w:rPr>
        <w:rFonts w:ascii="Courier New" w:hAnsi="Courier New" w:hint="default"/>
      </w:rPr>
    </w:lvl>
    <w:lvl w:ilvl="8" w:tplc="842E44E6">
      <w:start w:val="1"/>
      <w:numFmt w:val="bullet"/>
      <w:lvlText w:val=""/>
      <w:lvlJc w:val="left"/>
      <w:pPr>
        <w:ind w:left="6120" w:hanging="360"/>
      </w:pPr>
      <w:rPr>
        <w:rFonts w:ascii="Wingdings" w:hAnsi="Wingdings" w:hint="default"/>
      </w:rPr>
    </w:lvl>
  </w:abstractNum>
  <w:abstractNum w:abstractNumId="25"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22F6719"/>
    <w:multiLevelType w:val="hybridMultilevel"/>
    <w:tmpl w:val="DF426998"/>
    <w:lvl w:ilvl="0" w:tplc="5ED0AC72">
      <w:start w:val="1"/>
      <w:numFmt w:val="decimal"/>
      <w:lvlText w:val="%1."/>
      <w:lvlJc w:val="left"/>
      <w:pPr>
        <w:ind w:left="360" w:hanging="360"/>
      </w:pPr>
    </w:lvl>
    <w:lvl w:ilvl="1" w:tplc="0CD8FF52">
      <w:start w:val="1"/>
      <w:numFmt w:val="lowerLetter"/>
      <w:lvlText w:val="%2."/>
      <w:lvlJc w:val="left"/>
      <w:pPr>
        <w:ind w:left="1080" w:hanging="360"/>
      </w:pPr>
    </w:lvl>
    <w:lvl w:ilvl="2" w:tplc="7354E044">
      <w:start w:val="1"/>
      <w:numFmt w:val="lowerRoman"/>
      <w:lvlText w:val="%3."/>
      <w:lvlJc w:val="right"/>
      <w:pPr>
        <w:ind w:left="1800" w:hanging="180"/>
      </w:pPr>
    </w:lvl>
    <w:lvl w:ilvl="3" w:tplc="16AC26C8">
      <w:start w:val="1"/>
      <w:numFmt w:val="decimal"/>
      <w:lvlText w:val="%4."/>
      <w:lvlJc w:val="left"/>
      <w:pPr>
        <w:ind w:left="2520" w:hanging="360"/>
      </w:pPr>
    </w:lvl>
    <w:lvl w:ilvl="4" w:tplc="41585890">
      <w:start w:val="1"/>
      <w:numFmt w:val="lowerLetter"/>
      <w:lvlText w:val="%5."/>
      <w:lvlJc w:val="left"/>
      <w:pPr>
        <w:ind w:left="3240" w:hanging="360"/>
      </w:pPr>
    </w:lvl>
    <w:lvl w:ilvl="5" w:tplc="FFEA567A">
      <w:start w:val="1"/>
      <w:numFmt w:val="lowerRoman"/>
      <w:lvlText w:val="%6."/>
      <w:lvlJc w:val="right"/>
      <w:pPr>
        <w:ind w:left="3960" w:hanging="180"/>
      </w:pPr>
    </w:lvl>
    <w:lvl w:ilvl="6" w:tplc="E3EC5338">
      <w:start w:val="1"/>
      <w:numFmt w:val="decimal"/>
      <w:lvlText w:val="%7."/>
      <w:lvlJc w:val="left"/>
      <w:pPr>
        <w:ind w:left="4680" w:hanging="360"/>
      </w:pPr>
    </w:lvl>
    <w:lvl w:ilvl="7" w:tplc="DC76337A">
      <w:start w:val="1"/>
      <w:numFmt w:val="lowerLetter"/>
      <w:lvlText w:val="%8."/>
      <w:lvlJc w:val="left"/>
      <w:pPr>
        <w:ind w:left="5400" w:hanging="360"/>
      </w:pPr>
    </w:lvl>
    <w:lvl w:ilvl="8" w:tplc="247E75DE">
      <w:start w:val="1"/>
      <w:numFmt w:val="lowerRoman"/>
      <w:lvlText w:val="%9."/>
      <w:lvlJc w:val="right"/>
      <w:pPr>
        <w:ind w:left="6120" w:hanging="180"/>
      </w:pPr>
    </w:lvl>
  </w:abstractNum>
  <w:abstractNum w:abstractNumId="27" w15:restartNumberingAfterBreak="0">
    <w:nsid w:val="37F74C88"/>
    <w:multiLevelType w:val="hybridMultilevel"/>
    <w:tmpl w:val="C84C929A"/>
    <w:lvl w:ilvl="0" w:tplc="8F623E2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38961451"/>
    <w:multiLevelType w:val="hybridMultilevel"/>
    <w:tmpl w:val="360E0C2A"/>
    <w:lvl w:ilvl="0" w:tplc="F3408196">
      <w:start w:val="1"/>
      <w:numFmt w:val="decimal"/>
      <w:lvlText w:val="%1."/>
      <w:lvlJc w:val="left"/>
      <w:pPr>
        <w:ind w:left="360" w:hanging="360"/>
      </w:pPr>
    </w:lvl>
    <w:lvl w:ilvl="1" w:tplc="D3E82AB6">
      <w:start w:val="1"/>
      <w:numFmt w:val="lowerLetter"/>
      <w:lvlText w:val="%2."/>
      <w:lvlJc w:val="left"/>
      <w:pPr>
        <w:ind w:left="1080" w:hanging="360"/>
      </w:pPr>
    </w:lvl>
    <w:lvl w:ilvl="2" w:tplc="0FFA3B00">
      <w:start w:val="1"/>
      <w:numFmt w:val="lowerRoman"/>
      <w:lvlText w:val="%3."/>
      <w:lvlJc w:val="right"/>
      <w:pPr>
        <w:ind w:left="1800" w:hanging="180"/>
      </w:pPr>
    </w:lvl>
    <w:lvl w:ilvl="3" w:tplc="DBC6BA88">
      <w:start w:val="1"/>
      <w:numFmt w:val="decimal"/>
      <w:lvlText w:val="%4."/>
      <w:lvlJc w:val="left"/>
      <w:pPr>
        <w:ind w:left="2520" w:hanging="360"/>
      </w:pPr>
    </w:lvl>
    <w:lvl w:ilvl="4" w:tplc="984AFE5E">
      <w:start w:val="1"/>
      <w:numFmt w:val="lowerLetter"/>
      <w:lvlText w:val="%5."/>
      <w:lvlJc w:val="left"/>
      <w:pPr>
        <w:ind w:left="3240" w:hanging="360"/>
      </w:pPr>
    </w:lvl>
    <w:lvl w:ilvl="5" w:tplc="19EE3A54">
      <w:start w:val="1"/>
      <w:numFmt w:val="lowerRoman"/>
      <w:lvlText w:val="%6."/>
      <w:lvlJc w:val="right"/>
      <w:pPr>
        <w:ind w:left="3960" w:hanging="180"/>
      </w:pPr>
    </w:lvl>
    <w:lvl w:ilvl="6" w:tplc="27ECE56C">
      <w:start w:val="1"/>
      <w:numFmt w:val="decimal"/>
      <w:lvlText w:val="%7."/>
      <w:lvlJc w:val="left"/>
      <w:pPr>
        <w:ind w:left="4680" w:hanging="360"/>
      </w:pPr>
    </w:lvl>
    <w:lvl w:ilvl="7" w:tplc="EB2807C4">
      <w:start w:val="1"/>
      <w:numFmt w:val="lowerLetter"/>
      <w:lvlText w:val="%8."/>
      <w:lvlJc w:val="left"/>
      <w:pPr>
        <w:ind w:left="5400" w:hanging="360"/>
      </w:pPr>
    </w:lvl>
    <w:lvl w:ilvl="8" w:tplc="6C9E6A60">
      <w:start w:val="1"/>
      <w:numFmt w:val="lowerRoman"/>
      <w:lvlText w:val="%9."/>
      <w:lvlJc w:val="right"/>
      <w:pPr>
        <w:ind w:left="6120" w:hanging="180"/>
      </w:pPr>
    </w:lvl>
  </w:abstractNum>
  <w:abstractNum w:abstractNumId="29" w15:restartNumberingAfterBreak="0">
    <w:nsid w:val="3B612E95"/>
    <w:multiLevelType w:val="hybridMultilevel"/>
    <w:tmpl w:val="BD36710E"/>
    <w:lvl w:ilvl="0" w:tplc="9D6829E2">
      <w:start w:val="1"/>
      <w:numFmt w:val="bullet"/>
      <w:lvlText w:val="·"/>
      <w:lvlJc w:val="left"/>
      <w:pPr>
        <w:ind w:left="720" w:hanging="360"/>
      </w:pPr>
      <w:rPr>
        <w:rFonts w:ascii="Symbol" w:hAnsi="Symbol" w:hint="default"/>
      </w:rPr>
    </w:lvl>
    <w:lvl w:ilvl="1" w:tplc="1D383E30">
      <w:start w:val="1"/>
      <w:numFmt w:val="bullet"/>
      <w:lvlText w:val="o"/>
      <w:lvlJc w:val="left"/>
      <w:pPr>
        <w:ind w:left="1440" w:hanging="360"/>
      </w:pPr>
      <w:rPr>
        <w:rFonts w:ascii="Courier New" w:hAnsi="Courier New" w:hint="default"/>
      </w:rPr>
    </w:lvl>
    <w:lvl w:ilvl="2" w:tplc="21285796">
      <w:start w:val="1"/>
      <w:numFmt w:val="bullet"/>
      <w:lvlText w:val=""/>
      <w:lvlJc w:val="left"/>
      <w:pPr>
        <w:ind w:left="2160" w:hanging="360"/>
      </w:pPr>
      <w:rPr>
        <w:rFonts w:ascii="Wingdings" w:hAnsi="Wingdings" w:hint="default"/>
      </w:rPr>
    </w:lvl>
    <w:lvl w:ilvl="3" w:tplc="670E05BE">
      <w:start w:val="1"/>
      <w:numFmt w:val="bullet"/>
      <w:lvlText w:val=""/>
      <w:lvlJc w:val="left"/>
      <w:pPr>
        <w:ind w:left="2880" w:hanging="360"/>
      </w:pPr>
      <w:rPr>
        <w:rFonts w:ascii="Symbol" w:hAnsi="Symbol" w:hint="default"/>
      </w:rPr>
    </w:lvl>
    <w:lvl w:ilvl="4" w:tplc="832A6A58">
      <w:start w:val="1"/>
      <w:numFmt w:val="bullet"/>
      <w:lvlText w:val="o"/>
      <w:lvlJc w:val="left"/>
      <w:pPr>
        <w:ind w:left="3600" w:hanging="360"/>
      </w:pPr>
      <w:rPr>
        <w:rFonts w:ascii="Courier New" w:hAnsi="Courier New" w:hint="default"/>
      </w:rPr>
    </w:lvl>
    <w:lvl w:ilvl="5" w:tplc="3CF27204">
      <w:start w:val="1"/>
      <w:numFmt w:val="bullet"/>
      <w:lvlText w:val=""/>
      <w:lvlJc w:val="left"/>
      <w:pPr>
        <w:ind w:left="4320" w:hanging="360"/>
      </w:pPr>
      <w:rPr>
        <w:rFonts w:ascii="Wingdings" w:hAnsi="Wingdings" w:hint="default"/>
      </w:rPr>
    </w:lvl>
    <w:lvl w:ilvl="6" w:tplc="6296A198">
      <w:start w:val="1"/>
      <w:numFmt w:val="bullet"/>
      <w:lvlText w:val=""/>
      <w:lvlJc w:val="left"/>
      <w:pPr>
        <w:ind w:left="5040" w:hanging="360"/>
      </w:pPr>
      <w:rPr>
        <w:rFonts w:ascii="Symbol" w:hAnsi="Symbol" w:hint="default"/>
      </w:rPr>
    </w:lvl>
    <w:lvl w:ilvl="7" w:tplc="F5508D52">
      <w:start w:val="1"/>
      <w:numFmt w:val="bullet"/>
      <w:lvlText w:val="o"/>
      <w:lvlJc w:val="left"/>
      <w:pPr>
        <w:ind w:left="5760" w:hanging="360"/>
      </w:pPr>
      <w:rPr>
        <w:rFonts w:ascii="Courier New" w:hAnsi="Courier New" w:hint="default"/>
      </w:rPr>
    </w:lvl>
    <w:lvl w:ilvl="8" w:tplc="FD00A710">
      <w:start w:val="1"/>
      <w:numFmt w:val="bullet"/>
      <w:lvlText w:val=""/>
      <w:lvlJc w:val="left"/>
      <w:pPr>
        <w:ind w:left="6480" w:hanging="360"/>
      </w:pPr>
      <w:rPr>
        <w:rFonts w:ascii="Wingdings" w:hAnsi="Wingdings" w:hint="default"/>
      </w:rPr>
    </w:lvl>
  </w:abstractNum>
  <w:abstractNum w:abstractNumId="30" w15:restartNumberingAfterBreak="0">
    <w:nsid w:val="42382F0E"/>
    <w:multiLevelType w:val="hybridMultilevel"/>
    <w:tmpl w:val="D6643C98"/>
    <w:lvl w:ilvl="0" w:tplc="385C73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322450"/>
    <w:multiLevelType w:val="hybridMultilevel"/>
    <w:tmpl w:val="AE00BF3C"/>
    <w:lvl w:ilvl="0" w:tplc="16A4D4F4">
      <w:start w:val="1"/>
      <w:numFmt w:val="upperLetter"/>
      <w:lvlText w:val="%1."/>
      <w:lvlJc w:val="left"/>
      <w:pPr>
        <w:ind w:left="360" w:hanging="360"/>
      </w:pPr>
    </w:lvl>
    <w:lvl w:ilvl="1" w:tplc="12D6207A">
      <w:start w:val="1"/>
      <w:numFmt w:val="lowerLetter"/>
      <w:lvlText w:val="%2."/>
      <w:lvlJc w:val="left"/>
      <w:pPr>
        <w:ind w:left="1080" w:hanging="360"/>
      </w:pPr>
    </w:lvl>
    <w:lvl w:ilvl="2" w:tplc="43906544">
      <w:start w:val="1"/>
      <w:numFmt w:val="lowerRoman"/>
      <w:lvlText w:val="%3."/>
      <w:lvlJc w:val="right"/>
      <w:pPr>
        <w:ind w:left="1800" w:hanging="180"/>
      </w:pPr>
    </w:lvl>
    <w:lvl w:ilvl="3" w:tplc="4448CE90">
      <w:start w:val="1"/>
      <w:numFmt w:val="decimal"/>
      <w:lvlText w:val="%4."/>
      <w:lvlJc w:val="left"/>
      <w:pPr>
        <w:ind w:left="2520" w:hanging="360"/>
      </w:pPr>
    </w:lvl>
    <w:lvl w:ilvl="4" w:tplc="17B0047C">
      <w:start w:val="1"/>
      <w:numFmt w:val="lowerLetter"/>
      <w:lvlText w:val="%5."/>
      <w:lvlJc w:val="left"/>
      <w:pPr>
        <w:ind w:left="3240" w:hanging="360"/>
      </w:pPr>
    </w:lvl>
    <w:lvl w:ilvl="5" w:tplc="7AFA3994">
      <w:start w:val="1"/>
      <w:numFmt w:val="lowerRoman"/>
      <w:lvlText w:val="%6."/>
      <w:lvlJc w:val="right"/>
      <w:pPr>
        <w:ind w:left="3960" w:hanging="180"/>
      </w:pPr>
    </w:lvl>
    <w:lvl w:ilvl="6" w:tplc="521C76B6">
      <w:start w:val="1"/>
      <w:numFmt w:val="decimal"/>
      <w:lvlText w:val="%7."/>
      <w:lvlJc w:val="left"/>
      <w:pPr>
        <w:ind w:left="4680" w:hanging="360"/>
      </w:pPr>
    </w:lvl>
    <w:lvl w:ilvl="7" w:tplc="B6B4957A">
      <w:start w:val="1"/>
      <w:numFmt w:val="lowerLetter"/>
      <w:lvlText w:val="%8."/>
      <w:lvlJc w:val="left"/>
      <w:pPr>
        <w:ind w:left="5400" w:hanging="360"/>
      </w:pPr>
    </w:lvl>
    <w:lvl w:ilvl="8" w:tplc="E54C4514">
      <w:start w:val="1"/>
      <w:numFmt w:val="lowerRoman"/>
      <w:lvlText w:val="%9."/>
      <w:lvlJc w:val="right"/>
      <w:pPr>
        <w:ind w:left="6120" w:hanging="180"/>
      </w:pPr>
    </w:lvl>
  </w:abstractNum>
  <w:abstractNum w:abstractNumId="32" w15:restartNumberingAfterBreak="0">
    <w:nsid w:val="44077DD7"/>
    <w:multiLevelType w:val="hybridMultilevel"/>
    <w:tmpl w:val="0C825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D44C23"/>
    <w:multiLevelType w:val="hybridMultilevel"/>
    <w:tmpl w:val="51E4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FE6DCC"/>
    <w:multiLevelType w:val="hybridMultilevel"/>
    <w:tmpl w:val="F08A9118"/>
    <w:lvl w:ilvl="0" w:tplc="E44819C4">
      <w:start w:val="1"/>
      <w:numFmt w:val="upperLetter"/>
      <w:lvlText w:val="%1."/>
      <w:lvlJc w:val="left"/>
      <w:pPr>
        <w:ind w:left="360" w:hanging="360"/>
      </w:pPr>
    </w:lvl>
    <w:lvl w:ilvl="1" w:tplc="E50CB8AE">
      <w:start w:val="1"/>
      <w:numFmt w:val="lowerLetter"/>
      <w:lvlText w:val="%2."/>
      <w:lvlJc w:val="left"/>
      <w:pPr>
        <w:ind w:left="1080" w:hanging="360"/>
      </w:pPr>
    </w:lvl>
    <w:lvl w:ilvl="2" w:tplc="896EAE9C">
      <w:start w:val="1"/>
      <w:numFmt w:val="lowerRoman"/>
      <w:lvlText w:val="%3."/>
      <w:lvlJc w:val="right"/>
      <w:pPr>
        <w:ind w:left="1800" w:hanging="180"/>
      </w:pPr>
    </w:lvl>
    <w:lvl w:ilvl="3" w:tplc="1B4EE6E0">
      <w:start w:val="1"/>
      <w:numFmt w:val="decimal"/>
      <w:lvlText w:val="%4."/>
      <w:lvlJc w:val="left"/>
      <w:pPr>
        <w:ind w:left="2520" w:hanging="360"/>
      </w:pPr>
    </w:lvl>
    <w:lvl w:ilvl="4" w:tplc="CC0EC8EE">
      <w:start w:val="1"/>
      <w:numFmt w:val="lowerLetter"/>
      <w:lvlText w:val="%5."/>
      <w:lvlJc w:val="left"/>
      <w:pPr>
        <w:ind w:left="3240" w:hanging="360"/>
      </w:pPr>
    </w:lvl>
    <w:lvl w:ilvl="5" w:tplc="C99263B0">
      <w:start w:val="1"/>
      <w:numFmt w:val="lowerRoman"/>
      <w:lvlText w:val="%6."/>
      <w:lvlJc w:val="right"/>
      <w:pPr>
        <w:ind w:left="3960" w:hanging="180"/>
      </w:pPr>
    </w:lvl>
    <w:lvl w:ilvl="6" w:tplc="BCB2AB78">
      <w:start w:val="1"/>
      <w:numFmt w:val="decimal"/>
      <w:lvlText w:val="%7."/>
      <w:lvlJc w:val="left"/>
      <w:pPr>
        <w:ind w:left="4680" w:hanging="360"/>
      </w:pPr>
    </w:lvl>
    <w:lvl w:ilvl="7" w:tplc="CC4AB556">
      <w:start w:val="1"/>
      <w:numFmt w:val="lowerLetter"/>
      <w:lvlText w:val="%8."/>
      <w:lvlJc w:val="left"/>
      <w:pPr>
        <w:ind w:left="5400" w:hanging="360"/>
      </w:pPr>
    </w:lvl>
    <w:lvl w:ilvl="8" w:tplc="15C0B98E">
      <w:start w:val="1"/>
      <w:numFmt w:val="lowerRoman"/>
      <w:lvlText w:val="%9."/>
      <w:lvlJc w:val="right"/>
      <w:pPr>
        <w:ind w:left="6120" w:hanging="180"/>
      </w:pPr>
    </w:lvl>
  </w:abstractNum>
  <w:abstractNum w:abstractNumId="35" w15:restartNumberingAfterBreak="0">
    <w:nsid w:val="4DE62D36"/>
    <w:multiLevelType w:val="hybridMultilevel"/>
    <w:tmpl w:val="4B402F6E"/>
    <w:lvl w:ilvl="0" w:tplc="0EB23156">
      <w:start w:val="1"/>
      <w:numFmt w:val="upperLetter"/>
      <w:lvlText w:val="%1."/>
      <w:lvlJc w:val="left"/>
      <w:pPr>
        <w:ind w:left="360" w:hanging="360"/>
      </w:pPr>
    </w:lvl>
    <w:lvl w:ilvl="1" w:tplc="2FF2A21C">
      <w:start w:val="1"/>
      <w:numFmt w:val="lowerLetter"/>
      <w:lvlText w:val="%2."/>
      <w:lvlJc w:val="left"/>
      <w:pPr>
        <w:ind w:left="1080" w:hanging="360"/>
      </w:pPr>
    </w:lvl>
    <w:lvl w:ilvl="2" w:tplc="AE8CB2E4">
      <w:start w:val="1"/>
      <w:numFmt w:val="lowerRoman"/>
      <w:lvlText w:val="%3."/>
      <w:lvlJc w:val="right"/>
      <w:pPr>
        <w:ind w:left="1800" w:hanging="180"/>
      </w:pPr>
    </w:lvl>
    <w:lvl w:ilvl="3" w:tplc="54A0EE42">
      <w:start w:val="1"/>
      <w:numFmt w:val="decimal"/>
      <w:lvlText w:val="%4."/>
      <w:lvlJc w:val="left"/>
      <w:pPr>
        <w:ind w:left="2520" w:hanging="360"/>
      </w:pPr>
    </w:lvl>
    <w:lvl w:ilvl="4" w:tplc="F9106212">
      <w:start w:val="1"/>
      <w:numFmt w:val="lowerLetter"/>
      <w:lvlText w:val="%5."/>
      <w:lvlJc w:val="left"/>
      <w:pPr>
        <w:ind w:left="3240" w:hanging="360"/>
      </w:pPr>
    </w:lvl>
    <w:lvl w:ilvl="5" w:tplc="CE680344">
      <w:start w:val="1"/>
      <w:numFmt w:val="lowerRoman"/>
      <w:lvlText w:val="%6."/>
      <w:lvlJc w:val="right"/>
      <w:pPr>
        <w:ind w:left="3960" w:hanging="180"/>
      </w:pPr>
    </w:lvl>
    <w:lvl w:ilvl="6" w:tplc="8EA6EBDE">
      <w:start w:val="1"/>
      <w:numFmt w:val="decimal"/>
      <w:lvlText w:val="%7."/>
      <w:lvlJc w:val="left"/>
      <w:pPr>
        <w:ind w:left="4680" w:hanging="360"/>
      </w:pPr>
    </w:lvl>
    <w:lvl w:ilvl="7" w:tplc="34FE3B42">
      <w:start w:val="1"/>
      <w:numFmt w:val="lowerLetter"/>
      <w:lvlText w:val="%8."/>
      <w:lvlJc w:val="left"/>
      <w:pPr>
        <w:ind w:left="5400" w:hanging="360"/>
      </w:pPr>
    </w:lvl>
    <w:lvl w:ilvl="8" w:tplc="E5CC77E0">
      <w:start w:val="1"/>
      <w:numFmt w:val="lowerRoman"/>
      <w:lvlText w:val="%9."/>
      <w:lvlJc w:val="right"/>
      <w:pPr>
        <w:ind w:left="6120" w:hanging="180"/>
      </w:pPr>
    </w:lvl>
  </w:abstractNum>
  <w:abstractNum w:abstractNumId="36"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0B0530"/>
    <w:multiLevelType w:val="hybridMultilevel"/>
    <w:tmpl w:val="4C2EDE58"/>
    <w:lvl w:ilvl="0" w:tplc="385C73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3B37FB"/>
    <w:multiLevelType w:val="hybridMultilevel"/>
    <w:tmpl w:val="AA8C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6EB4069"/>
    <w:multiLevelType w:val="hybridMultilevel"/>
    <w:tmpl w:val="864A40A4"/>
    <w:lvl w:ilvl="0" w:tplc="5FCC776C">
      <w:start w:val="1"/>
      <w:numFmt w:val="upperLetter"/>
      <w:lvlText w:val="%1."/>
      <w:lvlJc w:val="left"/>
      <w:pPr>
        <w:ind w:left="360" w:hanging="360"/>
      </w:pPr>
    </w:lvl>
    <w:lvl w:ilvl="1" w:tplc="EAE4BB64">
      <w:start w:val="1"/>
      <w:numFmt w:val="lowerLetter"/>
      <w:lvlText w:val="%2."/>
      <w:lvlJc w:val="left"/>
      <w:pPr>
        <w:ind w:left="1080" w:hanging="360"/>
      </w:pPr>
    </w:lvl>
    <w:lvl w:ilvl="2" w:tplc="7D722582">
      <w:start w:val="1"/>
      <w:numFmt w:val="lowerRoman"/>
      <w:lvlText w:val="%3."/>
      <w:lvlJc w:val="right"/>
      <w:pPr>
        <w:ind w:left="1800" w:hanging="180"/>
      </w:pPr>
    </w:lvl>
    <w:lvl w:ilvl="3" w:tplc="5F8E63AA">
      <w:start w:val="1"/>
      <w:numFmt w:val="decimal"/>
      <w:lvlText w:val="%4."/>
      <w:lvlJc w:val="left"/>
      <w:pPr>
        <w:ind w:left="2520" w:hanging="360"/>
      </w:pPr>
    </w:lvl>
    <w:lvl w:ilvl="4" w:tplc="F46A11A6">
      <w:start w:val="1"/>
      <w:numFmt w:val="lowerLetter"/>
      <w:lvlText w:val="%5."/>
      <w:lvlJc w:val="left"/>
      <w:pPr>
        <w:ind w:left="3240" w:hanging="360"/>
      </w:pPr>
    </w:lvl>
    <w:lvl w:ilvl="5" w:tplc="7C82E34A">
      <w:start w:val="1"/>
      <w:numFmt w:val="lowerRoman"/>
      <w:lvlText w:val="%6."/>
      <w:lvlJc w:val="right"/>
      <w:pPr>
        <w:ind w:left="3960" w:hanging="180"/>
      </w:pPr>
    </w:lvl>
    <w:lvl w:ilvl="6" w:tplc="0D90A792">
      <w:start w:val="1"/>
      <w:numFmt w:val="decimal"/>
      <w:lvlText w:val="%7."/>
      <w:lvlJc w:val="left"/>
      <w:pPr>
        <w:ind w:left="4680" w:hanging="360"/>
      </w:pPr>
    </w:lvl>
    <w:lvl w:ilvl="7" w:tplc="3EDE32AC">
      <w:start w:val="1"/>
      <w:numFmt w:val="lowerLetter"/>
      <w:lvlText w:val="%8."/>
      <w:lvlJc w:val="left"/>
      <w:pPr>
        <w:ind w:left="5400" w:hanging="360"/>
      </w:pPr>
    </w:lvl>
    <w:lvl w:ilvl="8" w:tplc="41688786">
      <w:start w:val="1"/>
      <w:numFmt w:val="lowerRoman"/>
      <w:lvlText w:val="%9."/>
      <w:lvlJc w:val="right"/>
      <w:pPr>
        <w:ind w:left="6120" w:hanging="180"/>
      </w:pPr>
    </w:lvl>
  </w:abstractNum>
  <w:abstractNum w:abstractNumId="41" w15:restartNumberingAfterBreak="0">
    <w:nsid w:val="57064ECE"/>
    <w:multiLevelType w:val="hybridMultilevel"/>
    <w:tmpl w:val="1988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793FEE"/>
    <w:multiLevelType w:val="hybridMultilevel"/>
    <w:tmpl w:val="A7CA720C"/>
    <w:lvl w:ilvl="0" w:tplc="385C736A">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43" w15:restartNumberingAfterBreak="0">
    <w:nsid w:val="5A8D21AD"/>
    <w:multiLevelType w:val="hybridMultilevel"/>
    <w:tmpl w:val="2ABA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967945"/>
    <w:multiLevelType w:val="hybridMultilevel"/>
    <w:tmpl w:val="EC88A85C"/>
    <w:lvl w:ilvl="0" w:tplc="8BF6D50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5996B00"/>
    <w:multiLevelType w:val="hybridMultilevel"/>
    <w:tmpl w:val="5D9C9832"/>
    <w:lvl w:ilvl="0" w:tplc="616AA92C">
      <w:start w:val="1"/>
      <w:numFmt w:val="decimal"/>
      <w:lvlText w:val="%1."/>
      <w:lvlJc w:val="left"/>
      <w:pPr>
        <w:ind w:left="360" w:hanging="360"/>
      </w:pPr>
      <w:rPr>
        <w:rFonts w:hint="default"/>
      </w:rPr>
    </w:lvl>
    <w:lvl w:ilvl="1" w:tplc="97727B9C">
      <w:start w:val="1"/>
      <w:numFmt w:val="bullet"/>
      <w:lvlText w:val="o"/>
      <w:lvlJc w:val="left"/>
      <w:pPr>
        <w:ind w:left="1080" w:hanging="360"/>
      </w:pPr>
      <w:rPr>
        <w:rFonts w:ascii="Courier New" w:hAnsi="Courier New" w:hint="default"/>
      </w:rPr>
    </w:lvl>
    <w:lvl w:ilvl="2" w:tplc="A0E4BC28">
      <w:start w:val="1"/>
      <w:numFmt w:val="bullet"/>
      <w:lvlText w:val=""/>
      <w:lvlJc w:val="left"/>
      <w:pPr>
        <w:ind w:left="1800" w:hanging="360"/>
      </w:pPr>
      <w:rPr>
        <w:rFonts w:ascii="Wingdings" w:hAnsi="Wingdings" w:hint="default"/>
      </w:rPr>
    </w:lvl>
    <w:lvl w:ilvl="3" w:tplc="E9E450B0">
      <w:start w:val="1"/>
      <w:numFmt w:val="bullet"/>
      <w:lvlText w:val=""/>
      <w:lvlJc w:val="left"/>
      <w:pPr>
        <w:ind w:left="2520" w:hanging="360"/>
      </w:pPr>
      <w:rPr>
        <w:rFonts w:ascii="Symbol" w:hAnsi="Symbol" w:hint="default"/>
      </w:rPr>
    </w:lvl>
    <w:lvl w:ilvl="4" w:tplc="DD5CC0EC">
      <w:start w:val="1"/>
      <w:numFmt w:val="bullet"/>
      <w:lvlText w:val="o"/>
      <w:lvlJc w:val="left"/>
      <w:pPr>
        <w:ind w:left="3240" w:hanging="360"/>
      </w:pPr>
      <w:rPr>
        <w:rFonts w:ascii="Courier New" w:hAnsi="Courier New" w:hint="default"/>
      </w:rPr>
    </w:lvl>
    <w:lvl w:ilvl="5" w:tplc="97761866">
      <w:start w:val="1"/>
      <w:numFmt w:val="bullet"/>
      <w:lvlText w:val=""/>
      <w:lvlJc w:val="left"/>
      <w:pPr>
        <w:ind w:left="3960" w:hanging="360"/>
      </w:pPr>
      <w:rPr>
        <w:rFonts w:ascii="Wingdings" w:hAnsi="Wingdings" w:hint="default"/>
      </w:rPr>
    </w:lvl>
    <w:lvl w:ilvl="6" w:tplc="7CD2EAB2">
      <w:start w:val="1"/>
      <w:numFmt w:val="bullet"/>
      <w:lvlText w:val=""/>
      <w:lvlJc w:val="left"/>
      <w:pPr>
        <w:ind w:left="4680" w:hanging="360"/>
      </w:pPr>
      <w:rPr>
        <w:rFonts w:ascii="Symbol" w:hAnsi="Symbol" w:hint="default"/>
      </w:rPr>
    </w:lvl>
    <w:lvl w:ilvl="7" w:tplc="374E1EF6">
      <w:start w:val="1"/>
      <w:numFmt w:val="bullet"/>
      <w:lvlText w:val="o"/>
      <w:lvlJc w:val="left"/>
      <w:pPr>
        <w:ind w:left="5400" w:hanging="360"/>
      </w:pPr>
      <w:rPr>
        <w:rFonts w:ascii="Courier New" w:hAnsi="Courier New" w:hint="default"/>
      </w:rPr>
    </w:lvl>
    <w:lvl w:ilvl="8" w:tplc="4CFA9742">
      <w:start w:val="1"/>
      <w:numFmt w:val="bullet"/>
      <w:lvlText w:val=""/>
      <w:lvlJc w:val="left"/>
      <w:pPr>
        <w:ind w:left="6120" w:hanging="360"/>
      </w:pPr>
      <w:rPr>
        <w:rFonts w:ascii="Wingdings" w:hAnsi="Wingdings" w:hint="default"/>
      </w:rPr>
    </w:lvl>
  </w:abstractNum>
  <w:abstractNum w:abstractNumId="46"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7211C90"/>
    <w:multiLevelType w:val="hybridMultilevel"/>
    <w:tmpl w:val="F12E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166B86"/>
    <w:multiLevelType w:val="hybridMultilevel"/>
    <w:tmpl w:val="5FBC34EA"/>
    <w:lvl w:ilvl="0" w:tplc="44888D86">
      <w:start w:val="1"/>
      <w:numFmt w:val="bullet"/>
      <w:lvlText w:val=""/>
      <w:lvlJc w:val="left"/>
      <w:pPr>
        <w:ind w:left="720" w:hanging="360"/>
      </w:pPr>
      <w:rPr>
        <w:rFonts w:ascii="Symbol" w:hAnsi="Symbol" w:hint="default"/>
      </w:rPr>
    </w:lvl>
    <w:lvl w:ilvl="1" w:tplc="EC6A3C12">
      <w:start w:val="1"/>
      <w:numFmt w:val="bullet"/>
      <w:lvlText w:val="o"/>
      <w:lvlJc w:val="left"/>
      <w:pPr>
        <w:ind w:left="1440" w:hanging="360"/>
      </w:pPr>
      <w:rPr>
        <w:rFonts w:ascii="Courier New" w:hAnsi="Courier New" w:hint="default"/>
      </w:rPr>
    </w:lvl>
    <w:lvl w:ilvl="2" w:tplc="D3B8C11C">
      <w:start w:val="1"/>
      <w:numFmt w:val="bullet"/>
      <w:lvlText w:val=""/>
      <w:lvlJc w:val="left"/>
      <w:pPr>
        <w:ind w:left="2160" w:hanging="360"/>
      </w:pPr>
      <w:rPr>
        <w:rFonts w:ascii="Symbol" w:hAnsi="Symbol" w:hint="default"/>
      </w:rPr>
    </w:lvl>
    <w:lvl w:ilvl="3" w:tplc="C0ECC940">
      <w:start w:val="1"/>
      <w:numFmt w:val="bullet"/>
      <w:lvlText w:val=""/>
      <w:lvlJc w:val="left"/>
      <w:pPr>
        <w:ind w:left="2880" w:hanging="360"/>
      </w:pPr>
      <w:rPr>
        <w:rFonts w:ascii="Symbol" w:hAnsi="Symbol" w:hint="default"/>
      </w:rPr>
    </w:lvl>
    <w:lvl w:ilvl="4" w:tplc="5864764C">
      <w:start w:val="1"/>
      <w:numFmt w:val="bullet"/>
      <w:lvlText w:val="o"/>
      <w:lvlJc w:val="left"/>
      <w:pPr>
        <w:ind w:left="3600" w:hanging="360"/>
      </w:pPr>
      <w:rPr>
        <w:rFonts w:ascii="Courier New" w:hAnsi="Courier New" w:hint="default"/>
      </w:rPr>
    </w:lvl>
    <w:lvl w:ilvl="5" w:tplc="9E6AB65A">
      <w:start w:val="1"/>
      <w:numFmt w:val="bullet"/>
      <w:lvlText w:val=""/>
      <w:lvlJc w:val="left"/>
      <w:pPr>
        <w:ind w:left="4320" w:hanging="360"/>
      </w:pPr>
      <w:rPr>
        <w:rFonts w:ascii="Wingdings" w:hAnsi="Wingdings" w:hint="default"/>
      </w:rPr>
    </w:lvl>
    <w:lvl w:ilvl="6" w:tplc="1FAA2B68">
      <w:start w:val="1"/>
      <w:numFmt w:val="bullet"/>
      <w:lvlText w:val=""/>
      <w:lvlJc w:val="left"/>
      <w:pPr>
        <w:ind w:left="5040" w:hanging="360"/>
      </w:pPr>
      <w:rPr>
        <w:rFonts w:ascii="Symbol" w:hAnsi="Symbol" w:hint="default"/>
      </w:rPr>
    </w:lvl>
    <w:lvl w:ilvl="7" w:tplc="8AF42338">
      <w:start w:val="1"/>
      <w:numFmt w:val="bullet"/>
      <w:lvlText w:val="o"/>
      <w:lvlJc w:val="left"/>
      <w:pPr>
        <w:ind w:left="5760" w:hanging="360"/>
      </w:pPr>
      <w:rPr>
        <w:rFonts w:ascii="Courier New" w:hAnsi="Courier New" w:hint="default"/>
      </w:rPr>
    </w:lvl>
    <w:lvl w:ilvl="8" w:tplc="919E0138">
      <w:start w:val="1"/>
      <w:numFmt w:val="bullet"/>
      <w:lvlText w:val=""/>
      <w:lvlJc w:val="left"/>
      <w:pPr>
        <w:ind w:left="6480" w:hanging="360"/>
      </w:pPr>
      <w:rPr>
        <w:rFonts w:ascii="Wingdings" w:hAnsi="Wingdings" w:hint="default"/>
      </w:rPr>
    </w:lvl>
  </w:abstractNum>
  <w:abstractNum w:abstractNumId="49" w15:restartNumberingAfterBreak="0">
    <w:nsid w:val="6C1C4871"/>
    <w:multiLevelType w:val="hybridMultilevel"/>
    <w:tmpl w:val="AEF8E69C"/>
    <w:lvl w:ilvl="0" w:tplc="9A0A1572">
      <w:start w:val="1"/>
      <w:numFmt w:val="bullet"/>
      <w:lvlText w:val=""/>
      <w:lvlJc w:val="left"/>
      <w:pPr>
        <w:ind w:left="720" w:hanging="360"/>
      </w:pPr>
      <w:rPr>
        <w:rFonts w:ascii="Symbol" w:hAnsi="Symbol" w:hint="default"/>
      </w:rPr>
    </w:lvl>
    <w:lvl w:ilvl="1" w:tplc="FC448134">
      <w:start w:val="1"/>
      <w:numFmt w:val="bullet"/>
      <w:lvlText w:val="o"/>
      <w:lvlJc w:val="left"/>
      <w:pPr>
        <w:ind w:left="1440" w:hanging="360"/>
      </w:pPr>
      <w:rPr>
        <w:rFonts w:ascii="Courier New" w:hAnsi="Courier New" w:hint="default"/>
      </w:rPr>
    </w:lvl>
    <w:lvl w:ilvl="2" w:tplc="385C736A">
      <w:start w:val="1"/>
      <w:numFmt w:val="bullet"/>
      <w:lvlText w:val=""/>
      <w:lvlJc w:val="left"/>
      <w:pPr>
        <w:ind w:left="2160" w:hanging="360"/>
      </w:pPr>
      <w:rPr>
        <w:rFonts w:ascii="Symbol" w:hAnsi="Symbol" w:hint="default"/>
      </w:rPr>
    </w:lvl>
    <w:lvl w:ilvl="3" w:tplc="4AD2DED8">
      <w:start w:val="1"/>
      <w:numFmt w:val="bullet"/>
      <w:lvlText w:val=""/>
      <w:lvlJc w:val="left"/>
      <w:pPr>
        <w:ind w:left="2880" w:hanging="360"/>
      </w:pPr>
      <w:rPr>
        <w:rFonts w:ascii="Symbol" w:hAnsi="Symbol" w:hint="default"/>
      </w:rPr>
    </w:lvl>
    <w:lvl w:ilvl="4" w:tplc="C1E88A54">
      <w:start w:val="1"/>
      <w:numFmt w:val="bullet"/>
      <w:lvlText w:val="o"/>
      <w:lvlJc w:val="left"/>
      <w:pPr>
        <w:ind w:left="3600" w:hanging="360"/>
      </w:pPr>
      <w:rPr>
        <w:rFonts w:ascii="Courier New" w:hAnsi="Courier New" w:hint="default"/>
      </w:rPr>
    </w:lvl>
    <w:lvl w:ilvl="5" w:tplc="43CEC26C">
      <w:start w:val="1"/>
      <w:numFmt w:val="bullet"/>
      <w:lvlText w:val=""/>
      <w:lvlJc w:val="left"/>
      <w:pPr>
        <w:ind w:left="4320" w:hanging="360"/>
      </w:pPr>
      <w:rPr>
        <w:rFonts w:ascii="Wingdings" w:hAnsi="Wingdings" w:hint="default"/>
      </w:rPr>
    </w:lvl>
    <w:lvl w:ilvl="6" w:tplc="2F123916">
      <w:start w:val="1"/>
      <w:numFmt w:val="bullet"/>
      <w:lvlText w:val=""/>
      <w:lvlJc w:val="left"/>
      <w:pPr>
        <w:ind w:left="5040" w:hanging="360"/>
      </w:pPr>
      <w:rPr>
        <w:rFonts w:ascii="Symbol" w:hAnsi="Symbol" w:hint="default"/>
      </w:rPr>
    </w:lvl>
    <w:lvl w:ilvl="7" w:tplc="8B4693A6">
      <w:start w:val="1"/>
      <w:numFmt w:val="bullet"/>
      <w:lvlText w:val="o"/>
      <w:lvlJc w:val="left"/>
      <w:pPr>
        <w:ind w:left="5760" w:hanging="360"/>
      </w:pPr>
      <w:rPr>
        <w:rFonts w:ascii="Courier New" w:hAnsi="Courier New" w:hint="default"/>
      </w:rPr>
    </w:lvl>
    <w:lvl w:ilvl="8" w:tplc="C68ED4BE">
      <w:start w:val="1"/>
      <w:numFmt w:val="bullet"/>
      <w:lvlText w:val=""/>
      <w:lvlJc w:val="left"/>
      <w:pPr>
        <w:ind w:left="6480" w:hanging="360"/>
      </w:pPr>
      <w:rPr>
        <w:rFonts w:ascii="Wingdings" w:hAnsi="Wingdings" w:hint="default"/>
      </w:rPr>
    </w:lvl>
  </w:abstractNum>
  <w:abstractNum w:abstractNumId="50" w15:restartNumberingAfterBreak="0">
    <w:nsid w:val="6EA915ED"/>
    <w:multiLevelType w:val="multilevel"/>
    <w:tmpl w:val="B70A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FAC5A2C"/>
    <w:multiLevelType w:val="hybridMultilevel"/>
    <w:tmpl w:val="2778A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740776EF"/>
    <w:multiLevelType w:val="hybridMultilevel"/>
    <w:tmpl w:val="F8A20BF0"/>
    <w:lvl w:ilvl="0" w:tplc="9D6829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4215811"/>
    <w:multiLevelType w:val="hybridMultilevel"/>
    <w:tmpl w:val="B2AC0304"/>
    <w:lvl w:ilvl="0" w:tplc="F050C46A">
      <w:start w:val="1"/>
      <w:numFmt w:val="bullet"/>
      <w:lvlText w:val=""/>
      <w:lvlJc w:val="left"/>
      <w:pPr>
        <w:ind w:left="720" w:hanging="360"/>
      </w:pPr>
      <w:rPr>
        <w:rFonts w:ascii="Symbol" w:hAnsi="Symbol" w:hint="default"/>
      </w:rPr>
    </w:lvl>
    <w:lvl w:ilvl="1" w:tplc="9230AD38">
      <w:start w:val="1"/>
      <w:numFmt w:val="bullet"/>
      <w:lvlText w:val="o"/>
      <w:lvlJc w:val="left"/>
      <w:pPr>
        <w:ind w:left="1440" w:hanging="360"/>
      </w:pPr>
      <w:rPr>
        <w:rFonts w:ascii="Courier New" w:hAnsi="Courier New" w:hint="default"/>
      </w:rPr>
    </w:lvl>
    <w:lvl w:ilvl="2" w:tplc="D7A2D99A">
      <w:start w:val="1"/>
      <w:numFmt w:val="bullet"/>
      <w:lvlText w:val=""/>
      <w:lvlJc w:val="left"/>
      <w:pPr>
        <w:ind w:left="2160" w:hanging="360"/>
      </w:pPr>
      <w:rPr>
        <w:rFonts w:ascii="Wingdings" w:hAnsi="Wingdings" w:hint="default"/>
      </w:rPr>
    </w:lvl>
    <w:lvl w:ilvl="3" w:tplc="8FFAD280">
      <w:start w:val="1"/>
      <w:numFmt w:val="bullet"/>
      <w:lvlText w:val=""/>
      <w:lvlJc w:val="left"/>
      <w:pPr>
        <w:ind w:left="2880" w:hanging="360"/>
      </w:pPr>
      <w:rPr>
        <w:rFonts w:ascii="Symbol" w:hAnsi="Symbol" w:hint="default"/>
      </w:rPr>
    </w:lvl>
    <w:lvl w:ilvl="4" w:tplc="0BA8A928">
      <w:start w:val="1"/>
      <w:numFmt w:val="bullet"/>
      <w:lvlText w:val="o"/>
      <w:lvlJc w:val="left"/>
      <w:pPr>
        <w:ind w:left="3600" w:hanging="360"/>
      </w:pPr>
      <w:rPr>
        <w:rFonts w:ascii="Courier New" w:hAnsi="Courier New" w:hint="default"/>
      </w:rPr>
    </w:lvl>
    <w:lvl w:ilvl="5" w:tplc="D7C2D230">
      <w:start w:val="1"/>
      <w:numFmt w:val="bullet"/>
      <w:lvlText w:val=""/>
      <w:lvlJc w:val="left"/>
      <w:pPr>
        <w:ind w:left="4320" w:hanging="360"/>
      </w:pPr>
      <w:rPr>
        <w:rFonts w:ascii="Wingdings" w:hAnsi="Wingdings" w:hint="default"/>
      </w:rPr>
    </w:lvl>
    <w:lvl w:ilvl="6" w:tplc="F56A886C">
      <w:start w:val="1"/>
      <w:numFmt w:val="bullet"/>
      <w:lvlText w:val=""/>
      <w:lvlJc w:val="left"/>
      <w:pPr>
        <w:ind w:left="5040" w:hanging="360"/>
      </w:pPr>
      <w:rPr>
        <w:rFonts w:ascii="Symbol" w:hAnsi="Symbol" w:hint="default"/>
      </w:rPr>
    </w:lvl>
    <w:lvl w:ilvl="7" w:tplc="274E208C">
      <w:start w:val="1"/>
      <w:numFmt w:val="bullet"/>
      <w:lvlText w:val="o"/>
      <w:lvlJc w:val="left"/>
      <w:pPr>
        <w:ind w:left="5760" w:hanging="360"/>
      </w:pPr>
      <w:rPr>
        <w:rFonts w:ascii="Courier New" w:hAnsi="Courier New" w:hint="default"/>
      </w:rPr>
    </w:lvl>
    <w:lvl w:ilvl="8" w:tplc="077EEAB0">
      <w:start w:val="1"/>
      <w:numFmt w:val="bullet"/>
      <w:lvlText w:val=""/>
      <w:lvlJc w:val="left"/>
      <w:pPr>
        <w:ind w:left="6480" w:hanging="360"/>
      </w:pPr>
      <w:rPr>
        <w:rFonts w:ascii="Wingdings" w:hAnsi="Wingdings" w:hint="default"/>
      </w:rPr>
    </w:lvl>
  </w:abstractNum>
  <w:abstractNum w:abstractNumId="54" w15:restartNumberingAfterBreak="0">
    <w:nsid w:val="78CE503E"/>
    <w:multiLevelType w:val="hybridMultilevel"/>
    <w:tmpl w:val="288619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8D01CF6"/>
    <w:multiLevelType w:val="hybridMultilevel"/>
    <w:tmpl w:val="8CDC714E"/>
    <w:lvl w:ilvl="0" w:tplc="43DA736C">
      <w:start w:val="1"/>
      <w:numFmt w:val="upperLetter"/>
      <w:lvlText w:val="%1."/>
      <w:lvlJc w:val="left"/>
      <w:pPr>
        <w:ind w:left="360" w:hanging="360"/>
      </w:pPr>
    </w:lvl>
    <w:lvl w:ilvl="1" w:tplc="94E488E8">
      <w:start w:val="1"/>
      <w:numFmt w:val="lowerLetter"/>
      <w:lvlText w:val="%2."/>
      <w:lvlJc w:val="left"/>
      <w:pPr>
        <w:ind w:left="1080" w:hanging="360"/>
      </w:pPr>
    </w:lvl>
    <w:lvl w:ilvl="2" w:tplc="A502A7C2">
      <w:start w:val="1"/>
      <w:numFmt w:val="lowerRoman"/>
      <w:lvlText w:val="%3."/>
      <w:lvlJc w:val="right"/>
      <w:pPr>
        <w:ind w:left="1800" w:hanging="180"/>
      </w:pPr>
    </w:lvl>
    <w:lvl w:ilvl="3" w:tplc="5F7A6A80">
      <w:start w:val="1"/>
      <w:numFmt w:val="decimal"/>
      <w:lvlText w:val="%4."/>
      <w:lvlJc w:val="left"/>
      <w:pPr>
        <w:ind w:left="2520" w:hanging="360"/>
      </w:pPr>
    </w:lvl>
    <w:lvl w:ilvl="4" w:tplc="0F162A08">
      <w:start w:val="1"/>
      <w:numFmt w:val="lowerLetter"/>
      <w:lvlText w:val="%5."/>
      <w:lvlJc w:val="left"/>
      <w:pPr>
        <w:ind w:left="3240" w:hanging="360"/>
      </w:pPr>
    </w:lvl>
    <w:lvl w:ilvl="5" w:tplc="FCA4E050">
      <w:start w:val="1"/>
      <w:numFmt w:val="lowerRoman"/>
      <w:lvlText w:val="%6."/>
      <w:lvlJc w:val="right"/>
      <w:pPr>
        <w:ind w:left="3960" w:hanging="180"/>
      </w:pPr>
    </w:lvl>
    <w:lvl w:ilvl="6" w:tplc="E52EA0B2">
      <w:start w:val="1"/>
      <w:numFmt w:val="decimal"/>
      <w:lvlText w:val="%7."/>
      <w:lvlJc w:val="left"/>
      <w:pPr>
        <w:ind w:left="4680" w:hanging="360"/>
      </w:pPr>
    </w:lvl>
    <w:lvl w:ilvl="7" w:tplc="5F303E88">
      <w:start w:val="1"/>
      <w:numFmt w:val="lowerLetter"/>
      <w:lvlText w:val="%8."/>
      <w:lvlJc w:val="left"/>
      <w:pPr>
        <w:ind w:left="5400" w:hanging="360"/>
      </w:pPr>
    </w:lvl>
    <w:lvl w:ilvl="8" w:tplc="797872E8">
      <w:start w:val="1"/>
      <w:numFmt w:val="lowerRoman"/>
      <w:lvlText w:val="%9."/>
      <w:lvlJc w:val="right"/>
      <w:pPr>
        <w:ind w:left="6120" w:hanging="180"/>
      </w:pPr>
    </w:lvl>
  </w:abstractNum>
  <w:abstractNum w:abstractNumId="56" w15:restartNumberingAfterBreak="0">
    <w:nsid w:val="79225B6A"/>
    <w:multiLevelType w:val="hybridMultilevel"/>
    <w:tmpl w:val="81E46C9E"/>
    <w:lvl w:ilvl="0" w:tplc="B1A0D604">
      <w:start w:val="1"/>
      <w:numFmt w:val="bullet"/>
      <w:lvlText w:val=""/>
      <w:lvlJc w:val="left"/>
      <w:pPr>
        <w:ind w:left="1080" w:hanging="360"/>
      </w:pPr>
      <w:rPr>
        <w:rFonts w:ascii="Symbol" w:hAnsi="Symbol" w:hint="default"/>
      </w:rPr>
    </w:lvl>
    <w:lvl w:ilvl="1" w:tplc="FB42DF4C">
      <w:start w:val="1"/>
      <w:numFmt w:val="bullet"/>
      <w:lvlText w:val="o"/>
      <w:lvlJc w:val="left"/>
      <w:pPr>
        <w:ind w:left="1800" w:hanging="360"/>
      </w:pPr>
      <w:rPr>
        <w:rFonts w:ascii="Courier New" w:hAnsi="Courier New" w:hint="default"/>
      </w:rPr>
    </w:lvl>
    <w:lvl w:ilvl="2" w:tplc="F768044E">
      <w:start w:val="1"/>
      <w:numFmt w:val="bullet"/>
      <w:lvlText w:val=""/>
      <w:lvlJc w:val="left"/>
      <w:pPr>
        <w:ind w:left="2520" w:hanging="360"/>
      </w:pPr>
      <w:rPr>
        <w:rFonts w:ascii="Symbol" w:hAnsi="Symbol" w:hint="default"/>
      </w:rPr>
    </w:lvl>
    <w:lvl w:ilvl="3" w:tplc="911082DE">
      <w:start w:val="1"/>
      <w:numFmt w:val="bullet"/>
      <w:lvlText w:val=""/>
      <w:lvlJc w:val="left"/>
      <w:pPr>
        <w:ind w:left="3240" w:hanging="360"/>
      </w:pPr>
      <w:rPr>
        <w:rFonts w:ascii="Symbol" w:hAnsi="Symbol" w:hint="default"/>
      </w:rPr>
    </w:lvl>
    <w:lvl w:ilvl="4" w:tplc="0CF6B548">
      <w:start w:val="1"/>
      <w:numFmt w:val="bullet"/>
      <w:lvlText w:val="o"/>
      <w:lvlJc w:val="left"/>
      <w:pPr>
        <w:ind w:left="3960" w:hanging="360"/>
      </w:pPr>
      <w:rPr>
        <w:rFonts w:ascii="Courier New" w:hAnsi="Courier New" w:hint="default"/>
      </w:rPr>
    </w:lvl>
    <w:lvl w:ilvl="5" w:tplc="1DA47C24">
      <w:start w:val="1"/>
      <w:numFmt w:val="bullet"/>
      <w:lvlText w:val=""/>
      <w:lvlJc w:val="left"/>
      <w:pPr>
        <w:ind w:left="4680" w:hanging="360"/>
      </w:pPr>
      <w:rPr>
        <w:rFonts w:ascii="Wingdings" w:hAnsi="Wingdings" w:hint="default"/>
      </w:rPr>
    </w:lvl>
    <w:lvl w:ilvl="6" w:tplc="ED06A352">
      <w:start w:val="1"/>
      <w:numFmt w:val="bullet"/>
      <w:lvlText w:val=""/>
      <w:lvlJc w:val="left"/>
      <w:pPr>
        <w:ind w:left="5400" w:hanging="360"/>
      </w:pPr>
      <w:rPr>
        <w:rFonts w:ascii="Symbol" w:hAnsi="Symbol" w:hint="default"/>
      </w:rPr>
    </w:lvl>
    <w:lvl w:ilvl="7" w:tplc="32BA9A72">
      <w:start w:val="1"/>
      <w:numFmt w:val="bullet"/>
      <w:lvlText w:val="o"/>
      <w:lvlJc w:val="left"/>
      <w:pPr>
        <w:ind w:left="6120" w:hanging="360"/>
      </w:pPr>
      <w:rPr>
        <w:rFonts w:ascii="Courier New" w:hAnsi="Courier New" w:hint="default"/>
      </w:rPr>
    </w:lvl>
    <w:lvl w:ilvl="8" w:tplc="A2B45F90">
      <w:start w:val="1"/>
      <w:numFmt w:val="bullet"/>
      <w:lvlText w:val=""/>
      <w:lvlJc w:val="left"/>
      <w:pPr>
        <w:ind w:left="6840" w:hanging="360"/>
      </w:pPr>
      <w:rPr>
        <w:rFonts w:ascii="Wingdings" w:hAnsi="Wingdings" w:hint="default"/>
      </w:rPr>
    </w:lvl>
  </w:abstractNum>
  <w:abstractNum w:abstractNumId="57" w15:restartNumberingAfterBreak="0">
    <w:nsid w:val="7DE217AE"/>
    <w:multiLevelType w:val="hybridMultilevel"/>
    <w:tmpl w:val="2F44ABE0"/>
    <w:lvl w:ilvl="0" w:tplc="37007F88">
      <w:start w:val="1"/>
      <w:numFmt w:val="upperLetter"/>
      <w:lvlText w:val="%1."/>
      <w:lvlJc w:val="left"/>
      <w:pPr>
        <w:ind w:left="360" w:hanging="360"/>
      </w:pPr>
    </w:lvl>
    <w:lvl w:ilvl="1" w:tplc="1B88B626">
      <w:start w:val="1"/>
      <w:numFmt w:val="lowerLetter"/>
      <w:lvlText w:val="%2."/>
      <w:lvlJc w:val="left"/>
      <w:pPr>
        <w:ind w:left="1080" w:hanging="360"/>
      </w:pPr>
    </w:lvl>
    <w:lvl w:ilvl="2" w:tplc="873434E2">
      <w:start w:val="1"/>
      <w:numFmt w:val="lowerRoman"/>
      <w:lvlText w:val="%3."/>
      <w:lvlJc w:val="right"/>
      <w:pPr>
        <w:ind w:left="1800" w:hanging="180"/>
      </w:pPr>
    </w:lvl>
    <w:lvl w:ilvl="3" w:tplc="091E335E">
      <w:start w:val="1"/>
      <w:numFmt w:val="decimal"/>
      <w:lvlText w:val="%4."/>
      <w:lvlJc w:val="left"/>
      <w:pPr>
        <w:ind w:left="2520" w:hanging="360"/>
      </w:pPr>
    </w:lvl>
    <w:lvl w:ilvl="4" w:tplc="23389ABA">
      <w:start w:val="1"/>
      <w:numFmt w:val="lowerLetter"/>
      <w:lvlText w:val="%5."/>
      <w:lvlJc w:val="left"/>
      <w:pPr>
        <w:ind w:left="3240" w:hanging="360"/>
      </w:pPr>
    </w:lvl>
    <w:lvl w:ilvl="5" w:tplc="4EBABC7A">
      <w:start w:val="1"/>
      <w:numFmt w:val="lowerRoman"/>
      <w:lvlText w:val="%6."/>
      <w:lvlJc w:val="right"/>
      <w:pPr>
        <w:ind w:left="3960" w:hanging="180"/>
      </w:pPr>
    </w:lvl>
    <w:lvl w:ilvl="6" w:tplc="0CFC90C8">
      <w:start w:val="1"/>
      <w:numFmt w:val="decimal"/>
      <w:lvlText w:val="%7."/>
      <w:lvlJc w:val="left"/>
      <w:pPr>
        <w:ind w:left="4680" w:hanging="360"/>
      </w:pPr>
    </w:lvl>
    <w:lvl w:ilvl="7" w:tplc="F5DA4234">
      <w:start w:val="1"/>
      <w:numFmt w:val="lowerLetter"/>
      <w:lvlText w:val="%8."/>
      <w:lvlJc w:val="left"/>
      <w:pPr>
        <w:ind w:left="5400" w:hanging="360"/>
      </w:pPr>
    </w:lvl>
    <w:lvl w:ilvl="8" w:tplc="3EB646FE">
      <w:start w:val="1"/>
      <w:numFmt w:val="lowerRoman"/>
      <w:lvlText w:val="%9."/>
      <w:lvlJc w:val="right"/>
      <w:pPr>
        <w:ind w:left="6120" w:hanging="180"/>
      </w:pPr>
    </w:lvl>
  </w:abstractNum>
  <w:abstractNum w:abstractNumId="58" w15:restartNumberingAfterBreak="0">
    <w:nsid w:val="7FAF326A"/>
    <w:multiLevelType w:val="hybridMultilevel"/>
    <w:tmpl w:val="9F8409EA"/>
    <w:lvl w:ilvl="0" w:tplc="9FC0F1C2">
      <w:start w:val="1"/>
      <w:numFmt w:val="upperLetter"/>
      <w:lvlText w:val="%1."/>
      <w:lvlJc w:val="left"/>
      <w:pPr>
        <w:ind w:left="720" w:hanging="360"/>
      </w:pPr>
    </w:lvl>
    <w:lvl w:ilvl="1" w:tplc="4DAA04FE">
      <w:start w:val="1"/>
      <w:numFmt w:val="lowerLetter"/>
      <w:lvlText w:val="%2."/>
      <w:lvlJc w:val="left"/>
      <w:pPr>
        <w:ind w:left="1440" w:hanging="360"/>
      </w:pPr>
    </w:lvl>
    <w:lvl w:ilvl="2" w:tplc="CED2D058">
      <w:start w:val="1"/>
      <w:numFmt w:val="lowerRoman"/>
      <w:lvlText w:val="%3."/>
      <w:lvlJc w:val="right"/>
      <w:pPr>
        <w:ind w:left="2160" w:hanging="180"/>
      </w:pPr>
    </w:lvl>
    <w:lvl w:ilvl="3" w:tplc="4A6A41DE">
      <w:start w:val="1"/>
      <w:numFmt w:val="decimal"/>
      <w:lvlText w:val="%4."/>
      <w:lvlJc w:val="left"/>
      <w:pPr>
        <w:ind w:left="2880" w:hanging="360"/>
      </w:pPr>
    </w:lvl>
    <w:lvl w:ilvl="4" w:tplc="4AB8E764">
      <w:start w:val="1"/>
      <w:numFmt w:val="lowerLetter"/>
      <w:lvlText w:val="%5."/>
      <w:lvlJc w:val="left"/>
      <w:pPr>
        <w:ind w:left="3600" w:hanging="360"/>
      </w:pPr>
    </w:lvl>
    <w:lvl w:ilvl="5" w:tplc="728E11AA">
      <w:start w:val="1"/>
      <w:numFmt w:val="lowerRoman"/>
      <w:lvlText w:val="%6."/>
      <w:lvlJc w:val="right"/>
      <w:pPr>
        <w:ind w:left="4320" w:hanging="180"/>
      </w:pPr>
    </w:lvl>
    <w:lvl w:ilvl="6" w:tplc="EE08282C">
      <w:start w:val="1"/>
      <w:numFmt w:val="decimal"/>
      <w:lvlText w:val="%7."/>
      <w:lvlJc w:val="left"/>
      <w:pPr>
        <w:ind w:left="5040" w:hanging="360"/>
      </w:pPr>
    </w:lvl>
    <w:lvl w:ilvl="7" w:tplc="71428B3E">
      <w:start w:val="1"/>
      <w:numFmt w:val="lowerLetter"/>
      <w:lvlText w:val="%8."/>
      <w:lvlJc w:val="left"/>
      <w:pPr>
        <w:ind w:left="5760" w:hanging="360"/>
      </w:pPr>
    </w:lvl>
    <w:lvl w:ilvl="8" w:tplc="53D81084">
      <w:start w:val="1"/>
      <w:numFmt w:val="lowerRoman"/>
      <w:lvlText w:val="%9."/>
      <w:lvlJc w:val="right"/>
      <w:pPr>
        <w:ind w:left="6480" w:hanging="180"/>
      </w:pPr>
    </w:lvl>
  </w:abstractNum>
  <w:abstractNum w:abstractNumId="59" w15:restartNumberingAfterBreak="0">
    <w:nsid w:val="7FC458B4"/>
    <w:multiLevelType w:val="hybridMultilevel"/>
    <w:tmpl w:val="5C4651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9"/>
  </w:num>
  <w:num w:numId="3">
    <w:abstractNumId w:val="41"/>
  </w:num>
  <w:num w:numId="4">
    <w:abstractNumId w:val="33"/>
  </w:num>
  <w:num w:numId="5">
    <w:abstractNumId w:val="1"/>
  </w:num>
  <w:num w:numId="6">
    <w:abstractNumId w:val="56"/>
  </w:num>
  <w:num w:numId="7">
    <w:abstractNumId w:val="15"/>
  </w:num>
  <w:num w:numId="8">
    <w:abstractNumId w:val="48"/>
  </w:num>
  <w:num w:numId="9">
    <w:abstractNumId w:val="47"/>
  </w:num>
  <w:num w:numId="10">
    <w:abstractNumId w:val="59"/>
  </w:num>
  <w:num w:numId="11">
    <w:abstractNumId w:val="44"/>
  </w:num>
  <w:num w:numId="12">
    <w:abstractNumId w:val="54"/>
  </w:num>
  <w:num w:numId="13">
    <w:abstractNumId w:val="18"/>
  </w:num>
  <w:num w:numId="14">
    <w:abstractNumId w:val="11"/>
  </w:num>
  <w:num w:numId="15">
    <w:abstractNumId w:val="58"/>
  </w:num>
  <w:num w:numId="16">
    <w:abstractNumId w:val="6"/>
  </w:num>
  <w:num w:numId="17">
    <w:abstractNumId w:val="55"/>
  </w:num>
  <w:num w:numId="18">
    <w:abstractNumId w:val="40"/>
  </w:num>
  <w:num w:numId="19">
    <w:abstractNumId w:val="34"/>
  </w:num>
  <w:num w:numId="20">
    <w:abstractNumId w:val="8"/>
  </w:num>
  <w:num w:numId="21">
    <w:abstractNumId w:val="45"/>
  </w:num>
  <w:num w:numId="22">
    <w:abstractNumId w:val="7"/>
  </w:num>
  <w:num w:numId="23">
    <w:abstractNumId w:val="25"/>
  </w:num>
  <w:num w:numId="24">
    <w:abstractNumId w:val="46"/>
  </w:num>
  <w:num w:numId="25">
    <w:abstractNumId w:val="19"/>
  </w:num>
  <w:num w:numId="26">
    <w:abstractNumId w:val="36"/>
  </w:num>
  <w:num w:numId="27">
    <w:abstractNumId w:val="39"/>
  </w:num>
  <w:num w:numId="28">
    <w:abstractNumId w:val="5"/>
  </w:num>
  <w:num w:numId="29">
    <w:abstractNumId w:val="21"/>
  </w:num>
  <w:num w:numId="30">
    <w:abstractNumId w:val="43"/>
  </w:num>
  <w:num w:numId="31">
    <w:abstractNumId w:val="50"/>
  </w:num>
  <w:num w:numId="32">
    <w:abstractNumId w:val="51"/>
  </w:num>
  <w:num w:numId="33">
    <w:abstractNumId w:val="27"/>
  </w:num>
  <w:num w:numId="34">
    <w:abstractNumId w:val="49"/>
  </w:num>
  <w:num w:numId="35">
    <w:abstractNumId w:val="42"/>
  </w:num>
  <w:num w:numId="36">
    <w:abstractNumId w:val="10"/>
  </w:num>
  <w:num w:numId="37">
    <w:abstractNumId w:val="12"/>
  </w:num>
  <w:num w:numId="38">
    <w:abstractNumId w:val="3"/>
  </w:num>
  <w:num w:numId="39">
    <w:abstractNumId w:val="16"/>
  </w:num>
  <w:num w:numId="40">
    <w:abstractNumId w:val="37"/>
  </w:num>
  <w:num w:numId="41">
    <w:abstractNumId w:val="13"/>
  </w:num>
  <w:num w:numId="42">
    <w:abstractNumId w:val="30"/>
  </w:num>
  <w:num w:numId="43">
    <w:abstractNumId w:val="32"/>
  </w:num>
  <w:num w:numId="44">
    <w:abstractNumId w:val="38"/>
  </w:num>
  <w:num w:numId="45">
    <w:abstractNumId w:val="52"/>
  </w:num>
  <w:num w:numId="46">
    <w:abstractNumId w:val="4"/>
  </w:num>
  <w:num w:numId="47">
    <w:abstractNumId w:val="9"/>
  </w:num>
  <w:num w:numId="48">
    <w:abstractNumId w:val="53"/>
  </w:num>
  <w:num w:numId="49">
    <w:abstractNumId w:val="57"/>
  </w:num>
  <w:num w:numId="50">
    <w:abstractNumId w:val="2"/>
  </w:num>
  <w:num w:numId="51">
    <w:abstractNumId w:val="31"/>
  </w:num>
  <w:num w:numId="52">
    <w:abstractNumId w:val="28"/>
  </w:num>
  <w:num w:numId="53">
    <w:abstractNumId w:val="24"/>
  </w:num>
  <w:num w:numId="54">
    <w:abstractNumId w:val="17"/>
  </w:num>
  <w:num w:numId="55">
    <w:abstractNumId w:val="23"/>
  </w:num>
  <w:num w:numId="56">
    <w:abstractNumId w:val="20"/>
  </w:num>
  <w:num w:numId="57">
    <w:abstractNumId w:val="22"/>
  </w:num>
  <w:num w:numId="58">
    <w:abstractNumId w:val="35"/>
  </w:num>
  <w:num w:numId="59">
    <w:abstractNumId w:val="26"/>
  </w:num>
  <w:num w:numId="60">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0A53"/>
    <w:rsid w:val="000040D5"/>
    <w:rsid w:val="00005D44"/>
    <w:rsid w:val="0000722B"/>
    <w:rsid w:val="00007DDD"/>
    <w:rsid w:val="000113EF"/>
    <w:rsid w:val="000176B7"/>
    <w:rsid w:val="0001E687"/>
    <w:rsid w:val="00020003"/>
    <w:rsid w:val="000204B2"/>
    <w:rsid w:val="00021B68"/>
    <w:rsid w:val="00022B66"/>
    <w:rsid w:val="00022EA1"/>
    <w:rsid w:val="00023F7D"/>
    <w:rsid w:val="00024915"/>
    <w:rsid w:val="00024C5B"/>
    <w:rsid w:val="00024FA9"/>
    <w:rsid w:val="000252E1"/>
    <w:rsid w:val="00026D2F"/>
    <w:rsid w:val="00027441"/>
    <w:rsid w:val="000323DC"/>
    <w:rsid w:val="000324AD"/>
    <w:rsid w:val="0003281F"/>
    <w:rsid w:val="00035283"/>
    <w:rsid w:val="00037BBF"/>
    <w:rsid w:val="00040D21"/>
    <w:rsid w:val="0004206E"/>
    <w:rsid w:val="00043415"/>
    <w:rsid w:val="000461D5"/>
    <w:rsid w:val="00051FB2"/>
    <w:rsid w:val="00053BFF"/>
    <w:rsid w:val="00054CDD"/>
    <w:rsid w:val="00055ABF"/>
    <w:rsid w:val="00064250"/>
    <w:rsid w:val="00066E19"/>
    <w:rsid w:val="00066FD6"/>
    <w:rsid w:val="00067A00"/>
    <w:rsid w:val="0008042E"/>
    <w:rsid w:val="000824D5"/>
    <w:rsid w:val="0008476C"/>
    <w:rsid w:val="00084BDB"/>
    <w:rsid w:val="00090DB3"/>
    <w:rsid w:val="00092925"/>
    <w:rsid w:val="000967F8"/>
    <w:rsid w:val="000A0F56"/>
    <w:rsid w:val="000A3259"/>
    <w:rsid w:val="000A3B81"/>
    <w:rsid w:val="000A3E44"/>
    <w:rsid w:val="000B1A46"/>
    <w:rsid w:val="000B312A"/>
    <w:rsid w:val="000B340F"/>
    <w:rsid w:val="000B61DC"/>
    <w:rsid w:val="000B7537"/>
    <w:rsid w:val="000B75EA"/>
    <w:rsid w:val="000C0954"/>
    <w:rsid w:val="000C0A92"/>
    <w:rsid w:val="000C13EB"/>
    <w:rsid w:val="000C181A"/>
    <w:rsid w:val="000C1A2F"/>
    <w:rsid w:val="000C1E2F"/>
    <w:rsid w:val="000C2FC9"/>
    <w:rsid w:val="000C5724"/>
    <w:rsid w:val="000C5A38"/>
    <w:rsid w:val="000C5D42"/>
    <w:rsid w:val="000C6667"/>
    <w:rsid w:val="000C7B0B"/>
    <w:rsid w:val="000D0326"/>
    <w:rsid w:val="000D4B0E"/>
    <w:rsid w:val="000D55DD"/>
    <w:rsid w:val="000D63D8"/>
    <w:rsid w:val="000E0347"/>
    <w:rsid w:val="000E09DC"/>
    <w:rsid w:val="000E2F20"/>
    <w:rsid w:val="000E52B3"/>
    <w:rsid w:val="000E61A5"/>
    <w:rsid w:val="000F2854"/>
    <w:rsid w:val="0010006C"/>
    <w:rsid w:val="00103BC6"/>
    <w:rsid w:val="001048F3"/>
    <w:rsid w:val="0010579D"/>
    <w:rsid w:val="001071FB"/>
    <w:rsid w:val="00110616"/>
    <w:rsid w:val="00111839"/>
    <w:rsid w:val="00112574"/>
    <w:rsid w:val="00112B3B"/>
    <w:rsid w:val="00112EC7"/>
    <w:rsid w:val="00113334"/>
    <w:rsid w:val="0011513C"/>
    <w:rsid w:val="00122FFC"/>
    <w:rsid w:val="00123353"/>
    <w:rsid w:val="001246C2"/>
    <w:rsid w:val="00130059"/>
    <w:rsid w:val="00130761"/>
    <w:rsid w:val="0013410A"/>
    <w:rsid w:val="00135344"/>
    <w:rsid w:val="0013679B"/>
    <w:rsid w:val="00141911"/>
    <w:rsid w:val="00147565"/>
    <w:rsid w:val="00150EB1"/>
    <w:rsid w:val="0015160E"/>
    <w:rsid w:val="0015166E"/>
    <w:rsid w:val="001524A0"/>
    <w:rsid w:val="00152D6A"/>
    <w:rsid w:val="00153BAE"/>
    <w:rsid w:val="001573C3"/>
    <w:rsid w:val="00157BD5"/>
    <w:rsid w:val="001630E3"/>
    <w:rsid w:val="0016443C"/>
    <w:rsid w:val="00165547"/>
    <w:rsid w:val="00165AC1"/>
    <w:rsid w:val="00166FD4"/>
    <w:rsid w:val="0017160B"/>
    <w:rsid w:val="00174553"/>
    <w:rsid w:val="00180720"/>
    <w:rsid w:val="0018126E"/>
    <w:rsid w:val="0018148D"/>
    <w:rsid w:val="001815D2"/>
    <w:rsid w:val="00185697"/>
    <w:rsid w:val="00190626"/>
    <w:rsid w:val="00191C9E"/>
    <w:rsid w:val="001943E4"/>
    <w:rsid w:val="001A0CA5"/>
    <w:rsid w:val="001A166E"/>
    <w:rsid w:val="001A53C7"/>
    <w:rsid w:val="001A653A"/>
    <w:rsid w:val="001A6721"/>
    <w:rsid w:val="001B0B48"/>
    <w:rsid w:val="001B207B"/>
    <w:rsid w:val="001B2307"/>
    <w:rsid w:val="001B35AE"/>
    <w:rsid w:val="001B36E3"/>
    <w:rsid w:val="001B3958"/>
    <w:rsid w:val="001B6329"/>
    <w:rsid w:val="001B7130"/>
    <w:rsid w:val="001B7F0B"/>
    <w:rsid w:val="001C0B31"/>
    <w:rsid w:val="001C2167"/>
    <w:rsid w:val="001C2F02"/>
    <w:rsid w:val="001C3CFE"/>
    <w:rsid w:val="001C4214"/>
    <w:rsid w:val="001C478A"/>
    <w:rsid w:val="001D10B0"/>
    <w:rsid w:val="001D2D69"/>
    <w:rsid w:val="001D4435"/>
    <w:rsid w:val="001E0EE7"/>
    <w:rsid w:val="001E13EC"/>
    <w:rsid w:val="001E1929"/>
    <w:rsid w:val="001E2EEE"/>
    <w:rsid w:val="001E3BF3"/>
    <w:rsid w:val="001E468C"/>
    <w:rsid w:val="001E46D4"/>
    <w:rsid w:val="001E57A4"/>
    <w:rsid w:val="001E5815"/>
    <w:rsid w:val="001E7450"/>
    <w:rsid w:val="001F1244"/>
    <w:rsid w:val="001F20C4"/>
    <w:rsid w:val="001F312C"/>
    <w:rsid w:val="001F364F"/>
    <w:rsid w:val="001F3991"/>
    <w:rsid w:val="001F442D"/>
    <w:rsid w:val="001F6D74"/>
    <w:rsid w:val="001F7ABF"/>
    <w:rsid w:val="001F7D91"/>
    <w:rsid w:val="00201506"/>
    <w:rsid w:val="00203B51"/>
    <w:rsid w:val="002044BB"/>
    <w:rsid w:val="00210C92"/>
    <w:rsid w:val="002127D6"/>
    <w:rsid w:val="0021282B"/>
    <w:rsid w:val="0021379C"/>
    <w:rsid w:val="00217830"/>
    <w:rsid w:val="00219D17"/>
    <w:rsid w:val="0022207A"/>
    <w:rsid w:val="00223112"/>
    <w:rsid w:val="00224DBF"/>
    <w:rsid w:val="00224F19"/>
    <w:rsid w:val="00225300"/>
    <w:rsid w:val="00225317"/>
    <w:rsid w:val="002259AD"/>
    <w:rsid w:val="0022792F"/>
    <w:rsid w:val="0023336C"/>
    <w:rsid w:val="00234323"/>
    <w:rsid w:val="00240B26"/>
    <w:rsid w:val="0024104E"/>
    <w:rsid w:val="00243D13"/>
    <w:rsid w:val="00245BD1"/>
    <w:rsid w:val="002460C1"/>
    <w:rsid w:val="00246F7E"/>
    <w:rsid w:val="00247AE6"/>
    <w:rsid w:val="00247C87"/>
    <w:rsid w:val="00251121"/>
    <w:rsid w:val="00251E6D"/>
    <w:rsid w:val="0025228C"/>
    <w:rsid w:val="002556A3"/>
    <w:rsid w:val="00255B77"/>
    <w:rsid w:val="002565ED"/>
    <w:rsid w:val="002578FC"/>
    <w:rsid w:val="0026142E"/>
    <w:rsid w:val="0026294C"/>
    <w:rsid w:val="00262C01"/>
    <w:rsid w:val="0026412F"/>
    <w:rsid w:val="002671E9"/>
    <w:rsid w:val="00267D4D"/>
    <w:rsid w:val="00267EA9"/>
    <w:rsid w:val="002705B3"/>
    <w:rsid w:val="00273596"/>
    <w:rsid w:val="00273905"/>
    <w:rsid w:val="0027493F"/>
    <w:rsid w:val="002771F5"/>
    <w:rsid w:val="00280B40"/>
    <w:rsid w:val="0028291D"/>
    <w:rsid w:val="00282939"/>
    <w:rsid w:val="00284269"/>
    <w:rsid w:val="00286A2A"/>
    <w:rsid w:val="002932D9"/>
    <w:rsid w:val="00296470"/>
    <w:rsid w:val="002A079C"/>
    <w:rsid w:val="002A3D14"/>
    <w:rsid w:val="002A4D4F"/>
    <w:rsid w:val="002A5C5D"/>
    <w:rsid w:val="002A725E"/>
    <w:rsid w:val="002B02F4"/>
    <w:rsid w:val="002B1CF1"/>
    <w:rsid w:val="002B4B14"/>
    <w:rsid w:val="002C0804"/>
    <w:rsid w:val="002C0ACB"/>
    <w:rsid w:val="002C4C6C"/>
    <w:rsid w:val="002D1718"/>
    <w:rsid w:val="002D1A82"/>
    <w:rsid w:val="002D2687"/>
    <w:rsid w:val="002D38CC"/>
    <w:rsid w:val="002D500C"/>
    <w:rsid w:val="002D6CFE"/>
    <w:rsid w:val="002D71D0"/>
    <w:rsid w:val="002E0A74"/>
    <w:rsid w:val="002E0D6D"/>
    <w:rsid w:val="002E0FB4"/>
    <w:rsid w:val="002E41F3"/>
    <w:rsid w:val="002E4CB5"/>
    <w:rsid w:val="002E6FCA"/>
    <w:rsid w:val="002F0C26"/>
    <w:rsid w:val="002F0FF9"/>
    <w:rsid w:val="002F25A1"/>
    <w:rsid w:val="002F279B"/>
    <w:rsid w:val="002F2F30"/>
    <w:rsid w:val="002F6BCC"/>
    <w:rsid w:val="002F7D82"/>
    <w:rsid w:val="003003C6"/>
    <w:rsid w:val="0030124F"/>
    <w:rsid w:val="00301EF2"/>
    <w:rsid w:val="0030361D"/>
    <w:rsid w:val="00305756"/>
    <w:rsid w:val="003057CB"/>
    <w:rsid w:val="0030600F"/>
    <w:rsid w:val="003060DF"/>
    <w:rsid w:val="003070F3"/>
    <w:rsid w:val="00307AE2"/>
    <w:rsid w:val="0031369B"/>
    <w:rsid w:val="00313CFE"/>
    <w:rsid w:val="00315131"/>
    <w:rsid w:val="003165FD"/>
    <w:rsid w:val="003211B5"/>
    <w:rsid w:val="0032339B"/>
    <w:rsid w:val="00323FCA"/>
    <w:rsid w:val="00324ADC"/>
    <w:rsid w:val="00324FA4"/>
    <w:rsid w:val="0032738F"/>
    <w:rsid w:val="00327C8A"/>
    <w:rsid w:val="0033369A"/>
    <w:rsid w:val="003336D3"/>
    <w:rsid w:val="00336015"/>
    <w:rsid w:val="003360E1"/>
    <w:rsid w:val="0034697B"/>
    <w:rsid w:val="00351173"/>
    <w:rsid w:val="00351CC3"/>
    <w:rsid w:val="00354671"/>
    <w:rsid w:val="00356B0A"/>
    <w:rsid w:val="003574D8"/>
    <w:rsid w:val="00357F14"/>
    <w:rsid w:val="00360DBA"/>
    <w:rsid w:val="003629FD"/>
    <w:rsid w:val="00363093"/>
    <w:rsid w:val="00363344"/>
    <w:rsid w:val="00363520"/>
    <w:rsid w:val="00364C0F"/>
    <w:rsid w:val="00365655"/>
    <w:rsid w:val="003705FC"/>
    <w:rsid w:val="00376561"/>
    <w:rsid w:val="00376E3F"/>
    <w:rsid w:val="00377DAE"/>
    <w:rsid w:val="003816C2"/>
    <w:rsid w:val="0038387C"/>
    <w:rsid w:val="00384ACF"/>
    <w:rsid w:val="00394CF5"/>
    <w:rsid w:val="00394FF6"/>
    <w:rsid w:val="003950C0"/>
    <w:rsid w:val="00397ADF"/>
    <w:rsid w:val="003A0259"/>
    <w:rsid w:val="003A234F"/>
    <w:rsid w:val="003A4ECF"/>
    <w:rsid w:val="003A7E98"/>
    <w:rsid w:val="003B153B"/>
    <w:rsid w:val="003B18BF"/>
    <w:rsid w:val="003B427B"/>
    <w:rsid w:val="003B49DD"/>
    <w:rsid w:val="003B6A2A"/>
    <w:rsid w:val="003C1C15"/>
    <w:rsid w:val="003C1CD4"/>
    <w:rsid w:val="003C1EC9"/>
    <w:rsid w:val="003C272F"/>
    <w:rsid w:val="003C3174"/>
    <w:rsid w:val="003C3A25"/>
    <w:rsid w:val="003C3E81"/>
    <w:rsid w:val="003C5669"/>
    <w:rsid w:val="003C661E"/>
    <w:rsid w:val="003C6AF1"/>
    <w:rsid w:val="003D00C5"/>
    <w:rsid w:val="003D147D"/>
    <w:rsid w:val="003D1ECD"/>
    <w:rsid w:val="003D3196"/>
    <w:rsid w:val="003D463A"/>
    <w:rsid w:val="003D47BF"/>
    <w:rsid w:val="003E1E8D"/>
    <w:rsid w:val="003E3171"/>
    <w:rsid w:val="003E3E98"/>
    <w:rsid w:val="003E4DF7"/>
    <w:rsid w:val="003E7AF9"/>
    <w:rsid w:val="003F04AD"/>
    <w:rsid w:val="003F2C56"/>
    <w:rsid w:val="003F41AF"/>
    <w:rsid w:val="003F59C2"/>
    <w:rsid w:val="003F5F83"/>
    <w:rsid w:val="003F619F"/>
    <w:rsid w:val="003F7BC0"/>
    <w:rsid w:val="00401816"/>
    <w:rsid w:val="00401F86"/>
    <w:rsid w:val="00403B30"/>
    <w:rsid w:val="00406F50"/>
    <w:rsid w:val="00407E9B"/>
    <w:rsid w:val="0041009C"/>
    <w:rsid w:val="00410B62"/>
    <w:rsid w:val="00410EBB"/>
    <w:rsid w:val="00412B87"/>
    <w:rsid w:val="00414B6D"/>
    <w:rsid w:val="004155F1"/>
    <w:rsid w:val="004156BA"/>
    <w:rsid w:val="00415879"/>
    <w:rsid w:val="004203BC"/>
    <w:rsid w:val="00421C03"/>
    <w:rsid w:val="00422F34"/>
    <w:rsid w:val="004258A8"/>
    <w:rsid w:val="00427A1B"/>
    <w:rsid w:val="00427E02"/>
    <w:rsid w:val="004305F2"/>
    <w:rsid w:val="004315A6"/>
    <w:rsid w:val="0043282E"/>
    <w:rsid w:val="0043435D"/>
    <w:rsid w:val="00435829"/>
    <w:rsid w:val="00437A06"/>
    <w:rsid w:val="00437AE9"/>
    <w:rsid w:val="004405DE"/>
    <w:rsid w:val="004423E1"/>
    <w:rsid w:val="00443D5E"/>
    <w:rsid w:val="0044670C"/>
    <w:rsid w:val="00446C84"/>
    <w:rsid w:val="0044749C"/>
    <w:rsid w:val="00450129"/>
    <w:rsid w:val="0045021F"/>
    <w:rsid w:val="004530DF"/>
    <w:rsid w:val="004540D2"/>
    <w:rsid w:val="0045666A"/>
    <w:rsid w:val="00456CDF"/>
    <w:rsid w:val="00457087"/>
    <w:rsid w:val="0045732B"/>
    <w:rsid w:val="00457FB6"/>
    <w:rsid w:val="004605B6"/>
    <w:rsid w:val="00460C74"/>
    <w:rsid w:val="00461CDA"/>
    <w:rsid w:val="00463EC7"/>
    <w:rsid w:val="00465E74"/>
    <w:rsid w:val="0047016F"/>
    <w:rsid w:val="0047053F"/>
    <w:rsid w:val="0047534A"/>
    <w:rsid w:val="0047656B"/>
    <w:rsid w:val="00476D85"/>
    <w:rsid w:val="004803F3"/>
    <w:rsid w:val="00480C42"/>
    <w:rsid w:val="00482217"/>
    <w:rsid w:val="00483CAC"/>
    <w:rsid w:val="00484B05"/>
    <w:rsid w:val="0048501E"/>
    <w:rsid w:val="00485151"/>
    <w:rsid w:val="0048735C"/>
    <w:rsid w:val="00487596"/>
    <w:rsid w:val="004908C6"/>
    <w:rsid w:val="00491985"/>
    <w:rsid w:val="004934AA"/>
    <w:rsid w:val="004953BC"/>
    <w:rsid w:val="004A2DFE"/>
    <w:rsid w:val="004A31BD"/>
    <w:rsid w:val="004A38F5"/>
    <w:rsid w:val="004A4361"/>
    <w:rsid w:val="004A4DEB"/>
    <w:rsid w:val="004A4E4A"/>
    <w:rsid w:val="004A6BD5"/>
    <w:rsid w:val="004A7368"/>
    <w:rsid w:val="004B235E"/>
    <w:rsid w:val="004B385A"/>
    <w:rsid w:val="004B40A2"/>
    <w:rsid w:val="004B475A"/>
    <w:rsid w:val="004B5265"/>
    <w:rsid w:val="004B7C5B"/>
    <w:rsid w:val="004C0608"/>
    <w:rsid w:val="004C542F"/>
    <w:rsid w:val="004C59C6"/>
    <w:rsid w:val="004C69D5"/>
    <w:rsid w:val="004D047F"/>
    <w:rsid w:val="004D31A5"/>
    <w:rsid w:val="004E029B"/>
    <w:rsid w:val="004E0D0D"/>
    <w:rsid w:val="004E0F74"/>
    <w:rsid w:val="004E3442"/>
    <w:rsid w:val="004E3B79"/>
    <w:rsid w:val="004E606F"/>
    <w:rsid w:val="004E65E6"/>
    <w:rsid w:val="004F0120"/>
    <w:rsid w:val="004F343D"/>
    <w:rsid w:val="004F44E4"/>
    <w:rsid w:val="004F68CC"/>
    <w:rsid w:val="004F6F8D"/>
    <w:rsid w:val="00503406"/>
    <w:rsid w:val="00503984"/>
    <w:rsid w:val="00506DF8"/>
    <w:rsid w:val="00512F7E"/>
    <w:rsid w:val="00513F1C"/>
    <w:rsid w:val="00515C42"/>
    <w:rsid w:val="00516291"/>
    <w:rsid w:val="00517C00"/>
    <w:rsid w:val="00517FB9"/>
    <w:rsid w:val="0052095D"/>
    <w:rsid w:val="00521DB8"/>
    <w:rsid w:val="005220AA"/>
    <w:rsid w:val="00523B9A"/>
    <w:rsid w:val="00527B0E"/>
    <w:rsid w:val="00534ED1"/>
    <w:rsid w:val="00542AB0"/>
    <w:rsid w:val="00542F64"/>
    <w:rsid w:val="00543F1C"/>
    <w:rsid w:val="00544275"/>
    <w:rsid w:val="00544391"/>
    <w:rsid w:val="005536C6"/>
    <w:rsid w:val="00554622"/>
    <w:rsid w:val="005558C3"/>
    <w:rsid w:val="00555EB6"/>
    <w:rsid w:val="00555FAF"/>
    <w:rsid w:val="00557328"/>
    <w:rsid w:val="00557943"/>
    <w:rsid w:val="005579F4"/>
    <w:rsid w:val="005609E7"/>
    <w:rsid w:val="0056134F"/>
    <w:rsid w:val="00561753"/>
    <w:rsid w:val="00561984"/>
    <w:rsid w:val="00561D29"/>
    <w:rsid w:val="00561F19"/>
    <w:rsid w:val="00564789"/>
    <w:rsid w:val="00565AE2"/>
    <w:rsid w:val="0056661F"/>
    <w:rsid w:val="00572D26"/>
    <w:rsid w:val="00574EBA"/>
    <w:rsid w:val="005808D9"/>
    <w:rsid w:val="0058112B"/>
    <w:rsid w:val="005816B2"/>
    <w:rsid w:val="00584739"/>
    <w:rsid w:val="00584AB1"/>
    <w:rsid w:val="00586C55"/>
    <w:rsid w:val="00587D9A"/>
    <w:rsid w:val="005914D9"/>
    <w:rsid w:val="005916C6"/>
    <w:rsid w:val="00592B7C"/>
    <w:rsid w:val="005932EE"/>
    <w:rsid w:val="00595EF6"/>
    <w:rsid w:val="00596059"/>
    <w:rsid w:val="00596A12"/>
    <w:rsid w:val="00597923"/>
    <w:rsid w:val="005A293A"/>
    <w:rsid w:val="005A3B08"/>
    <w:rsid w:val="005B0224"/>
    <w:rsid w:val="005B046F"/>
    <w:rsid w:val="005B19AE"/>
    <w:rsid w:val="005B20D6"/>
    <w:rsid w:val="005B28D5"/>
    <w:rsid w:val="005C13C7"/>
    <w:rsid w:val="005C2189"/>
    <w:rsid w:val="005C2260"/>
    <w:rsid w:val="005C259B"/>
    <w:rsid w:val="005C2602"/>
    <w:rsid w:val="005C2ADB"/>
    <w:rsid w:val="005C4D56"/>
    <w:rsid w:val="005C5030"/>
    <w:rsid w:val="005D066F"/>
    <w:rsid w:val="005D0BC9"/>
    <w:rsid w:val="005D2414"/>
    <w:rsid w:val="005D534F"/>
    <w:rsid w:val="005E18F7"/>
    <w:rsid w:val="005E1F35"/>
    <w:rsid w:val="005E31C1"/>
    <w:rsid w:val="005E442C"/>
    <w:rsid w:val="005E7A5C"/>
    <w:rsid w:val="005E7F61"/>
    <w:rsid w:val="005F02E5"/>
    <w:rsid w:val="005F5E4F"/>
    <w:rsid w:val="005F787F"/>
    <w:rsid w:val="00600E86"/>
    <w:rsid w:val="00602447"/>
    <w:rsid w:val="00602C1D"/>
    <w:rsid w:val="006075C7"/>
    <w:rsid w:val="006079B4"/>
    <w:rsid w:val="006079F1"/>
    <w:rsid w:val="006103A0"/>
    <w:rsid w:val="006107C3"/>
    <w:rsid w:val="00610825"/>
    <w:rsid w:val="00610E0E"/>
    <w:rsid w:val="006111E6"/>
    <w:rsid w:val="006160CB"/>
    <w:rsid w:val="00616E13"/>
    <w:rsid w:val="006209C3"/>
    <w:rsid w:val="0062209B"/>
    <w:rsid w:val="006268B2"/>
    <w:rsid w:val="0062783F"/>
    <w:rsid w:val="006332F1"/>
    <w:rsid w:val="006336C4"/>
    <w:rsid w:val="00636F5D"/>
    <w:rsid w:val="00639853"/>
    <w:rsid w:val="006400EB"/>
    <w:rsid w:val="00640D5C"/>
    <w:rsid w:val="00643C56"/>
    <w:rsid w:val="00644FD8"/>
    <w:rsid w:val="00646F1A"/>
    <w:rsid w:val="006508EC"/>
    <w:rsid w:val="00652F28"/>
    <w:rsid w:val="00654C39"/>
    <w:rsid w:val="006554E7"/>
    <w:rsid w:val="0065791B"/>
    <w:rsid w:val="006646BC"/>
    <w:rsid w:val="00665D49"/>
    <w:rsid w:val="0067065F"/>
    <w:rsid w:val="006728A3"/>
    <w:rsid w:val="0067589C"/>
    <w:rsid w:val="0068027D"/>
    <w:rsid w:val="00685A28"/>
    <w:rsid w:val="00686004"/>
    <w:rsid w:val="006907A0"/>
    <w:rsid w:val="00691A12"/>
    <w:rsid w:val="00691A1C"/>
    <w:rsid w:val="00692084"/>
    <w:rsid w:val="00692126"/>
    <w:rsid w:val="00692300"/>
    <w:rsid w:val="00692C1C"/>
    <w:rsid w:val="00692C87"/>
    <w:rsid w:val="00693951"/>
    <w:rsid w:val="00697EA0"/>
    <w:rsid w:val="006A49A8"/>
    <w:rsid w:val="006A5B65"/>
    <w:rsid w:val="006A704B"/>
    <w:rsid w:val="006A71C9"/>
    <w:rsid w:val="006B02FC"/>
    <w:rsid w:val="006B099E"/>
    <w:rsid w:val="006B0DB0"/>
    <w:rsid w:val="006B1253"/>
    <w:rsid w:val="006B2111"/>
    <w:rsid w:val="006B3CF2"/>
    <w:rsid w:val="006B400C"/>
    <w:rsid w:val="006B42BB"/>
    <w:rsid w:val="006B4CA1"/>
    <w:rsid w:val="006B6494"/>
    <w:rsid w:val="006C1120"/>
    <w:rsid w:val="006C129A"/>
    <w:rsid w:val="006C1D77"/>
    <w:rsid w:val="006C1EB6"/>
    <w:rsid w:val="006C2AEF"/>
    <w:rsid w:val="006C2EE5"/>
    <w:rsid w:val="006D0223"/>
    <w:rsid w:val="006D05CD"/>
    <w:rsid w:val="006D1C48"/>
    <w:rsid w:val="006D4A54"/>
    <w:rsid w:val="006D5B19"/>
    <w:rsid w:val="006D6B4D"/>
    <w:rsid w:val="006E06C6"/>
    <w:rsid w:val="006E0F5F"/>
    <w:rsid w:val="006E1642"/>
    <w:rsid w:val="006E4C98"/>
    <w:rsid w:val="006E696F"/>
    <w:rsid w:val="006F0013"/>
    <w:rsid w:val="006F0CAC"/>
    <w:rsid w:val="006F0F64"/>
    <w:rsid w:val="006F4F4B"/>
    <w:rsid w:val="006F589B"/>
    <w:rsid w:val="006F6A0C"/>
    <w:rsid w:val="00705371"/>
    <w:rsid w:val="00707E17"/>
    <w:rsid w:val="00710B47"/>
    <w:rsid w:val="0071158D"/>
    <w:rsid w:val="00712F82"/>
    <w:rsid w:val="00713403"/>
    <w:rsid w:val="00713DA9"/>
    <w:rsid w:val="00714D9C"/>
    <w:rsid w:val="00717762"/>
    <w:rsid w:val="0072176B"/>
    <w:rsid w:val="0072696C"/>
    <w:rsid w:val="00726EDA"/>
    <w:rsid w:val="007270AD"/>
    <w:rsid w:val="007278ED"/>
    <w:rsid w:val="00730498"/>
    <w:rsid w:val="0073082F"/>
    <w:rsid w:val="007313A3"/>
    <w:rsid w:val="007343C9"/>
    <w:rsid w:val="00734433"/>
    <w:rsid w:val="0073516C"/>
    <w:rsid w:val="00740883"/>
    <w:rsid w:val="0074238D"/>
    <w:rsid w:val="007428B8"/>
    <w:rsid w:val="00742D04"/>
    <w:rsid w:val="00746164"/>
    <w:rsid w:val="007515F7"/>
    <w:rsid w:val="0075239B"/>
    <w:rsid w:val="00752CCC"/>
    <w:rsid w:val="00754C0B"/>
    <w:rsid w:val="00760F12"/>
    <w:rsid w:val="00761920"/>
    <w:rsid w:val="00761F02"/>
    <w:rsid w:val="00767CC7"/>
    <w:rsid w:val="00770C45"/>
    <w:rsid w:val="00772799"/>
    <w:rsid w:val="0077325B"/>
    <w:rsid w:val="007744DA"/>
    <w:rsid w:val="00775E7B"/>
    <w:rsid w:val="007768FE"/>
    <w:rsid w:val="007776A9"/>
    <w:rsid w:val="00780A4A"/>
    <w:rsid w:val="00780BB6"/>
    <w:rsid w:val="00781231"/>
    <w:rsid w:val="00781CD8"/>
    <w:rsid w:val="00783AAD"/>
    <w:rsid w:val="007869DA"/>
    <w:rsid w:val="00787DA0"/>
    <w:rsid w:val="007910E1"/>
    <w:rsid w:val="00791959"/>
    <w:rsid w:val="0079347C"/>
    <w:rsid w:val="0079352D"/>
    <w:rsid w:val="00793CF4"/>
    <w:rsid w:val="00797853"/>
    <w:rsid w:val="007A25F1"/>
    <w:rsid w:val="007A4AFC"/>
    <w:rsid w:val="007A53FF"/>
    <w:rsid w:val="007A5440"/>
    <w:rsid w:val="007A7CBD"/>
    <w:rsid w:val="007B16BF"/>
    <w:rsid w:val="007B27E1"/>
    <w:rsid w:val="007B3170"/>
    <w:rsid w:val="007B4266"/>
    <w:rsid w:val="007B6396"/>
    <w:rsid w:val="007C0323"/>
    <w:rsid w:val="007C0564"/>
    <w:rsid w:val="007C1042"/>
    <w:rsid w:val="007C31AB"/>
    <w:rsid w:val="007C4EA2"/>
    <w:rsid w:val="007C5697"/>
    <w:rsid w:val="007C5B61"/>
    <w:rsid w:val="007C6487"/>
    <w:rsid w:val="007C6C97"/>
    <w:rsid w:val="007C6F25"/>
    <w:rsid w:val="007C81AA"/>
    <w:rsid w:val="007D00B1"/>
    <w:rsid w:val="007D029A"/>
    <w:rsid w:val="007D6A8F"/>
    <w:rsid w:val="007E16E9"/>
    <w:rsid w:val="007E55FF"/>
    <w:rsid w:val="007E7417"/>
    <w:rsid w:val="007F0603"/>
    <w:rsid w:val="007F16E5"/>
    <w:rsid w:val="007F55A2"/>
    <w:rsid w:val="00801B4A"/>
    <w:rsid w:val="008020E3"/>
    <w:rsid w:val="00804D1F"/>
    <w:rsid w:val="0080526E"/>
    <w:rsid w:val="00807E2E"/>
    <w:rsid w:val="00811B33"/>
    <w:rsid w:val="008124FF"/>
    <w:rsid w:val="00815981"/>
    <w:rsid w:val="008171B6"/>
    <w:rsid w:val="008171F4"/>
    <w:rsid w:val="00817E76"/>
    <w:rsid w:val="00821D0D"/>
    <w:rsid w:val="00822272"/>
    <w:rsid w:val="00822793"/>
    <w:rsid w:val="00827AAB"/>
    <w:rsid w:val="00830317"/>
    <w:rsid w:val="00830DC8"/>
    <w:rsid w:val="00833934"/>
    <w:rsid w:val="00833FE3"/>
    <w:rsid w:val="00834A7F"/>
    <w:rsid w:val="00835A2B"/>
    <w:rsid w:val="008379B5"/>
    <w:rsid w:val="00840A01"/>
    <w:rsid w:val="0084134C"/>
    <w:rsid w:val="00841982"/>
    <w:rsid w:val="00846189"/>
    <w:rsid w:val="008503E5"/>
    <w:rsid w:val="00853A92"/>
    <w:rsid w:val="00854044"/>
    <w:rsid w:val="008549BD"/>
    <w:rsid w:val="00856C99"/>
    <w:rsid w:val="008570F3"/>
    <w:rsid w:val="00860ECF"/>
    <w:rsid w:val="00863504"/>
    <w:rsid w:val="008652E1"/>
    <w:rsid w:val="008668FB"/>
    <w:rsid w:val="008678C2"/>
    <w:rsid w:val="00867A23"/>
    <w:rsid w:val="00872539"/>
    <w:rsid w:val="00872B83"/>
    <w:rsid w:val="0087471E"/>
    <w:rsid w:val="0087507E"/>
    <w:rsid w:val="0087700C"/>
    <w:rsid w:val="00877B29"/>
    <w:rsid w:val="008819AC"/>
    <w:rsid w:val="00882DCD"/>
    <w:rsid w:val="00883656"/>
    <w:rsid w:val="00884F3E"/>
    <w:rsid w:val="00885FDB"/>
    <w:rsid w:val="00886A6F"/>
    <w:rsid w:val="00887542"/>
    <w:rsid w:val="00890989"/>
    <w:rsid w:val="008909EE"/>
    <w:rsid w:val="0089786B"/>
    <w:rsid w:val="008A2F45"/>
    <w:rsid w:val="008A5A95"/>
    <w:rsid w:val="008A5FA3"/>
    <w:rsid w:val="008A605B"/>
    <w:rsid w:val="008A730E"/>
    <w:rsid w:val="008B1EEB"/>
    <w:rsid w:val="008B2617"/>
    <w:rsid w:val="008B3D0C"/>
    <w:rsid w:val="008B4EBB"/>
    <w:rsid w:val="008C1075"/>
    <w:rsid w:val="008C2A0A"/>
    <w:rsid w:val="008C4244"/>
    <w:rsid w:val="008C6F81"/>
    <w:rsid w:val="008C7FC8"/>
    <w:rsid w:val="008D0F0D"/>
    <w:rsid w:val="008D1DDB"/>
    <w:rsid w:val="008D2B2F"/>
    <w:rsid w:val="008D6A91"/>
    <w:rsid w:val="008D6CC5"/>
    <w:rsid w:val="008D7BDF"/>
    <w:rsid w:val="008E1625"/>
    <w:rsid w:val="008E2BF2"/>
    <w:rsid w:val="008E2E97"/>
    <w:rsid w:val="008E4455"/>
    <w:rsid w:val="008E5649"/>
    <w:rsid w:val="008E5C65"/>
    <w:rsid w:val="008F0A7D"/>
    <w:rsid w:val="008F0F62"/>
    <w:rsid w:val="008F12E4"/>
    <w:rsid w:val="008F7313"/>
    <w:rsid w:val="009013B3"/>
    <w:rsid w:val="00901E9C"/>
    <w:rsid w:val="0091117B"/>
    <w:rsid w:val="00915FA7"/>
    <w:rsid w:val="009166F7"/>
    <w:rsid w:val="009175B6"/>
    <w:rsid w:val="00920E82"/>
    <w:rsid w:val="00925026"/>
    <w:rsid w:val="00925EC0"/>
    <w:rsid w:val="00926DCF"/>
    <w:rsid w:val="00926EA1"/>
    <w:rsid w:val="00933AF1"/>
    <w:rsid w:val="00935D21"/>
    <w:rsid w:val="00941F62"/>
    <w:rsid w:val="00942303"/>
    <w:rsid w:val="00945FEE"/>
    <w:rsid w:val="0094714D"/>
    <w:rsid w:val="00947486"/>
    <w:rsid w:val="00952732"/>
    <w:rsid w:val="0095425B"/>
    <w:rsid w:val="00956712"/>
    <w:rsid w:val="00960648"/>
    <w:rsid w:val="00963333"/>
    <w:rsid w:val="00965120"/>
    <w:rsid w:val="00965CC0"/>
    <w:rsid w:val="009660C8"/>
    <w:rsid w:val="00966B13"/>
    <w:rsid w:val="0096715E"/>
    <w:rsid w:val="00967185"/>
    <w:rsid w:val="0097249C"/>
    <w:rsid w:val="00982169"/>
    <w:rsid w:val="009858F5"/>
    <w:rsid w:val="00985928"/>
    <w:rsid w:val="0098690B"/>
    <w:rsid w:val="009869FE"/>
    <w:rsid w:val="00987ECF"/>
    <w:rsid w:val="00990658"/>
    <w:rsid w:val="0099198E"/>
    <w:rsid w:val="00991C88"/>
    <w:rsid w:val="009923ED"/>
    <w:rsid w:val="00994795"/>
    <w:rsid w:val="0099629D"/>
    <w:rsid w:val="009A0FAC"/>
    <w:rsid w:val="009A4DD0"/>
    <w:rsid w:val="009A58B2"/>
    <w:rsid w:val="009A5B9E"/>
    <w:rsid w:val="009B04E1"/>
    <w:rsid w:val="009B2C6C"/>
    <w:rsid w:val="009C459E"/>
    <w:rsid w:val="009C5BD9"/>
    <w:rsid w:val="009C642C"/>
    <w:rsid w:val="009C7AE7"/>
    <w:rsid w:val="009D084A"/>
    <w:rsid w:val="009D144D"/>
    <w:rsid w:val="009D2071"/>
    <w:rsid w:val="009D45FA"/>
    <w:rsid w:val="009D5028"/>
    <w:rsid w:val="009D65C9"/>
    <w:rsid w:val="009D6A09"/>
    <w:rsid w:val="009D6D83"/>
    <w:rsid w:val="009E1127"/>
    <w:rsid w:val="009E2208"/>
    <w:rsid w:val="009E3F02"/>
    <w:rsid w:val="009E7C15"/>
    <w:rsid w:val="009F351B"/>
    <w:rsid w:val="009F42BD"/>
    <w:rsid w:val="009F657F"/>
    <w:rsid w:val="00A002BF"/>
    <w:rsid w:val="00A02839"/>
    <w:rsid w:val="00A04D97"/>
    <w:rsid w:val="00A07F42"/>
    <w:rsid w:val="00A11963"/>
    <w:rsid w:val="00A15104"/>
    <w:rsid w:val="00A15568"/>
    <w:rsid w:val="00A160AA"/>
    <w:rsid w:val="00A16315"/>
    <w:rsid w:val="00A168C0"/>
    <w:rsid w:val="00A17720"/>
    <w:rsid w:val="00A20081"/>
    <w:rsid w:val="00A213E3"/>
    <w:rsid w:val="00A22C32"/>
    <w:rsid w:val="00A231E5"/>
    <w:rsid w:val="00A23E2F"/>
    <w:rsid w:val="00A24723"/>
    <w:rsid w:val="00A24EAD"/>
    <w:rsid w:val="00A301D6"/>
    <w:rsid w:val="00A30B3C"/>
    <w:rsid w:val="00A31260"/>
    <w:rsid w:val="00A34B66"/>
    <w:rsid w:val="00A3535B"/>
    <w:rsid w:val="00A36810"/>
    <w:rsid w:val="00A444DC"/>
    <w:rsid w:val="00A449B4"/>
    <w:rsid w:val="00A47A8C"/>
    <w:rsid w:val="00A50255"/>
    <w:rsid w:val="00A53B76"/>
    <w:rsid w:val="00A54991"/>
    <w:rsid w:val="00A60E2B"/>
    <w:rsid w:val="00A6111E"/>
    <w:rsid w:val="00A62C5F"/>
    <w:rsid w:val="00A667EF"/>
    <w:rsid w:val="00A66D0E"/>
    <w:rsid w:val="00A67B44"/>
    <w:rsid w:val="00A707C3"/>
    <w:rsid w:val="00A720AF"/>
    <w:rsid w:val="00A730C3"/>
    <w:rsid w:val="00A73E4C"/>
    <w:rsid w:val="00A77047"/>
    <w:rsid w:val="00A77303"/>
    <w:rsid w:val="00A77792"/>
    <w:rsid w:val="00A800D8"/>
    <w:rsid w:val="00A82C05"/>
    <w:rsid w:val="00A83F38"/>
    <w:rsid w:val="00A83F4E"/>
    <w:rsid w:val="00A868C1"/>
    <w:rsid w:val="00A871A5"/>
    <w:rsid w:val="00A877F5"/>
    <w:rsid w:val="00A8799F"/>
    <w:rsid w:val="00A93551"/>
    <w:rsid w:val="00A93F88"/>
    <w:rsid w:val="00A94DD1"/>
    <w:rsid w:val="00A9589B"/>
    <w:rsid w:val="00A95B2B"/>
    <w:rsid w:val="00A96CDD"/>
    <w:rsid w:val="00A96E7C"/>
    <w:rsid w:val="00AA09B1"/>
    <w:rsid w:val="00AA1BB1"/>
    <w:rsid w:val="00AA30A6"/>
    <w:rsid w:val="00AA33BD"/>
    <w:rsid w:val="00AA6054"/>
    <w:rsid w:val="00AA66DD"/>
    <w:rsid w:val="00AB0302"/>
    <w:rsid w:val="00AB13E4"/>
    <w:rsid w:val="00AB3C09"/>
    <w:rsid w:val="00AB5BFD"/>
    <w:rsid w:val="00AC2EF8"/>
    <w:rsid w:val="00AC33C1"/>
    <w:rsid w:val="00AD37BB"/>
    <w:rsid w:val="00AD6752"/>
    <w:rsid w:val="00AD6F19"/>
    <w:rsid w:val="00AE205E"/>
    <w:rsid w:val="00AE3B77"/>
    <w:rsid w:val="00AE511A"/>
    <w:rsid w:val="00AE75A1"/>
    <w:rsid w:val="00AE7A23"/>
    <w:rsid w:val="00AE7FE0"/>
    <w:rsid w:val="00AF4080"/>
    <w:rsid w:val="00AF5384"/>
    <w:rsid w:val="00AF60BB"/>
    <w:rsid w:val="00B039B5"/>
    <w:rsid w:val="00B06E1B"/>
    <w:rsid w:val="00B07758"/>
    <w:rsid w:val="00B12733"/>
    <w:rsid w:val="00B155BD"/>
    <w:rsid w:val="00B15FB3"/>
    <w:rsid w:val="00B21398"/>
    <w:rsid w:val="00B22E64"/>
    <w:rsid w:val="00B24B74"/>
    <w:rsid w:val="00B2554F"/>
    <w:rsid w:val="00B25A49"/>
    <w:rsid w:val="00B27039"/>
    <w:rsid w:val="00B318A2"/>
    <w:rsid w:val="00B318AF"/>
    <w:rsid w:val="00B31A81"/>
    <w:rsid w:val="00B34A7E"/>
    <w:rsid w:val="00B35CDD"/>
    <w:rsid w:val="00B401CA"/>
    <w:rsid w:val="00B413C6"/>
    <w:rsid w:val="00B41553"/>
    <w:rsid w:val="00B417CF"/>
    <w:rsid w:val="00B41BE3"/>
    <w:rsid w:val="00B42691"/>
    <w:rsid w:val="00B42997"/>
    <w:rsid w:val="00B431BA"/>
    <w:rsid w:val="00B459A9"/>
    <w:rsid w:val="00B530E3"/>
    <w:rsid w:val="00B55E8F"/>
    <w:rsid w:val="00B5636B"/>
    <w:rsid w:val="00B56615"/>
    <w:rsid w:val="00B5675E"/>
    <w:rsid w:val="00B6057B"/>
    <w:rsid w:val="00B61724"/>
    <w:rsid w:val="00B64DEC"/>
    <w:rsid w:val="00B67222"/>
    <w:rsid w:val="00B70590"/>
    <w:rsid w:val="00B71491"/>
    <w:rsid w:val="00B7210B"/>
    <w:rsid w:val="00B723BE"/>
    <w:rsid w:val="00B72FC8"/>
    <w:rsid w:val="00B745DB"/>
    <w:rsid w:val="00B76660"/>
    <w:rsid w:val="00B773F3"/>
    <w:rsid w:val="00B8062A"/>
    <w:rsid w:val="00B82705"/>
    <w:rsid w:val="00B91A22"/>
    <w:rsid w:val="00B94480"/>
    <w:rsid w:val="00B94DFF"/>
    <w:rsid w:val="00B94E36"/>
    <w:rsid w:val="00B956EB"/>
    <w:rsid w:val="00B9593A"/>
    <w:rsid w:val="00B96164"/>
    <w:rsid w:val="00BA082A"/>
    <w:rsid w:val="00BA0D2F"/>
    <w:rsid w:val="00BA5795"/>
    <w:rsid w:val="00BA709B"/>
    <w:rsid w:val="00BA73F3"/>
    <w:rsid w:val="00BB1C87"/>
    <w:rsid w:val="00BB26F0"/>
    <w:rsid w:val="00BB41FF"/>
    <w:rsid w:val="00BB683A"/>
    <w:rsid w:val="00BB732C"/>
    <w:rsid w:val="00BC0F7C"/>
    <w:rsid w:val="00BC467E"/>
    <w:rsid w:val="00BC6A8A"/>
    <w:rsid w:val="00BC716F"/>
    <w:rsid w:val="00BD13E4"/>
    <w:rsid w:val="00BD1491"/>
    <w:rsid w:val="00BD1C11"/>
    <w:rsid w:val="00BD3673"/>
    <w:rsid w:val="00BD6199"/>
    <w:rsid w:val="00BD7644"/>
    <w:rsid w:val="00BD7EBC"/>
    <w:rsid w:val="00BF105D"/>
    <w:rsid w:val="00BF1AB0"/>
    <w:rsid w:val="00C02CD1"/>
    <w:rsid w:val="00C0504F"/>
    <w:rsid w:val="00C05160"/>
    <w:rsid w:val="00C0677C"/>
    <w:rsid w:val="00C11413"/>
    <w:rsid w:val="00C14076"/>
    <w:rsid w:val="00C145A5"/>
    <w:rsid w:val="00C145F7"/>
    <w:rsid w:val="00C15809"/>
    <w:rsid w:val="00C15CB9"/>
    <w:rsid w:val="00C1786A"/>
    <w:rsid w:val="00C22431"/>
    <w:rsid w:val="00C24399"/>
    <w:rsid w:val="00C24CC1"/>
    <w:rsid w:val="00C24E2C"/>
    <w:rsid w:val="00C27D57"/>
    <w:rsid w:val="00C318C2"/>
    <w:rsid w:val="00C321BF"/>
    <w:rsid w:val="00C34C52"/>
    <w:rsid w:val="00C3590A"/>
    <w:rsid w:val="00C37E45"/>
    <w:rsid w:val="00C40AA8"/>
    <w:rsid w:val="00C42757"/>
    <w:rsid w:val="00C446DE"/>
    <w:rsid w:val="00C44BD7"/>
    <w:rsid w:val="00C46935"/>
    <w:rsid w:val="00C46B6D"/>
    <w:rsid w:val="00C50026"/>
    <w:rsid w:val="00C506E3"/>
    <w:rsid w:val="00C511AC"/>
    <w:rsid w:val="00C5126C"/>
    <w:rsid w:val="00C51338"/>
    <w:rsid w:val="00C51643"/>
    <w:rsid w:val="00C5242A"/>
    <w:rsid w:val="00C562C3"/>
    <w:rsid w:val="00C57343"/>
    <w:rsid w:val="00C57DCD"/>
    <w:rsid w:val="00C611C1"/>
    <w:rsid w:val="00C61EB6"/>
    <w:rsid w:val="00C6226E"/>
    <w:rsid w:val="00C67DDF"/>
    <w:rsid w:val="00C74225"/>
    <w:rsid w:val="00C74D86"/>
    <w:rsid w:val="00C81197"/>
    <w:rsid w:val="00C81466"/>
    <w:rsid w:val="00C82CBA"/>
    <w:rsid w:val="00C84B4B"/>
    <w:rsid w:val="00C85D58"/>
    <w:rsid w:val="00C85E55"/>
    <w:rsid w:val="00C900B8"/>
    <w:rsid w:val="00C93470"/>
    <w:rsid w:val="00C96B25"/>
    <w:rsid w:val="00C97176"/>
    <w:rsid w:val="00C979F2"/>
    <w:rsid w:val="00CA0A03"/>
    <w:rsid w:val="00CA0C21"/>
    <w:rsid w:val="00CA11EE"/>
    <w:rsid w:val="00CA39FC"/>
    <w:rsid w:val="00CA3E50"/>
    <w:rsid w:val="00CA423F"/>
    <w:rsid w:val="00CA48B1"/>
    <w:rsid w:val="00CB2205"/>
    <w:rsid w:val="00CB2742"/>
    <w:rsid w:val="00CB2E45"/>
    <w:rsid w:val="00CB67F9"/>
    <w:rsid w:val="00CB787A"/>
    <w:rsid w:val="00CC08E8"/>
    <w:rsid w:val="00CC0AC2"/>
    <w:rsid w:val="00CC2457"/>
    <w:rsid w:val="00CC2A98"/>
    <w:rsid w:val="00CC3486"/>
    <w:rsid w:val="00CC7E53"/>
    <w:rsid w:val="00CD5C33"/>
    <w:rsid w:val="00CD5F4E"/>
    <w:rsid w:val="00CD604B"/>
    <w:rsid w:val="00CE145A"/>
    <w:rsid w:val="00CE1C84"/>
    <w:rsid w:val="00CE3306"/>
    <w:rsid w:val="00CE360B"/>
    <w:rsid w:val="00CE4DFE"/>
    <w:rsid w:val="00CE70BD"/>
    <w:rsid w:val="00CE7220"/>
    <w:rsid w:val="00CF033C"/>
    <w:rsid w:val="00CF2FDC"/>
    <w:rsid w:val="00CF497B"/>
    <w:rsid w:val="00D11FD2"/>
    <w:rsid w:val="00D17100"/>
    <w:rsid w:val="00D20422"/>
    <w:rsid w:val="00D23549"/>
    <w:rsid w:val="00D23F47"/>
    <w:rsid w:val="00D31823"/>
    <w:rsid w:val="00D3266E"/>
    <w:rsid w:val="00D33544"/>
    <w:rsid w:val="00D33DBA"/>
    <w:rsid w:val="00D37379"/>
    <w:rsid w:val="00D43AC9"/>
    <w:rsid w:val="00D477D8"/>
    <w:rsid w:val="00D47DAB"/>
    <w:rsid w:val="00D5115F"/>
    <w:rsid w:val="00D529B2"/>
    <w:rsid w:val="00D53A18"/>
    <w:rsid w:val="00D53FDE"/>
    <w:rsid w:val="00D54424"/>
    <w:rsid w:val="00D5510A"/>
    <w:rsid w:val="00D55516"/>
    <w:rsid w:val="00D57B8B"/>
    <w:rsid w:val="00D624BA"/>
    <w:rsid w:val="00D62D76"/>
    <w:rsid w:val="00D713E3"/>
    <w:rsid w:val="00D72D12"/>
    <w:rsid w:val="00D73618"/>
    <w:rsid w:val="00D763B1"/>
    <w:rsid w:val="00D76CBB"/>
    <w:rsid w:val="00D81FC6"/>
    <w:rsid w:val="00D82492"/>
    <w:rsid w:val="00D824D8"/>
    <w:rsid w:val="00D8667C"/>
    <w:rsid w:val="00D867A0"/>
    <w:rsid w:val="00D86AB9"/>
    <w:rsid w:val="00D8733B"/>
    <w:rsid w:val="00D90A04"/>
    <w:rsid w:val="00D92A73"/>
    <w:rsid w:val="00DA1D1B"/>
    <w:rsid w:val="00DA78E8"/>
    <w:rsid w:val="00DA7C33"/>
    <w:rsid w:val="00DB1F67"/>
    <w:rsid w:val="00DB6FDC"/>
    <w:rsid w:val="00DB7ACE"/>
    <w:rsid w:val="00DC0E1C"/>
    <w:rsid w:val="00DC3148"/>
    <w:rsid w:val="00DC31EE"/>
    <w:rsid w:val="00DC36C8"/>
    <w:rsid w:val="00DC37A1"/>
    <w:rsid w:val="00DC5D10"/>
    <w:rsid w:val="00DC7292"/>
    <w:rsid w:val="00DD3573"/>
    <w:rsid w:val="00DD4612"/>
    <w:rsid w:val="00DD4DF0"/>
    <w:rsid w:val="00DD63FB"/>
    <w:rsid w:val="00DD7641"/>
    <w:rsid w:val="00DE2CC0"/>
    <w:rsid w:val="00DE3AD3"/>
    <w:rsid w:val="00DE3DC7"/>
    <w:rsid w:val="00DE7B8D"/>
    <w:rsid w:val="00DF08A3"/>
    <w:rsid w:val="00DF0FCA"/>
    <w:rsid w:val="00DF10F8"/>
    <w:rsid w:val="00DF3E85"/>
    <w:rsid w:val="00DF5787"/>
    <w:rsid w:val="00DF648C"/>
    <w:rsid w:val="00DF7865"/>
    <w:rsid w:val="00E06970"/>
    <w:rsid w:val="00E06CFB"/>
    <w:rsid w:val="00E14A00"/>
    <w:rsid w:val="00E1599C"/>
    <w:rsid w:val="00E159EC"/>
    <w:rsid w:val="00E16594"/>
    <w:rsid w:val="00E17DA8"/>
    <w:rsid w:val="00E2051D"/>
    <w:rsid w:val="00E2208D"/>
    <w:rsid w:val="00E23259"/>
    <w:rsid w:val="00E23579"/>
    <w:rsid w:val="00E23FDC"/>
    <w:rsid w:val="00E23FFC"/>
    <w:rsid w:val="00E24DF8"/>
    <w:rsid w:val="00E24F1A"/>
    <w:rsid w:val="00E256DF"/>
    <w:rsid w:val="00E3080A"/>
    <w:rsid w:val="00E30A2C"/>
    <w:rsid w:val="00E327E7"/>
    <w:rsid w:val="00E3701E"/>
    <w:rsid w:val="00E37399"/>
    <w:rsid w:val="00E40D8B"/>
    <w:rsid w:val="00E424CF"/>
    <w:rsid w:val="00E43562"/>
    <w:rsid w:val="00E4453E"/>
    <w:rsid w:val="00E51A0E"/>
    <w:rsid w:val="00E54514"/>
    <w:rsid w:val="00E54948"/>
    <w:rsid w:val="00E5503A"/>
    <w:rsid w:val="00E564B9"/>
    <w:rsid w:val="00E56C0B"/>
    <w:rsid w:val="00E57C78"/>
    <w:rsid w:val="00E57DA7"/>
    <w:rsid w:val="00E601F5"/>
    <w:rsid w:val="00E60B84"/>
    <w:rsid w:val="00E62DE9"/>
    <w:rsid w:val="00E6442D"/>
    <w:rsid w:val="00E65723"/>
    <w:rsid w:val="00E67F92"/>
    <w:rsid w:val="00E67FD6"/>
    <w:rsid w:val="00E71695"/>
    <w:rsid w:val="00E71C05"/>
    <w:rsid w:val="00E720FF"/>
    <w:rsid w:val="00E72147"/>
    <w:rsid w:val="00E72F3B"/>
    <w:rsid w:val="00E76ADE"/>
    <w:rsid w:val="00E771E4"/>
    <w:rsid w:val="00E77A9A"/>
    <w:rsid w:val="00E800F6"/>
    <w:rsid w:val="00E80640"/>
    <w:rsid w:val="00E80836"/>
    <w:rsid w:val="00E82618"/>
    <w:rsid w:val="00E833A0"/>
    <w:rsid w:val="00E83FD0"/>
    <w:rsid w:val="00E84505"/>
    <w:rsid w:val="00E86FF9"/>
    <w:rsid w:val="00E87E42"/>
    <w:rsid w:val="00E9053F"/>
    <w:rsid w:val="00E90755"/>
    <w:rsid w:val="00E911B0"/>
    <w:rsid w:val="00E9190B"/>
    <w:rsid w:val="00E96D38"/>
    <w:rsid w:val="00EA0870"/>
    <w:rsid w:val="00EA0F1D"/>
    <w:rsid w:val="00EA1046"/>
    <w:rsid w:val="00EA43D7"/>
    <w:rsid w:val="00EA4780"/>
    <w:rsid w:val="00EA78AB"/>
    <w:rsid w:val="00EA7D4F"/>
    <w:rsid w:val="00EB16F7"/>
    <w:rsid w:val="00EB22FA"/>
    <w:rsid w:val="00EB2550"/>
    <w:rsid w:val="00EB31CE"/>
    <w:rsid w:val="00EB65F9"/>
    <w:rsid w:val="00EB7FE1"/>
    <w:rsid w:val="00EC0BA1"/>
    <w:rsid w:val="00EC1DA6"/>
    <w:rsid w:val="00EC2AA3"/>
    <w:rsid w:val="00EC31B9"/>
    <w:rsid w:val="00EC3C1C"/>
    <w:rsid w:val="00EC48BD"/>
    <w:rsid w:val="00EC504C"/>
    <w:rsid w:val="00ED2BBE"/>
    <w:rsid w:val="00ED2CFB"/>
    <w:rsid w:val="00ED47EB"/>
    <w:rsid w:val="00ED65B0"/>
    <w:rsid w:val="00EE1348"/>
    <w:rsid w:val="00EE27BE"/>
    <w:rsid w:val="00EE6663"/>
    <w:rsid w:val="00EF2739"/>
    <w:rsid w:val="00EF3394"/>
    <w:rsid w:val="00EF5E43"/>
    <w:rsid w:val="00EF5FCE"/>
    <w:rsid w:val="00F006B2"/>
    <w:rsid w:val="00F013EA"/>
    <w:rsid w:val="00F02397"/>
    <w:rsid w:val="00F047A0"/>
    <w:rsid w:val="00F06A84"/>
    <w:rsid w:val="00F10263"/>
    <w:rsid w:val="00F14B00"/>
    <w:rsid w:val="00F1539B"/>
    <w:rsid w:val="00F16300"/>
    <w:rsid w:val="00F1648C"/>
    <w:rsid w:val="00F175E6"/>
    <w:rsid w:val="00F17CAB"/>
    <w:rsid w:val="00F20244"/>
    <w:rsid w:val="00F20B5B"/>
    <w:rsid w:val="00F20B6D"/>
    <w:rsid w:val="00F23363"/>
    <w:rsid w:val="00F23B8C"/>
    <w:rsid w:val="00F246BB"/>
    <w:rsid w:val="00F252AC"/>
    <w:rsid w:val="00F27447"/>
    <w:rsid w:val="00F3157B"/>
    <w:rsid w:val="00F34AB4"/>
    <w:rsid w:val="00F35AFD"/>
    <w:rsid w:val="00F37FD2"/>
    <w:rsid w:val="00F40510"/>
    <w:rsid w:val="00F40C5B"/>
    <w:rsid w:val="00F43E05"/>
    <w:rsid w:val="00F44052"/>
    <w:rsid w:val="00F473EA"/>
    <w:rsid w:val="00F47565"/>
    <w:rsid w:val="00F4798C"/>
    <w:rsid w:val="00F501C3"/>
    <w:rsid w:val="00F50437"/>
    <w:rsid w:val="00F57109"/>
    <w:rsid w:val="00F61142"/>
    <w:rsid w:val="00F614AA"/>
    <w:rsid w:val="00F65C17"/>
    <w:rsid w:val="00F67574"/>
    <w:rsid w:val="00F7006A"/>
    <w:rsid w:val="00F70E62"/>
    <w:rsid w:val="00F70FBA"/>
    <w:rsid w:val="00F7204E"/>
    <w:rsid w:val="00F742AE"/>
    <w:rsid w:val="00F770F1"/>
    <w:rsid w:val="00F811EF"/>
    <w:rsid w:val="00F82CEA"/>
    <w:rsid w:val="00F82EFB"/>
    <w:rsid w:val="00F83F4C"/>
    <w:rsid w:val="00F866E4"/>
    <w:rsid w:val="00F92921"/>
    <w:rsid w:val="00F93C91"/>
    <w:rsid w:val="00F94BA6"/>
    <w:rsid w:val="00FA0B6D"/>
    <w:rsid w:val="00FA122A"/>
    <w:rsid w:val="00FA1B9C"/>
    <w:rsid w:val="00FA29DB"/>
    <w:rsid w:val="00FA347F"/>
    <w:rsid w:val="00FA4939"/>
    <w:rsid w:val="00FB0642"/>
    <w:rsid w:val="00FB192A"/>
    <w:rsid w:val="00FB1DB9"/>
    <w:rsid w:val="00FB2E20"/>
    <w:rsid w:val="00FB4D31"/>
    <w:rsid w:val="00FB5864"/>
    <w:rsid w:val="00FC0B8C"/>
    <w:rsid w:val="00FC1FCE"/>
    <w:rsid w:val="00FC39FB"/>
    <w:rsid w:val="00FC4C28"/>
    <w:rsid w:val="00FC6EF2"/>
    <w:rsid w:val="00FC7237"/>
    <w:rsid w:val="00FC7651"/>
    <w:rsid w:val="00FD02E8"/>
    <w:rsid w:val="00FD1FA8"/>
    <w:rsid w:val="00FD1FC1"/>
    <w:rsid w:val="00FD41BE"/>
    <w:rsid w:val="00FD69CC"/>
    <w:rsid w:val="00FD6D7F"/>
    <w:rsid w:val="00FD7350"/>
    <w:rsid w:val="00FE0301"/>
    <w:rsid w:val="00FE3007"/>
    <w:rsid w:val="00FE36DF"/>
    <w:rsid w:val="00FE4BD6"/>
    <w:rsid w:val="00FE7E77"/>
    <w:rsid w:val="00FF0D3F"/>
    <w:rsid w:val="00FF277C"/>
    <w:rsid w:val="00FF291A"/>
    <w:rsid w:val="00FF339E"/>
    <w:rsid w:val="00FF4C2E"/>
    <w:rsid w:val="00FF7A55"/>
    <w:rsid w:val="01217042"/>
    <w:rsid w:val="0151BA23"/>
    <w:rsid w:val="017A7886"/>
    <w:rsid w:val="0184741E"/>
    <w:rsid w:val="019DB6E8"/>
    <w:rsid w:val="01CEB48A"/>
    <w:rsid w:val="01E13C46"/>
    <w:rsid w:val="02287624"/>
    <w:rsid w:val="023323A4"/>
    <w:rsid w:val="0274D5B2"/>
    <w:rsid w:val="0275C846"/>
    <w:rsid w:val="0292105B"/>
    <w:rsid w:val="02A809BD"/>
    <w:rsid w:val="02A9B7C6"/>
    <w:rsid w:val="02DC640B"/>
    <w:rsid w:val="0325C33A"/>
    <w:rsid w:val="0358FE64"/>
    <w:rsid w:val="03F48E02"/>
    <w:rsid w:val="04159778"/>
    <w:rsid w:val="041B4495"/>
    <w:rsid w:val="0460AB4D"/>
    <w:rsid w:val="04696221"/>
    <w:rsid w:val="04AC4FDE"/>
    <w:rsid w:val="04BC2F2B"/>
    <w:rsid w:val="04D2C6E8"/>
    <w:rsid w:val="04E9EF4E"/>
    <w:rsid w:val="054B6D0E"/>
    <w:rsid w:val="054F8DC8"/>
    <w:rsid w:val="05716F28"/>
    <w:rsid w:val="058579DF"/>
    <w:rsid w:val="05879A75"/>
    <w:rsid w:val="0587FFF2"/>
    <w:rsid w:val="058F0CBD"/>
    <w:rsid w:val="05C0541C"/>
    <w:rsid w:val="05E1E33D"/>
    <w:rsid w:val="05F6B00A"/>
    <w:rsid w:val="06131E1D"/>
    <w:rsid w:val="064C2925"/>
    <w:rsid w:val="0668ABCA"/>
    <w:rsid w:val="0690D1B0"/>
    <w:rsid w:val="06E623E9"/>
    <w:rsid w:val="06FDDE18"/>
    <w:rsid w:val="0704EF8F"/>
    <w:rsid w:val="070B69C6"/>
    <w:rsid w:val="0712E270"/>
    <w:rsid w:val="07306844"/>
    <w:rsid w:val="0731E67B"/>
    <w:rsid w:val="07413D82"/>
    <w:rsid w:val="0790F76A"/>
    <w:rsid w:val="079D9C31"/>
    <w:rsid w:val="07BB73F2"/>
    <w:rsid w:val="07C4D943"/>
    <w:rsid w:val="07FB41A3"/>
    <w:rsid w:val="0823229B"/>
    <w:rsid w:val="0828AA7D"/>
    <w:rsid w:val="08350ED6"/>
    <w:rsid w:val="08360D69"/>
    <w:rsid w:val="0841E53A"/>
    <w:rsid w:val="0843C234"/>
    <w:rsid w:val="084A2059"/>
    <w:rsid w:val="089C9115"/>
    <w:rsid w:val="089FD026"/>
    <w:rsid w:val="08F7F4DE"/>
    <w:rsid w:val="0914FCA7"/>
    <w:rsid w:val="09259470"/>
    <w:rsid w:val="09472AA5"/>
    <w:rsid w:val="096AC13E"/>
    <w:rsid w:val="098F6F79"/>
    <w:rsid w:val="09F649AE"/>
    <w:rsid w:val="0A0DEB2D"/>
    <w:rsid w:val="0A953C30"/>
    <w:rsid w:val="0AF4B89B"/>
    <w:rsid w:val="0B3163F1"/>
    <w:rsid w:val="0B382BC4"/>
    <w:rsid w:val="0B5930D2"/>
    <w:rsid w:val="0B71D5A0"/>
    <w:rsid w:val="0C6FD1CA"/>
    <w:rsid w:val="0C85788D"/>
    <w:rsid w:val="0CC714B7"/>
    <w:rsid w:val="0CD29ACB"/>
    <w:rsid w:val="0D0D2EFF"/>
    <w:rsid w:val="0D1D961C"/>
    <w:rsid w:val="0D1FA84D"/>
    <w:rsid w:val="0D23DCFD"/>
    <w:rsid w:val="0D329B2C"/>
    <w:rsid w:val="0D482EE1"/>
    <w:rsid w:val="0D6997EC"/>
    <w:rsid w:val="0D714E79"/>
    <w:rsid w:val="0DAA8D86"/>
    <w:rsid w:val="0DADE020"/>
    <w:rsid w:val="0DB4DD0A"/>
    <w:rsid w:val="0DB76B26"/>
    <w:rsid w:val="0E16D512"/>
    <w:rsid w:val="0E300E3B"/>
    <w:rsid w:val="0E3C130D"/>
    <w:rsid w:val="0E426F46"/>
    <w:rsid w:val="0E5A63CA"/>
    <w:rsid w:val="0E63AF89"/>
    <w:rsid w:val="0E7281AD"/>
    <w:rsid w:val="0E82C19B"/>
    <w:rsid w:val="0E8FDC33"/>
    <w:rsid w:val="0F1301F2"/>
    <w:rsid w:val="0F20CD5A"/>
    <w:rsid w:val="0F331C7A"/>
    <w:rsid w:val="0F897513"/>
    <w:rsid w:val="0FB066C9"/>
    <w:rsid w:val="0FB6FEDD"/>
    <w:rsid w:val="0FFC06C8"/>
    <w:rsid w:val="101BDB4B"/>
    <w:rsid w:val="10411F4E"/>
    <w:rsid w:val="1062B9E6"/>
    <w:rsid w:val="106A3259"/>
    <w:rsid w:val="10743874"/>
    <w:rsid w:val="109FD7BB"/>
    <w:rsid w:val="10A13800"/>
    <w:rsid w:val="10CE4788"/>
    <w:rsid w:val="10DC0653"/>
    <w:rsid w:val="1113AF3A"/>
    <w:rsid w:val="111E7774"/>
    <w:rsid w:val="112B7284"/>
    <w:rsid w:val="114C372A"/>
    <w:rsid w:val="114C6BFD"/>
    <w:rsid w:val="1173EF46"/>
    <w:rsid w:val="11B4A1E8"/>
    <w:rsid w:val="11D333A1"/>
    <w:rsid w:val="11ED03A2"/>
    <w:rsid w:val="11F33DE1"/>
    <w:rsid w:val="11F4A603"/>
    <w:rsid w:val="1244F21C"/>
    <w:rsid w:val="126A17E9"/>
    <w:rsid w:val="1275DDAB"/>
    <w:rsid w:val="1285F7C3"/>
    <w:rsid w:val="12CFB40F"/>
    <w:rsid w:val="12DC427F"/>
    <w:rsid w:val="12F44E54"/>
    <w:rsid w:val="134C79E7"/>
    <w:rsid w:val="13664ACF"/>
    <w:rsid w:val="136C8A08"/>
    <w:rsid w:val="1378516B"/>
    <w:rsid w:val="137FAF03"/>
    <w:rsid w:val="13C53EFC"/>
    <w:rsid w:val="13C7656D"/>
    <w:rsid w:val="13F7D3B9"/>
    <w:rsid w:val="1471224D"/>
    <w:rsid w:val="14944ADB"/>
    <w:rsid w:val="14A927DE"/>
    <w:rsid w:val="14BC9450"/>
    <w:rsid w:val="1501A0F1"/>
    <w:rsid w:val="150C84C9"/>
    <w:rsid w:val="157C6C66"/>
    <w:rsid w:val="158763BE"/>
    <w:rsid w:val="1588D5B6"/>
    <w:rsid w:val="159D4BEA"/>
    <w:rsid w:val="15B038D2"/>
    <w:rsid w:val="15B5A029"/>
    <w:rsid w:val="15D677E6"/>
    <w:rsid w:val="15DF3E67"/>
    <w:rsid w:val="15F00B77"/>
    <w:rsid w:val="1625ADAD"/>
    <w:rsid w:val="1696C29C"/>
    <w:rsid w:val="16A0D7FE"/>
    <w:rsid w:val="16A49E6E"/>
    <w:rsid w:val="16C35D97"/>
    <w:rsid w:val="16CEED28"/>
    <w:rsid w:val="16DACD4A"/>
    <w:rsid w:val="17984B11"/>
    <w:rsid w:val="17A25051"/>
    <w:rsid w:val="17D1A3CA"/>
    <w:rsid w:val="17D3F6FC"/>
    <w:rsid w:val="17E07E12"/>
    <w:rsid w:val="17FDE059"/>
    <w:rsid w:val="181C8471"/>
    <w:rsid w:val="18A923B6"/>
    <w:rsid w:val="18DC10EA"/>
    <w:rsid w:val="18F15CC5"/>
    <w:rsid w:val="19177D1F"/>
    <w:rsid w:val="1925A07E"/>
    <w:rsid w:val="19390563"/>
    <w:rsid w:val="196AB0F7"/>
    <w:rsid w:val="1980C554"/>
    <w:rsid w:val="19A64FCA"/>
    <w:rsid w:val="19B548E5"/>
    <w:rsid w:val="19BAD946"/>
    <w:rsid w:val="19BF8A8D"/>
    <w:rsid w:val="19ED0F7C"/>
    <w:rsid w:val="1A0809A1"/>
    <w:rsid w:val="1A0DDBF2"/>
    <w:rsid w:val="1A14471E"/>
    <w:rsid w:val="1A1A6D22"/>
    <w:rsid w:val="1A840C80"/>
    <w:rsid w:val="1AB2AF8A"/>
    <w:rsid w:val="1AC29C2A"/>
    <w:rsid w:val="1ACD5EFD"/>
    <w:rsid w:val="1ADC84D2"/>
    <w:rsid w:val="1B5DB174"/>
    <w:rsid w:val="1B77A01F"/>
    <w:rsid w:val="1BDBE079"/>
    <w:rsid w:val="1C12192C"/>
    <w:rsid w:val="1C14B058"/>
    <w:rsid w:val="1C1F8824"/>
    <w:rsid w:val="1C222C89"/>
    <w:rsid w:val="1C8EE9D1"/>
    <w:rsid w:val="1C9306A3"/>
    <w:rsid w:val="1CA6EF93"/>
    <w:rsid w:val="1CBDCB9A"/>
    <w:rsid w:val="1CCE5FCF"/>
    <w:rsid w:val="1CD07F37"/>
    <w:rsid w:val="1CD39C10"/>
    <w:rsid w:val="1D141903"/>
    <w:rsid w:val="1D25BC68"/>
    <w:rsid w:val="1D59CD42"/>
    <w:rsid w:val="1D8BF52C"/>
    <w:rsid w:val="1D9E53FC"/>
    <w:rsid w:val="1DAC2909"/>
    <w:rsid w:val="1DC36B74"/>
    <w:rsid w:val="1E3E7A27"/>
    <w:rsid w:val="1E44427A"/>
    <w:rsid w:val="1E78E726"/>
    <w:rsid w:val="1EDB7E98"/>
    <w:rsid w:val="1F04ED50"/>
    <w:rsid w:val="1F383A63"/>
    <w:rsid w:val="1F3A4BFA"/>
    <w:rsid w:val="1F85C2FE"/>
    <w:rsid w:val="1F921157"/>
    <w:rsid w:val="1F960D4D"/>
    <w:rsid w:val="1FD9D54C"/>
    <w:rsid w:val="200F6B13"/>
    <w:rsid w:val="201C1A49"/>
    <w:rsid w:val="204EB9F9"/>
    <w:rsid w:val="208C8888"/>
    <w:rsid w:val="208F1025"/>
    <w:rsid w:val="20E7619A"/>
    <w:rsid w:val="20F627FF"/>
    <w:rsid w:val="20FBF5DE"/>
    <w:rsid w:val="2107EFB6"/>
    <w:rsid w:val="21318118"/>
    <w:rsid w:val="2131ACCA"/>
    <w:rsid w:val="21441748"/>
    <w:rsid w:val="21704DDA"/>
    <w:rsid w:val="2186E09D"/>
    <w:rsid w:val="21AA1744"/>
    <w:rsid w:val="21AD02E5"/>
    <w:rsid w:val="21D25CD6"/>
    <w:rsid w:val="22185B48"/>
    <w:rsid w:val="22252701"/>
    <w:rsid w:val="2225BDD0"/>
    <w:rsid w:val="228105CE"/>
    <w:rsid w:val="228C2F58"/>
    <w:rsid w:val="228CAC2B"/>
    <w:rsid w:val="22958A29"/>
    <w:rsid w:val="23168C77"/>
    <w:rsid w:val="231891FD"/>
    <w:rsid w:val="23B49D1C"/>
    <w:rsid w:val="23E02823"/>
    <w:rsid w:val="241C9B0F"/>
    <w:rsid w:val="246D300A"/>
    <w:rsid w:val="249520F9"/>
    <w:rsid w:val="24B8AB6D"/>
    <w:rsid w:val="24C03ADE"/>
    <w:rsid w:val="24E473AF"/>
    <w:rsid w:val="252976E1"/>
    <w:rsid w:val="2567F5E6"/>
    <w:rsid w:val="259810F2"/>
    <w:rsid w:val="25A83160"/>
    <w:rsid w:val="25B33E9C"/>
    <w:rsid w:val="25E03ED5"/>
    <w:rsid w:val="25E3CB87"/>
    <w:rsid w:val="2617886B"/>
    <w:rsid w:val="2630FCAB"/>
    <w:rsid w:val="264762EC"/>
    <w:rsid w:val="268ED8BD"/>
    <w:rsid w:val="268FFCFA"/>
    <w:rsid w:val="26ACC4E0"/>
    <w:rsid w:val="26C8AD37"/>
    <w:rsid w:val="26E05EA3"/>
    <w:rsid w:val="2704E59F"/>
    <w:rsid w:val="27254516"/>
    <w:rsid w:val="27420D58"/>
    <w:rsid w:val="274B97E8"/>
    <w:rsid w:val="2753B3DA"/>
    <w:rsid w:val="2777313A"/>
    <w:rsid w:val="278CA1D9"/>
    <w:rsid w:val="27973987"/>
    <w:rsid w:val="27CC3410"/>
    <w:rsid w:val="282598CE"/>
    <w:rsid w:val="28454261"/>
    <w:rsid w:val="2867F576"/>
    <w:rsid w:val="28919B67"/>
    <w:rsid w:val="28A3E709"/>
    <w:rsid w:val="28C6FF2C"/>
    <w:rsid w:val="29862B84"/>
    <w:rsid w:val="298A05F7"/>
    <w:rsid w:val="29B134D8"/>
    <w:rsid w:val="29CD796C"/>
    <w:rsid w:val="2A0B2A7C"/>
    <w:rsid w:val="2A82C01D"/>
    <w:rsid w:val="2A863530"/>
    <w:rsid w:val="2A95F29B"/>
    <w:rsid w:val="2AA9544A"/>
    <w:rsid w:val="2AC4429B"/>
    <w:rsid w:val="2AECA0A7"/>
    <w:rsid w:val="2B2151B8"/>
    <w:rsid w:val="2B31E8BB"/>
    <w:rsid w:val="2B5124C4"/>
    <w:rsid w:val="2B71CCF7"/>
    <w:rsid w:val="2B7436B7"/>
    <w:rsid w:val="2C005E46"/>
    <w:rsid w:val="2C162EEC"/>
    <w:rsid w:val="2C5A6C3D"/>
    <w:rsid w:val="2C6BC9B9"/>
    <w:rsid w:val="2CA38F40"/>
    <w:rsid w:val="2CE2C3C5"/>
    <w:rsid w:val="2CE8D59A"/>
    <w:rsid w:val="2D182524"/>
    <w:rsid w:val="2D3F3E4B"/>
    <w:rsid w:val="2D60E596"/>
    <w:rsid w:val="2D6F526E"/>
    <w:rsid w:val="2D7D7EB4"/>
    <w:rsid w:val="2D868D30"/>
    <w:rsid w:val="2DA4AD95"/>
    <w:rsid w:val="2DCD4A61"/>
    <w:rsid w:val="2DD94AB8"/>
    <w:rsid w:val="2DE0E01C"/>
    <w:rsid w:val="2E08D270"/>
    <w:rsid w:val="2E0B7A56"/>
    <w:rsid w:val="2E2FA325"/>
    <w:rsid w:val="2E80A9EC"/>
    <w:rsid w:val="2EA3A0B9"/>
    <w:rsid w:val="2EB92244"/>
    <w:rsid w:val="2EC3CAB5"/>
    <w:rsid w:val="2ECE6F6C"/>
    <w:rsid w:val="2ED7EBF5"/>
    <w:rsid w:val="2EEFDFDF"/>
    <w:rsid w:val="2F18C73E"/>
    <w:rsid w:val="2F691AC2"/>
    <w:rsid w:val="2F6963BE"/>
    <w:rsid w:val="2F753A36"/>
    <w:rsid w:val="2F763655"/>
    <w:rsid w:val="2F7E0BBA"/>
    <w:rsid w:val="2F894A61"/>
    <w:rsid w:val="2FC7F297"/>
    <w:rsid w:val="30074DFF"/>
    <w:rsid w:val="300CB7F5"/>
    <w:rsid w:val="300CC20B"/>
    <w:rsid w:val="300DC8B1"/>
    <w:rsid w:val="30119367"/>
    <w:rsid w:val="30602D99"/>
    <w:rsid w:val="309D9643"/>
    <w:rsid w:val="30AC4881"/>
    <w:rsid w:val="30C9B5FA"/>
    <w:rsid w:val="30DDDC40"/>
    <w:rsid w:val="3123024F"/>
    <w:rsid w:val="314EF06B"/>
    <w:rsid w:val="3185AE30"/>
    <w:rsid w:val="31A6B9E5"/>
    <w:rsid w:val="31C081C7"/>
    <w:rsid w:val="31CC04DB"/>
    <w:rsid w:val="31CE5C3A"/>
    <w:rsid w:val="31E1F23A"/>
    <w:rsid w:val="31E684B5"/>
    <w:rsid w:val="32103707"/>
    <w:rsid w:val="32327638"/>
    <w:rsid w:val="3235CDAA"/>
    <w:rsid w:val="323BF73C"/>
    <w:rsid w:val="323C443F"/>
    <w:rsid w:val="323F8783"/>
    <w:rsid w:val="32531954"/>
    <w:rsid w:val="3267EF55"/>
    <w:rsid w:val="3281744E"/>
    <w:rsid w:val="329675B6"/>
    <w:rsid w:val="32F60490"/>
    <w:rsid w:val="32FCEA41"/>
    <w:rsid w:val="3307DB37"/>
    <w:rsid w:val="332DEC5C"/>
    <w:rsid w:val="33428A46"/>
    <w:rsid w:val="3348D485"/>
    <w:rsid w:val="33A09062"/>
    <w:rsid w:val="33AE6B9A"/>
    <w:rsid w:val="33D0A1EC"/>
    <w:rsid w:val="33EEE9B5"/>
    <w:rsid w:val="33F46E75"/>
    <w:rsid w:val="34074AD7"/>
    <w:rsid w:val="341865FA"/>
    <w:rsid w:val="343461AE"/>
    <w:rsid w:val="3457F93C"/>
    <w:rsid w:val="34731267"/>
    <w:rsid w:val="347562BA"/>
    <w:rsid w:val="3486912D"/>
    <w:rsid w:val="34A0A570"/>
    <w:rsid w:val="34AA336D"/>
    <w:rsid w:val="34B12C8A"/>
    <w:rsid w:val="34B66056"/>
    <w:rsid w:val="34F838FB"/>
    <w:rsid w:val="35368C21"/>
    <w:rsid w:val="353D7E1F"/>
    <w:rsid w:val="3554E4FD"/>
    <w:rsid w:val="35BACB13"/>
    <w:rsid w:val="35E5344A"/>
    <w:rsid w:val="360EE2C8"/>
    <w:rsid w:val="3625AAE4"/>
    <w:rsid w:val="3667D4CB"/>
    <w:rsid w:val="36B1E0A4"/>
    <w:rsid w:val="36BC077C"/>
    <w:rsid w:val="36DF226A"/>
    <w:rsid w:val="36F0B55E"/>
    <w:rsid w:val="3719A939"/>
    <w:rsid w:val="37208300"/>
    <w:rsid w:val="3726BF4A"/>
    <w:rsid w:val="373F08C5"/>
    <w:rsid w:val="37552C50"/>
    <w:rsid w:val="376B6BDB"/>
    <w:rsid w:val="376E96C2"/>
    <w:rsid w:val="3793360C"/>
    <w:rsid w:val="37A547DD"/>
    <w:rsid w:val="37D293F4"/>
    <w:rsid w:val="37EA4560"/>
    <w:rsid w:val="37EBC86D"/>
    <w:rsid w:val="38100F29"/>
    <w:rsid w:val="381294B7"/>
    <w:rsid w:val="38280E26"/>
    <w:rsid w:val="38356272"/>
    <w:rsid w:val="383ED515"/>
    <w:rsid w:val="385CD566"/>
    <w:rsid w:val="38674F3D"/>
    <w:rsid w:val="3890CF82"/>
    <w:rsid w:val="38AEB789"/>
    <w:rsid w:val="38FE5DD6"/>
    <w:rsid w:val="3920264E"/>
    <w:rsid w:val="3957742C"/>
    <w:rsid w:val="3959D0F3"/>
    <w:rsid w:val="3982CBA3"/>
    <w:rsid w:val="39B22C54"/>
    <w:rsid w:val="39DA7045"/>
    <w:rsid w:val="39DAA576"/>
    <w:rsid w:val="39E1620A"/>
    <w:rsid w:val="39E2F2DC"/>
    <w:rsid w:val="39E8E9EE"/>
    <w:rsid w:val="3A015646"/>
    <w:rsid w:val="3A0170BC"/>
    <w:rsid w:val="3A1719B0"/>
    <w:rsid w:val="3A1CE858"/>
    <w:rsid w:val="3A51E61C"/>
    <w:rsid w:val="3A76A987"/>
    <w:rsid w:val="3AB4A692"/>
    <w:rsid w:val="3AB531E0"/>
    <w:rsid w:val="3ADA127A"/>
    <w:rsid w:val="3AEB409E"/>
    <w:rsid w:val="3AFA82DE"/>
    <w:rsid w:val="3B0A34B6"/>
    <w:rsid w:val="3B0BB758"/>
    <w:rsid w:val="3B24AEF8"/>
    <w:rsid w:val="3B42EEDF"/>
    <w:rsid w:val="3B844A15"/>
    <w:rsid w:val="3B8F33AF"/>
    <w:rsid w:val="3BA12810"/>
    <w:rsid w:val="3BE2A6B1"/>
    <w:rsid w:val="3BE6584B"/>
    <w:rsid w:val="3C1C6ACD"/>
    <w:rsid w:val="3C402183"/>
    <w:rsid w:val="3C59A864"/>
    <w:rsid w:val="3C6655DC"/>
    <w:rsid w:val="3C849028"/>
    <w:rsid w:val="3C92A1A5"/>
    <w:rsid w:val="3C940284"/>
    <w:rsid w:val="3CAD1AEA"/>
    <w:rsid w:val="3CBD29BC"/>
    <w:rsid w:val="3CDD7E2A"/>
    <w:rsid w:val="3CEBCA6C"/>
    <w:rsid w:val="3D2F0300"/>
    <w:rsid w:val="3DACDF26"/>
    <w:rsid w:val="3DAE2D1D"/>
    <w:rsid w:val="3DCDAE55"/>
    <w:rsid w:val="3DDE667C"/>
    <w:rsid w:val="3DECD2A2"/>
    <w:rsid w:val="3DF657DC"/>
    <w:rsid w:val="3E19F4AD"/>
    <w:rsid w:val="3E985442"/>
    <w:rsid w:val="3E99348A"/>
    <w:rsid w:val="3EA0E1AA"/>
    <w:rsid w:val="3ED8A80F"/>
    <w:rsid w:val="3F092E47"/>
    <w:rsid w:val="3F2BA72D"/>
    <w:rsid w:val="3F93C3E1"/>
    <w:rsid w:val="3FA729C7"/>
    <w:rsid w:val="3FB9E258"/>
    <w:rsid w:val="3FD58B14"/>
    <w:rsid w:val="3FDDA5D9"/>
    <w:rsid w:val="400D0D65"/>
    <w:rsid w:val="401320CF"/>
    <w:rsid w:val="401C6118"/>
    <w:rsid w:val="402BC927"/>
    <w:rsid w:val="405C3C10"/>
    <w:rsid w:val="407B0B0E"/>
    <w:rsid w:val="408C29DC"/>
    <w:rsid w:val="40ABFF58"/>
    <w:rsid w:val="40BF653E"/>
    <w:rsid w:val="40DB5FA3"/>
    <w:rsid w:val="40EF3957"/>
    <w:rsid w:val="40FC20F7"/>
    <w:rsid w:val="416612C8"/>
    <w:rsid w:val="416A7F68"/>
    <w:rsid w:val="4193EEAE"/>
    <w:rsid w:val="41C041E0"/>
    <w:rsid w:val="41E55F9E"/>
    <w:rsid w:val="41E72C85"/>
    <w:rsid w:val="421048D1"/>
    <w:rsid w:val="425B2074"/>
    <w:rsid w:val="425E6053"/>
    <w:rsid w:val="425F281A"/>
    <w:rsid w:val="42B4A8D4"/>
    <w:rsid w:val="42C9C8FF"/>
    <w:rsid w:val="42DDEB0E"/>
    <w:rsid w:val="42ECF348"/>
    <w:rsid w:val="42FBE63E"/>
    <w:rsid w:val="432549CB"/>
    <w:rsid w:val="437BC43E"/>
    <w:rsid w:val="438ACFD8"/>
    <w:rsid w:val="439FA4B3"/>
    <w:rsid w:val="43B10042"/>
    <w:rsid w:val="43CFC818"/>
    <w:rsid w:val="43EE78E1"/>
    <w:rsid w:val="43FF569B"/>
    <w:rsid w:val="44679C36"/>
    <w:rsid w:val="446FAFEB"/>
    <w:rsid w:val="44B9807F"/>
    <w:rsid w:val="44D777A6"/>
    <w:rsid w:val="44DFD927"/>
    <w:rsid w:val="450E02BC"/>
    <w:rsid w:val="45137057"/>
    <w:rsid w:val="451DD5D6"/>
    <w:rsid w:val="45586746"/>
    <w:rsid w:val="456F7E2A"/>
    <w:rsid w:val="45B1A274"/>
    <w:rsid w:val="45D247AB"/>
    <w:rsid w:val="45D45A54"/>
    <w:rsid w:val="4618676D"/>
    <w:rsid w:val="463E418E"/>
    <w:rsid w:val="464B706C"/>
    <w:rsid w:val="46588DDD"/>
    <w:rsid w:val="46937548"/>
    <w:rsid w:val="4694A0D3"/>
    <w:rsid w:val="46A352C4"/>
    <w:rsid w:val="46D63639"/>
    <w:rsid w:val="46D74575"/>
    <w:rsid w:val="472781F3"/>
    <w:rsid w:val="4731D1CC"/>
    <w:rsid w:val="4756727C"/>
    <w:rsid w:val="47A5BDCF"/>
    <w:rsid w:val="47AAB438"/>
    <w:rsid w:val="47B637BB"/>
    <w:rsid w:val="47CB5413"/>
    <w:rsid w:val="47DA7F44"/>
    <w:rsid w:val="48060785"/>
    <w:rsid w:val="481ECB1A"/>
    <w:rsid w:val="48D47042"/>
    <w:rsid w:val="48E07AFE"/>
    <w:rsid w:val="4902A8C8"/>
    <w:rsid w:val="493E5673"/>
    <w:rsid w:val="494BB82E"/>
    <w:rsid w:val="49929D45"/>
    <w:rsid w:val="499FB53C"/>
    <w:rsid w:val="49ADFDE9"/>
    <w:rsid w:val="49B12517"/>
    <w:rsid w:val="49BD5B76"/>
    <w:rsid w:val="49CFDD1A"/>
    <w:rsid w:val="49E21301"/>
    <w:rsid w:val="49FEDAE7"/>
    <w:rsid w:val="4A010464"/>
    <w:rsid w:val="4A21205A"/>
    <w:rsid w:val="4A2735F6"/>
    <w:rsid w:val="4A2C4E82"/>
    <w:rsid w:val="4A526498"/>
    <w:rsid w:val="4A73B70D"/>
    <w:rsid w:val="4A98CB90"/>
    <w:rsid w:val="4AAD0CF5"/>
    <w:rsid w:val="4AAF6546"/>
    <w:rsid w:val="4AC2F535"/>
    <w:rsid w:val="4AD88E10"/>
    <w:rsid w:val="4B022B9F"/>
    <w:rsid w:val="4B23F663"/>
    <w:rsid w:val="4B3E4A57"/>
    <w:rsid w:val="4B54C213"/>
    <w:rsid w:val="4B6BAD7B"/>
    <w:rsid w:val="4B7D3C61"/>
    <w:rsid w:val="4C0772F7"/>
    <w:rsid w:val="4C12CABA"/>
    <w:rsid w:val="4C8AB6B2"/>
    <w:rsid w:val="4C933B17"/>
    <w:rsid w:val="4C93E318"/>
    <w:rsid w:val="4CC21EC0"/>
    <w:rsid w:val="4CC9C638"/>
    <w:rsid w:val="4CF22CAE"/>
    <w:rsid w:val="4D077DDC"/>
    <w:rsid w:val="4D191C4B"/>
    <w:rsid w:val="4D36E050"/>
    <w:rsid w:val="4D501420"/>
    <w:rsid w:val="4D69FF03"/>
    <w:rsid w:val="4D6C6DB6"/>
    <w:rsid w:val="4D73505D"/>
    <w:rsid w:val="4D9298A0"/>
    <w:rsid w:val="4D99CB5F"/>
    <w:rsid w:val="4D9AB4EE"/>
    <w:rsid w:val="4DB8613C"/>
    <w:rsid w:val="4DC99124"/>
    <w:rsid w:val="4DCC5B99"/>
    <w:rsid w:val="4DD6819D"/>
    <w:rsid w:val="4DD8E2AF"/>
    <w:rsid w:val="4DD93F36"/>
    <w:rsid w:val="4DDB61E9"/>
    <w:rsid w:val="4DDD8260"/>
    <w:rsid w:val="4DE6BAD0"/>
    <w:rsid w:val="4DEF80D0"/>
    <w:rsid w:val="4E2C2DBE"/>
    <w:rsid w:val="4E568CE9"/>
    <w:rsid w:val="4E581FE4"/>
    <w:rsid w:val="4E58CFB5"/>
    <w:rsid w:val="4E8A25E0"/>
    <w:rsid w:val="4E8F600D"/>
    <w:rsid w:val="4EBBBD90"/>
    <w:rsid w:val="4EC8B641"/>
    <w:rsid w:val="4EDD5CE2"/>
    <w:rsid w:val="4F038752"/>
    <w:rsid w:val="4F07F4E8"/>
    <w:rsid w:val="4F2B0129"/>
    <w:rsid w:val="4F3A20D4"/>
    <w:rsid w:val="4F3F5C5D"/>
    <w:rsid w:val="4F6C6F84"/>
    <w:rsid w:val="4F8B8825"/>
    <w:rsid w:val="4F9005A2"/>
    <w:rsid w:val="4FA130D7"/>
    <w:rsid w:val="4FB08DB2"/>
    <w:rsid w:val="4FB5046A"/>
    <w:rsid w:val="4FCE2CC7"/>
    <w:rsid w:val="4FD53A2F"/>
    <w:rsid w:val="4FE164F4"/>
    <w:rsid w:val="5012CDC1"/>
    <w:rsid w:val="5018A3BB"/>
    <w:rsid w:val="503D2A21"/>
    <w:rsid w:val="505B7C3F"/>
    <w:rsid w:val="50A6836E"/>
    <w:rsid w:val="50B250C1"/>
    <w:rsid w:val="50E48FE1"/>
    <w:rsid w:val="50F4B356"/>
    <w:rsid w:val="50F6120B"/>
    <w:rsid w:val="51188CCE"/>
    <w:rsid w:val="514B97A8"/>
    <w:rsid w:val="5162043E"/>
    <w:rsid w:val="517CE83C"/>
    <w:rsid w:val="51831642"/>
    <w:rsid w:val="518E4490"/>
    <w:rsid w:val="519785E3"/>
    <w:rsid w:val="51984D28"/>
    <w:rsid w:val="51B9C80A"/>
    <w:rsid w:val="51D3397A"/>
    <w:rsid w:val="52276F8E"/>
    <w:rsid w:val="5245FB11"/>
    <w:rsid w:val="52D87C15"/>
    <w:rsid w:val="52F53D71"/>
    <w:rsid w:val="533357EB"/>
    <w:rsid w:val="53366273"/>
    <w:rsid w:val="5352F352"/>
    <w:rsid w:val="5386C6F5"/>
    <w:rsid w:val="53C6F7C1"/>
    <w:rsid w:val="53D00B1C"/>
    <w:rsid w:val="53DE2430"/>
    <w:rsid w:val="53E7C029"/>
    <w:rsid w:val="53ECAAC8"/>
    <w:rsid w:val="53F2A189"/>
    <w:rsid w:val="53F2BEB8"/>
    <w:rsid w:val="53F8B4B9"/>
    <w:rsid w:val="54700EE3"/>
    <w:rsid w:val="54985AF4"/>
    <w:rsid w:val="54BFF6C6"/>
    <w:rsid w:val="55164D58"/>
    <w:rsid w:val="553D04E1"/>
    <w:rsid w:val="55878327"/>
    <w:rsid w:val="5589FD37"/>
    <w:rsid w:val="558E75E5"/>
    <w:rsid w:val="55A1D55C"/>
    <w:rsid w:val="55DB4D70"/>
    <w:rsid w:val="55E3DAE6"/>
    <w:rsid w:val="5650595F"/>
    <w:rsid w:val="565A9A00"/>
    <w:rsid w:val="5662E77D"/>
    <w:rsid w:val="5699DAB3"/>
    <w:rsid w:val="569D7A42"/>
    <w:rsid w:val="56D1597B"/>
    <w:rsid w:val="56E72BF6"/>
    <w:rsid w:val="5704C69C"/>
    <w:rsid w:val="571CC70C"/>
    <w:rsid w:val="57235388"/>
    <w:rsid w:val="576F620D"/>
    <w:rsid w:val="578C29F3"/>
    <w:rsid w:val="579127C9"/>
    <w:rsid w:val="57B45E05"/>
    <w:rsid w:val="57DDEED9"/>
    <w:rsid w:val="57EEB976"/>
    <w:rsid w:val="57F79788"/>
    <w:rsid w:val="580510B7"/>
    <w:rsid w:val="581315BA"/>
    <w:rsid w:val="581D9FB5"/>
    <w:rsid w:val="58326808"/>
    <w:rsid w:val="583F7384"/>
    <w:rsid w:val="588864BF"/>
    <w:rsid w:val="589BBAA1"/>
    <w:rsid w:val="58AD6A23"/>
    <w:rsid w:val="58BF23E9"/>
    <w:rsid w:val="58EDE548"/>
    <w:rsid w:val="58FD3552"/>
    <w:rsid w:val="590DDDA1"/>
    <w:rsid w:val="594268F2"/>
    <w:rsid w:val="594A63D8"/>
    <w:rsid w:val="59641840"/>
    <w:rsid w:val="597F1D6E"/>
    <w:rsid w:val="597F3E7B"/>
    <w:rsid w:val="59845EA4"/>
    <w:rsid w:val="5990C0A2"/>
    <w:rsid w:val="5993E4A6"/>
    <w:rsid w:val="59AB21F8"/>
    <w:rsid w:val="59F77699"/>
    <w:rsid w:val="59FA41DC"/>
    <w:rsid w:val="5A262D5E"/>
    <w:rsid w:val="5A28554A"/>
    <w:rsid w:val="5A29C8E3"/>
    <w:rsid w:val="5A4D3A5B"/>
    <w:rsid w:val="5A6594A7"/>
    <w:rsid w:val="5A73CF8E"/>
    <w:rsid w:val="5A914A6C"/>
    <w:rsid w:val="5AA6DFB3"/>
    <w:rsid w:val="5AD57E43"/>
    <w:rsid w:val="5ADD7E5E"/>
    <w:rsid w:val="5AE664FA"/>
    <w:rsid w:val="5B0BF428"/>
    <w:rsid w:val="5B350FF1"/>
    <w:rsid w:val="5B3CAF92"/>
    <w:rsid w:val="5B4A6B3C"/>
    <w:rsid w:val="5B4ADE4F"/>
    <w:rsid w:val="5B4D2172"/>
    <w:rsid w:val="5B54A8FF"/>
    <w:rsid w:val="5B75EF73"/>
    <w:rsid w:val="5BB10FCF"/>
    <w:rsid w:val="5BE44DC1"/>
    <w:rsid w:val="5BE48B11"/>
    <w:rsid w:val="5CB15FFC"/>
    <w:rsid w:val="5CD0E052"/>
    <w:rsid w:val="5CECF555"/>
    <w:rsid w:val="5D08CB4A"/>
    <w:rsid w:val="5D32F01A"/>
    <w:rsid w:val="5D46F90B"/>
    <w:rsid w:val="5D9A1E91"/>
    <w:rsid w:val="5D9D3569"/>
    <w:rsid w:val="5DD39680"/>
    <w:rsid w:val="5DDFBA81"/>
    <w:rsid w:val="5DF83C3C"/>
    <w:rsid w:val="5E02F261"/>
    <w:rsid w:val="5E2B6D4C"/>
    <w:rsid w:val="5E4808BE"/>
    <w:rsid w:val="5EF78299"/>
    <w:rsid w:val="5F42C826"/>
    <w:rsid w:val="5F740FAF"/>
    <w:rsid w:val="5F873E5E"/>
    <w:rsid w:val="5F8E532E"/>
    <w:rsid w:val="5FAEB263"/>
    <w:rsid w:val="5FDB172A"/>
    <w:rsid w:val="5FDE1348"/>
    <w:rsid w:val="5FF82039"/>
    <w:rsid w:val="5FFB0D72"/>
    <w:rsid w:val="604BDBE4"/>
    <w:rsid w:val="605284F0"/>
    <w:rsid w:val="606A815B"/>
    <w:rsid w:val="607FE20A"/>
    <w:rsid w:val="60811907"/>
    <w:rsid w:val="60CB5E39"/>
    <w:rsid w:val="60CD637D"/>
    <w:rsid w:val="60D4D62B"/>
    <w:rsid w:val="60D9568E"/>
    <w:rsid w:val="60EB8594"/>
    <w:rsid w:val="6142F5E1"/>
    <w:rsid w:val="614326DF"/>
    <w:rsid w:val="615C438A"/>
    <w:rsid w:val="61707B44"/>
    <w:rsid w:val="61710E41"/>
    <w:rsid w:val="619EEB41"/>
    <w:rsid w:val="61A11847"/>
    <w:rsid w:val="61C87277"/>
    <w:rsid w:val="61DFD7F2"/>
    <w:rsid w:val="61E5137B"/>
    <w:rsid w:val="61ECEFBB"/>
    <w:rsid w:val="623F8B01"/>
    <w:rsid w:val="6240B2F5"/>
    <w:rsid w:val="624980B1"/>
    <w:rsid w:val="627A74B7"/>
    <w:rsid w:val="62C65897"/>
    <w:rsid w:val="62CE9FA0"/>
    <w:rsid w:val="635F236C"/>
    <w:rsid w:val="6362EF61"/>
    <w:rsid w:val="63655397"/>
    <w:rsid w:val="63732B62"/>
    <w:rsid w:val="63908B1C"/>
    <w:rsid w:val="63B3E747"/>
    <w:rsid w:val="63D1D38F"/>
    <w:rsid w:val="63DE940E"/>
    <w:rsid w:val="63E5FDCC"/>
    <w:rsid w:val="63EEE1DF"/>
    <w:rsid w:val="63EF9CF6"/>
    <w:rsid w:val="63F68BE9"/>
    <w:rsid w:val="63FE155F"/>
    <w:rsid w:val="64088A66"/>
    <w:rsid w:val="6414E4C5"/>
    <w:rsid w:val="644D0D26"/>
    <w:rsid w:val="6463E23B"/>
    <w:rsid w:val="6472C33B"/>
    <w:rsid w:val="64B867D4"/>
    <w:rsid w:val="64CFB397"/>
    <w:rsid w:val="64D37349"/>
    <w:rsid w:val="64D70DEC"/>
    <w:rsid w:val="64E2DBC4"/>
    <w:rsid w:val="64E35FE9"/>
    <w:rsid w:val="64FCB119"/>
    <w:rsid w:val="653C9B07"/>
    <w:rsid w:val="653D5974"/>
    <w:rsid w:val="65406D74"/>
    <w:rsid w:val="654922A2"/>
    <w:rsid w:val="65981931"/>
    <w:rsid w:val="65B15E2A"/>
    <w:rsid w:val="65D42C0B"/>
    <w:rsid w:val="65D44BBF"/>
    <w:rsid w:val="6614A7E7"/>
    <w:rsid w:val="664526F6"/>
    <w:rsid w:val="664A5065"/>
    <w:rsid w:val="66505900"/>
    <w:rsid w:val="6656B943"/>
    <w:rsid w:val="6675E217"/>
    <w:rsid w:val="66941640"/>
    <w:rsid w:val="66AF0381"/>
    <w:rsid w:val="66C59FE7"/>
    <w:rsid w:val="66C935D8"/>
    <w:rsid w:val="66CDDA45"/>
    <w:rsid w:val="66EFC2AC"/>
    <w:rsid w:val="6725FC3C"/>
    <w:rsid w:val="67465C7D"/>
    <w:rsid w:val="67536CAC"/>
    <w:rsid w:val="67D7F8BE"/>
    <w:rsid w:val="67DE279F"/>
    <w:rsid w:val="67F289A4"/>
    <w:rsid w:val="67FE3CA7"/>
    <w:rsid w:val="68041571"/>
    <w:rsid w:val="68091DBF"/>
    <w:rsid w:val="68113E94"/>
    <w:rsid w:val="681B807F"/>
    <w:rsid w:val="681D4383"/>
    <w:rsid w:val="682D2009"/>
    <w:rsid w:val="684B0AB6"/>
    <w:rsid w:val="684BEEC2"/>
    <w:rsid w:val="6854722E"/>
    <w:rsid w:val="6873EAFA"/>
    <w:rsid w:val="687515A7"/>
    <w:rsid w:val="690DBEFB"/>
    <w:rsid w:val="690EDE87"/>
    <w:rsid w:val="698E5A05"/>
    <w:rsid w:val="6992CA9C"/>
    <w:rsid w:val="69B02EE6"/>
    <w:rsid w:val="69B864BC"/>
    <w:rsid w:val="69DA9A38"/>
    <w:rsid w:val="69DB87D6"/>
    <w:rsid w:val="6AAD9342"/>
    <w:rsid w:val="6AB467D8"/>
    <w:rsid w:val="6AC02374"/>
    <w:rsid w:val="6AEE7A6F"/>
    <w:rsid w:val="6AFB7764"/>
    <w:rsid w:val="6AFCD467"/>
    <w:rsid w:val="6B21B0C7"/>
    <w:rsid w:val="6B360EA6"/>
    <w:rsid w:val="6B439EA5"/>
    <w:rsid w:val="6B4809D8"/>
    <w:rsid w:val="6B5288FB"/>
    <w:rsid w:val="6B54CC95"/>
    <w:rsid w:val="6B7DB64B"/>
    <w:rsid w:val="6BB8BA3E"/>
    <w:rsid w:val="6BFBA981"/>
    <w:rsid w:val="6C00C8ED"/>
    <w:rsid w:val="6C2DB13F"/>
    <w:rsid w:val="6C46EEA6"/>
    <w:rsid w:val="6C5995FC"/>
    <w:rsid w:val="6C6EE416"/>
    <w:rsid w:val="6CE19DE8"/>
    <w:rsid w:val="6CE3DA39"/>
    <w:rsid w:val="6CF74053"/>
    <w:rsid w:val="6D2E70A8"/>
    <w:rsid w:val="6DD68011"/>
    <w:rsid w:val="6E60D814"/>
    <w:rsid w:val="6E6BF11B"/>
    <w:rsid w:val="6EB03EDC"/>
    <w:rsid w:val="6EBD1DEC"/>
    <w:rsid w:val="6ECE275D"/>
    <w:rsid w:val="6ED9C3F3"/>
    <w:rsid w:val="6EE59A67"/>
    <w:rsid w:val="6F0B4681"/>
    <w:rsid w:val="6F129B94"/>
    <w:rsid w:val="6F401E03"/>
    <w:rsid w:val="6F4DA095"/>
    <w:rsid w:val="6F51C6DF"/>
    <w:rsid w:val="6F685A18"/>
    <w:rsid w:val="6FB427F9"/>
    <w:rsid w:val="70178984"/>
    <w:rsid w:val="704F7DCA"/>
    <w:rsid w:val="7080BAA6"/>
    <w:rsid w:val="708CBE52"/>
    <w:rsid w:val="70E4AEA7"/>
    <w:rsid w:val="70E7FA05"/>
    <w:rsid w:val="70F0C086"/>
    <w:rsid w:val="70F66F07"/>
    <w:rsid w:val="712627F0"/>
    <w:rsid w:val="7135BD44"/>
    <w:rsid w:val="715D4BAE"/>
    <w:rsid w:val="717ECC9C"/>
    <w:rsid w:val="71883E92"/>
    <w:rsid w:val="71D22FAE"/>
    <w:rsid w:val="71D96CAD"/>
    <w:rsid w:val="720819A3"/>
    <w:rsid w:val="720AA1A5"/>
    <w:rsid w:val="7238BE2E"/>
    <w:rsid w:val="7285F575"/>
    <w:rsid w:val="72A1743C"/>
    <w:rsid w:val="72A1D1CF"/>
    <w:rsid w:val="72B625B8"/>
    <w:rsid w:val="72BE858B"/>
    <w:rsid w:val="72D07591"/>
    <w:rsid w:val="72D4A090"/>
    <w:rsid w:val="72E4272B"/>
    <w:rsid w:val="72FE844C"/>
    <w:rsid w:val="732921F8"/>
    <w:rsid w:val="732F43E0"/>
    <w:rsid w:val="734935F9"/>
    <w:rsid w:val="7358A65F"/>
    <w:rsid w:val="736E9417"/>
    <w:rsid w:val="739B2D8A"/>
    <w:rsid w:val="741F9AC7"/>
    <w:rsid w:val="742AE2A4"/>
    <w:rsid w:val="743BA800"/>
    <w:rsid w:val="746C66B3"/>
    <w:rsid w:val="74800518"/>
    <w:rsid w:val="74BBD5C6"/>
    <w:rsid w:val="74BDCE04"/>
    <w:rsid w:val="7508BAFA"/>
    <w:rsid w:val="75249891"/>
    <w:rsid w:val="753C19A0"/>
    <w:rsid w:val="75526E02"/>
    <w:rsid w:val="75908EA0"/>
    <w:rsid w:val="75ACE25C"/>
    <w:rsid w:val="75B49391"/>
    <w:rsid w:val="76036FC0"/>
    <w:rsid w:val="76064B89"/>
    <w:rsid w:val="7619E4A3"/>
    <w:rsid w:val="762A5028"/>
    <w:rsid w:val="7698A943"/>
    <w:rsid w:val="76B8AC4F"/>
    <w:rsid w:val="76DA1992"/>
    <w:rsid w:val="76EBE241"/>
    <w:rsid w:val="76EE9452"/>
    <w:rsid w:val="76F87ADE"/>
    <w:rsid w:val="770D8E08"/>
    <w:rsid w:val="7769A2C5"/>
    <w:rsid w:val="777B053C"/>
    <w:rsid w:val="777F563F"/>
    <w:rsid w:val="7780BCAC"/>
    <w:rsid w:val="778996DB"/>
    <w:rsid w:val="7790E074"/>
    <w:rsid w:val="779C51F9"/>
    <w:rsid w:val="77A972EB"/>
    <w:rsid w:val="77B89FC6"/>
    <w:rsid w:val="77BF5C08"/>
    <w:rsid w:val="77FF6ADB"/>
    <w:rsid w:val="78064C7D"/>
    <w:rsid w:val="781DC1B5"/>
    <w:rsid w:val="7834D60F"/>
    <w:rsid w:val="7869C17B"/>
    <w:rsid w:val="789274A5"/>
    <w:rsid w:val="78C26C37"/>
    <w:rsid w:val="78C60267"/>
    <w:rsid w:val="78D6A246"/>
    <w:rsid w:val="78DFAA0D"/>
    <w:rsid w:val="78EE15F0"/>
    <w:rsid w:val="78FBD26B"/>
    <w:rsid w:val="797DD1B7"/>
    <w:rsid w:val="79D045E6"/>
    <w:rsid w:val="79DCE919"/>
    <w:rsid w:val="79EC3745"/>
    <w:rsid w:val="7A0758E4"/>
    <w:rsid w:val="7A113CA9"/>
    <w:rsid w:val="7A122024"/>
    <w:rsid w:val="7A2EE788"/>
    <w:rsid w:val="7A355909"/>
    <w:rsid w:val="7A377C40"/>
    <w:rsid w:val="7A420850"/>
    <w:rsid w:val="7ABB0FB1"/>
    <w:rsid w:val="7B0539A5"/>
    <w:rsid w:val="7B099631"/>
    <w:rsid w:val="7B36B7C3"/>
    <w:rsid w:val="7B63F285"/>
    <w:rsid w:val="7B828C8B"/>
    <w:rsid w:val="7BABBE6C"/>
    <w:rsid w:val="7BBD89E3"/>
    <w:rsid w:val="7BF51013"/>
    <w:rsid w:val="7C1EDA3D"/>
    <w:rsid w:val="7C27A781"/>
    <w:rsid w:val="7C33732D"/>
    <w:rsid w:val="7C3A84C1"/>
    <w:rsid w:val="7C5D07FE"/>
    <w:rsid w:val="7C9D5958"/>
    <w:rsid w:val="7C9F35A3"/>
    <w:rsid w:val="7CA0FD1E"/>
    <w:rsid w:val="7CA56692"/>
    <w:rsid w:val="7CAF2B89"/>
    <w:rsid w:val="7CAF2FF6"/>
    <w:rsid w:val="7CC1AE10"/>
    <w:rsid w:val="7D12D217"/>
    <w:rsid w:val="7D1966F5"/>
    <w:rsid w:val="7D3C5655"/>
    <w:rsid w:val="7D485D97"/>
    <w:rsid w:val="7D7A2943"/>
    <w:rsid w:val="7D9BFFC0"/>
    <w:rsid w:val="7DB550D7"/>
    <w:rsid w:val="7DD49899"/>
    <w:rsid w:val="7DE5662F"/>
    <w:rsid w:val="7DEFD3A6"/>
    <w:rsid w:val="7DF0AD3D"/>
    <w:rsid w:val="7E0104F8"/>
    <w:rsid w:val="7E372B00"/>
    <w:rsid w:val="7E41173F"/>
    <w:rsid w:val="7E525216"/>
    <w:rsid w:val="7E5976E5"/>
    <w:rsid w:val="7EBFA868"/>
    <w:rsid w:val="7ECB856F"/>
    <w:rsid w:val="7EE7BD1C"/>
    <w:rsid w:val="7EEA6A59"/>
    <w:rsid w:val="7EF8AB3E"/>
    <w:rsid w:val="7F320DAA"/>
    <w:rsid w:val="7F3834C8"/>
    <w:rsid w:val="7F702978"/>
    <w:rsid w:val="7F7317D7"/>
    <w:rsid w:val="7F989843"/>
    <w:rsid w:val="7FD25842"/>
    <w:rsid w:val="7FDB4C93"/>
    <w:rsid w:val="7FEAEC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9FD19"/>
  <w15:chartTrackingRefBased/>
  <w15:docId w15:val="{6F94DEB5-391F-40C3-B6F6-25CB42837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22FA"/>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987ECF"/>
    <w:pPr>
      <w:keepNext/>
      <w:keepLines/>
      <w:spacing w:before="240" w:after="240"/>
      <w:jc w:val="center"/>
      <w:outlineLvl w:val="1"/>
    </w:pPr>
    <w:rPr>
      <w:rFonts w:eastAsia="Arial" w:cs="Arial"/>
      <w:b/>
      <w:sz w:val="32"/>
      <w:szCs w:val="36"/>
    </w:rPr>
  </w:style>
  <w:style w:type="paragraph" w:styleId="Heading3">
    <w:name w:val="heading 3"/>
    <w:basedOn w:val="Normal"/>
    <w:next w:val="Normal"/>
    <w:link w:val="Heading3Char"/>
    <w:uiPriority w:val="9"/>
    <w:unhideWhenUsed/>
    <w:qFormat/>
    <w:rsid w:val="008171F4"/>
    <w:pPr>
      <w:keepNext/>
      <w:keepLines/>
      <w:spacing w:before="240" w:after="240"/>
      <w:outlineLvl w:val="2"/>
    </w:pPr>
    <w:rPr>
      <w:rFonts w:eastAsiaTheme="majorEastAsia" w:cs="Arial"/>
      <w:b/>
      <w:sz w:val="32"/>
      <w:szCs w:val="32"/>
    </w:rPr>
  </w:style>
  <w:style w:type="paragraph" w:styleId="Heading4">
    <w:name w:val="heading 4"/>
    <w:basedOn w:val="Normal"/>
    <w:next w:val="Normal"/>
    <w:link w:val="Heading4Char"/>
    <w:uiPriority w:val="9"/>
    <w:unhideWhenUsed/>
    <w:qFormat/>
    <w:rsid w:val="000C2FC9"/>
    <w:pPr>
      <w:spacing w:before="240" w:after="240"/>
      <w:outlineLvl w:val="3"/>
    </w:pPr>
    <w:rPr>
      <w:b/>
      <w:color w:val="000000" w:themeColor="text1"/>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987ECF"/>
    <w:rPr>
      <w:rFonts w:ascii="Arial" w:eastAsia="Arial" w:hAnsi="Arial" w:cs="Arial"/>
      <w:b/>
      <w:sz w:val="32"/>
      <w:szCs w:val="36"/>
    </w:rPr>
  </w:style>
  <w:style w:type="character" w:customStyle="1" w:styleId="Heading3Char">
    <w:name w:val="Heading 3 Char"/>
    <w:basedOn w:val="DefaultParagraphFont"/>
    <w:link w:val="Heading3"/>
    <w:uiPriority w:val="9"/>
    <w:rsid w:val="008171F4"/>
    <w:rPr>
      <w:rFonts w:ascii="Arial" w:eastAsiaTheme="majorEastAsia" w:hAnsi="Arial" w:cs="Arial"/>
      <w:b/>
      <w:sz w:val="32"/>
      <w:szCs w:val="32"/>
    </w:rPr>
  </w:style>
  <w:style w:type="character" w:customStyle="1" w:styleId="Heading4Char">
    <w:name w:val="Heading 4 Char"/>
    <w:basedOn w:val="DefaultParagraphFont"/>
    <w:link w:val="Heading4"/>
    <w:uiPriority w:val="9"/>
    <w:rsid w:val="000C2FC9"/>
    <w:rPr>
      <w:rFonts w:ascii="Arial" w:eastAsia="Times New Roman" w:hAnsi="Arial" w:cs="Times New Roman"/>
      <w:b/>
      <w:color w:val="000000" w:themeColor="text1"/>
      <w:sz w:val="24"/>
      <w:szCs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99"/>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aliases w:val="list,List1,List11,Step Paragraph,Indented Paragraph"/>
    <w:basedOn w:val="Normal"/>
    <w:link w:val="ListParagraphChar"/>
    <w:uiPriority w:val="34"/>
    <w:qFormat/>
    <w:rsid w:val="00406F50"/>
    <w:pPr>
      <w:ind w:left="720"/>
      <w:contextualSpacing/>
    </w:pPr>
  </w:style>
  <w:style w:type="paragraph" w:styleId="Header">
    <w:name w:val="header"/>
    <w:basedOn w:val="Normal"/>
    <w:link w:val="HeaderChar"/>
    <w:uiPriority w:val="99"/>
    <w:unhideWhenUsed/>
    <w:rsid w:val="000E09DC"/>
    <w:pPr>
      <w:tabs>
        <w:tab w:val="center" w:pos="4680"/>
        <w:tab w:val="right" w:pos="9360"/>
      </w:tabs>
    </w:pPr>
  </w:style>
  <w:style w:type="character" w:customStyle="1" w:styleId="HeaderChar">
    <w:name w:val="Header Char"/>
    <w:basedOn w:val="DefaultParagraphFont"/>
    <w:link w:val="Header"/>
    <w:uiPriority w:val="99"/>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customStyle="1" w:styleId="ListParagraphChar">
    <w:name w:val="List Paragraph Char"/>
    <w:aliases w:val="list Char,List1 Char,List11 Char,Step Paragraph Char,Indented Paragraph Char"/>
    <w:link w:val="ListParagraph"/>
    <w:uiPriority w:val="34"/>
    <w:locked/>
    <w:rsid w:val="00E16594"/>
    <w:rPr>
      <w:rFonts w:ascii="Arial" w:eastAsia="Times New Roman" w:hAnsi="Arial" w:cs="Times New Roman"/>
      <w:sz w:val="24"/>
      <w:szCs w:val="24"/>
    </w:rPr>
  </w:style>
  <w:style w:type="paragraph" w:styleId="CommentText">
    <w:name w:val="annotation text"/>
    <w:basedOn w:val="Normal"/>
    <w:link w:val="CommentTextChar"/>
    <w:uiPriority w:val="99"/>
    <w:unhideWhenUsed/>
    <w:rsid w:val="00E16594"/>
    <w:rPr>
      <w:rFonts w:eastAsiaTheme="minorHAnsi" w:cs="Arial"/>
      <w:sz w:val="20"/>
      <w:szCs w:val="20"/>
    </w:rPr>
  </w:style>
  <w:style w:type="character" w:customStyle="1" w:styleId="CommentTextChar">
    <w:name w:val="Comment Text Char"/>
    <w:basedOn w:val="DefaultParagraphFont"/>
    <w:link w:val="CommentText"/>
    <w:uiPriority w:val="99"/>
    <w:rsid w:val="00E16594"/>
    <w:rPr>
      <w:rFonts w:ascii="Arial" w:hAnsi="Arial" w:cs="Arial"/>
      <w:sz w:val="20"/>
      <w:szCs w:val="20"/>
    </w:rPr>
  </w:style>
  <w:style w:type="character" w:styleId="CommentReference">
    <w:name w:val="annotation reference"/>
    <w:basedOn w:val="DefaultParagraphFont"/>
    <w:uiPriority w:val="99"/>
    <w:semiHidden/>
    <w:unhideWhenUsed/>
    <w:rsid w:val="00E16594"/>
    <w:rPr>
      <w:sz w:val="16"/>
      <w:szCs w:val="16"/>
    </w:rPr>
  </w:style>
  <w:style w:type="character" w:styleId="FollowedHyperlink">
    <w:name w:val="FollowedHyperlink"/>
    <w:basedOn w:val="DefaultParagraphFont"/>
    <w:uiPriority w:val="99"/>
    <w:semiHidden/>
    <w:unhideWhenUsed/>
    <w:rsid w:val="00C15CB9"/>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95EF6"/>
    <w:rPr>
      <w:rFonts w:eastAsia="Times New Roman" w:cs="Times New Roman"/>
      <w:b/>
      <w:bCs/>
    </w:rPr>
  </w:style>
  <w:style w:type="character" w:customStyle="1" w:styleId="CommentSubjectChar">
    <w:name w:val="Comment Subject Char"/>
    <w:basedOn w:val="CommentTextChar"/>
    <w:link w:val="CommentSubject"/>
    <w:uiPriority w:val="99"/>
    <w:semiHidden/>
    <w:rsid w:val="00595EF6"/>
    <w:rPr>
      <w:rFonts w:ascii="Arial" w:eastAsia="Times New Roman" w:hAnsi="Arial" w:cs="Times New Roman"/>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unhideWhenUsed/>
    <w:rsid w:val="00A231E5"/>
    <w:rPr>
      <w:color w:val="605E5C"/>
      <w:shd w:val="clear" w:color="auto" w:fill="E1DFDD"/>
    </w:rPr>
  </w:style>
  <w:style w:type="paragraph" w:styleId="Revision">
    <w:name w:val="Revision"/>
    <w:hidden/>
    <w:uiPriority w:val="71"/>
    <w:semiHidden/>
    <w:rsid w:val="000C1A2F"/>
    <w:pPr>
      <w:spacing w:after="0" w:line="240" w:lineRule="auto"/>
    </w:pPr>
    <w:rPr>
      <w:rFonts w:ascii="Arial" w:eastAsia="Times New Roman" w:hAnsi="Arial" w:cs="Times New Roman"/>
      <w:sz w:val="24"/>
      <w:szCs w:val="24"/>
    </w:rPr>
  </w:style>
  <w:style w:type="character" w:styleId="Emphasis">
    <w:name w:val="Emphasis"/>
    <w:basedOn w:val="DefaultParagraphFont"/>
    <w:uiPriority w:val="20"/>
    <w:qFormat/>
    <w:rsid w:val="008F0A7D"/>
    <w:rPr>
      <w:i/>
      <w:iCs/>
    </w:rPr>
  </w:style>
  <w:style w:type="numbering" w:customStyle="1" w:styleId="NoList1">
    <w:name w:val="No List1"/>
    <w:next w:val="NoList"/>
    <w:uiPriority w:val="99"/>
    <w:semiHidden/>
    <w:unhideWhenUsed/>
    <w:rsid w:val="00401F86"/>
  </w:style>
  <w:style w:type="character" w:styleId="Strong">
    <w:name w:val="Strong"/>
    <w:basedOn w:val="DefaultParagraphFont"/>
    <w:uiPriority w:val="22"/>
    <w:rsid w:val="00401F86"/>
  </w:style>
  <w:style w:type="paragraph" w:styleId="IntenseQuote">
    <w:name w:val="Intense Quote"/>
    <w:basedOn w:val="Normal"/>
    <w:next w:val="Normal"/>
    <w:link w:val="IntenseQuoteChar"/>
    <w:uiPriority w:val="60"/>
    <w:rsid w:val="00401F86"/>
    <w:pPr>
      <w:spacing w:before="360" w:after="360" w:line="259" w:lineRule="auto"/>
      <w:ind w:left="1440" w:right="1440"/>
    </w:pPr>
    <w:rPr>
      <w:rFonts w:eastAsia="Calibri" w:cs="Arial"/>
      <w:b/>
      <w:iCs/>
    </w:rPr>
  </w:style>
  <w:style w:type="character" w:customStyle="1" w:styleId="IntenseQuoteChar">
    <w:name w:val="Intense Quote Char"/>
    <w:basedOn w:val="DefaultParagraphFont"/>
    <w:link w:val="IntenseQuote"/>
    <w:uiPriority w:val="60"/>
    <w:rsid w:val="00401F86"/>
    <w:rPr>
      <w:rFonts w:ascii="Arial" w:eastAsia="Calibri" w:hAnsi="Arial" w:cs="Arial"/>
      <w:b/>
      <w:iCs/>
      <w:sz w:val="24"/>
      <w:szCs w:val="24"/>
    </w:rPr>
  </w:style>
  <w:style w:type="character" w:styleId="SubtleEmphasis">
    <w:name w:val="Subtle Emphasis"/>
    <w:uiPriority w:val="65"/>
    <w:rsid w:val="00401F86"/>
  </w:style>
  <w:style w:type="character" w:styleId="IntenseEmphasis">
    <w:name w:val="Intense Emphasis"/>
    <w:basedOn w:val="SubtleEmphasis"/>
    <w:uiPriority w:val="66"/>
    <w:rsid w:val="00401F86"/>
  </w:style>
  <w:style w:type="character" w:styleId="SubtleReference">
    <w:name w:val="Subtle Reference"/>
    <w:basedOn w:val="IntenseEmphasis"/>
    <w:uiPriority w:val="67"/>
    <w:rsid w:val="00401F86"/>
  </w:style>
  <w:style w:type="character" w:styleId="IntenseReference">
    <w:name w:val="Intense Reference"/>
    <w:basedOn w:val="SubtleReference"/>
    <w:uiPriority w:val="68"/>
    <w:rsid w:val="00401F86"/>
  </w:style>
  <w:style w:type="character" w:styleId="BookTitle">
    <w:name w:val="Book Title"/>
    <w:basedOn w:val="IntenseReference"/>
    <w:uiPriority w:val="69"/>
    <w:rsid w:val="00401F86"/>
  </w:style>
  <w:style w:type="paragraph" w:styleId="Quote">
    <w:name w:val="Quote"/>
    <w:basedOn w:val="Normal"/>
    <w:next w:val="Normal"/>
    <w:link w:val="QuoteChar"/>
    <w:uiPriority w:val="73"/>
    <w:qFormat/>
    <w:rsid w:val="00401F86"/>
    <w:pPr>
      <w:spacing w:before="200" w:after="160" w:line="259" w:lineRule="auto"/>
      <w:ind w:left="864" w:right="864"/>
      <w:jc w:val="center"/>
    </w:pPr>
    <w:rPr>
      <w:rFonts w:eastAsia="Calibri" w:cs="Arial"/>
      <w:i/>
      <w:iCs/>
      <w:color w:val="404040" w:themeColor="text1" w:themeTint="BF"/>
    </w:rPr>
  </w:style>
  <w:style w:type="character" w:customStyle="1" w:styleId="QuoteChar">
    <w:name w:val="Quote Char"/>
    <w:basedOn w:val="DefaultParagraphFont"/>
    <w:link w:val="Quote"/>
    <w:uiPriority w:val="73"/>
    <w:rsid w:val="00401F86"/>
    <w:rPr>
      <w:rFonts w:ascii="Arial" w:eastAsia="Calibri" w:hAnsi="Arial" w:cs="Arial"/>
      <w:i/>
      <w:iCs/>
      <w:color w:val="404040" w:themeColor="text1" w:themeTint="BF"/>
      <w:sz w:val="24"/>
      <w:szCs w:val="24"/>
    </w:rPr>
  </w:style>
  <w:style w:type="character" w:styleId="Mention">
    <w:name w:val="Mention"/>
    <w:basedOn w:val="DefaultParagraphFont"/>
    <w:uiPriority w:val="99"/>
    <w:unhideWhenUsed/>
    <w:rsid w:val="00401F86"/>
    <w:rPr>
      <w:color w:val="2B579A"/>
      <w:shd w:val="clear" w:color="auto" w:fill="E6E6E6"/>
    </w:rPr>
  </w:style>
  <w:style w:type="paragraph" w:customStyle="1" w:styleId="paragraph">
    <w:name w:val="paragraph"/>
    <w:basedOn w:val="Normal"/>
    <w:rsid w:val="00401F86"/>
    <w:pPr>
      <w:spacing w:before="100" w:beforeAutospacing="1" w:after="100" w:afterAutospacing="1"/>
    </w:pPr>
    <w:rPr>
      <w:rFonts w:ascii="Times New Roman" w:hAnsi="Times New Roman"/>
    </w:rPr>
  </w:style>
  <w:style w:type="character" w:customStyle="1" w:styleId="normaltextrun">
    <w:name w:val="normaltextrun"/>
    <w:basedOn w:val="DefaultParagraphFont"/>
    <w:rsid w:val="00401F86"/>
  </w:style>
  <w:style w:type="character" w:customStyle="1" w:styleId="eop">
    <w:name w:val="eop"/>
    <w:basedOn w:val="DefaultParagraphFont"/>
    <w:rsid w:val="00401F86"/>
  </w:style>
  <w:style w:type="table" w:customStyle="1" w:styleId="TableGrid1">
    <w:name w:val="Table Grid1"/>
    <w:basedOn w:val="TableNormal"/>
    <w:next w:val="TableGrid"/>
    <w:uiPriority w:val="39"/>
    <w:rsid w:val="00401F8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01F86"/>
    <w:rPr>
      <w:color w:val="808080"/>
    </w:rPr>
  </w:style>
  <w:style w:type="paragraph" w:customStyle="1" w:styleId="Default">
    <w:name w:val="Default"/>
    <w:rsid w:val="009B2C6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12660">
      <w:bodyDiv w:val="1"/>
      <w:marLeft w:val="0"/>
      <w:marRight w:val="0"/>
      <w:marTop w:val="0"/>
      <w:marBottom w:val="0"/>
      <w:divBdr>
        <w:top w:val="none" w:sz="0" w:space="0" w:color="auto"/>
        <w:left w:val="none" w:sz="0" w:space="0" w:color="auto"/>
        <w:bottom w:val="none" w:sz="0" w:space="0" w:color="auto"/>
        <w:right w:val="none" w:sz="0" w:space="0" w:color="auto"/>
      </w:divBdr>
      <w:divsChild>
        <w:div w:id="643511112">
          <w:marLeft w:val="0"/>
          <w:marRight w:val="0"/>
          <w:marTop w:val="0"/>
          <w:marBottom w:val="0"/>
          <w:divBdr>
            <w:top w:val="none" w:sz="0" w:space="0" w:color="auto"/>
            <w:left w:val="none" w:sz="0" w:space="0" w:color="auto"/>
            <w:bottom w:val="none" w:sz="0" w:space="0" w:color="auto"/>
            <w:right w:val="none" w:sz="0" w:space="0" w:color="auto"/>
          </w:divBdr>
        </w:div>
        <w:div w:id="1558585717">
          <w:marLeft w:val="0"/>
          <w:marRight w:val="0"/>
          <w:marTop w:val="0"/>
          <w:marBottom w:val="0"/>
          <w:divBdr>
            <w:top w:val="none" w:sz="0" w:space="0" w:color="auto"/>
            <w:left w:val="none" w:sz="0" w:space="0" w:color="auto"/>
            <w:bottom w:val="none" w:sz="0" w:space="0" w:color="auto"/>
            <w:right w:val="none" w:sz="0" w:space="0" w:color="auto"/>
          </w:divBdr>
        </w:div>
        <w:div w:id="1590308637">
          <w:marLeft w:val="0"/>
          <w:marRight w:val="0"/>
          <w:marTop w:val="0"/>
          <w:marBottom w:val="0"/>
          <w:divBdr>
            <w:top w:val="none" w:sz="0" w:space="0" w:color="auto"/>
            <w:left w:val="none" w:sz="0" w:space="0" w:color="auto"/>
            <w:bottom w:val="none" w:sz="0" w:space="0" w:color="auto"/>
            <w:right w:val="none" w:sz="0" w:space="0" w:color="auto"/>
          </w:divBdr>
        </w:div>
        <w:div w:id="1947610951">
          <w:marLeft w:val="0"/>
          <w:marRight w:val="0"/>
          <w:marTop w:val="0"/>
          <w:marBottom w:val="0"/>
          <w:divBdr>
            <w:top w:val="none" w:sz="0" w:space="0" w:color="auto"/>
            <w:left w:val="none" w:sz="0" w:space="0" w:color="auto"/>
            <w:bottom w:val="none" w:sz="0" w:space="0" w:color="auto"/>
            <w:right w:val="none" w:sz="0" w:space="0" w:color="auto"/>
          </w:divBdr>
        </w:div>
        <w:div w:id="2146310479">
          <w:marLeft w:val="0"/>
          <w:marRight w:val="0"/>
          <w:marTop w:val="0"/>
          <w:marBottom w:val="0"/>
          <w:divBdr>
            <w:top w:val="none" w:sz="0" w:space="0" w:color="auto"/>
            <w:left w:val="none" w:sz="0" w:space="0" w:color="auto"/>
            <w:bottom w:val="none" w:sz="0" w:space="0" w:color="auto"/>
            <w:right w:val="none" w:sz="0" w:space="0" w:color="auto"/>
          </w:divBdr>
        </w:div>
      </w:divsChild>
    </w:div>
    <w:div w:id="756098703">
      <w:bodyDiv w:val="1"/>
      <w:marLeft w:val="0"/>
      <w:marRight w:val="0"/>
      <w:marTop w:val="0"/>
      <w:marBottom w:val="0"/>
      <w:divBdr>
        <w:top w:val="none" w:sz="0" w:space="0" w:color="auto"/>
        <w:left w:val="none" w:sz="0" w:space="0" w:color="auto"/>
        <w:bottom w:val="none" w:sz="0" w:space="0" w:color="auto"/>
        <w:right w:val="none" w:sz="0" w:space="0" w:color="auto"/>
      </w:divBdr>
      <w:divsChild>
        <w:div w:id="227615624">
          <w:marLeft w:val="0"/>
          <w:marRight w:val="0"/>
          <w:marTop w:val="0"/>
          <w:marBottom w:val="0"/>
          <w:divBdr>
            <w:top w:val="none" w:sz="0" w:space="0" w:color="auto"/>
            <w:left w:val="none" w:sz="0" w:space="0" w:color="auto"/>
            <w:bottom w:val="none" w:sz="0" w:space="0" w:color="auto"/>
            <w:right w:val="none" w:sz="0" w:space="0" w:color="auto"/>
          </w:divBdr>
        </w:div>
        <w:div w:id="680157557">
          <w:marLeft w:val="0"/>
          <w:marRight w:val="0"/>
          <w:marTop w:val="0"/>
          <w:marBottom w:val="0"/>
          <w:divBdr>
            <w:top w:val="none" w:sz="0" w:space="0" w:color="auto"/>
            <w:left w:val="none" w:sz="0" w:space="0" w:color="auto"/>
            <w:bottom w:val="none" w:sz="0" w:space="0" w:color="auto"/>
            <w:right w:val="none" w:sz="0" w:space="0" w:color="auto"/>
          </w:divBdr>
        </w:div>
        <w:div w:id="935557370">
          <w:marLeft w:val="0"/>
          <w:marRight w:val="0"/>
          <w:marTop w:val="0"/>
          <w:marBottom w:val="0"/>
          <w:divBdr>
            <w:top w:val="none" w:sz="0" w:space="0" w:color="auto"/>
            <w:left w:val="none" w:sz="0" w:space="0" w:color="auto"/>
            <w:bottom w:val="none" w:sz="0" w:space="0" w:color="auto"/>
            <w:right w:val="none" w:sz="0" w:space="0" w:color="auto"/>
          </w:divBdr>
        </w:div>
        <w:div w:id="1745639140">
          <w:marLeft w:val="0"/>
          <w:marRight w:val="0"/>
          <w:marTop w:val="0"/>
          <w:marBottom w:val="0"/>
          <w:divBdr>
            <w:top w:val="none" w:sz="0" w:space="0" w:color="auto"/>
            <w:left w:val="none" w:sz="0" w:space="0" w:color="auto"/>
            <w:bottom w:val="none" w:sz="0" w:space="0" w:color="auto"/>
            <w:right w:val="none" w:sz="0" w:space="0" w:color="auto"/>
          </w:divBdr>
        </w:div>
        <w:div w:id="1794136168">
          <w:marLeft w:val="0"/>
          <w:marRight w:val="0"/>
          <w:marTop w:val="0"/>
          <w:marBottom w:val="0"/>
          <w:divBdr>
            <w:top w:val="none" w:sz="0" w:space="0" w:color="auto"/>
            <w:left w:val="none" w:sz="0" w:space="0" w:color="auto"/>
            <w:bottom w:val="none" w:sz="0" w:space="0" w:color="auto"/>
            <w:right w:val="none" w:sz="0" w:space="0" w:color="auto"/>
          </w:divBdr>
        </w:div>
      </w:divsChild>
    </w:div>
    <w:div w:id="1007368162">
      <w:bodyDiv w:val="1"/>
      <w:marLeft w:val="0"/>
      <w:marRight w:val="0"/>
      <w:marTop w:val="0"/>
      <w:marBottom w:val="0"/>
      <w:divBdr>
        <w:top w:val="none" w:sz="0" w:space="0" w:color="auto"/>
        <w:left w:val="none" w:sz="0" w:space="0" w:color="auto"/>
        <w:bottom w:val="none" w:sz="0" w:space="0" w:color="auto"/>
        <w:right w:val="none" w:sz="0" w:space="0" w:color="auto"/>
      </w:divBdr>
    </w:div>
    <w:div w:id="1633056919">
      <w:bodyDiv w:val="1"/>
      <w:marLeft w:val="0"/>
      <w:marRight w:val="0"/>
      <w:marTop w:val="0"/>
      <w:marBottom w:val="0"/>
      <w:divBdr>
        <w:top w:val="none" w:sz="0" w:space="0" w:color="auto"/>
        <w:left w:val="none" w:sz="0" w:space="0" w:color="auto"/>
        <w:bottom w:val="none" w:sz="0" w:space="0" w:color="auto"/>
        <w:right w:val="none" w:sz="0" w:space="0" w:color="auto"/>
      </w:divBdr>
    </w:div>
    <w:div w:id="1845363207">
      <w:bodyDiv w:val="1"/>
      <w:marLeft w:val="0"/>
      <w:marRight w:val="0"/>
      <w:marTop w:val="0"/>
      <w:marBottom w:val="0"/>
      <w:divBdr>
        <w:top w:val="none" w:sz="0" w:space="0" w:color="auto"/>
        <w:left w:val="none" w:sz="0" w:space="0" w:color="auto"/>
        <w:bottom w:val="none" w:sz="0" w:space="0" w:color="auto"/>
        <w:right w:val="none" w:sz="0" w:space="0" w:color="auto"/>
      </w:divBdr>
    </w:div>
    <w:div w:id="2061512610">
      <w:bodyDiv w:val="1"/>
      <w:marLeft w:val="0"/>
      <w:marRight w:val="0"/>
      <w:marTop w:val="0"/>
      <w:marBottom w:val="0"/>
      <w:divBdr>
        <w:top w:val="none" w:sz="0" w:space="0" w:color="auto"/>
        <w:left w:val="none" w:sz="0" w:space="0" w:color="auto"/>
        <w:bottom w:val="none" w:sz="0" w:space="0" w:color="auto"/>
        <w:right w:val="none" w:sz="0" w:space="0" w:color="auto"/>
      </w:divBdr>
      <w:divsChild>
        <w:div w:id="367875345">
          <w:marLeft w:val="0"/>
          <w:marRight w:val="0"/>
          <w:marTop w:val="0"/>
          <w:marBottom w:val="0"/>
          <w:divBdr>
            <w:top w:val="none" w:sz="0" w:space="0" w:color="auto"/>
            <w:left w:val="none" w:sz="0" w:space="0" w:color="auto"/>
            <w:bottom w:val="none" w:sz="0" w:space="0" w:color="auto"/>
            <w:right w:val="none" w:sz="0" w:space="0" w:color="auto"/>
          </w:divBdr>
        </w:div>
        <w:div w:id="965619399">
          <w:marLeft w:val="0"/>
          <w:marRight w:val="0"/>
          <w:marTop w:val="0"/>
          <w:marBottom w:val="0"/>
          <w:divBdr>
            <w:top w:val="none" w:sz="0" w:space="0" w:color="auto"/>
            <w:left w:val="none" w:sz="0" w:space="0" w:color="auto"/>
            <w:bottom w:val="none" w:sz="0" w:space="0" w:color="auto"/>
            <w:right w:val="none" w:sz="0" w:space="0" w:color="auto"/>
          </w:divBdr>
        </w:div>
        <w:div w:id="1249652785">
          <w:marLeft w:val="0"/>
          <w:marRight w:val="0"/>
          <w:marTop w:val="0"/>
          <w:marBottom w:val="0"/>
          <w:divBdr>
            <w:top w:val="none" w:sz="0" w:space="0" w:color="auto"/>
            <w:left w:val="none" w:sz="0" w:space="0" w:color="auto"/>
            <w:bottom w:val="none" w:sz="0" w:space="0" w:color="auto"/>
            <w:right w:val="none" w:sz="0" w:space="0" w:color="auto"/>
          </w:divBdr>
        </w:div>
        <w:div w:id="1840655431">
          <w:marLeft w:val="0"/>
          <w:marRight w:val="0"/>
          <w:marTop w:val="0"/>
          <w:marBottom w:val="0"/>
          <w:divBdr>
            <w:top w:val="none" w:sz="0" w:space="0" w:color="auto"/>
            <w:left w:val="none" w:sz="0" w:space="0" w:color="auto"/>
            <w:bottom w:val="none" w:sz="0" w:space="0" w:color="auto"/>
            <w:right w:val="none" w:sz="0" w:space="0" w:color="auto"/>
          </w:divBdr>
        </w:div>
        <w:div w:id="2102483030">
          <w:marLeft w:val="0"/>
          <w:marRight w:val="0"/>
          <w:marTop w:val="0"/>
          <w:marBottom w:val="0"/>
          <w:divBdr>
            <w:top w:val="none" w:sz="0" w:space="0" w:color="auto"/>
            <w:left w:val="none" w:sz="0" w:space="0" w:color="auto"/>
            <w:bottom w:val="none" w:sz="0" w:space="0" w:color="auto"/>
            <w:right w:val="none" w:sz="0" w:space="0" w:color="auto"/>
          </w:divBdr>
        </w:div>
      </w:divsChild>
    </w:div>
    <w:div w:id="209265170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cde.ca.gov/be/ag/ag/yr20/documents/nov20item04.docx" TargetMode="External"/><Relationship Id="rId26" Type="http://schemas.openxmlformats.org/officeDocument/2006/relationships/hyperlink" Target="https://www.cde.ca.gov/be/ag/ag/yr16/documents/may16item08.doc" TargetMode="External"/><Relationship Id="rId39" Type="http://schemas.openxmlformats.org/officeDocument/2006/relationships/hyperlink" Target="https://www.cde.ca.gov/ta/tg/ca/altassessment.asp" TargetMode="External"/><Relationship Id="rId3" Type="http://schemas.openxmlformats.org/officeDocument/2006/relationships/customXml" Target="../customXml/item3.xml"/><Relationship Id="rId21" Type="http://schemas.openxmlformats.org/officeDocument/2006/relationships/hyperlink" Target="https://www.cde.ca.gov/be/ag/ag/yr20/documents/jul20item05.docx" TargetMode="External"/><Relationship Id="rId34" Type="http://schemas.openxmlformats.org/officeDocument/2006/relationships/hyperlink" Target="https://oese.ed.gov/files/2021/01/ca-one-percent-waiver-letter.pdf" TargetMode="External"/><Relationship Id="rId42" Type="http://schemas.openxmlformats.org/officeDocument/2006/relationships/hyperlink" Target="https://www.cde.ca.gov/ta/tg/ca/caaiepteamrev.asp"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de.ca.gov/be/ag/ag/yr21/documents/jan21item03.docx" TargetMode="External"/><Relationship Id="rId25" Type="http://schemas.openxmlformats.org/officeDocument/2006/relationships/hyperlink" Target="https://www.cde.ca.gov/be/pn/im/memo-pptb-adad-dec17item01a01.asp" TargetMode="External"/><Relationship Id="rId33" Type="http://schemas.openxmlformats.org/officeDocument/2006/relationships/header" Target="header4.xml"/><Relationship Id="rId38" Type="http://schemas.openxmlformats.org/officeDocument/2006/relationships/hyperlink" Target="https://www.cde.ca.gov/ta/tg/ca/documents/altassessmentdecision.pdf" TargetMode="External"/><Relationship Id="rId46"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https://www.cde.ca.gov/be/ag/ag/yr21/documents/feb2124item02.docx" TargetMode="External"/><Relationship Id="rId20" Type="http://schemas.openxmlformats.org/officeDocument/2006/relationships/hyperlink" Target="https://www.cde.ca.gov/be/pn/im/documents/aug20adad01.docx" TargetMode="External"/><Relationship Id="rId29" Type="http://schemas.openxmlformats.org/officeDocument/2006/relationships/image" Target="media/image2.jpg"/><Relationship Id="rId41" Type="http://schemas.openxmlformats.org/officeDocument/2006/relationships/hyperlink" Target="https://www.cde.ca.gov/ta/tg/sa/documents/iepedresource.pdf" TargetMode="External"/><Relationship Id="rId54"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de.ca.gov/be/pn/im/documents/memo-pptb-adad-dec17item01.doc" TargetMode="External"/><Relationship Id="rId32" Type="http://schemas.openxmlformats.org/officeDocument/2006/relationships/footer" Target="footer4.xml"/><Relationship Id="rId37" Type="http://schemas.openxmlformats.org/officeDocument/2006/relationships/hyperlink" Target="https://www.cde.ca.gov/ta/tg/ca/caaonepercent.asp" TargetMode="External"/><Relationship Id="rId40" Type="http://schemas.openxmlformats.org/officeDocument/2006/relationships/hyperlink" Target="https://www.cde.ca.gov/ta/tg/ca/caascience.asp" TargetMode="External"/><Relationship Id="rId45" Type="http://schemas.openxmlformats.org/officeDocument/2006/relationships/header" Target="header7.xml"/><Relationship Id="rId53"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cde.ca.gov/be/pn/im/memo-pptb-adad-dec17item01a01.asp" TargetMode="External"/><Relationship Id="rId23" Type="http://schemas.openxmlformats.org/officeDocument/2006/relationships/hyperlink" Target="https://www.cde.ca.gov/be/ag/ag/yr18/documents/jan18item06.docx" TargetMode="External"/><Relationship Id="rId28" Type="http://schemas.openxmlformats.org/officeDocument/2006/relationships/footer" Target="footer3.xm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www.cde.ca.gov/be/ag/ag/yr20/documents/sep20item07.docx" TargetMode="External"/><Relationship Id="rId31" Type="http://schemas.openxmlformats.org/officeDocument/2006/relationships/header" Target="header3.xml"/><Relationship Id="rId44" Type="http://schemas.openxmlformats.org/officeDocument/2006/relationships/hyperlink" Target="https://www.cde.ca.gov/be/pn/im/memo-pptb-adad-dec17item01a01.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cde.ca.gov/be/pn/im/documents/apr20memoadad02.docx" TargetMode="External"/><Relationship Id="rId27" Type="http://schemas.openxmlformats.org/officeDocument/2006/relationships/header" Target="header2.xml"/><Relationship Id="rId30" Type="http://schemas.openxmlformats.org/officeDocument/2006/relationships/hyperlink" Target="mailto:CCotton@cde.ca.gov" TargetMode="External"/><Relationship Id="rId35" Type="http://schemas.openxmlformats.org/officeDocument/2006/relationships/header" Target="header5.xml"/><Relationship Id="rId43" Type="http://schemas.openxmlformats.org/officeDocument/2006/relationships/hyperlink" Target="https://www.cde.ca.gov/ta/tg/ca/caaonepercent.asp" TargetMode="External"/><Relationship Id="rId48" Type="http://schemas.openxmlformats.org/officeDocument/2006/relationships/theme" Target="theme/theme1.xml"/><Relationship Id="rId8"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64348454-590D-4286-B73D-8DC6AB0AD149}">
    <t:Anchor>
      <t:Comment id="633377859"/>
    </t:Anchor>
    <t:History>
      <t:Event id="{7CA672C5-31A6-494C-9EF2-7E880AFFD88F}" time="2022-02-24T23:40:08.981Z">
        <t:Attribution userId="S::cportney@cde.ca.gov::3c8a77cf-93af-4a08-a01c-fb988167a079" userProvider="AD" userName="Chad Portney"/>
        <t:Anchor>
          <t:Comment id="2052952"/>
        </t:Anchor>
        <t:Create/>
      </t:Event>
      <t:Event id="{EA9E0ED9-E16F-48C7-AC18-983F59CB5D93}" time="2022-02-24T23:40:08.981Z">
        <t:Attribution userId="S::cportney@cde.ca.gov::3c8a77cf-93af-4a08-a01c-fb988167a079" userProvider="AD" userName="Chad Portney"/>
        <t:Anchor>
          <t:Comment id="2052952"/>
        </t:Anchor>
        <t:Assign userId="S::MVang@cde.ca.gov::50974563-3717-403e-90db-13ab02c4271e" userProvider="AD" userName="Mao Vang"/>
      </t:Event>
      <t:Event id="{DB23F5EA-9BB8-4479-AF29-CDA0B44A3137}" time="2022-02-24T23:40:08.981Z">
        <t:Attribution userId="S::cportney@cde.ca.gov::3c8a77cf-93af-4a08-a01c-fb988167a079" userProvider="AD" userName="Chad Portney"/>
        <t:Anchor>
          <t:Comment id="2052952"/>
        </t:Anchor>
        <t:SetTitle title="@Mao Vang I updated the column headers and the 2019 column to reflect the old version for your comparison."/>
      </t:Event>
    </t:History>
  </t:Task>
  <t:Task id="{EC86316F-9164-4785-8F73-4547DD7DED09}">
    <t:Anchor>
      <t:Comment id="632545641"/>
    </t:Anchor>
    <t:History>
      <t:Event id="{CE7F5ADF-A7FC-4BC8-B88A-CBF8E57C97A4}" time="2022-02-14T17:45:21.359Z">
        <t:Attribution userId="S::dtriplett@cde.ca.gov::5d249411-ceac-47d2-87f9-1e557a4ea237" userProvider="AD" userName="Devin Triplett"/>
        <t:Anchor>
          <t:Comment id="1509976969"/>
        </t:Anchor>
        <t:Create/>
      </t:Event>
      <t:Event id="{3EF8C806-6B37-4117-AA16-03F0D8CE3808}" time="2022-02-14T17:45:21.359Z">
        <t:Attribution userId="S::dtriplett@cde.ca.gov::5d249411-ceac-47d2-87f9-1e557a4ea237" userProvider="AD" userName="Devin Triplett"/>
        <t:Anchor>
          <t:Comment id="1509976969"/>
        </t:Anchor>
        <t:Assign userId="S::VAsmundson@cde.ca.gov::e2c8e8fd-33de-48bc-8dc3-360f6d4eea07" userProvider="AD" userName="Vigdis Asmundson"/>
      </t:Event>
      <t:Event id="{8BE4B3F7-F794-4CB9-B6A6-F27A8B9EF7CE}" time="2022-02-14T17:45:21.359Z">
        <t:Attribution userId="S::dtriplett@cde.ca.gov::5d249411-ceac-47d2-87f9-1e557a4ea237" userProvider="AD" userName="Devin Triplett"/>
        <t:Anchor>
          <t:Comment id="1509976969"/>
        </t:Anchor>
        <t:SetTitle title="@Vigdis Asmundson @Linda Hooper Are you aware of the SBE action referred to here?"/>
      </t:Event>
      <t:Event id="{07836CF3-18E9-4CA7-B22A-7B8E26225C86}" time="2022-02-14T23:46:02.493Z">
        <t:Attribution userId="S::chudson@cde.ca.gov::60e836f3-086d-4d77-a502-597c1d1b80a8" userProvider="AD" userName="Charissa Hudson"/>
        <t:Anchor>
          <t:Comment id="1821566765"/>
        </t:Anchor>
        <t:UnassignAll/>
      </t:Event>
      <t:Event id="{97AA8208-EFC8-48A0-95BF-F48475DAC44A}" time="2022-02-14T23:46:02.493Z">
        <t:Attribution userId="S::chudson@cde.ca.gov::60e836f3-086d-4d77-a502-597c1d1b80a8" userProvider="AD" userName="Charissa Hudson"/>
        <t:Anchor>
          <t:Comment id="1821566765"/>
        </t:Anchor>
        <t:Assign userId="S::LHooper@cde.ca.gov::bf095d39-d44d-4c1d-ab3c-ee169b867525" userProvider="AD" userName="Linda Hooper"/>
      </t:Event>
    </t:History>
  </t:Task>
  <t:Task id="{5B3947AC-8906-4F42-B902-698B967F4316}">
    <t:Anchor>
      <t:Comment id="632545639"/>
    </t:Anchor>
    <t:History>
      <t:Event id="{CCD4BD84-C7CE-44A6-8537-A0D74BADF121}" time="2022-02-14T17:46:49.655Z">
        <t:Attribution userId="S::dtriplett@cde.ca.gov::5d249411-ceac-47d2-87f9-1e557a4ea237" userProvider="AD" userName="Devin Triplett"/>
        <t:Anchor>
          <t:Comment id="625786130"/>
        </t:Anchor>
        <t:Create/>
      </t:Event>
      <t:Event id="{995D6537-F832-4355-B3BF-534412A183A8}" time="2022-02-14T17:46:49.655Z">
        <t:Attribution userId="S::dtriplett@cde.ca.gov::5d249411-ceac-47d2-87f9-1e557a4ea237" userProvider="AD" userName="Devin Triplett"/>
        <t:Anchor>
          <t:Comment id="625786130"/>
        </t:Anchor>
        <t:Assign userId="S::CPortney@cde.ca.gov::3c8a77cf-93af-4a08-a01c-fb988167a079" userProvider="AD" userName="Chad Portney"/>
      </t:Event>
      <t:Event id="{2A2E91CB-6BE7-4A65-BBFC-86CA284E6162}" time="2022-02-14T17:46:49.655Z">
        <t:Attribution userId="S::dtriplett@cde.ca.gov::5d249411-ceac-47d2-87f9-1e557a4ea237" userProvider="AD" userName="Devin Triplett"/>
        <t:Anchor>
          <t:Comment id="625786130"/>
        </t:Anchor>
        <t:SetTitle title="@Chad Portney I believe the 95% is for general as well as alts; however, it doesn't make the current sentence incorrect. Should we revise to &quot;Less than 25 percent of students completed the state assessments in ELA and mathematics....&quot;?"/>
      </t:Event>
      <t:Event id="{9137EE6E-6B26-4842-BC33-6ECE2338FB2E}" time="2022-02-14T21:37:44.083Z">
        <t:Attribution userId="S::cportney@cde.ca.gov::3c8a77cf-93af-4a08-a01c-fb988167a079" userProvider="AD" userName="Chad Portney"/>
        <t:Progress percentComplete="100"/>
      </t:Event>
    </t:History>
  </t:Task>
  <t:Task id="{200C1A82-6FAF-4B9B-BC5D-14F91A736087}">
    <t:Anchor>
      <t:Comment id="632545634"/>
    </t:Anchor>
    <t:History>
      <t:Event id="{E8933D13-8643-461A-8850-98D84DA9FDEF}" time="2022-02-14T18:19:42.537Z">
        <t:Attribution userId="S::cportney@cde.ca.gov::3c8a77cf-93af-4a08-a01c-fb988167a079" userProvider="AD" userName="Chad Portney"/>
        <t:Anchor>
          <t:Comment id="214965578"/>
        </t:Anchor>
        <t:Create/>
      </t:Event>
      <t:Event id="{7C1FC097-4B61-4E8E-9B47-05EF13F11CC5}" time="2022-02-14T18:19:42.537Z">
        <t:Attribution userId="S::cportney@cde.ca.gov::3c8a77cf-93af-4a08-a01c-fb988167a079" userProvider="AD" userName="Chad Portney"/>
        <t:Anchor>
          <t:Comment id="214965578"/>
        </t:Anchor>
        <t:Assign userId="S::LHooper@cde.ca.gov::bf095d39-d44d-4c1d-ab3c-ee169b867525" userProvider="AD" userName="Linda Hooper"/>
      </t:Event>
      <t:Event id="{2D5D15D3-6772-41F7-B4F1-F66C6C9D94D2}" time="2022-02-14T18:19:42.537Z">
        <t:Attribution userId="S::cportney@cde.ca.gov::3c8a77cf-93af-4a08-a01c-fb988167a079" userProvider="AD" userName="Chad Portney"/>
        <t:Anchor>
          <t:Comment id="214965578"/>
        </t:Anchor>
        <t:SetTitle title="@Linda Hooper Devin and I need some input from you. I believe this is a reference to not meeting 95% in the year before 20-21 is science and SWDs for all subjects. Patricia is asking for language that addresses the concern in the 1% denial from 20-21. …"/>
      </t:Event>
      <t:Event id="{7CCD67EB-0B59-4623-9D24-BE39CF1F6660}" time="2022-02-16T01:20:03.591Z">
        <t:Attribution userId="S::cportney@cde.ca.gov::3c8a77cf-93af-4a08-a01c-fb988167a079" userProvider="AD" userName="Chad Portney"/>
        <t:Progress percentComplete="100"/>
      </t:Event>
      <t:Event id="{03076C2B-5D1D-40DE-BBE8-32F15E5757C2}" time="2022-02-16T01:22:48.076Z">
        <t:Attribution userId="S::cportney@cde.ca.gov::3c8a77cf-93af-4a08-a01c-fb988167a079" userProvider="AD" userName="Chad Portney"/>
        <t:Progress percentComplete="0"/>
      </t:Event>
      <t:Event id="{8A1915A0-57DA-4236-A7F2-7355F7F35255}" time="2022-02-17T02:35:22.47Z">
        <t:Attribution userId="S::chudson@cde.ca.gov::60e836f3-086d-4d77-a502-597c1d1b80a8" userProvider="AD" userName="Charissa Hudson"/>
        <t:Anchor>
          <t:Comment id="813425256"/>
        </t:Anchor>
        <t:UnassignAll/>
      </t:Event>
      <t:Event id="{2D99698B-CE65-48ED-AD66-3A3BCF942ECE}" time="2022-02-17T02:35:22.47Z">
        <t:Attribution userId="S::chudson@cde.ca.gov::60e836f3-086d-4d77-a502-597c1d1b80a8" userProvider="AD" userName="Charissa Hudson"/>
        <t:Anchor>
          <t:Comment id="813425256"/>
        </t:Anchor>
        <t:Assign userId="S::CPortney@cde.ca.gov::3c8a77cf-93af-4a08-a01c-fb988167a079" userProvider="AD" userName="Chad Portney"/>
      </t:Event>
      <t:Event id="{7BF31B0B-9C1C-412F-8E35-E24FD1FA5B01}" time="2022-02-17T16:07:20.686Z">
        <t:Attribution userId="S::cportney@cde.ca.gov::3c8a77cf-93af-4a08-a01c-fb988167a079" userProvider="AD" userName="Chad Portney"/>
        <t:Progress percentComplete="100"/>
      </t:Event>
    </t:History>
  </t:Task>
  <t:Task id="{DBD4B76F-95FA-4EA5-A5D8-C9B4A1BE4570}">
    <t:Anchor>
      <t:Comment id="632545635"/>
    </t:Anchor>
    <t:History>
      <t:Event id="{FC5C7395-A212-4E27-9215-B82D1F3A1771}" time="2022-02-14T18:26:33.121Z">
        <t:Attribution userId="S::cportney@cde.ca.gov::3c8a77cf-93af-4a08-a01c-fb988167a079" userProvider="AD" userName="Chad Portney"/>
        <t:Anchor>
          <t:Comment id="4948520"/>
        </t:Anchor>
        <t:Create/>
      </t:Event>
      <t:Event id="{A0D0FF85-8F89-4AC6-AFA9-F2F041F63D79}" time="2022-02-14T18:26:33.121Z">
        <t:Attribution userId="S::cportney@cde.ca.gov::3c8a77cf-93af-4a08-a01c-fb988167a079" userProvider="AD" userName="Chad Portney"/>
        <t:Anchor>
          <t:Comment id="4948520"/>
        </t:Anchor>
        <t:Assign userId="S::LHooper@cde.ca.gov::bf095d39-d44d-4c1d-ab3c-ee169b867525" userProvider="AD" userName="Linda Hooper"/>
      </t:Event>
      <t:Event id="{D2D4B7FF-0472-4A39-93A1-2300F6B3B1DA}" time="2022-02-14T18:26:33.121Z">
        <t:Attribution userId="S::cportney@cde.ca.gov::3c8a77cf-93af-4a08-a01c-fb988167a079" userProvider="AD" userName="Chad Portney"/>
        <t:Anchor>
          <t:Comment id="4948520"/>
        </t:Anchor>
        <t:SetTitle title="@Linda Hooper This is a reference to this bullet in the letter from ED. Does the SBE meeting fulfill the requirement? &quot;Fulfillment of requirements in section 8401 of the ESEA related to public comment.&quot; 8401 the State educational agency shall— (i) …"/>
      </t:Event>
      <t:Event id="{AEEE7EE6-7148-47C2-B482-2D5517FA32F7}" time="2022-02-16T01:11:18.907Z">
        <t:Attribution userId="S::cportney@cde.ca.gov::3c8a77cf-93af-4a08-a01c-fb988167a079" userProvider="AD" userName="Chad Portney"/>
        <t:Progress percentComplete="100"/>
      </t:Event>
      <t:Event id="{FE84C140-3D46-4632-9665-9AA3D248B271}" time="2022-02-16T01:20:41.896Z">
        <t:Attribution userId="S::cportney@cde.ca.gov::3c8a77cf-93af-4a08-a01c-fb988167a079" userProvider="AD" userName="Chad Portney"/>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6" ma:contentTypeDescription="Create a new document." ma:contentTypeScope="" ma:versionID="280d2f4ebf7ccb551f9425b3ec612b04">
  <xsd:schema xmlns:xsd="http://www.w3.org/2001/XMLSchema" xmlns:xs="http://www.w3.org/2001/XMLSchema" xmlns:p="http://schemas.microsoft.com/office/2006/metadata/properties" xmlns:ns2="1aae30ff-d7bc-47e3-882e-cd3423d00d62" xmlns:ns3="f89dec18-d0c2-45d2-8a15-31051f2519f8" targetNamespace="http://schemas.microsoft.com/office/2006/metadata/properties" ma:root="true" ma:fieldsID="af047fc1c62598362d30920c33241113" ns2:_="" ns3:_="">
    <xsd:import namespace="1aae30ff-d7bc-47e3-882e-cd3423d00d62"/>
    <xsd:import namespace="f89dec18-d0c2-45d2-8a15-31051f2519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A353B-21C0-4695-A451-37546C91DC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9935B0-6B11-4610-996D-F9574B4DCCEB}">
  <ds:schemaRefs>
    <ds:schemaRef ds:uri="http://schemas.microsoft.com/sharepoint/v3/contenttype/forms"/>
  </ds:schemaRefs>
</ds:datastoreItem>
</file>

<file path=customXml/itemProps3.xml><?xml version="1.0" encoding="utf-8"?>
<ds:datastoreItem xmlns:ds="http://schemas.openxmlformats.org/officeDocument/2006/customXml" ds:itemID="{126FC19B-6D71-44A6-B299-C30135B46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e30ff-d7bc-47e3-882e-cd3423d00d62"/>
    <ds:schemaRef ds:uri="f89dec18-d0c2-45d2-8a15-31051f251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070077-E4BA-4844-848E-D64F6C43F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27</Pages>
  <Words>7953</Words>
  <Characters>45334</Characters>
  <DocSecurity>0</DocSecurity>
  <Lines>377</Lines>
  <Paragraphs>106</Paragraphs>
  <ScaleCrop>false</ScaleCrop>
  <HeadingPairs>
    <vt:vector size="2" baseType="variant">
      <vt:variant>
        <vt:lpstr>Title</vt:lpstr>
      </vt:variant>
      <vt:variant>
        <vt:i4>1</vt:i4>
      </vt:variant>
    </vt:vector>
  </HeadingPairs>
  <TitlesOfParts>
    <vt:vector size="1" baseType="lpstr">
      <vt:lpstr>March 2022 Agenda Item 00 - Meeting Agendas (CA State Board of Education)</vt:lpstr>
    </vt:vector>
  </TitlesOfParts>
  <Company>California State Board of Education</Company>
  <LinksUpToDate>false</LinksUpToDate>
  <CharactersWithSpaces>53181</CharactersWithSpaces>
  <SharedDoc>false</SharedDoc>
  <HLinks>
    <vt:vector size="144" baseType="variant">
      <vt:variant>
        <vt:i4>4259927</vt:i4>
      </vt:variant>
      <vt:variant>
        <vt:i4>63</vt:i4>
      </vt:variant>
      <vt:variant>
        <vt:i4>0</vt:i4>
      </vt:variant>
      <vt:variant>
        <vt:i4>5</vt:i4>
      </vt:variant>
      <vt:variant>
        <vt:lpwstr>https://www.cde.ca.gov/be/pn/im/memo-pptb-adad-dec17item01a01.asp</vt:lpwstr>
      </vt:variant>
      <vt:variant>
        <vt:lpwstr/>
      </vt:variant>
      <vt:variant>
        <vt:i4>6029326</vt:i4>
      </vt:variant>
      <vt:variant>
        <vt:i4>60</vt:i4>
      </vt:variant>
      <vt:variant>
        <vt:i4>0</vt:i4>
      </vt:variant>
      <vt:variant>
        <vt:i4>5</vt:i4>
      </vt:variant>
      <vt:variant>
        <vt:lpwstr>https://www.cde.ca.gov/ta/tg/ca/caaonepercent.asp</vt:lpwstr>
      </vt:variant>
      <vt:variant>
        <vt:lpwstr/>
      </vt:variant>
      <vt:variant>
        <vt:i4>4849671</vt:i4>
      </vt:variant>
      <vt:variant>
        <vt:i4>57</vt:i4>
      </vt:variant>
      <vt:variant>
        <vt:i4>0</vt:i4>
      </vt:variant>
      <vt:variant>
        <vt:i4>5</vt:i4>
      </vt:variant>
      <vt:variant>
        <vt:lpwstr>https://www.cde.ca.gov/ta/tg/ca/caaiepteamrev.asp</vt:lpwstr>
      </vt:variant>
      <vt:variant>
        <vt:lpwstr/>
      </vt:variant>
      <vt:variant>
        <vt:i4>7012471</vt:i4>
      </vt:variant>
      <vt:variant>
        <vt:i4>54</vt:i4>
      </vt:variant>
      <vt:variant>
        <vt:i4>0</vt:i4>
      </vt:variant>
      <vt:variant>
        <vt:i4>5</vt:i4>
      </vt:variant>
      <vt:variant>
        <vt:lpwstr>https://www.cde.ca.gov/ta/tg/sa/documents/iepedresource.pdf</vt:lpwstr>
      </vt:variant>
      <vt:variant>
        <vt:lpwstr/>
      </vt:variant>
      <vt:variant>
        <vt:i4>6488106</vt:i4>
      </vt:variant>
      <vt:variant>
        <vt:i4>51</vt:i4>
      </vt:variant>
      <vt:variant>
        <vt:i4>0</vt:i4>
      </vt:variant>
      <vt:variant>
        <vt:i4>5</vt:i4>
      </vt:variant>
      <vt:variant>
        <vt:lpwstr>https://www.cde.ca.gov/ta/tg/ca/caascience.asp</vt:lpwstr>
      </vt:variant>
      <vt:variant>
        <vt:lpwstr/>
      </vt:variant>
      <vt:variant>
        <vt:i4>5308432</vt:i4>
      </vt:variant>
      <vt:variant>
        <vt:i4>48</vt:i4>
      </vt:variant>
      <vt:variant>
        <vt:i4>0</vt:i4>
      </vt:variant>
      <vt:variant>
        <vt:i4>5</vt:i4>
      </vt:variant>
      <vt:variant>
        <vt:lpwstr>https://www.cde.ca.gov/ta/tg/ca/altassessment.asp</vt:lpwstr>
      </vt:variant>
      <vt:variant>
        <vt:lpwstr/>
      </vt:variant>
      <vt:variant>
        <vt:i4>7929981</vt:i4>
      </vt:variant>
      <vt:variant>
        <vt:i4>45</vt:i4>
      </vt:variant>
      <vt:variant>
        <vt:i4>0</vt:i4>
      </vt:variant>
      <vt:variant>
        <vt:i4>5</vt:i4>
      </vt:variant>
      <vt:variant>
        <vt:lpwstr>https://www.cde.ca.gov/ta/tg/ca/documents/altassessmentdecision.pdf</vt:lpwstr>
      </vt:variant>
      <vt:variant>
        <vt:lpwstr/>
      </vt:variant>
      <vt:variant>
        <vt:i4>6029326</vt:i4>
      </vt:variant>
      <vt:variant>
        <vt:i4>42</vt:i4>
      </vt:variant>
      <vt:variant>
        <vt:i4>0</vt:i4>
      </vt:variant>
      <vt:variant>
        <vt:i4>5</vt:i4>
      </vt:variant>
      <vt:variant>
        <vt:lpwstr>https://www.cde.ca.gov/ta/tg/ca/caaonepercent.asp</vt:lpwstr>
      </vt:variant>
      <vt:variant>
        <vt:lpwstr/>
      </vt:variant>
      <vt:variant>
        <vt:i4>8126586</vt:i4>
      </vt:variant>
      <vt:variant>
        <vt:i4>39</vt:i4>
      </vt:variant>
      <vt:variant>
        <vt:i4>0</vt:i4>
      </vt:variant>
      <vt:variant>
        <vt:i4>5</vt:i4>
      </vt:variant>
      <vt:variant>
        <vt:lpwstr>https://oese.ed.gov/files/2021/01/ca-one-percent-waiver-letter.pdf</vt:lpwstr>
      </vt:variant>
      <vt:variant>
        <vt:lpwstr/>
      </vt:variant>
      <vt:variant>
        <vt:i4>5242942</vt:i4>
      </vt:variant>
      <vt:variant>
        <vt:i4>36</vt:i4>
      </vt:variant>
      <vt:variant>
        <vt:i4>0</vt:i4>
      </vt:variant>
      <vt:variant>
        <vt:i4>5</vt:i4>
      </vt:variant>
      <vt:variant>
        <vt:lpwstr>mailto:CCotton@cde.ca.gov</vt:lpwstr>
      </vt:variant>
      <vt:variant>
        <vt:lpwstr/>
      </vt:variant>
      <vt:variant>
        <vt:i4>2162793</vt:i4>
      </vt:variant>
      <vt:variant>
        <vt:i4>33</vt:i4>
      </vt:variant>
      <vt:variant>
        <vt:i4>0</vt:i4>
      </vt:variant>
      <vt:variant>
        <vt:i4>5</vt:i4>
      </vt:variant>
      <vt:variant>
        <vt:lpwstr>https://www.cde.ca.gov/be/ag/ag/yr16/documents/may16item08.doc</vt:lpwstr>
      </vt:variant>
      <vt:variant>
        <vt:lpwstr/>
      </vt:variant>
      <vt:variant>
        <vt:i4>4259927</vt:i4>
      </vt:variant>
      <vt:variant>
        <vt:i4>30</vt:i4>
      </vt:variant>
      <vt:variant>
        <vt:i4>0</vt:i4>
      </vt:variant>
      <vt:variant>
        <vt:i4>5</vt:i4>
      </vt:variant>
      <vt:variant>
        <vt:lpwstr>https://www.cde.ca.gov/be/pn/im/memo-pptb-adad-dec17item01a01.asp</vt:lpwstr>
      </vt:variant>
      <vt:variant>
        <vt:lpwstr/>
      </vt:variant>
      <vt:variant>
        <vt:i4>983120</vt:i4>
      </vt:variant>
      <vt:variant>
        <vt:i4>27</vt:i4>
      </vt:variant>
      <vt:variant>
        <vt:i4>0</vt:i4>
      </vt:variant>
      <vt:variant>
        <vt:i4>5</vt:i4>
      </vt:variant>
      <vt:variant>
        <vt:lpwstr>https://www.cde.ca.gov/be/pn/im/documents/memo-pptb-adad-dec17item01.doc</vt:lpwstr>
      </vt:variant>
      <vt:variant>
        <vt:lpwstr/>
      </vt:variant>
      <vt:variant>
        <vt:i4>4128873</vt:i4>
      </vt:variant>
      <vt:variant>
        <vt:i4>24</vt:i4>
      </vt:variant>
      <vt:variant>
        <vt:i4>0</vt:i4>
      </vt:variant>
      <vt:variant>
        <vt:i4>5</vt:i4>
      </vt:variant>
      <vt:variant>
        <vt:lpwstr>https://www.cde.ca.gov/be/ag/ag/yr18/documents/jan18item06.docx</vt:lpwstr>
      </vt:variant>
      <vt:variant>
        <vt:lpwstr/>
      </vt:variant>
      <vt:variant>
        <vt:i4>7864439</vt:i4>
      </vt:variant>
      <vt:variant>
        <vt:i4>21</vt:i4>
      </vt:variant>
      <vt:variant>
        <vt:i4>0</vt:i4>
      </vt:variant>
      <vt:variant>
        <vt:i4>5</vt:i4>
      </vt:variant>
      <vt:variant>
        <vt:lpwstr>https://www.cde.ca.gov/be/pn/im/documents/apr20memoadad02.docx</vt:lpwstr>
      </vt:variant>
      <vt:variant>
        <vt:lpwstr/>
      </vt:variant>
      <vt:variant>
        <vt:i4>4063357</vt:i4>
      </vt:variant>
      <vt:variant>
        <vt:i4>18</vt:i4>
      </vt:variant>
      <vt:variant>
        <vt:i4>0</vt:i4>
      </vt:variant>
      <vt:variant>
        <vt:i4>5</vt:i4>
      </vt:variant>
      <vt:variant>
        <vt:lpwstr>https://www.cde.ca.gov/be/ag/ag/yr20/documents/jul20item05.docx</vt:lpwstr>
      </vt:variant>
      <vt:variant>
        <vt:lpwstr/>
      </vt:variant>
      <vt:variant>
        <vt:i4>8192107</vt:i4>
      </vt:variant>
      <vt:variant>
        <vt:i4>15</vt:i4>
      </vt:variant>
      <vt:variant>
        <vt:i4>0</vt:i4>
      </vt:variant>
      <vt:variant>
        <vt:i4>5</vt:i4>
      </vt:variant>
      <vt:variant>
        <vt:lpwstr>https://www.cde.ca.gov/be/pn/im/documents/aug20adad01.docx</vt:lpwstr>
      </vt:variant>
      <vt:variant>
        <vt:lpwstr/>
      </vt:variant>
      <vt:variant>
        <vt:i4>3735661</vt:i4>
      </vt:variant>
      <vt:variant>
        <vt:i4>12</vt:i4>
      </vt:variant>
      <vt:variant>
        <vt:i4>0</vt:i4>
      </vt:variant>
      <vt:variant>
        <vt:i4>5</vt:i4>
      </vt:variant>
      <vt:variant>
        <vt:lpwstr>https://www.cde.ca.gov/be/ag/ag/yr20/documents/sep20item07.docx</vt:lpwstr>
      </vt:variant>
      <vt:variant>
        <vt:lpwstr/>
      </vt:variant>
      <vt:variant>
        <vt:i4>2162791</vt:i4>
      </vt:variant>
      <vt:variant>
        <vt:i4>9</vt:i4>
      </vt:variant>
      <vt:variant>
        <vt:i4>0</vt:i4>
      </vt:variant>
      <vt:variant>
        <vt:i4>5</vt:i4>
      </vt:variant>
      <vt:variant>
        <vt:lpwstr>https://www.cde.ca.gov/be/ag/ag/yr20/documents/nov20item04.docx</vt:lpwstr>
      </vt:variant>
      <vt:variant>
        <vt:lpwstr/>
      </vt:variant>
      <vt:variant>
        <vt:i4>3801193</vt:i4>
      </vt:variant>
      <vt:variant>
        <vt:i4>6</vt:i4>
      </vt:variant>
      <vt:variant>
        <vt:i4>0</vt:i4>
      </vt:variant>
      <vt:variant>
        <vt:i4>5</vt:i4>
      </vt:variant>
      <vt:variant>
        <vt:lpwstr>https://www.cde.ca.gov/be/ag/ag/yr21/documents/jan21item03.docx</vt:lpwstr>
      </vt:variant>
      <vt:variant>
        <vt:lpwstr/>
      </vt:variant>
      <vt:variant>
        <vt:i4>983135</vt:i4>
      </vt:variant>
      <vt:variant>
        <vt:i4>3</vt:i4>
      </vt:variant>
      <vt:variant>
        <vt:i4>0</vt:i4>
      </vt:variant>
      <vt:variant>
        <vt:i4>5</vt:i4>
      </vt:variant>
      <vt:variant>
        <vt:lpwstr>https://www.cde.ca.gov/be/ag/ag/yr21/documents/feb2124item02.docx</vt:lpwstr>
      </vt:variant>
      <vt:variant>
        <vt:lpwstr/>
      </vt:variant>
      <vt:variant>
        <vt:i4>4259927</vt:i4>
      </vt:variant>
      <vt:variant>
        <vt:i4>0</vt:i4>
      </vt:variant>
      <vt:variant>
        <vt:i4>0</vt:i4>
      </vt:variant>
      <vt:variant>
        <vt:i4>5</vt:i4>
      </vt:variant>
      <vt:variant>
        <vt:lpwstr>https://www.cde.ca.gov/be/pn/im/memo-pptb-adad-dec17item01a01.asp</vt:lpwstr>
      </vt:variant>
      <vt:variant>
        <vt:lpwstr/>
      </vt:variant>
      <vt:variant>
        <vt:i4>8323106</vt:i4>
      </vt:variant>
      <vt:variant>
        <vt:i4>3</vt:i4>
      </vt:variant>
      <vt:variant>
        <vt:i4>0</vt:i4>
      </vt:variant>
      <vt:variant>
        <vt:i4>5</vt:i4>
      </vt:variant>
      <vt:variant>
        <vt:lpwstr>https://www.ecfr.gov/current/title-34/subtitle-B/chapter-II/part-200/subpart-A/subject-group-ECFR3da56646dfe7570/section-200.6</vt:lpwstr>
      </vt:variant>
      <vt:variant>
        <vt:lpwstr/>
      </vt:variant>
      <vt:variant>
        <vt:i4>327803</vt:i4>
      </vt:variant>
      <vt:variant>
        <vt:i4>0</vt:i4>
      </vt:variant>
      <vt:variant>
        <vt:i4>0</vt:i4>
      </vt:variant>
      <vt:variant>
        <vt:i4>5</vt:i4>
      </vt:variant>
      <vt:variant>
        <vt:lpwstr>mailto:CPortney@cde.ca.gov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2022 Agenda Item 03 - Meeting Agendas (CA State Board of Education)</dc:title>
  <dc:subject>The Federal Every Student Succeeds Act: Authorization to Pursue a Waiver for the 2021-22 School Year of the 1.0 Percent Cap on the Percentage of Eligible Students.</dc:subject>
  <cp:keywords/>
  <dc:description/>
  <cp:lastPrinted>2017-10-30T17:36:00Z</cp:lastPrinted>
  <dcterms:created xsi:type="dcterms:W3CDTF">2022-02-23T20:13:00Z</dcterms:created>
  <dcterms:modified xsi:type="dcterms:W3CDTF">2022-02-26T01:45:00Z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