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B1045" w14:textId="77777777" w:rsidR="006E06C6" w:rsidRDefault="00D5115F" w:rsidP="00B723BE">
      <w:bookmarkStart w:id="0" w:name="_GoBack"/>
      <w:bookmarkEnd w:id="0"/>
      <w:r w:rsidRPr="00D5115F">
        <w:rPr>
          <w:noProof/>
        </w:rPr>
        <w:drawing>
          <wp:inline distT="0" distB="0" distL="0" distR="0" wp14:anchorId="17119291" wp14:editId="183082A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88BE842" w14:textId="77777777" w:rsidR="00B723BE" w:rsidRDefault="00FC1FCE" w:rsidP="00B723BE">
      <w:pPr>
        <w:jc w:val="right"/>
      </w:pPr>
      <w:r w:rsidRPr="00B723BE">
        <w:t>California Department of Education</w:t>
      </w:r>
    </w:p>
    <w:p w14:paraId="4A59E080" w14:textId="77777777" w:rsidR="00B723BE" w:rsidRDefault="00FC1FCE" w:rsidP="00B723BE">
      <w:pPr>
        <w:jc w:val="right"/>
      </w:pPr>
      <w:r w:rsidRPr="00B723BE">
        <w:t>Executive Office</w:t>
      </w:r>
    </w:p>
    <w:p w14:paraId="75067500"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13C36D6D" w14:textId="675A38F5" w:rsidR="00B723BE" w:rsidRDefault="00835FD4" w:rsidP="00B723BE">
      <w:pPr>
        <w:jc w:val="right"/>
      </w:pPr>
      <w:r>
        <w:t>l</w:t>
      </w:r>
      <w:r w:rsidR="004D3CDC">
        <w:t>ab-csd-</w:t>
      </w:r>
      <w:r>
        <w:t>mar23item02</w:t>
      </w:r>
    </w:p>
    <w:p w14:paraId="4B499BC7"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61EA0F70" w14:textId="77777777" w:rsidR="006E06C6" w:rsidRDefault="006E06C6" w:rsidP="004D3CDC">
      <w:pPr>
        <w:pStyle w:val="Heading1"/>
        <w:rPr>
          <w:sz w:val="40"/>
          <w:szCs w:val="40"/>
        </w:rPr>
        <w:sectPr w:rsidR="006E06C6" w:rsidSect="0091117B">
          <w:type w:val="continuous"/>
          <w:pgSz w:w="12240" w:h="15840"/>
          <w:pgMar w:top="720" w:right="1440" w:bottom="1440" w:left="1440" w:header="720" w:footer="720" w:gutter="0"/>
          <w:cols w:space="720"/>
          <w:docGrid w:linePitch="360"/>
        </w:sectPr>
      </w:pPr>
    </w:p>
    <w:p w14:paraId="6B5F15F9" w14:textId="76891308"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3C292B">
        <w:rPr>
          <w:sz w:val="40"/>
          <w:szCs w:val="40"/>
        </w:rPr>
        <w:t>March</w:t>
      </w:r>
      <w:r w:rsidR="004D3CDC" w:rsidRPr="004D3CDC">
        <w:rPr>
          <w:sz w:val="40"/>
          <w:szCs w:val="40"/>
        </w:rPr>
        <w:t xml:space="preserve"> 202</w:t>
      </w:r>
      <w:r w:rsidR="00B7148B">
        <w:rPr>
          <w:sz w:val="40"/>
          <w:szCs w:val="40"/>
        </w:rPr>
        <w:t>3</w:t>
      </w:r>
      <w:r w:rsidRPr="004D3CDC">
        <w:rPr>
          <w:sz w:val="40"/>
          <w:szCs w:val="40"/>
        </w:rPr>
        <w:t xml:space="preserve"> Agenda</w:t>
      </w:r>
      <w:r w:rsidR="00FC1FCE" w:rsidRPr="001B3958">
        <w:rPr>
          <w:sz w:val="40"/>
          <w:szCs w:val="40"/>
        </w:rPr>
        <w:br/>
        <w:t>Item</w:t>
      </w:r>
      <w:r w:rsidR="00692300">
        <w:rPr>
          <w:sz w:val="40"/>
          <w:szCs w:val="40"/>
        </w:rPr>
        <w:t xml:space="preserve"> </w:t>
      </w:r>
      <w:r w:rsidR="00692300" w:rsidRPr="009247FB">
        <w:rPr>
          <w:sz w:val="40"/>
          <w:szCs w:val="40"/>
        </w:rPr>
        <w:t>#</w:t>
      </w:r>
      <w:r w:rsidR="00C33D5F">
        <w:rPr>
          <w:sz w:val="40"/>
          <w:szCs w:val="40"/>
        </w:rPr>
        <w:t>10</w:t>
      </w:r>
    </w:p>
    <w:p w14:paraId="39DAECF1" w14:textId="77777777" w:rsidR="00FC1FCE" w:rsidRPr="001B3958" w:rsidRDefault="00FC1FCE" w:rsidP="00812F6E">
      <w:pPr>
        <w:pStyle w:val="Heading2"/>
        <w:spacing w:before="0"/>
      </w:pPr>
      <w:r w:rsidRPr="001B3958">
        <w:t>Subject</w:t>
      </w:r>
    </w:p>
    <w:p w14:paraId="1EC09A37" w14:textId="59D12FB3" w:rsidR="004D3CDC" w:rsidRDefault="008B2C48" w:rsidP="00812F6E">
      <w:pPr>
        <w:spacing w:after="240"/>
        <w:rPr>
          <w:rFonts w:ascii="Calibri" w:hAnsi="Calibri"/>
          <w:sz w:val="22"/>
          <w:szCs w:val="22"/>
        </w:rPr>
      </w:pPr>
      <w:r>
        <w:rPr>
          <w:rFonts w:cs="Arial"/>
        </w:rPr>
        <w:t>T.I.M.E. Community</w:t>
      </w:r>
      <w:r w:rsidR="004D3CDC">
        <w:t xml:space="preserve">: Consider Issuing a Notice of Violation Pursuant to California </w:t>
      </w:r>
      <w:r w:rsidR="004D3CDC">
        <w:rPr>
          <w:i/>
          <w:iCs/>
        </w:rPr>
        <w:t xml:space="preserve">Education Code </w:t>
      </w:r>
      <w:r w:rsidR="004D3CDC">
        <w:t>Section 47607(g).</w:t>
      </w:r>
    </w:p>
    <w:p w14:paraId="5DE90074" w14:textId="77777777" w:rsidR="00FC1FCE" w:rsidRPr="001B3958" w:rsidRDefault="00FC1FCE" w:rsidP="00812F6E">
      <w:pPr>
        <w:pStyle w:val="Heading2"/>
        <w:spacing w:before="0"/>
      </w:pPr>
      <w:r w:rsidRPr="001B3958">
        <w:t>Type of Action</w:t>
      </w:r>
    </w:p>
    <w:p w14:paraId="4EC33F20" w14:textId="131C14A3" w:rsidR="004D3CDC" w:rsidRDefault="004D3CDC" w:rsidP="00812F6E">
      <w:pPr>
        <w:spacing w:after="240"/>
      </w:pPr>
      <w:r>
        <w:t>Action, Information</w:t>
      </w:r>
    </w:p>
    <w:p w14:paraId="3359986D" w14:textId="77777777" w:rsidR="00FC1FCE" w:rsidRPr="001B3958" w:rsidRDefault="00FC1FCE" w:rsidP="00812F6E">
      <w:pPr>
        <w:pStyle w:val="Heading2"/>
        <w:spacing w:before="0"/>
      </w:pPr>
      <w:r w:rsidRPr="001B3958">
        <w:t>Summary of the Issue</w:t>
      </w:r>
    </w:p>
    <w:p w14:paraId="6D77A1C8" w14:textId="6DB9E4E9" w:rsidR="0092219C" w:rsidRDefault="004D3CDC" w:rsidP="00812F6E">
      <w:pPr>
        <w:spacing w:after="240"/>
        <w:rPr>
          <w:rFonts w:cs="Arial"/>
        </w:rPr>
      </w:pPr>
      <w:r>
        <w:rPr>
          <w:rFonts w:cs="Arial"/>
        </w:rPr>
        <w:t xml:space="preserve">The California Department of Education (CDE) </w:t>
      </w:r>
      <w:r w:rsidR="008B2C48">
        <w:rPr>
          <w:rFonts w:cs="Arial"/>
        </w:rPr>
        <w:t xml:space="preserve">and Los Angeles County Office of Education (LACOE) </w:t>
      </w:r>
      <w:r>
        <w:rPr>
          <w:rFonts w:cs="Arial"/>
        </w:rPr>
        <w:t>believe there is substantial evidence</w:t>
      </w:r>
      <w:r w:rsidR="00B1322C">
        <w:rPr>
          <w:rFonts w:cs="Arial"/>
        </w:rPr>
        <w:t xml:space="preserve"> that demonstrates</w:t>
      </w:r>
      <w:r>
        <w:rPr>
          <w:rFonts w:cs="Arial"/>
        </w:rPr>
        <w:t xml:space="preserve"> that </w:t>
      </w:r>
      <w:r w:rsidR="008B2C48">
        <w:rPr>
          <w:rFonts w:cs="Arial"/>
        </w:rPr>
        <w:t xml:space="preserve">T.I.M.E. </w:t>
      </w:r>
      <w:r w:rsidR="002A7569">
        <w:rPr>
          <w:rFonts w:cs="Arial"/>
        </w:rPr>
        <w:t xml:space="preserve">(Teamwork, Individualization, Mastery, and Extension) </w:t>
      </w:r>
      <w:r w:rsidR="008B2C48">
        <w:rPr>
          <w:rFonts w:cs="Arial"/>
        </w:rPr>
        <w:t>Community (</w:t>
      </w:r>
      <w:r w:rsidR="00835FD4">
        <w:rPr>
          <w:rFonts w:cs="Arial"/>
        </w:rPr>
        <w:t>T.I.M.E.</w:t>
      </w:r>
      <w:r w:rsidR="008B2C48">
        <w:rPr>
          <w:rFonts w:cs="Arial"/>
        </w:rPr>
        <w:t>)</w:t>
      </w:r>
      <w:r>
        <w:rPr>
          <w:rFonts w:cs="Arial"/>
        </w:rPr>
        <w:t xml:space="preserve">, a </w:t>
      </w:r>
      <w:r w:rsidR="00ED5DF2">
        <w:rPr>
          <w:rFonts w:cs="Arial"/>
        </w:rPr>
        <w:t xml:space="preserve">California </w:t>
      </w:r>
      <w:r>
        <w:rPr>
          <w:rFonts w:cs="Arial"/>
        </w:rPr>
        <w:t xml:space="preserve">State Board of Education (SBE)-authorized charter </w:t>
      </w:r>
      <w:r w:rsidRPr="00572215">
        <w:rPr>
          <w:rFonts w:cs="Arial"/>
        </w:rPr>
        <w:t xml:space="preserve">school, </w:t>
      </w:r>
      <w:r w:rsidR="00E679C7">
        <w:rPr>
          <w:rFonts w:cs="Arial"/>
        </w:rPr>
        <w:t xml:space="preserve">has not </w:t>
      </w:r>
      <w:r w:rsidRPr="00572215">
        <w:rPr>
          <w:rFonts w:cs="Arial"/>
        </w:rPr>
        <w:t xml:space="preserve">engaged in </w:t>
      </w:r>
      <w:r w:rsidR="00E679C7">
        <w:rPr>
          <w:rFonts w:cs="Arial"/>
        </w:rPr>
        <w:t xml:space="preserve">prudent </w:t>
      </w:r>
      <w:r w:rsidRPr="00572215">
        <w:rPr>
          <w:rFonts w:cs="Arial"/>
        </w:rPr>
        <w:t>fiscal</w:t>
      </w:r>
      <w:r w:rsidR="00E679C7">
        <w:rPr>
          <w:rFonts w:cs="Arial"/>
        </w:rPr>
        <w:t xml:space="preserve"> </w:t>
      </w:r>
      <w:r w:rsidRPr="00572215">
        <w:rPr>
          <w:rFonts w:cs="Arial"/>
        </w:rPr>
        <w:t>management</w:t>
      </w:r>
      <w:r w:rsidR="00BF1EA4">
        <w:rPr>
          <w:rFonts w:cs="Arial"/>
        </w:rPr>
        <w:t xml:space="preserve"> </w:t>
      </w:r>
      <w:r w:rsidR="00B1322C">
        <w:rPr>
          <w:rFonts w:cs="Arial"/>
        </w:rPr>
        <w:t xml:space="preserve">and has failed to meet </w:t>
      </w:r>
      <w:r w:rsidR="00BF1EA4">
        <w:rPr>
          <w:rFonts w:cs="Arial"/>
        </w:rPr>
        <w:t>generally accepted accounting principles</w:t>
      </w:r>
      <w:r w:rsidR="00E679C7">
        <w:rPr>
          <w:rFonts w:cs="Arial"/>
        </w:rPr>
        <w:t>, resulting in projected revenues insufficient to meet its operational expenses and financial commitments</w:t>
      </w:r>
      <w:r w:rsidR="00C13EA4">
        <w:rPr>
          <w:rFonts w:cs="Arial"/>
        </w:rPr>
        <w:t xml:space="preserve">, </w:t>
      </w:r>
      <w:r w:rsidR="0060732C">
        <w:rPr>
          <w:rFonts w:cs="Arial"/>
        </w:rPr>
        <w:t>pursuant to</w:t>
      </w:r>
      <w:r w:rsidR="00B1322C">
        <w:rPr>
          <w:rFonts w:cs="Arial"/>
        </w:rPr>
        <w:t xml:space="preserve"> </w:t>
      </w:r>
      <w:r w:rsidR="000D16B3" w:rsidRPr="00572215">
        <w:rPr>
          <w:rFonts w:cs="Arial"/>
        </w:rPr>
        <w:t xml:space="preserve">California </w:t>
      </w:r>
      <w:r w:rsidR="000D16B3" w:rsidRPr="00572215">
        <w:rPr>
          <w:rFonts w:cs="Arial"/>
          <w:i/>
        </w:rPr>
        <w:t xml:space="preserve">Education Code </w:t>
      </w:r>
      <w:r w:rsidR="00562591" w:rsidRPr="00562591">
        <w:rPr>
          <w:rFonts w:cs="Arial"/>
        </w:rPr>
        <w:t>(</w:t>
      </w:r>
      <w:r w:rsidR="00562591">
        <w:rPr>
          <w:rFonts w:cs="Arial"/>
          <w:i/>
        </w:rPr>
        <w:t>EC</w:t>
      </w:r>
      <w:r w:rsidR="00562591" w:rsidRPr="00562591">
        <w:rPr>
          <w:rFonts w:cs="Arial"/>
        </w:rPr>
        <w:t xml:space="preserve">) </w:t>
      </w:r>
      <w:r w:rsidR="000D16B3" w:rsidRPr="00572215">
        <w:rPr>
          <w:rFonts w:cs="Arial"/>
        </w:rPr>
        <w:t>Section 47607</w:t>
      </w:r>
      <w:r w:rsidR="00835FD4">
        <w:rPr>
          <w:rFonts w:cs="Arial"/>
        </w:rPr>
        <w:t>(</w:t>
      </w:r>
      <w:r w:rsidR="000D16B3" w:rsidRPr="00572215">
        <w:rPr>
          <w:rFonts w:cs="Arial"/>
        </w:rPr>
        <w:t>f</w:t>
      </w:r>
      <w:r w:rsidR="002C75FB">
        <w:rPr>
          <w:rFonts w:cs="Arial"/>
        </w:rPr>
        <w:t>)</w:t>
      </w:r>
      <w:r w:rsidR="00E679C7">
        <w:rPr>
          <w:rFonts w:cs="Arial"/>
        </w:rPr>
        <w:t>(3</w:t>
      </w:r>
      <w:r w:rsidR="0060732C">
        <w:rPr>
          <w:rFonts w:cs="Arial"/>
        </w:rPr>
        <w:t>)</w:t>
      </w:r>
      <w:r w:rsidR="005C5DE8">
        <w:rPr>
          <w:rFonts w:cs="Arial"/>
        </w:rPr>
        <w:t>.</w:t>
      </w:r>
      <w:r w:rsidR="000D16B3">
        <w:rPr>
          <w:rFonts w:cs="Arial"/>
        </w:rPr>
        <w:t xml:space="preserve"> </w:t>
      </w:r>
      <w:r w:rsidRPr="00572215">
        <w:rPr>
          <w:rFonts w:cs="Arial"/>
        </w:rPr>
        <w:t xml:space="preserve">Pursuant to </w:t>
      </w:r>
      <w:r w:rsidR="003A6FCD" w:rsidRPr="00572215">
        <w:rPr>
          <w:rFonts w:cs="Arial"/>
          <w:i/>
        </w:rPr>
        <w:t xml:space="preserve">EC </w:t>
      </w:r>
      <w:r w:rsidRPr="00572215">
        <w:rPr>
          <w:rFonts w:cs="Arial"/>
        </w:rPr>
        <w:t xml:space="preserve">Section 47607(g), the authority that granted the charter </w:t>
      </w:r>
      <w:r w:rsidR="00BE3DB0">
        <w:rPr>
          <w:rFonts w:cs="Arial"/>
        </w:rPr>
        <w:t xml:space="preserve">petition </w:t>
      </w:r>
      <w:r w:rsidRPr="00572215">
        <w:rPr>
          <w:rFonts w:cs="Arial"/>
        </w:rPr>
        <w:t>shall notify the charter school of any violation and provide the school a reasonable opportunity to remedy</w:t>
      </w:r>
      <w:r>
        <w:rPr>
          <w:rFonts w:cs="Arial"/>
        </w:rPr>
        <w:t xml:space="preserve"> the violation.</w:t>
      </w:r>
    </w:p>
    <w:p w14:paraId="253FA805" w14:textId="4323DB6E" w:rsidR="003E4DF7" w:rsidRPr="00F40510" w:rsidRDefault="003E4DF7" w:rsidP="00812F6E">
      <w:pPr>
        <w:pStyle w:val="Heading2"/>
        <w:spacing w:before="0"/>
      </w:pPr>
      <w:r>
        <w:t>Recommendation</w:t>
      </w:r>
    </w:p>
    <w:p w14:paraId="7EFC8AC3" w14:textId="50B2305F" w:rsidR="00A363F9" w:rsidRDefault="004D3CDC" w:rsidP="00B1322C">
      <w:pPr>
        <w:spacing w:after="240"/>
        <w:rPr>
          <w:rFonts w:cs="Arial"/>
        </w:rPr>
      </w:pPr>
      <w:r>
        <w:rPr>
          <w:rFonts w:cs="Arial"/>
        </w:rPr>
        <w:t xml:space="preserve">The CDE recommends that the </w:t>
      </w:r>
      <w:r w:rsidR="00ED5DF2">
        <w:rPr>
          <w:rFonts w:cs="Arial"/>
        </w:rPr>
        <w:t>SBE</w:t>
      </w:r>
      <w:r>
        <w:rPr>
          <w:rFonts w:cs="Arial"/>
        </w:rPr>
        <w:t xml:space="preserve"> consider </w:t>
      </w:r>
      <w:r w:rsidR="00ED5DF2">
        <w:rPr>
          <w:rFonts w:cs="Arial"/>
        </w:rPr>
        <w:t xml:space="preserve">issuing a Notice of Violation to </w:t>
      </w:r>
      <w:r w:rsidR="00835FD4">
        <w:rPr>
          <w:rFonts w:cs="Arial"/>
        </w:rPr>
        <w:t>T.I.M.E.</w:t>
      </w:r>
      <w:r w:rsidR="008B2C48">
        <w:rPr>
          <w:rFonts w:cs="Arial"/>
        </w:rPr>
        <w:t xml:space="preserve"> </w:t>
      </w:r>
      <w:r w:rsidR="000E5E10">
        <w:rPr>
          <w:rFonts w:cs="Arial"/>
        </w:rPr>
        <w:t>(Attachment 1)</w:t>
      </w:r>
      <w:r w:rsidR="00ED5DF2">
        <w:rPr>
          <w:rFonts w:cs="Arial"/>
        </w:rPr>
        <w:t xml:space="preserve">, pursuant to </w:t>
      </w:r>
      <w:r w:rsidR="00ED5DF2">
        <w:rPr>
          <w:rFonts w:cs="Arial"/>
          <w:i/>
        </w:rPr>
        <w:t xml:space="preserve">EC </w:t>
      </w:r>
      <w:r w:rsidR="00ED5DF2">
        <w:rPr>
          <w:rFonts w:cs="Arial"/>
        </w:rPr>
        <w:t>Section 47607(g)</w:t>
      </w:r>
      <w:r w:rsidR="00671251">
        <w:rPr>
          <w:rFonts w:cs="Arial"/>
        </w:rPr>
        <w:t xml:space="preserve">, as </w:t>
      </w:r>
      <w:r w:rsidR="00835FD4">
        <w:rPr>
          <w:rFonts w:cs="Arial"/>
        </w:rPr>
        <w:t>T.I.M.E.</w:t>
      </w:r>
      <w:r w:rsidR="008E3E4F">
        <w:rPr>
          <w:rFonts w:cs="Arial"/>
        </w:rPr>
        <w:t xml:space="preserve"> has</w:t>
      </w:r>
      <w:r w:rsidR="00B1322C">
        <w:rPr>
          <w:rFonts w:cs="Arial"/>
        </w:rPr>
        <w:t xml:space="preserve"> failed </w:t>
      </w:r>
      <w:r w:rsidR="002C75FB">
        <w:rPr>
          <w:rFonts w:cs="Arial"/>
        </w:rPr>
        <w:t>to exercise prudent f</w:t>
      </w:r>
      <w:r w:rsidRPr="00A95381">
        <w:rPr>
          <w:rFonts w:cs="Arial"/>
        </w:rPr>
        <w:t xml:space="preserve">iscal management </w:t>
      </w:r>
      <w:r w:rsidR="00C13EA4">
        <w:rPr>
          <w:rFonts w:cs="Arial"/>
        </w:rPr>
        <w:t>and</w:t>
      </w:r>
      <w:r w:rsidR="00BF1EA4">
        <w:rPr>
          <w:rFonts w:cs="Arial"/>
        </w:rPr>
        <w:t xml:space="preserve"> </w:t>
      </w:r>
      <w:r w:rsidR="00B1322C">
        <w:rPr>
          <w:rFonts w:cs="Arial"/>
        </w:rPr>
        <w:t xml:space="preserve">meet </w:t>
      </w:r>
      <w:r w:rsidR="00BF1EA4">
        <w:rPr>
          <w:rFonts w:cs="Arial"/>
        </w:rPr>
        <w:t xml:space="preserve">generally accepted accounting principles </w:t>
      </w:r>
      <w:r w:rsidR="00A363F9">
        <w:rPr>
          <w:rFonts w:cs="Arial"/>
        </w:rPr>
        <w:t>(</w:t>
      </w:r>
      <w:r w:rsidRPr="00A95381">
        <w:rPr>
          <w:rFonts w:cs="Arial"/>
          <w:i/>
        </w:rPr>
        <w:t>EC</w:t>
      </w:r>
      <w:r w:rsidRPr="00A95381">
        <w:rPr>
          <w:rFonts w:cs="Arial"/>
        </w:rPr>
        <w:t xml:space="preserve"> Section 47607</w:t>
      </w:r>
      <w:r w:rsidR="00A363F9">
        <w:rPr>
          <w:rFonts w:cs="Arial"/>
        </w:rPr>
        <w:t>[</w:t>
      </w:r>
      <w:r w:rsidR="005A2BF0" w:rsidRPr="00A95381">
        <w:rPr>
          <w:rFonts w:cs="Arial"/>
        </w:rPr>
        <w:t>f</w:t>
      </w:r>
      <w:r w:rsidR="00A363F9">
        <w:rPr>
          <w:rFonts w:cs="Arial"/>
        </w:rPr>
        <w:t>][</w:t>
      </w:r>
      <w:r w:rsidR="005A2BF0" w:rsidRPr="00A95381">
        <w:rPr>
          <w:rFonts w:cs="Arial"/>
        </w:rPr>
        <w:t>3</w:t>
      </w:r>
      <w:r w:rsidR="00A363F9">
        <w:rPr>
          <w:rFonts w:cs="Arial"/>
        </w:rPr>
        <w:t>]</w:t>
      </w:r>
      <w:r w:rsidRPr="00A95381">
        <w:rPr>
          <w:rFonts w:cs="Arial"/>
        </w:rPr>
        <w:t>)</w:t>
      </w:r>
      <w:r w:rsidR="00C13EA4">
        <w:rPr>
          <w:rFonts w:cs="Arial"/>
        </w:rPr>
        <w:t>.</w:t>
      </w:r>
    </w:p>
    <w:p w14:paraId="5C6E5A3E" w14:textId="1023ED5B" w:rsidR="004D3CDC" w:rsidRDefault="004D3CDC" w:rsidP="00812F6E">
      <w:pPr>
        <w:spacing w:after="240"/>
        <w:rPr>
          <w:rFonts w:cs="Arial"/>
        </w:rPr>
      </w:pPr>
      <w:r>
        <w:rPr>
          <w:rFonts w:cs="Arial"/>
        </w:rPr>
        <w:t xml:space="preserve">Pursuant to </w:t>
      </w:r>
      <w:r>
        <w:rPr>
          <w:rFonts w:cs="Arial"/>
          <w:i/>
        </w:rPr>
        <w:t>EC</w:t>
      </w:r>
      <w:r>
        <w:rPr>
          <w:rFonts w:cs="Arial"/>
        </w:rPr>
        <w:t xml:space="preserve"> Section 47607(</w:t>
      </w:r>
      <w:r w:rsidR="00FD5079">
        <w:rPr>
          <w:rFonts w:cs="Arial"/>
        </w:rPr>
        <w:t>g</w:t>
      </w:r>
      <w:r>
        <w:rPr>
          <w:rFonts w:cs="Arial"/>
        </w:rPr>
        <w:t xml:space="preserve">) and </w:t>
      </w:r>
      <w:r w:rsidR="00D64EA2" w:rsidRPr="00BA5D0B">
        <w:rPr>
          <w:rFonts w:cs="Arial"/>
          <w:i/>
        </w:rPr>
        <w:t>California Code of Regulations</w:t>
      </w:r>
      <w:r w:rsidR="00D64EA2">
        <w:rPr>
          <w:rFonts w:cs="Arial"/>
        </w:rPr>
        <w:t>, Title 5 (</w:t>
      </w:r>
      <w:r w:rsidR="00D3736E" w:rsidRPr="00D3736E">
        <w:rPr>
          <w:rFonts w:cs="Arial"/>
        </w:rPr>
        <w:t xml:space="preserve">5 </w:t>
      </w:r>
      <w:r w:rsidR="00D3736E">
        <w:rPr>
          <w:rFonts w:cs="Arial"/>
          <w:i/>
        </w:rPr>
        <w:t>CCR</w:t>
      </w:r>
      <w:r w:rsidR="00D64EA2">
        <w:rPr>
          <w:rFonts w:cs="Arial"/>
        </w:rPr>
        <w:t>)</w:t>
      </w:r>
      <w:r>
        <w:rPr>
          <w:rFonts w:cs="Arial"/>
        </w:rPr>
        <w:t xml:space="preserve"> Section 11968.5.2, </w:t>
      </w:r>
      <w:r w:rsidR="00835FD4">
        <w:rPr>
          <w:rFonts w:cs="Arial"/>
        </w:rPr>
        <w:t>T.I.M.E.</w:t>
      </w:r>
      <w:r w:rsidR="00D509B9">
        <w:rPr>
          <w:rFonts w:cs="Arial"/>
        </w:rPr>
        <w:t xml:space="preserve"> shall</w:t>
      </w:r>
      <w:r>
        <w:rPr>
          <w:rFonts w:cs="Arial"/>
        </w:rPr>
        <w:t xml:space="preserve"> have the opportunity to present evidence that refutes, remedies, or proposes to remedy the alleged violations at the </w:t>
      </w:r>
      <w:r w:rsidR="00682CF6">
        <w:rPr>
          <w:rFonts w:cs="Arial"/>
        </w:rPr>
        <w:t>May</w:t>
      </w:r>
      <w:r w:rsidR="00AD6C9D">
        <w:rPr>
          <w:rFonts w:cs="Arial"/>
        </w:rPr>
        <w:t xml:space="preserve"> </w:t>
      </w:r>
      <w:r w:rsidR="00682CF6">
        <w:rPr>
          <w:rFonts w:cs="Arial"/>
        </w:rPr>
        <w:t>17</w:t>
      </w:r>
      <w:r w:rsidR="0060732C">
        <w:rPr>
          <w:rFonts w:cs="Arial"/>
        </w:rPr>
        <w:t>–</w:t>
      </w:r>
      <w:r w:rsidR="00682CF6">
        <w:rPr>
          <w:rFonts w:cs="Arial"/>
        </w:rPr>
        <w:t>18</w:t>
      </w:r>
      <w:r>
        <w:rPr>
          <w:rFonts w:cs="Arial"/>
        </w:rPr>
        <w:t>, 202</w:t>
      </w:r>
      <w:r w:rsidR="002C75FB">
        <w:rPr>
          <w:rFonts w:cs="Arial"/>
        </w:rPr>
        <w:t>3</w:t>
      </w:r>
      <w:r>
        <w:rPr>
          <w:rFonts w:cs="Arial"/>
        </w:rPr>
        <w:t xml:space="preserve">, </w:t>
      </w:r>
      <w:r w:rsidR="002C75FB">
        <w:rPr>
          <w:rFonts w:cs="Arial"/>
        </w:rPr>
        <w:t xml:space="preserve">SBE meeting. </w:t>
      </w:r>
      <w:r>
        <w:rPr>
          <w:rFonts w:cs="Arial"/>
        </w:rPr>
        <w:t xml:space="preserve">At that meeting, the </w:t>
      </w:r>
      <w:r w:rsidR="002C75FB">
        <w:rPr>
          <w:rFonts w:cs="Arial"/>
        </w:rPr>
        <w:t>SBE</w:t>
      </w:r>
      <w:r>
        <w:rPr>
          <w:rFonts w:cs="Arial"/>
        </w:rPr>
        <w:t xml:space="preserve"> </w:t>
      </w:r>
      <w:r w:rsidR="002C75FB">
        <w:rPr>
          <w:rFonts w:cs="Arial"/>
        </w:rPr>
        <w:t xml:space="preserve">will consider issuing </w:t>
      </w:r>
      <w:r>
        <w:rPr>
          <w:rFonts w:cs="Arial"/>
        </w:rPr>
        <w:t xml:space="preserve">a Notice of Intent to Revoke with </w:t>
      </w:r>
      <w:r>
        <w:rPr>
          <w:rFonts w:cs="Arial"/>
        </w:rPr>
        <w:lastRenderedPageBreak/>
        <w:t>Notice of Facts</w:t>
      </w:r>
      <w:r w:rsidR="00C13EA4">
        <w:rPr>
          <w:rFonts w:cs="Arial"/>
        </w:rPr>
        <w:t>,</w:t>
      </w:r>
      <w:r>
        <w:rPr>
          <w:rFonts w:cs="Arial"/>
        </w:rPr>
        <w:t xml:space="preserve"> pursuant to </w:t>
      </w:r>
      <w:r>
        <w:rPr>
          <w:rFonts w:cs="Arial"/>
          <w:i/>
        </w:rPr>
        <w:t>EC</w:t>
      </w:r>
      <w:r>
        <w:rPr>
          <w:rFonts w:cs="Arial"/>
        </w:rPr>
        <w:t xml:space="preserve"> Section 47607(</w:t>
      </w:r>
      <w:r w:rsidR="00FD5079">
        <w:rPr>
          <w:rFonts w:cs="Arial"/>
        </w:rPr>
        <w:t>h</w:t>
      </w:r>
      <w:r>
        <w:rPr>
          <w:rFonts w:cs="Arial"/>
        </w:rPr>
        <w:t>)</w:t>
      </w:r>
      <w:r w:rsidR="00D64EA2">
        <w:rPr>
          <w:rFonts w:cs="Arial"/>
        </w:rPr>
        <w:t>,</w:t>
      </w:r>
      <w:r>
        <w:rPr>
          <w:rFonts w:cs="Arial"/>
        </w:rPr>
        <w:t xml:space="preserve"> and </w:t>
      </w:r>
      <w:r w:rsidR="00C13EA4">
        <w:rPr>
          <w:rFonts w:cs="Arial"/>
        </w:rPr>
        <w:t xml:space="preserve">consider </w:t>
      </w:r>
      <w:proofErr w:type="gramStart"/>
      <w:r>
        <w:rPr>
          <w:rFonts w:cs="Arial"/>
        </w:rPr>
        <w:t>tak</w:t>
      </w:r>
      <w:r w:rsidR="00C13EA4">
        <w:rPr>
          <w:rFonts w:cs="Arial"/>
        </w:rPr>
        <w:t>ing</w:t>
      </w:r>
      <w:r>
        <w:rPr>
          <w:rFonts w:cs="Arial"/>
        </w:rPr>
        <w:t xml:space="preserve"> action</w:t>
      </w:r>
      <w:proofErr w:type="gramEnd"/>
      <w:r>
        <w:rPr>
          <w:rFonts w:cs="Arial"/>
        </w:rPr>
        <w:t xml:space="preserve"> to revoke the </w:t>
      </w:r>
      <w:r w:rsidR="00835FD4">
        <w:rPr>
          <w:rFonts w:cs="Arial"/>
        </w:rPr>
        <w:t>T.I.M.E.</w:t>
      </w:r>
      <w:r>
        <w:rPr>
          <w:rFonts w:cs="Arial"/>
        </w:rPr>
        <w:t xml:space="preserve"> charter</w:t>
      </w:r>
      <w:r w:rsidR="00D64EA2">
        <w:rPr>
          <w:rFonts w:cs="Arial"/>
        </w:rPr>
        <w:t xml:space="preserve"> petition</w:t>
      </w:r>
      <w:r>
        <w:rPr>
          <w:rFonts w:cs="Arial"/>
        </w:rPr>
        <w:t xml:space="preserve">. </w:t>
      </w:r>
    </w:p>
    <w:p w14:paraId="1088ECC5" w14:textId="4825BB0C" w:rsidR="00F40510" w:rsidRPr="00F40510" w:rsidRDefault="001B4524" w:rsidP="00812F6E">
      <w:pPr>
        <w:pStyle w:val="Heading2"/>
        <w:spacing w:before="0"/>
      </w:pPr>
      <w:r>
        <w:t>Reasons for Revocation</w:t>
      </w:r>
    </w:p>
    <w:p w14:paraId="6FEFF8C9" w14:textId="144E1619" w:rsidR="004D3CDC" w:rsidRDefault="004D3CDC" w:rsidP="00812F6E">
      <w:pPr>
        <w:spacing w:after="240"/>
        <w:rPr>
          <w:rFonts w:cs="Arial"/>
        </w:rPr>
      </w:pPr>
      <w:r>
        <w:rPr>
          <w:rFonts w:cs="Arial"/>
          <w:i/>
        </w:rPr>
        <w:t>EC</w:t>
      </w:r>
      <w:r>
        <w:rPr>
          <w:rFonts w:cs="Arial"/>
        </w:rPr>
        <w:t xml:space="preserve"> Section 47607(</w:t>
      </w:r>
      <w:r w:rsidR="001E1806">
        <w:rPr>
          <w:rFonts w:cs="Arial"/>
        </w:rPr>
        <w:t>f</w:t>
      </w:r>
      <w:r>
        <w:rPr>
          <w:rFonts w:cs="Arial"/>
        </w:rPr>
        <w:t>) states that a charter</w:t>
      </w:r>
      <w:r w:rsidR="00BE3DB0">
        <w:rPr>
          <w:rFonts w:cs="Arial"/>
        </w:rPr>
        <w:t xml:space="preserve"> petition</w:t>
      </w:r>
      <w:r>
        <w:rPr>
          <w:rFonts w:cs="Arial"/>
        </w:rPr>
        <w:t xml:space="preserve"> may be revoked by the</w:t>
      </w:r>
      <w:r w:rsidR="00D1641D">
        <w:rPr>
          <w:rFonts w:cs="Arial"/>
        </w:rPr>
        <w:t xml:space="preserve"> chartering</w:t>
      </w:r>
      <w:r>
        <w:rPr>
          <w:rFonts w:cs="Arial"/>
        </w:rPr>
        <w:t xml:space="preserve"> authority if the authority finds, through a showing of substantial evidence, that the charter school did any of the following:</w:t>
      </w:r>
    </w:p>
    <w:p w14:paraId="1E4646F5" w14:textId="409120F4" w:rsidR="004D3CDC" w:rsidRPr="00812F6E" w:rsidRDefault="004D3CDC" w:rsidP="00142F9D">
      <w:pPr>
        <w:pStyle w:val="ListParagraph"/>
        <w:numPr>
          <w:ilvl w:val="0"/>
          <w:numId w:val="2"/>
        </w:numPr>
        <w:spacing w:after="240"/>
        <w:contextualSpacing w:val="0"/>
        <w:rPr>
          <w:rFonts w:cs="Arial"/>
        </w:rPr>
      </w:pPr>
      <w:r w:rsidRPr="005A2BF0">
        <w:rPr>
          <w:rFonts w:cs="Arial"/>
        </w:rPr>
        <w:t>Committed a material violation of any of the conditions, standards, or procedures set forth in the charter.</w:t>
      </w:r>
    </w:p>
    <w:p w14:paraId="091CDA48" w14:textId="0EC22902" w:rsidR="004D3CDC" w:rsidRPr="005A2BF0" w:rsidRDefault="004D3CDC" w:rsidP="00142F9D">
      <w:pPr>
        <w:pStyle w:val="ListParagraph"/>
        <w:numPr>
          <w:ilvl w:val="0"/>
          <w:numId w:val="2"/>
        </w:numPr>
        <w:spacing w:after="240"/>
        <w:contextualSpacing w:val="0"/>
        <w:rPr>
          <w:rFonts w:cs="Arial"/>
        </w:rPr>
      </w:pPr>
      <w:r w:rsidRPr="005A2BF0">
        <w:rPr>
          <w:rFonts w:cs="Arial"/>
        </w:rPr>
        <w:t>Failed to meet or pursue any of the pupil outcomes identified in the charter.</w:t>
      </w:r>
    </w:p>
    <w:p w14:paraId="0AAC41D4" w14:textId="77777777" w:rsidR="004D3CDC" w:rsidRDefault="004D3CDC" w:rsidP="00142F9D">
      <w:pPr>
        <w:numPr>
          <w:ilvl w:val="0"/>
          <w:numId w:val="2"/>
        </w:numPr>
        <w:spacing w:after="240"/>
        <w:rPr>
          <w:rFonts w:cs="Arial"/>
        </w:rPr>
      </w:pPr>
      <w:r>
        <w:rPr>
          <w:rFonts w:cs="Arial"/>
        </w:rPr>
        <w:t>Failed to meet generally accepted accounting principles, or engaged in fiscal mismanagement.</w:t>
      </w:r>
    </w:p>
    <w:p w14:paraId="1FEEB8F9" w14:textId="12B283BE" w:rsidR="004D3CDC" w:rsidRDefault="004D3CDC" w:rsidP="00142F9D">
      <w:pPr>
        <w:numPr>
          <w:ilvl w:val="0"/>
          <w:numId w:val="2"/>
        </w:numPr>
        <w:spacing w:after="240"/>
        <w:rPr>
          <w:rFonts w:cs="Arial"/>
        </w:rPr>
      </w:pPr>
      <w:r>
        <w:rPr>
          <w:rFonts w:cs="Arial"/>
        </w:rPr>
        <w:t>Violated any law.</w:t>
      </w:r>
    </w:p>
    <w:p w14:paraId="4739E788" w14:textId="3BDB6E30" w:rsidR="00D052A0" w:rsidRDefault="001F5D55" w:rsidP="00812F6E">
      <w:pPr>
        <w:spacing w:after="240"/>
        <w:rPr>
          <w:rFonts w:cs="Arial"/>
        </w:rPr>
      </w:pPr>
      <w:r>
        <w:rPr>
          <w:rFonts w:cs="Arial"/>
        </w:rPr>
        <w:t xml:space="preserve">Substantial evidence </w:t>
      </w:r>
      <w:r w:rsidR="004D3CDC">
        <w:rPr>
          <w:rFonts w:cs="Arial"/>
        </w:rPr>
        <w:t xml:space="preserve">exists to support the finding that the </w:t>
      </w:r>
      <w:r w:rsidR="00835FD4">
        <w:rPr>
          <w:rFonts w:cs="Arial"/>
        </w:rPr>
        <w:t>T.I.M.E.</w:t>
      </w:r>
      <w:r w:rsidR="004D3CDC">
        <w:rPr>
          <w:rFonts w:cs="Arial"/>
        </w:rPr>
        <w:t xml:space="preserve"> Board has </w:t>
      </w:r>
      <w:r w:rsidR="00BF1EA4">
        <w:rPr>
          <w:rFonts w:cs="Arial"/>
        </w:rPr>
        <w:t xml:space="preserve">not engaged </w:t>
      </w:r>
      <w:r w:rsidR="0030697D" w:rsidRPr="00572215">
        <w:rPr>
          <w:rFonts w:cs="Arial"/>
        </w:rPr>
        <w:t xml:space="preserve">in </w:t>
      </w:r>
      <w:r w:rsidR="00BF1EA4">
        <w:rPr>
          <w:rFonts w:cs="Arial"/>
        </w:rPr>
        <w:t xml:space="preserve">prudent </w:t>
      </w:r>
      <w:r w:rsidR="0030697D" w:rsidRPr="00572215">
        <w:rPr>
          <w:rFonts w:cs="Arial"/>
        </w:rPr>
        <w:t>fiscal management</w:t>
      </w:r>
      <w:r w:rsidR="00BF1EA4">
        <w:rPr>
          <w:rFonts w:cs="Arial"/>
        </w:rPr>
        <w:t>, and</w:t>
      </w:r>
      <w:r w:rsidR="0060732C">
        <w:rPr>
          <w:rFonts w:cs="Arial"/>
        </w:rPr>
        <w:t xml:space="preserve"> has</w:t>
      </w:r>
      <w:r w:rsidR="00BF1EA4">
        <w:rPr>
          <w:rFonts w:cs="Arial"/>
        </w:rPr>
        <w:t xml:space="preserve"> failed to follow generally accepted accounting principles by utilizing unrealistic enrollment and average daily attendance (ADA) projections, resulting in a dire fiscal condition and inability to satisfy its immediate and future financial obligations.</w:t>
      </w:r>
    </w:p>
    <w:p w14:paraId="222068E5" w14:textId="77777777" w:rsidR="0030697D" w:rsidRDefault="0030697D" w:rsidP="0030697D">
      <w:pPr>
        <w:pStyle w:val="Heading2"/>
        <w:spacing w:before="0"/>
      </w:pPr>
      <w:r>
        <w:t>Background</w:t>
      </w:r>
    </w:p>
    <w:p w14:paraId="49904550" w14:textId="3EAE4515" w:rsidR="0030697D" w:rsidRPr="00731296" w:rsidRDefault="0030697D" w:rsidP="0030697D">
      <w:pPr>
        <w:spacing w:after="240"/>
      </w:pPr>
      <w:r>
        <w:t xml:space="preserve">On July 9, 2020, the SBE approved the charter petition to establish </w:t>
      </w:r>
      <w:r w:rsidR="00835FD4">
        <w:t>T.I.M.E.</w:t>
      </w:r>
      <w:r>
        <w:t>, a new school</w:t>
      </w:r>
      <w:r w:rsidR="00BD420C">
        <w:t>,</w:t>
      </w:r>
      <w:r>
        <w:t xml:space="preserve"> which anticipated serving 110 pupils in grade nine beginning in 2020–21 and growing to serve 600 pupils in grade nine through grade twelve in 2024–25. </w:t>
      </w:r>
      <w:r w:rsidR="00835FD4">
        <w:t>T.I.M.E.</w:t>
      </w:r>
      <w:r>
        <w:t xml:space="preserve"> was approved by the SBE for a term of five years, effective July 1, 2020, with a delay in </w:t>
      </w:r>
      <w:r w:rsidRPr="00702FF2">
        <w:t xml:space="preserve">opening and starting instruction until the 2021–22 school year. At this same meeting, the SBE delegated oversight of </w:t>
      </w:r>
      <w:r w:rsidR="00835FD4" w:rsidRPr="00702FF2">
        <w:t>T.I.M.E.</w:t>
      </w:r>
      <w:r w:rsidRPr="00702FF2">
        <w:t xml:space="preserve"> to </w:t>
      </w:r>
      <w:r w:rsidR="00A36ED7" w:rsidRPr="00702FF2">
        <w:t>LACOE,</w:t>
      </w:r>
      <w:r w:rsidR="00707D1A" w:rsidRPr="00702FF2">
        <w:t xml:space="preserve"> pursuant to </w:t>
      </w:r>
      <w:r w:rsidR="001F5D55" w:rsidRPr="00702FF2">
        <w:t xml:space="preserve">former </w:t>
      </w:r>
      <w:r w:rsidR="00707D1A" w:rsidRPr="00702FF2">
        <w:rPr>
          <w:i/>
        </w:rPr>
        <w:t xml:space="preserve">EC </w:t>
      </w:r>
      <w:r w:rsidR="00707D1A" w:rsidRPr="00702FF2">
        <w:t>Section 47605(k)(</w:t>
      </w:r>
      <w:r w:rsidR="001F5D55" w:rsidRPr="00702FF2">
        <w:t>1</w:t>
      </w:r>
      <w:r w:rsidR="00707D1A" w:rsidRPr="00702FF2">
        <w:t>)</w:t>
      </w:r>
      <w:r w:rsidRPr="00702FF2">
        <w:t xml:space="preserve">. In a memorandum of understanding (MOU) signed on October 19, 2020, </w:t>
      </w:r>
      <w:r w:rsidR="00A36ED7" w:rsidRPr="00702FF2">
        <w:t>LACOE</w:t>
      </w:r>
      <w:r w:rsidRPr="00702FF2">
        <w:t xml:space="preserve"> agreed to supervisorial and oversight responsibilities for </w:t>
      </w:r>
      <w:r w:rsidR="00835FD4" w:rsidRPr="00702FF2">
        <w:t>T.I.M.E.</w:t>
      </w:r>
      <w:r w:rsidRPr="00702FF2">
        <w:t xml:space="preserve"> on behalf of the SBE. </w:t>
      </w:r>
      <w:r w:rsidR="002E6BD0" w:rsidRPr="00702FF2">
        <w:t xml:space="preserve">In an MOU signed on December 17, 2020, </w:t>
      </w:r>
      <w:r w:rsidR="00835FD4" w:rsidRPr="00702FF2">
        <w:t>T.I.M.E.</w:t>
      </w:r>
      <w:r w:rsidRPr="00702FF2">
        <w:t xml:space="preserve"> </w:t>
      </w:r>
      <w:r w:rsidR="002E6BD0" w:rsidRPr="00702FF2">
        <w:t>agreed to be</w:t>
      </w:r>
      <w:r w:rsidR="00A36ED7" w:rsidRPr="00702FF2">
        <w:t xml:space="preserve"> monitor</w:t>
      </w:r>
      <w:r w:rsidR="002E6BD0" w:rsidRPr="00702FF2">
        <w:t xml:space="preserve">ed </w:t>
      </w:r>
      <w:r w:rsidR="00A36ED7" w:rsidRPr="00702FF2">
        <w:t>and overs</w:t>
      </w:r>
      <w:r w:rsidR="002E6BD0" w:rsidRPr="00702FF2">
        <w:t>een by LACOE</w:t>
      </w:r>
      <w:r w:rsidRPr="00702FF2">
        <w:t>.</w:t>
      </w:r>
    </w:p>
    <w:p w14:paraId="690B589C" w14:textId="6C6B46A2" w:rsidR="003F09B4" w:rsidRDefault="00D369FF" w:rsidP="00B858F6">
      <w:pPr>
        <w:spacing w:after="240"/>
        <w:rPr>
          <w:rFonts w:cs="Arial"/>
        </w:rPr>
      </w:pPr>
      <w:r w:rsidRPr="00731296">
        <w:t>Since</w:t>
      </w:r>
      <w:r w:rsidR="00B858F6" w:rsidRPr="00731296">
        <w:t xml:space="preserve"> </w:t>
      </w:r>
      <w:r w:rsidR="008A3E19">
        <w:t>early</w:t>
      </w:r>
      <w:r w:rsidR="00B858F6" w:rsidRPr="00731296">
        <w:t xml:space="preserve"> 2022, CDE and SBE staff have been </w:t>
      </w:r>
      <w:r w:rsidRPr="00731296">
        <w:t>in communication</w:t>
      </w:r>
      <w:r w:rsidR="00B858F6" w:rsidRPr="00731296">
        <w:t xml:space="preserve"> with LACOE about </w:t>
      </w:r>
      <w:r w:rsidRPr="00731296">
        <w:t>LACOE’s</w:t>
      </w:r>
      <w:r w:rsidR="00B858F6" w:rsidRPr="00731296">
        <w:t xml:space="preserve"> concerns regarding the </w:t>
      </w:r>
      <w:r w:rsidR="00CB5448">
        <w:t xml:space="preserve">fiscal </w:t>
      </w:r>
      <w:r w:rsidR="00B858F6" w:rsidRPr="00731296">
        <w:t xml:space="preserve">sustainability of </w:t>
      </w:r>
      <w:r w:rsidR="00835FD4">
        <w:t>T.I.M.E.</w:t>
      </w:r>
      <w:r w:rsidR="00B858F6" w:rsidRPr="00731296">
        <w:t xml:space="preserve"> </w:t>
      </w:r>
      <w:r w:rsidR="003F09B4">
        <w:t xml:space="preserve">In an effort to bring T.I.M.E. into a more stable fiscal position, </w:t>
      </w:r>
      <w:r w:rsidR="008A3E19">
        <w:t xml:space="preserve">LACOE </w:t>
      </w:r>
      <w:r w:rsidR="003F09B4">
        <w:t xml:space="preserve">sent notices of concern to the school on </w:t>
      </w:r>
      <w:r w:rsidR="008A3E19">
        <w:t>January 26, 2022</w:t>
      </w:r>
      <w:r w:rsidR="003F09B4">
        <w:t xml:space="preserve">, and </w:t>
      </w:r>
      <w:r w:rsidR="008A3E19">
        <w:t>June 28, 2022</w:t>
      </w:r>
      <w:r w:rsidR="003F09B4">
        <w:t>. A</w:t>
      </w:r>
      <w:r w:rsidR="00793FDD">
        <w:t>s</w:t>
      </w:r>
      <w:r w:rsidR="003F7F53" w:rsidRPr="00731296">
        <w:t xml:space="preserve"> </w:t>
      </w:r>
      <w:r w:rsidR="00835FD4">
        <w:t>T.I.M.E.</w:t>
      </w:r>
      <w:r w:rsidR="003F7F53" w:rsidRPr="00731296">
        <w:t>’</w:t>
      </w:r>
      <w:r w:rsidR="00793FDD">
        <w:t>s</w:t>
      </w:r>
      <w:r w:rsidR="003F7F53" w:rsidRPr="00731296">
        <w:t xml:space="preserve"> </w:t>
      </w:r>
      <w:r w:rsidR="00CB5448">
        <w:t xml:space="preserve">fiscal </w:t>
      </w:r>
      <w:r w:rsidR="003F7F53" w:rsidRPr="00731296">
        <w:t xml:space="preserve">condition </w:t>
      </w:r>
      <w:r w:rsidR="00C13EA4">
        <w:t>did</w:t>
      </w:r>
      <w:r w:rsidR="003F7F53" w:rsidRPr="00731296">
        <w:t xml:space="preserve"> not improve</w:t>
      </w:r>
      <w:r w:rsidR="00793FDD">
        <w:t>, a</w:t>
      </w:r>
      <w:r w:rsidR="00B93F98" w:rsidRPr="00B93F98">
        <w:rPr>
          <w:rFonts w:cs="Arial"/>
        </w:rPr>
        <w:t xml:space="preserve">t the July 14, 2022, </w:t>
      </w:r>
      <w:r w:rsidR="00CB5448">
        <w:rPr>
          <w:rFonts w:cs="Arial"/>
        </w:rPr>
        <w:t xml:space="preserve">SBE </w:t>
      </w:r>
      <w:r w:rsidR="00B93F98" w:rsidRPr="00B93F98">
        <w:rPr>
          <w:rFonts w:cs="Arial"/>
        </w:rPr>
        <w:t xml:space="preserve">meeting, the CDE recommended that the SBE consider issuing a Notice of Violation to T.I.M.E., pursuant to </w:t>
      </w:r>
      <w:r w:rsidR="00B93F98" w:rsidRPr="00B93F98">
        <w:rPr>
          <w:rFonts w:cs="Arial"/>
          <w:i/>
        </w:rPr>
        <w:t xml:space="preserve">EC </w:t>
      </w:r>
      <w:r w:rsidR="00B93F98" w:rsidRPr="00B93F98">
        <w:rPr>
          <w:rFonts w:cs="Arial"/>
        </w:rPr>
        <w:t xml:space="preserve">Section 47607(g). The SBE moved to approve the CDE recommendation to issue a Notice of Violation to T.I.M.E.; </w:t>
      </w:r>
      <w:r w:rsidR="003F09B4">
        <w:rPr>
          <w:rFonts w:cs="Arial"/>
        </w:rPr>
        <w:t xml:space="preserve">however, </w:t>
      </w:r>
      <w:r w:rsidR="00B93F98" w:rsidRPr="00B93F98">
        <w:rPr>
          <w:rFonts w:cs="Arial"/>
        </w:rPr>
        <w:t>the motion failed by a vote of five to four.</w:t>
      </w:r>
      <w:r w:rsidR="00793FDD">
        <w:rPr>
          <w:rFonts w:cs="Arial"/>
        </w:rPr>
        <w:t xml:space="preserve"> </w:t>
      </w:r>
    </w:p>
    <w:p w14:paraId="43745154" w14:textId="1425101A" w:rsidR="00B93F98" w:rsidRDefault="00793FDD" w:rsidP="00B858F6">
      <w:pPr>
        <w:spacing w:after="240"/>
        <w:rPr>
          <w:rFonts w:cs="Arial"/>
        </w:rPr>
      </w:pPr>
      <w:r>
        <w:rPr>
          <w:rFonts w:cs="Arial"/>
        </w:rPr>
        <w:lastRenderedPageBreak/>
        <w:t>LACOE has continued to collaborate</w:t>
      </w:r>
      <w:r w:rsidR="00682CF6">
        <w:rPr>
          <w:rFonts w:cs="Arial"/>
        </w:rPr>
        <w:t xml:space="preserve"> with</w:t>
      </w:r>
      <w:r>
        <w:rPr>
          <w:rFonts w:cs="Arial"/>
        </w:rPr>
        <w:t xml:space="preserve"> and provide guidance to T.I.M.E.</w:t>
      </w:r>
      <w:r w:rsidR="003F09B4">
        <w:rPr>
          <w:rFonts w:cs="Arial"/>
        </w:rPr>
        <w:t xml:space="preserve"> Despite LACOE’s issuance of three additional letters of concern to T.I.M.E. (</w:t>
      </w:r>
      <w:r w:rsidR="003F09B4">
        <w:t>October 6, 2022; October 11, 2022; and January 17, 2023)</w:t>
      </w:r>
      <w:r>
        <w:rPr>
          <w:rFonts w:cs="Arial"/>
        </w:rPr>
        <w:t xml:space="preserve">, </w:t>
      </w:r>
      <w:r w:rsidR="003F09B4">
        <w:rPr>
          <w:rFonts w:cs="Arial"/>
        </w:rPr>
        <w:t>the school</w:t>
      </w:r>
      <w:r w:rsidR="009F712A">
        <w:rPr>
          <w:rFonts w:cs="Arial"/>
        </w:rPr>
        <w:t xml:space="preserve">’s fiscal condition </w:t>
      </w:r>
      <w:r>
        <w:rPr>
          <w:rFonts w:cs="Arial"/>
        </w:rPr>
        <w:t>continues to deteriorate</w:t>
      </w:r>
      <w:r w:rsidR="009F712A">
        <w:rPr>
          <w:rFonts w:cs="Arial"/>
        </w:rPr>
        <w:t xml:space="preserve">; the school </w:t>
      </w:r>
      <w:r w:rsidR="001967B7">
        <w:rPr>
          <w:rFonts w:cs="Arial"/>
        </w:rPr>
        <w:t xml:space="preserve">is in an even worse fiscal position than </w:t>
      </w:r>
      <w:r w:rsidR="009F712A">
        <w:rPr>
          <w:rFonts w:cs="Arial"/>
        </w:rPr>
        <w:t>it was</w:t>
      </w:r>
      <w:r w:rsidR="001967B7">
        <w:rPr>
          <w:rFonts w:cs="Arial"/>
        </w:rPr>
        <w:t xml:space="preserve"> in </w:t>
      </w:r>
      <w:r w:rsidR="00B3727D">
        <w:rPr>
          <w:rFonts w:cs="Arial"/>
        </w:rPr>
        <w:t>July 2022.</w:t>
      </w:r>
    </w:p>
    <w:p w14:paraId="490B488A" w14:textId="6031642B" w:rsidR="0088563C" w:rsidRDefault="00E55138" w:rsidP="00812F6E">
      <w:pPr>
        <w:pStyle w:val="Heading2"/>
        <w:spacing w:before="0"/>
        <w:rPr>
          <w:rFonts w:eastAsia="Arial" w:cs="Arial"/>
          <w:color w:val="000000"/>
        </w:rPr>
      </w:pPr>
      <w:r w:rsidRPr="00E55138">
        <w:rPr>
          <w:lang w:eastAsia="ja-JP"/>
        </w:rPr>
        <w:t>Instances</w:t>
      </w:r>
      <w:r w:rsidR="00FD22FC">
        <w:rPr>
          <w:lang w:eastAsia="ja-JP"/>
        </w:rPr>
        <w:t>/Evidence</w:t>
      </w:r>
      <w:r w:rsidRPr="00E55138">
        <w:rPr>
          <w:lang w:eastAsia="ja-JP"/>
        </w:rPr>
        <w:t xml:space="preserve"> of </w:t>
      </w:r>
      <w:r w:rsidR="0088563C" w:rsidRPr="00E55138">
        <w:rPr>
          <w:lang w:eastAsia="ja-JP"/>
        </w:rPr>
        <w:t>Violation</w:t>
      </w:r>
    </w:p>
    <w:p w14:paraId="069F3BE1" w14:textId="19981213" w:rsidR="00E55138" w:rsidRDefault="00BD420C" w:rsidP="00671251">
      <w:pPr>
        <w:spacing w:after="240"/>
        <w:rPr>
          <w:rFonts w:eastAsia="Arial"/>
        </w:rPr>
      </w:pPr>
      <w:r>
        <w:t xml:space="preserve">LACOE identified a number of violations that, if not resolved immediately by the </w:t>
      </w:r>
      <w:r w:rsidR="00835FD4">
        <w:t>T.I.M.E.</w:t>
      </w:r>
      <w:r>
        <w:t xml:space="preserve"> Board, will directly impact the ability of </w:t>
      </w:r>
      <w:r w:rsidR="00835FD4">
        <w:t>T.I.M.E.</w:t>
      </w:r>
      <w:r>
        <w:t xml:space="preserve"> to continue operations </w:t>
      </w:r>
      <w:r w:rsidR="00EE4419">
        <w:t>for the remainder of the 2022–23 school year as well as for future school years</w:t>
      </w:r>
      <w:r>
        <w:t>.</w:t>
      </w:r>
      <w:r w:rsidR="00EE4419">
        <w:t xml:space="preserve"> </w:t>
      </w:r>
      <w:r w:rsidR="00671251">
        <w:t xml:space="preserve">Specifically, LACOE finds that </w:t>
      </w:r>
      <w:bookmarkStart w:id="1" w:name="_Hlk107230620"/>
      <w:r w:rsidR="00671251">
        <w:t>t</w:t>
      </w:r>
      <w:r w:rsidR="0088563C" w:rsidRPr="00E55138">
        <w:rPr>
          <w:rFonts w:eastAsia="Arial"/>
        </w:rPr>
        <w:t>he</w:t>
      </w:r>
      <w:r w:rsidR="00E55138" w:rsidRPr="00E55138">
        <w:rPr>
          <w:rFonts w:eastAsia="Arial"/>
        </w:rPr>
        <w:t xml:space="preserve"> </w:t>
      </w:r>
      <w:r w:rsidR="00835FD4">
        <w:rPr>
          <w:rFonts w:eastAsia="Arial"/>
        </w:rPr>
        <w:t>T.I.M.E.</w:t>
      </w:r>
      <w:r w:rsidR="00E55138" w:rsidRPr="00E55138">
        <w:rPr>
          <w:rFonts w:eastAsia="Arial"/>
        </w:rPr>
        <w:t xml:space="preserve"> Board </w:t>
      </w:r>
      <w:r w:rsidR="00937C03">
        <w:rPr>
          <w:rFonts w:eastAsia="Arial"/>
        </w:rPr>
        <w:t xml:space="preserve">has failed to </w:t>
      </w:r>
      <w:r w:rsidR="00E55138" w:rsidRPr="00E55138">
        <w:rPr>
          <w:rFonts w:eastAsia="Arial"/>
        </w:rPr>
        <w:t xml:space="preserve">engage in </w:t>
      </w:r>
      <w:r w:rsidR="00937C03">
        <w:rPr>
          <w:rFonts w:eastAsia="Arial"/>
        </w:rPr>
        <w:t xml:space="preserve">prudent </w:t>
      </w:r>
      <w:r w:rsidR="00E55138" w:rsidRPr="00E55138">
        <w:rPr>
          <w:rFonts w:eastAsia="Arial"/>
        </w:rPr>
        <w:t>fiscal management</w:t>
      </w:r>
      <w:r w:rsidR="004616F2">
        <w:rPr>
          <w:rFonts w:eastAsia="Arial"/>
        </w:rPr>
        <w:t>.</w:t>
      </w:r>
    </w:p>
    <w:p w14:paraId="412D276B" w14:textId="77777777" w:rsidR="00CB5448" w:rsidRDefault="009A7434" w:rsidP="00F25F49">
      <w:pPr>
        <w:spacing w:after="240"/>
      </w:pPr>
      <w:r>
        <w:t>T.I.M.E.</w:t>
      </w:r>
      <w:r w:rsidRPr="009A7434">
        <w:t xml:space="preserve">’s fiscal condition </w:t>
      </w:r>
      <w:r w:rsidR="00793FDD">
        <w:t xml:space="preserve">has </w:t>
      </w:r>
      <w:r w:rsidRPr="009A7434">
        <w:t>continue</w:t>
      </w:r>
      <w:r w:rsidR="00793FDD">
        <w:t>d</w:t>
      </w:r>
      <w:r w:rsidRPr="009A7434">
        <w:t xml:space="preserve"> to deteriorate since last fiscal year due to a structural deficit. </w:t>
      </w:r>
      <w:r>
        <w:t>T.I.M.E.</w:t>
      </w:r>
      <w:r w:rsidRPr="009A7434">
        <w:t xml:space="preserve">’s projected revenues are insufficient to meet its operational expenses and financial commitments. </w:t>
      </w:r>
      <w:r>
        <w:t>T.I.M.E.</w:t>
      </w:r>
      <w:r w:rsidRPr="009A7434">
        <w:t xml:space="preserve"> continues to base its budget and multiyear projections on unrealistic enrollment and financial projections, and has not exercised </w:t>
      </w:r>
      <w:r w:rsidR="00CB5448">
        <w:t xml:space="preserve">the </w:t>
      </w:r>
      <w:r w:rsidRPr="009A7434">
        <w:t xml:space="preserve">prudent fiscal management necessary to achieve fiscal stability and viability. </w:t>
      </w:r>
    </w:p>
    <w:p w14:paraId="77A51B27" w14:textId="6D7915D1" w:rsidR="00793FDD" w:rsidRDefault="009A7434" w:rsidP="00F25F49">
      <w:pPr>
        <w:spacing w:after="240"/>
      </w:pPr>
      <w:r w:rsidRPr="009A7434">
        <w:t xml:space="preserve">Due to deficit spending and cash deficiencies, </w:t>
      </w:r>
      <w:r>
        <w:t>T.I.M.E.</w:t>
      </w:r>
      <w:r w:rsidRPr="009A7434">
        <w:t xml:space="preserve"> has missed debt repayment deadlines, including all six promissory notes issued during 2021</w:t>
      </w:r>
      <w:r w:rsidR="00F25F49">
        <w:t>–</w:t>
      </w:r>
      <w:r w:rsidRPr="009A7434">
        <w:t>22 for a total of $280,376.</w:t>
      </w:r>
      <w:r w:rsidR="00F25F49">
        <w:t xml:space="preserve"> </w:t>
      </w:r>
      <w:r w:rsidRPr="009A7434">
        <w:t xml:space="preserve">According to </w:t>
      </w:r>
      <w:r>
        <w:t>T.I.M.E.</w:t>
      </w:r>
      <w:r w:rsidRPr="009A7434">
        <w:t>’s 2021</w:t>
      </w:r>
      <w:r w:rsidR="00F25F49">
        <w:t>–</w:t>
      </w:r>
      <w:r w:rsidRPr="009A7434">
        <w:t xml:space="preserve">22 audit report, it incurred an operating deficit of $378,107 and </w:t>
      </w:r>
      <w:r w:rsidR="004616F2">
        <w:t xml:space="preserve">had </w:t>
      </w:r>
      <w:r w:rsidRPr="009A7434">
        <w:t xml:space="preserve">a negative ending </w:t>
      </w:r>
      <w:r w:rsidR="00F25F49" w:rsidRPr="009A7434">
        <w:t xml:space="preserve">net asset </w:t>
      </w:r>
      <w:r w:rsidRPr="009A7434">
        <w:t xml:space="preserve">of $268,436. In a letter dated January 27, 2023, </w:t>
      </w:r>
      <w:r>
        <w:t>T.I.M.E.</w:t>
      </w:r>
      <w:r w:rsidRPr="009A7434">
        <w:t xml:space="preserve">’s independent auditor notified </w:t>
      </w:r>
      <w:r>
        <w:t>T.I.M.E.</w:t>
      </w:r>
      <w:r w:rsidRPr="009A7434">
        <w:t xml:space="preserve">’s </w:t>
      </w:r>
      <w:r w:rsidR="00F25F49">
        <w:t>Board</w:t>
      </w:r>
      <w:r w:rsidRPr="009A7434">
        <w:t xml:space="preserve"> that its 2021</w:t>
      </w:r>
      <w:r w:rsidR="00F25F49">
        <w:t>–</w:t>
      </w:r>
      <w:r w:rsidRPr="009A7434">
        <w:t xml:space="preserve">22 ending negative </w:t>
      </w:r>
      <w:r w:rsidR="00F25F49" w:rsidRPr="009A7434">
        <w:t xml:space="preserve">net position </w:t>
      </w:r>
      <w:r w:rsidRPr="009A7434">
        <w:t>of $268,436 and its projected deficit in 2022</w:t>
      </w:r>
      <w:r w:rsidR="00F25F49">
        <w:t>–</w:t>
      </w:r>
      <w:r w:rsidRPr="009A7434">
        <w:t xml:space="preserve">23 are key factors that raise substantial doubt about </w:t>
      </w:r>
      <w:r>
        <w:t>T.I.M.E.</w:t>
      </w:r>
      <w:r w:rsidRPr="009A7434">
        <w:t xml:space="preserve">’s ability to </w:t>
      </w:r>
      <w:r w:rsidRPr="005B23CB">
        <w:t>continue</w:t>
      </w:r>
      <w:r w:rsidR="00CB5448">
        <w:t>,</w:t>
      </w:r>
      <w:r w:rsidRPr="005B23CB">
        <w:t xml:space="preserve"> as a going concern</w:t>
      </w:r>
      <w:r w:rsidRPr="009A7434">
        <w:t>. Its auditor also disclosed the promissory notes (personal loans) totaling $281,348 that have lapsed (defaulted) and remain unpaid, along with an outstanding $100,000 loan obtained from the Charter</w:t>
      </w:r>
      <w:r w:rsidR="00495324">
        <w:t xml:space="preserve"> School</w:t>
      </w:r>
      <w:r w:rsidRPr="009A7434">
        <w:t xml:space="preserve"> Revolving Loan Fund Program administered by the California School Finance Authority.</w:t>
      </w:r>
    </w:p>
    <w:p w14:paraId="1E7B52C6" w14:textId="4FBDA7EF" w:rsidR="00F25F49" w:rsidRDefault="009A7434" w:rsidP="00F25F49">
      <w:pPr>
        <w:spacing w:after="240"/>
      </w:pPr>
      <w:r w:rsidRPr="009A7434">
        <w:t xml:space="preserve">LACOE </w:t>
      </w:r>
      <w:r w:rsidR="000220C2">
        <w:t xml:space="preserve">and the CDE </w:t>
      </w:r>
      <w:r w:rsidRPr="009A7434">
        <w:t xml:space="preserve">continue to have substantial doubt concerning </w:t>
      </w:r>
      <w:r>
        <w:t>T.I.M.E.</w:t>
      </w:r>
      <w:r w:rsidRPr="009A7434">
        <w:t xml:space="preserve">’s ability to meet current year financial obligations, including payroll and related expenses, and its ongoing financial obligations. </w:t>
      </w:r>
      <w:r>
        <w:t>T.I.M.E.</w:t>
      </w:r>
      <w:r w:rsidRPr="009A7434">
        <w:t xml:space="preserve"> </w:t>
      </w:r>
      <w:r w:rsidR="004616F2">
        <w:t>is at</w:t>
      </w:r>
      <w:r w:rsidRPr="009A7434">
        <w:t xml:space="preserve"> increased risk of cash shortfalls and further insolvency.</w:t>
      </w:r>
    </w:p>
    <w:p w14:paraId="115CC7E4" w14:textId="125B59CA" w:rsidR="00BD420C" w:rsidRDefault="00D559CE" w:rsidP="00671251">
      <w:pPr>
        <w:pStyle w:val="Heading3"/>
      </w:pPr>
      <w:r>
        <w:t xml:space="preserve">Unrealistic </w:t>
      </w:r>
      <w:r w:rsidR="00BD420C">
        <w:t>Enrollment and Average Daily Attendance Projections</w:t>
      </w:r>
    </w:p>
    <w:p w14:paraId="65082437" w14:textId="7FFFA081" w:rsidR="00B654CA" w:rsidRDefault="00B654CA" w:rsidP="00B654CA">
      <w:pPr>
        <w:spacing w:before="240" w:after="240"/>
        <w:rPr>
          <w:szCs w:val="22"/>
        </w:rPr>
      </w:pPr>
      <w:r w:rsidRPr="00B654CA">
        <w:rPr>
          <w:szCs w:val="22"/>
        </w:rPr>
        <w:t xml:space="preserve">The table below summarizes </w:t>
      </w:r>
      <w:r w:rsidR="00835FD4">
        <w:rPr>
          <w:szCs w:val="22"/>
        </w:rPr>
        <w:t>T.I.M.E.</w:t>
      </w:r>
      <w:r w:rsidRPr="00B654CA">
        <w:rPr>
          <w:szCs w:val="22"/>
        </w:rPr>
        <w:t xml:space="preserve">’s enrollment and </w:t>
      </w:r>
      <w:r w:rsidR="00F25F49">
        <w:rPr>
          <w:szCs w:val="22"/>
        </w:rPr>
        <w:t>average daily attendance (</w:t>
      </w:r>
      <w:r w:rsidRPr="00B654CA">
        <w:rPr>
          <w:szCs w:val="22"/>
        </w:rPr>
        <w:t>ADA</w:t>
      </w:r>
      <w:r w:rsidR="00F25F49">
        <w:rPr>
          <w:szCs w:val="22"/>
        </w:rPr>
        <w:t>)</w:t>
      </w:r>
      <w:r w:rsidRPr="00B654CA">
        <w:rPr>
          <w:szCs w:val="22"/>
        </w:rPr>
        <w:t xml:space="preserve"> projections compared to actual data.</w:t>
      </w:r>
    </w:p>
    <w:tbl>
      <w:tblPr>
        <w:tblStyle w:val="TableGrid"/>
        <w:tblW w:w="9360" w:type="dxa"/>
        <w:tblInd w:w="-5" w:type="dxa"/>
        <w:tblLook w:val="04A0" w:firstRow="1" w:lastRow="0" w:firstColumn="1" w:lastColumn="0" w:noHBand="0" w:noVBand="1"/>
        <w:tblDescription w:val="Enrollment and Average Daily Attendance Projections"/>
      </w:tblPr>
      <w:tblGrid>
        <w:gridCol w:w="1492"/>
        <w:gridCol w:w="1282"/>
        <w:gridCol w:w="1936"/>
        <w:gridCol w:w="1282"/>
        <w:gridCol w:w="1432"/>
        <w:gridCol w:w="1936"/>
      </w:tblGrid>
      <w:tr w:rsidR="00F25F49" w:rsidRPr="00BD420C" w14:paraId="18DBC1B2" w14:textId="77777777" w:rsidTr="00DF3CA8">
        <w:trPr>
          <w:cantSplit/>
          <w:trHeight w:val="359"/>
          <w:tblHeader/>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009A19" w14:textId="77777777" w:rsidR="00F25F49" w:rsidRPr="00BD420C" w:rsidRDefault="00F25F49" w:rsidP="00DF3CA8">
            <w:pPr>
              <w:pStyle w:val="ListParagraph"/>
              <w:ind w:left="0"/>
              <w:jc w:val="center"/>
              <w:rPr>
                <w:rFonts w:cs="Arial"/>
                <w:b/>
                <w:szCs w:val="22"/>
              </w:rPr>
            </w:pPr>
            <w:bookmarkStart w:id="2" w:name="_Hlk127455139"/>
            <w:r w:rsidRPr="00BD420C">
              <w:rPr>
                <w:rFonts w:cs="Arial"/>
                <w:b/>
                <w:szCs w:val="22"/>
              </w:rPr>
              <w:lastRenderedPageBreak/>
              <w:t>Criteria</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248527" w14:textId="7C18B367" w:rsidR="00F25F49" w:rsidRPr="00BD420C" w:rsidRDefault="00F25F49" w:rsidP="00DF3CA8">
            <w:pPr>
              <w:pStyle w:val="ListParagraph"/>
              <w:ind w:left="0"/>
              <w:jc w:val="center"/>
              <w:rPr>
                <w:rFonts w:cs="Arial"/>
                <w:b/>
                <w:szCs w:val="22"/>
              </w:rPr>
            </w:pPr>
            <w:r>
              <w:rPr>
                <w:rFonts w:cs="Arial"/>
                <w:b/>
                <w:szCs w:val="22"/>
              </w:rPr>
              <w:t>2021–22 Adopted Budget</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14FB5E" w14:textId="0415A92B" w:rsidR="00F25F49" w:rsidRPr="00BD420C" w:rsidRDefault="00F25F49" w:rsidP="00DF3CA8">
            <w:pPr>
              <w:pStyle w:val="ListParagraph"/>
              <w:ind w:left="0"/>
              <w:jc w:val="center"/>
              <w:rPr>
                <w:rFonts w:cs="Arial"/>
                <w:b/>
                <w:szCs w:val="22"/>
              </w:rPr>
            </w:pPr>
            <w:r>
              <w:rPr>
                <w:rFonts w:cs="Arial"/>
                <w:b/>
                <w:szCs w:val="22"/>
              </w:rPr>
              <w:t>2021–22 Certified Second Principal Apportionment</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FC0298" w14:textId="51902514" w:rsidR="00F25F49" w:rsidRPr="00BD420C" w:rsidRDefault="00F25F49" w:rsidP="00DF3CA8">
            <w:pPr>
              <w:pStyle w:val="ListParagraph"/>
              <w:ind w:left="0"/>
              <w:jc w:val="center"/>
              <w:rPr>
                <w:rFonts w:cs="Arial"/>
                <w:b/>
                <w:szCs w:val="22"/>
              </w:rPr>
            </w:pPr>
            <w:r>
              <w:rPr>
                <w:rFonts w:cs="Arial"/>
                <w:b/>
                <w:szCs w:val="22"/>
              </w:rPr>
              <w:t>2022–23 Adopted Budget</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FC3299" w14:textId="0A72FAEA" w:rsidR="00F25F49" w:rsidRPr="00BD420C" w:rsidRDefault="00F25F49" w:rsidP="00DF3CA8">
            <w:pPr>
              <w:pStyle w:val="ListParagraph"/>
              <w:ind w:left="0"/>
              <w:jc w:val="center"/>
              <w:rPr>
                <w:rFonts w:cs="Arial"/>
                <w:b/>
                <w:szCs w:val="22"/>
              </w:rPr>
            </w:pPr>
            <w:r>
              <w:rPr>
                <w:rFonts w:cs="Arial"/>
                <w:b/>
                <w:szCs w:val="22"/>
              </w:rPr>
              <w:t xml:space="preserve">2022–23 First Interim </w:t>
            </w:r>
            <w:r w:rsidR="000B1EF6">
              <w:rPr>
                <w:rFonts w:cs="Arial"/>
                <w:b/>
                <w:szCs w:val="22"/>
              </w:rPr>
              <w:t xml:space="preserve">Report </w:t>
            </w:r>
            <w:r>
              <w:rPr>
                <w:rFonts w:cs="Arial"/>
                <w:b/>
                <w:szCs w:val="22"/>
              </w:rPr>
              <w:t>Projection</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2DE5F5" w14:textId="40294AD6" w:rsidR="00F25F49" w:rsidRPr="00BD420C" w:rsidRDefault="00F25F49" w:rsidP="00DF3CA8">
            <w:pPr>
              <w:pStyle w:val="ListParagraph"/>
              <w:ind w:left="0"/>
              <w:jc w:val="center"/>
              <w:rPr>
                <w:rFonts w:cs="Arial"/>
                <w:b/>
                <w:szCs w:val="22"/>
              </w:rPr>
            </w:pPr>
            <w:r>
              <w:rPr>
                <w:rFonts w:cs="Arial"/>
                <w:b/>
                <w:szCs w:val="22"/>
              </w:rPr>
              <w:t>2022–23 First Principal Apportionment Attendance Report</w:t>
            </w:r>
          </w:p>
        </w:tc>
      </w:tr>
      <w:tr w:rsidR="00F25F49" w:rsidRPr="00BD420C" w14:paraId="22A96248" w14:textId="77777777" w:rsidTr="00DF3CA8">
        <w:trPr>
          <w:cantSplit/>
          <w:trHeight w:val="440"/>
        </w:trPr>
        <w:tc>
          <w:tcPr>
            <w:tcW w:w="1560" w:type="dxa"/>
            <w:tcBorders>
              <w:top w:val="single" w:sz="4" w:space="0" w:color="auto"/>
              <w:left w:val="single" w:sz="4" w:space="0" w:color="auto"/>
              <w:bottom w:val="single" w:sz="4" w:space="0" w:color="auto"/>
              <w:right w:val="single" w:sz="4" w:space="0" w:color="auto"/>
            </w:tcBorders>
            <w:vAlign w:val="center"/>
            <w:hideMark/>
          </w:tcPr>
          <w:p w14:paraId="41A28D66" w14:textId="77777777" w:rsidR="00F25F49" w:rsidRPr="00BD420C" w:rsidRDefault="00F25F49" w:rsidP="00DF3CA8">
            <w:pPr>
              <w:pStyle w:val="ListParagraph"/>
              <w:ind w:left="0"/>
              <w:jc w:val="center"/>
              <w:rPr>
                <w:rFonts w:cs="Arial"/>
                <w:b/>
                <w:szCs w:val="22"/>
              </w:rPr>
            </w:pPr>
            <w:r w:rsidRPr="00BD420C">
              <w:rPr>
                <w:rFonts w:cs="Arial"/>
                <w:b/>
                <w:szCs w:val="22"/>
              </w:rPr>
              <w:t>Enrollment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41763B0" w14:textId="77777777" w:rsidR="00F25F49" w:rsidRPr="00BD420C" w:rsidRDefault="00F25F49" w:rsidP="00DF3CA8">
            <w:pPr>
              <w:pStyle w:val="ListParagraph"/>
              <w:ind w:left="0"/>
              <w:jc w:val="center"/>
              <w:rPr>
                <w:rFonts w:cs="Arial"/>
                <w:szCs w:val="22"/>
              </w:rPr>
            </w:pPr>
            <w:r w:rsidRPr="00BD420C">
              <w:rPr>
                <w:rFonts w:cs="Arial"/>
                <w:szCs w:val="22"/>
              </w:rPr>
              <w:t>165 students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0582469" w14:textId="7A4D838A" w:rsidR="00F25F49" w:rsidRPr="00BD420C" w:rsidRDefault="00F25F49" w:rsidP="00DF3CA8">
            <w:pPr>
              <w:pStyle w:val="ListParagraph"/>
              <w:ind w:left="0"/>
              <w:jc w:val="center"/>
              <w:rPr>
                <w:rFonts w:cs="Arial"/>
                <w:szCs w:val="22"/>
              </w:rPr>
            </w:pPr>
            <w:r>
              <w:rPr>
                <w:rFonts w:cs="Arial"/>
                <w:szCs w:val="22"/>
              </w:rPr>
              <w:t>40</w:t>
            </w:r>
            <w:r w:rsidRPr="00BD420C">
              <w:rPr>
                <w:rFonts w:cs="Arial"/>
                <w:szCs w:val="22"/>
              </w:rPr>
              <w:t xml:space="preserve"> </w:t>
            </w:r>
            <w:r>
              <w:rPr>
                <w:rFonts w:cs="Arial"/>
                <w:szCs w:val="22"/>
              </w:rPr>
              <w:br/>
            </w:r>
            <w:r w:rsidRPr="00BD420C">
              <w:rPr>
                <w:rFonts w:cs="Arial"/>
                <w:szCs w:val="22"/>
              </w:rPr>
              <w:t>students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079C94E" w14:textId="69AA1024" w:rsidR="00F25F49" w:rsidRPr="00BD420C" w:rsidRDefault="00F25F49" w:rsidP="00DF3CA8">
            <w:pPr>
              <w:pStyle w:val="ListParagraph"/>
              <w:ind w:left="0"/>
              <w:jc w:val="center"/>
              <w:rPr>
                <w:rFonts w:cs="Arial"/>
                <w:szCs w:val="22"/>
              </w:rPr>
            </w:pPr>
            <w:r>
              <w:rPr>
                <w:rFonts w:cs="Arial"/>
                <w:szCs w:val="22"/>
              </w:rPr>
              <w:t>110</w:t>
            </w:r>
            <w:r>
              <w:rPr>
                <w:rFonts w:cs="Arial"/>
                <w:szCs w:val="22"/>
              </w:rPr>
              <w:br/>
            </w:r>
            <w:r w:rsidRPr="00BD420C">
              <w:rPr>
                <w:rFonts w:cs="Arial"/>
                <w:szCs w:val="22"/>
              </w:rPr>
              <w:t>students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B2C8429" w14:textId="5D4F0943" w:rsidR="00F25F49" w:rsidRPr="00BD420C" w:rsidRDefault="00F25F49" w:rsidP="00DF3CA8">
            <w:pPr>
              <w:pStyle w:val="ListParagraph"/>
              <w:ind w:left="0"/>
              <w:jc w:val="center"/>
              <w:rPr>
                <w:rFonts w:cs="Arial"/>
                <w:szCs w:val="22"/>
              </w:rPr>
            </w:pPr>
            <w:r>
              <w:rPr>
                <w:rFonts w:cs="Arial"/>
                <w:szCs w:val="22"/>
              </w:rPr>
              <w:t>64</w:t>
            </w:r>
            <w:r w:rsidRPr="00BD420C">
              <w:rPr>
                <w:rFonts w:cs="Arial"/>
                <w:szCs w:val="22"/>
              </w:rPr>
              <w:t xml:space="preserve"> students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D320D8B" w14:textId="77777777" w:rsidR="00F25F49" w:rsidRDefault="00F25F49" w:rsidP="00DF3CA8">
            <w:pPr>
              <w:pStyle w:val="ListParagraph"/>
              <w:ind w:left="0"/>
              <w:jc w:val="center"/>
              <w:rPr>
                <w:rFonts w:cs="Arial"/>
                <w:szCs w:val="22"/>
              </w:rPr>
            </w:pPr>
            <w:r>
              <w:rPr>
                <w:rFonts w:cs="Arial"/>
                <w:szCs w:val="22"/>
              </w:rPr>
              <w:t>65</w:t>
            </w:r>
            <w:r w:rsidRPr="00BD420C">
              <w:rPr>
                <w:rFonts w:cs="Arial"/>
                <w:szCs w:val="22"/>
              </w:rPr>
              <w:t xml:space="preserve"> </w:t>
            </w:r>
          </w:p>
          <w:p w14:paraId="05D6F609" w14:textId="75A3EFC3" w:rsidR="00F25F49" w:rsidRPr="00BD420C" w:rsidRDefault="00F25F49" w:rsidP="00DF3CA8">
            <w:pPr>
              <w:pStyle w:val="ListParagraph"/>
              <w:ind w:left="0"/>
              <w:jc w:val="center"/>
              <w:rPr>
                <w:rFonts w:cs="Arial"/>
                <w:szCs w:val="22"/>
              </w:rPr>
            </w:pPr>
            <w:r w:rsidRPr="00BD420C">
              <w:rPr>
                <w:rFonts w:cs="Arial"/>
                <w:szCs w:val="22"/>
              </w:rPr>
              <w:t>students</w:t>
            </w:r>
          </w:p>
        </w:tc>
      </w:tr>
      <w:tr w:rsidR="00F25F49" w:rsidRPr="00BD420C" w14:paraId="4E5B8BC3" w14:textId="77777777" w:rsidTr="00DF3CA8">
        <w:trPr>
          <w:cantSplit/>
          <w:trHeight w:val="440"/>
        </w:trPr>
        <w:tc>
          <w:tcPr>
            <w:tcW w:w="1560" w:type="dxa"/>
            <w:tcBorders>
              <w:top w:val="single" w:sz="4" w:space="0" w:color="auto"/>
              <w:left w:val="single" w:sz="4" w:space="0" w:color="auto"/>
              <w:bottom w:val="single" w:sz="4" w:space="0" w:color="auto"/>
              <w:right w:val="single" w:sz="4" w:space="0" w:color="auto"/>
            </w:tcBorders>
            <w:vAlign w:val="center"/>
            <w:hideMark/>
          </w:tcPr>
          <w:p w14:paraId="572C21AC" w14:textId="77777777" w:rsidR="00F25F49" w:rsidRPr="00BD420C" w:rsidRDefault="00F25F49" w:rsidP="00DF3CA8">
            <w:pPr>
              <w:pStyle w:val="ListParagraph"/>
              <w:ind w:left="0"/>
              <w:jc w:val="center"/>
              <w:rPr>
                <w:rFonts w:cs="Arial"/>
                <w:b/>
                <w:szCs w:val="22"/>
              </w:rPr>
            </w:pPr>
            <w:r w:rsidRPr="00BD420C">
              <w:rPr>
                <w:rFonts w:cs="Arial"/>
                <w:b/>
                <w:szCs w:val="22"/>
              </w:rPr>
              <w:t>ADA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314A231" w14:textId="58F11BC6" w:rsidR="00F25F49" w:rsidRPr="00BD420C" w:rsidRDefault="008B70D9" w:rsidP="00DF3CA8">
            <w:pPr>
              <w:pStyle w:val="ListParagraph"/>
              <w:ind w:left="0"/>
              <w:jc w:val="center"/>
              <w:rPr>
                <w:rFonts w:cs="Arial"/>
                <w:szCs w:val="22"/>
              </w:rPr>
            </w:pPr>
            <w:r>
              <w:rPr>
                <w:rFonts w:cs="Arial"/>
                <w:szCs w:val="22"/>
              </w:rPr>
              <w:t>156.75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99F226B" w14:textId="31D9CB77" w:rsidR="00F25F49" w:rsidRPr="00BD420C" w:rsidRDefault="00F25F49" w:rsidP="00DF3CA8">
            <w:pPr>
              <w:pStyle w:val="ListParagraph"/>
              <w:ind w:left="0"/>
              <w:jc w:val="center"/>
              <w:rPr>
                <w:rFonts w:cs="Arial"/>
                <w:szCs w:val="22"/>
              </w:rPr>
            </w:pPr>
            <w:r>
              <w:rPr>
                <w:rFonts w:cs="Arial"/>
                <w:szCs w:val="22"/>
              </w:rPr>
              <w:t>34.37</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8F83CEF" w14:textId="7F11B8EA" w:rsidR="00F25F49" w:rsidRPr="00BD420C" w:rsidRDefault="00F25F49" w:rsidP="00DF3CA8">
            <w:pPr>
              <w:pStyle w:val="ListParagraph"/>
              <w:ind w:left="0"/>
              <w:jc w:val="center"/>
              <w:rPr>
                <w:rFonts w:cs="Arial"/>
                <w:szCs w:val="22"/>
              </w:rPr>
            </w:pPr>
            <w:r>
              <w:rPr>
                <w:rFonts w:cs="Arial"/>
                <w:szCs w:val="22"/>
              </w:rPr>
              <w:t>104.50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6468366" w14:textId="65EFE623" w:rsidR="00F25F49" w:rsidRPr="00BD420C" w:rsidRDefault="00F25F49" w:rsidP="00DF3CA8">
            <w:pPr>
              <w:pStyle w:val="ListParagraph"/>
              <w:ind w:left="0"/>
              <w:jc w:val="center"/>
              <w:rPr>
                <w:rFonts w:cs="Arial"/>
                <w:szCs w:val="22"/>
              </w:rPr>
            </w:pPr>
            <w:r>
              <w:rPr>
                <w:rFonts w:cs="Arial"/>
                <w:szCs w:val="22"/>
              </w:rPr>
              <w:t>60.80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A2BD373" w14:textId="50F5C19E" w:rsidR="00F25F49" w:rsidRPr="00BD420C" w:rsidRDefault="00F25F49" w:rsidP="00DF3CA8">
            <w:pPr>
              <w:pStyle w:val="ListParagraph"/>
              <w:ind w:left="0"/>
              <w:jc w:val="center"/>
              <w:rPr>
                <w:rFonts w:cs="Arial"/>
                <w:szCs w:val="22"/>
              </w:rPr>
            </w:pPr>
            <w:r>
              <w:rPr>
                <w:rFonts w:cs="Arial"/>
                <w:szCs w:val="22"/>
              </w:rPr>
              <w:t>55.55</w:t>
            </w:r>
          </w:p>
        </w:tc>
      </w:tr>
    </w:tbl>
    <w:bookmarkEnd w:id="2"/>
    <w:p w14:paraId="63FEA23B" w14:textId="22A7E446" w:rsidR="00B654CA" w:rsidRPr="00B654CA" w:rsidRDefault="00835FD4" w:rsidP="00B654CA">
      <w:pPr>
        <w:spacing w:before="240" w:after="240"/>
        <w:rPr>
          <w:szCs w:val="22"/>
        </w:rPr>
      </w:pPr>
      <w:r>
        <w:rPr>
          <w:szCs w:val="22"/>
        </w:rPr>
        <w:t>T.I.M.E.</w:t>
      </w:r>
      <w:r w:rsidR="00B654CA" w:rsidRPr="00B654CA">
        <w:rPr>
          <w:szCs w:val="22"/>
        </w:rPr>
        <w:t>’s 2022</w:t>
      </w:r>
      <w:r w:rsidR="00F25F49">
        <w:rPr>
          <w:szCs w:val="22"/>
        </w:rPr>
        <w:t>–</w:t>
      </w:r>
      <w:r w:rsidR="00B654CA" w:rsidRPr="00B654CA">
        <w:rPr>
          <w:szCs w:val="22"/>
        </w:rPr>
        <w:t xml:space="preserve">23 First Interim Report projects enrollment of 64 students and ADA of 60.80, representing a decrease of </w:t>
      </w:r>
      <w:r w:rsidR="00B654CA" w:rsidRPr="00793FDD">
        <w:rPr>
          <w:szCs w:val="22"/>
        </w:rPr>
        <w:t xml:space="preserve">43.70 ADA, or 41.82 percent from its </w:t>
      </w:r>
      <w:r w:rsidR="00E668F3">
        <w:rPr>
          <w:szCs w:val="22"/>
        </w:rPr>
        <w:t xml:space="preserve">2022–23 </w:t>
      </w:r>
      <w:r w:rsidR="000B1EF6" w:rsidRPr="00793FDD">
        <w:rPr>
          <w:szCs w:val="22"/>
        </w:rPr>
        <w:t xml:space="preserve">adopted budget </w:t>
      </w:r>
      <w:r w:rsidR="00B654CA" w:rsidRPr="00793FDD">
        <w:rPr>
          <w:szCs w:val="22"/>
        </w:rPr>
        <w:t>of 104.50 ADA</w:t>
      </w:r>
      <w:r w:rsidR="00B654CA" w:rsidRPr="00B654CA">
        <w:rPr>
          <w:szCs w:val="22"/>
        </w:rPr>
        <w:t xml:space="preserve">. Additionally, </w:t>
      </w:r>
      <w:r>
        <w:rPr>
          <w:szCs w:val="22"/>
        </w:rPr>
        <w:t>T.I.M.E.</w:t>
      </w:r>
      <w:r w:rsidR="00B654CA" w:rsidRPr="00B654CA">
        <w:rPr>
          <w:szCs w:val="22"/>
        </w:rPr>
        <w:t>’s 2022</w:t>
      </w:r>
      <w:r w:rsidR="000B1EF6">
        <w:rPr>
          <w:szCs w:val="22"/>
        </w:rPr>
        <w:t>–</w:t>
      </w:r>
      <w:r w:rsidR="00B654CA" w:rsidRPr="00B654CA">
        <w:rPr>
          <w:szCs w:val="22"/>
        </w:rPr>
        <w:t>23</w:t>
      </w:r>
      <w:r w:rsidR="000B1EF6">
        <w:rPr>
          <w:szCs w:val="22"/>
        </w:rPr>
        <w:t xml:space="preserve"> First Principal Apportionment (</w:t>
      </w:r>
      <w:r w:rsidR="00B654CA" w:rsidRPr="00B654CA">
        <w:rPr>
          <w:szCs w:val="22"/>
        </w:rPr>
        <w:t>P-1</w:t>
      </w:r>
      <w:r w:rsidR="000B1EF6">
        <w:rPr>
          <w:szCs w:val="22"/>
        </w:rPr>
        <w:t>)</w:t>
      </w:r>
      <w:r w:rsidR="00B654CA" w:rsidRPr="00B654CA">
        <w:rPr>
          <w:szCs w:val="22"/>
        </w:rPr>
        <w:t xml:space="preserve"> Attendance Report reflects ADA of 55.55, a decrease of 5.25 ADA</w:t>
      </w:r>
      <w:r w:rsidR="000B1EF6">
        <w:rPr>
          <w:szCs w:val="22"/>
        </w:rPr>
        <w:t xml:space="preserve"> </w:t>
      </w:r>
      <w:r w:rsidR="00B654CA" w:rsidRPr="00B654CA">
        <w:rPr>
          <w:szCs w:val="22"/>
        </w:rPr>
        <w:t xml:space="preserve">or 8.63 percent from its </w:t>
      </w:r>
      <w:r w:rsidR="000B1EF6" w:rsidRPr="00B654CA">
        <w:rPr>
          <w:szCs w:val="22"/>
        </w:rPr>
        <w:t>2022</w:t>
      </w:r>
      <w:r w:rsidR="000B1EF6">
        <w:rPr>
          <w:szCs w:val="22"/>
        </w:rPr>
        <w:t>–</w:t>
      </w:r>
      <w:r w:rsidR="000B1EF6" w:rsidRPr="00B654CA">
        <w:rPr>
          <w:szCs w:val="22"/>
        </w:rPr>
        <w:t>23</w:t>
      </w:r>
      <w:r w:rsidR="000B1EF6">
        <w:rPr>
          <w:szCs w:val="22"/>
        </w:rPr>
        <w:t xml:space="preserve"> </w:t>
      </w:r>
      <w:r w:rsidR="000B1EF6" w:rsidRPr="00B654CA">
        <w:rPr>
          <w:szCs w:val="22"/>
        </w:rPr>
        <w:t xml:space="preserve">First Interim </w:t>
      </w:r>
      <w:r w:rsidR="000B1EF6">
        <w:rPr>
          <w:szCs w:val="22"/>
        </w:rPr>
        <w:t xml:space="preserve">Report </w:t>
      </w:r>
      <w:r w:rsidR="000B1EF6" w:rsidRPr="00B654CA">
        <w:rPr>
          <w:szCs w:val="22"/>
        </w:rPr>
        <w:t>projection</w:t>
      </w:r>
      <w:r w:rsidR="00B654CA" w:rsidRPr="00B654CA">
        <w:rPr>
          <w:szCs w:val="22"/>
        </w:rPr>
        <w:t xml:space="preserve">. The estimated impact to </w:t>
      </w:r>
      <w:r>
        <w:rPr>
          <w:szCs w:val="22"/>
        </w:rPr>
        <w:t>T.I.M.E.</w:t>
      </w:r>
      <w:r w:rsidR="00B654CA" w:rsidRPr="00B654CA">
        <w:rPr>
          <w:szCs w:val="22"/>
        </w:rPr>
        <w:t xml:space="preserve">’s latest budget is a reduction in the Local Control Funding Formula (LCFF) revenues of approximately $80,000 should the </w:t>
      </w:r>
      <w:r w:rsidR="00B654CA" w:rsidRPr="00793FDD">
        <w:rPr>
          <w:szCs w:val="22"/>
        </w:rPr>
        <w:t>projected ADA</w:t>
      </w:r>
      <w:r w:rsidR="00B654CA">
        <w:rPr>
          <w:szCs w:val="22"/>
        </w:rPr>
        <w:t xml:space="preserve"> fail to</w:t>
      </w:r>
      <w:r w:rsidR="00B654CA" w:rsidRPr="00B654CA">
        <w:rPr>
          <w:szCs w:val="22"/>
        </w:rPr>
        <w:t xml:space="preserve"> materialize.</w:t>
      </w:r>
    </w:p>
    <w:p w14:paraId="190FFB58" w14:textId="5694150D" w:rsidR="002B26AC" w:rsidRDefault="000B1EF6" w:rsidP="00671251">
      <w:pPr>
        <w:pStyle w:val="Heading3"/>
      </w:pPr>
      <w:r>
        <w:t>Financial Projection and Actual Results</w:t>
      </w:r>
    </w:p>
    <w:p w14:paraId="4EE9FCA1" w14:textId="1DED1A6A" w:rsidR="00B654CA" w:rsidRDefault="00B654CA" w:rsidP="00B654CA">
      <w:pPr>
        <w:spacing w:after="240"/>
        <w:rPr>
          <w:rFonts w:eastAsia="Arial"/>
        </w:rPr>
      </w:pPr>
      <w:r w:rsidRPr="00B654CA">
        <w:rPr>
          <w:rFonts w:eastAsia="Arial"/>
        </w:rPr>
        <w:t xml:space="preserve">The table below provides a summary of </w:t>
      </w:r>
      <w:r w:rsidR="00835FD4">
        <w:rPr>
          <w:rFonts w:eastAsia="Arial"/>
        </w:rPr>
        <w:t>T.I.M.E.</w:t>
      </w:r>
      <w:r w:rsidRPr="00B654CA">
        <w:rPr>
          <w:rFonts w:eastAsia="Arial"/>
        </w:rPr>
        <w:t>’s financial projections for fiscal years 2021</w:t>
      </w:r>
      <w:r w:rsidR="000B1EF6">
        <w:rPr>
          <w:rFonts w:eastAsia="Arial"/>
        </w:rPr>
        <w:t>–</w:t>
      </w:r>
      <w:r w:rsidRPr="00B654CA">
        <w:rPr>
          <w:rFonts w:eastAsia="Arial"/>
        </w:rPr>
        <w:t>22 and 2022</w:t>
      </w:r>
      <w:r w:rsidR="000B1EF6">
        <w:rPr>
          <w:rFonts w:eastAsia="Arial"/>
        </w:rPr>
        <w:t>–</w:t>
      </w:r>
      <w:r w:rsidRPr="00B654CA">
        <w:rPr>
          <w:rFonts w:eastAsia="Arial"/>
        </w:rPr>
        <w:t>23</w:t>
      </w:r>
      <w:r w:rsidR="00E668F3">
        <w:rPr>
          <w:rFonts w:eastAsia="Arial"/>
        </w:rPr>
        <w:t>,</w:t>
      </w:r>
      <w:r w:rsidRPr="00B654CA">
        <w:rPr>
          <w:rFonts w:eastAsia="Arial"/>
        </w:rPr>
        <w:t xml:space="preserve"> and actual results through December 31, 2022.</w:t>
      </w:r>
    </w:p>
    <w:tbl>
      <w:tblPr>
        <w:tblStyle w:val="TableGrid"/>
        <w:tblW w:w="9355" w:type="dxa"/>
        <w:tblInd w:w="0" w:type="dxa"/>
        <w:tblLook w:val="04A0" w:firstRow="1" w:lastRow="0" w:firstColumn="1" w:lastColumn="0" w:noHBand="0" w:noVBand="1"/>
        <w:tblDescription w:val="Financial Projection and Actual Results"/>
      </w:tblPr>
      <w:tblGrid>
        <w:gridCol w:w="1944"/>
        <w:gridCol w:w="1464"/>
        <w:gridCol w:w="1464"/>
        <w:gridCol w:w="1471"/>
        <w:gridCol w:w="1464"/>
        <w:gridCol w:w="1548"/>
      </w:tblGrid>
      <w:tr w:rsidR="000B1EF6" w:rsidRPr="002B26AC" w14:paraId="0BF5B02C" w14:textId="77777777" w:rsidTr="000B1EF6">
        <w:trPr>
          <w:cantSplit/>
          <w:trHeight w:val="802"/>
          <w:tblHeader/>
        </w:trPr>
        <w:tc>
          <w:tcPr>
            <w:tcW w:w="1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0766C5" w14:textId="77777777" w:rsidR="000B1EF6" w:rsidRPr="002B26AC" w:rsidRDefault="000B1EF6" w:rsidP="000B1EF6">
            <w:pPr>
              <w:jc w:val="center"/>
              <w:rPr>
                <w:rFonts w:cs="Arial"/>
                <w:b/>
                <w:szCs w:val="22"/>
              </w:rPr>
            </w:pPr>
            <w:r w:rsidRPr="002B26AC">
              <w:rPr>
                <w:rFonts w:cs="Arial"/>
                <w:b/>
                <w:szCs w:val="22"/>
              </w:rPr>
              <w:t>Criteria</w:t>
            </w:r>
          </w:p>
        </w:tc>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FE7400" w14:textId="6E0D0C71" w:rsidR="000B1EF6" w:rsidRPr="002B26AC" w:rsidRDefault="000B1EF6" w:rsidP="000B1EF6">
            <w:pPr>
              <w:jc w:val="center"/>
              <w:rPr>
                <w:rFonts w:cs="Arial"/>
                <w:b/>
                <w:szCs w:val="22"/>
              </w:rPr>
            </w:pPr>
            <w:r w:rsidRPr="002B26AC">
              <w:rPr>
                <w:rFonts w:cs="Arial"/>
                <w:b/>
                <w:szCs w:val="22"/>
              </w:rPr>
              <w:t>2021–22</w:t>
            </w:r>
            <w:r w:rsidR="00CC21F9">
              <w:rPr>
                <w:rFonts w:cs="Arial"/>
                <w:b/>
                <w:szCs w:val="22"/>
              </w:rPr>
              <w:t xml:space="preserve"> Adopted</w:t>
            </w:r>
            <w:r w:rsidRPr="002B26AC">
              <w:rPr>
                <w:rFonts w:cs="Arial"/>
                <w:b/>
                <w:szCs w:val="22"/>
              </w:rPr>
              <w:t xml:space="preserve"> Budget</w:t>
            </w:r>
          </w:p>
        </w:tc>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B4F513" w14:textId="77777777" w:rsidR="000B1EF6" w:rsidRPr="002B26AC" w:rsidRDefault="000B1EF6" w:rsidP="000B1EF6">
            <w:pPr>
              <w:jc w:val="center"/>
              <w:rPr>
                <w:rFonts w:cs="Arial"/>
                <w:b/>
                <w:szCs w:val="22"/>
              </w:rPr>
            </w:pPr>
            <w:r w:rsidRPr="002B26AC">
              <w:rPr>
                <w:rFonts w:cs="Arial"/>
                <w:b/>
                <w:szCs w:val="22"/>
              </w:rPr>
              <w:t>2021–22</w:t>
            </w:r>
          </w:p>
          <w:p w14:paraId="352AA1E9" w14:textId="63141523" w:rsidR="000B1EF6" w:rsidRPr="002B26AC" w:rsidRDefault="000B1EF6" w:rsidP="000B1EF6">
            <w:pPr>
              <w:jc w:val="center"/>
              <w:rPr>
                <w:rFonts w:cs="Arial"/>
                <w:b/>
                <w:szCs w:val="22"/>
              </w:rPr>
            </w:pPr>
            <w:r>
              <w:rPr>
                <w:rFonts w:cs="Arial"/>
                <w:b/>
                <w:szCs w:val="22"/>
              </w:rPr>
              <w:t>Audit Report (Actuals)</w:t>
            </w:r>
          </w:p>
        </w:tc>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4ED872" w14:textId="1FAFBC52" w:rsidR="000B1EF6" w:rsidRPr="002B26AC" w:rsidRDefault="000B1EF6" w:rsidP="000B1EF6">
            <w:pPr>
              <w:jc w:val="center"/>
              <w:rPr>
                <w:rFonts w:cs="Arial"/>
                <w:b/>
                <w:szCs w:val="22"/>
              </w:rPr>
            </w:pPr>
            <w:r>
              <w:rPr>
                <w:rFonts w:cs="Arial"/>
                <w:b/>
                <w:szCs w:val="22"/>
              </w:rPr>
              <w:t>2022–23 Adopted Budget</w:t>
            </w:r>
          </w:p>
        </w:tc>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5A8113" w14:textId="477AA906" w:rsidR="000B1EF6" w:rsidRPr="002B26AC" w:rsidRDefault="000B1EF6" w:rsidP="000B1EF6">
            <w:pPr>
              <w:jc w:val="center"/>
              <w:rPr>
                <w:rFonts w:cs="Arial"/>
                <w:b/>
                <w:szCs w:val="22"/>
              </w:rPr>
            </w:pPr>
            <w:r>
              <w:rPr>
                <w:rFonts w:cs="Arial"/>
                <w:b/>
                <w:szCs w:val="22"/>
              </w:rPr>
              <w:t>2022–23 First Interim</w:t>
            </w:r>
            <w:r w:rsidR="00CC21F9">
              <w:rPr>
                <w:rFonts w:cs="Arial"/>
                <w:b/>
                <w:szCs w:val="22"/>
              </w:rPr>
              <w:t xml:space="preserve"> Report</w:t>
            </w:r>
            <w:r>
              <w:rPr>
                <w:rFonts w:cs="Arial"/>
                <w:b/>
                <w:szCs w:val="22"/>
              </w:rPr>
              <w:t xml:space="preserve"> Projection</w:t>
            </w:r>
          </w:p>
        </w:tc>
        <w:tc>
          <w:tcPr>
            <w:tcW w:w="1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BA44FF" w14:textId="1A9D4D73" w:rsidR="000B1EF6" w:rsidRPr="002B26AC" w:rsidRDefault="000B1EF6" w:rsidP="000B1EF6">
            <w:pPr>
              <w:jc w:val="center"/>
              <w:rPr>
                <w:rFonts w:cs="Arial"/>
                <w:b/>
                <w:szCs w:val="22"/>
              </w:rPr>
            </w:pPr>
            <w:r>
              <w:rPr>
                <w:rFonts w:cs="Arial"/>
                <w:b/>
                <w:szCs w:val="22"/>
              </w:rPr>
              <w:t>July to December 2022 Actuals</w:t>
            </w:r>
          </w:p>
        </w:tc>
      </w:tr>
      <w:tr w:rsidR="000B1EF6" w:rsidRPr="002B26AC" w14:paraId="0D798EC9" w14:textId="77777777" w:rsidTr="000B1EF6">
        <w:trPr>
          <w:cantSplit/>
          <w:trHeight w:val="262"/>
        </w:trPr>
        <w:tc>
          <w:tcPr>
            <w:tcW w:w="1945" w:type="dxa"/>
            <w:tcBorders>
              <w:top w:val="single" w:sz="4" w:space="0" w:color="auto"/>
              <w:left w:val="single" w:sz="4" w:space="0" w:color="auto"/>
              <w:bottom w:val="single" w:sz="4" w:space="0" w:color="auto"/>
              <w:right w:val="single" w:sz="4" w:space="0" w:color="auto"/>
            </w:tcBorders>
            <w:vAlign w:val="center"/>
            <w:hideMark/>
          </w:tcPr>
          <w:p w14:paraId="6B74510A" w14:textId="77777777" w:rsidR="000B1EF6" w:rsidRPr="002B26AC" w:rsidRDefault="000B1EF6" w:rsidP="00DF3CA8">
            <w:pPr>
              <w:rPr>
                <w:rFonts w:cs="Arial"/>
                <w:b/>
                <w:szCs w:val="22"/>
              </w:rPr>
            </w:pPr>
            <w:r w:rsidRPr="002B26AC">
              <w:rPr>
                <w:rFonts w:cs="Arial"/>
                <w:b/>
                <w:szCs w:val="22"/>
              </w:rPr>
              <w:t>Total Revenues</w:t>
            </w:r>
          </w:p>
        </w:tc>
        <w:tc>
          <w:tcPr>
            <w:tcW w:w="1465" w:type="dxa"/>
            <w:tcBorders>
              <w:top w:val="single" w:sz="4" w:space="0" w:color="auto"/>
              <w:left w:val="single" w:sz="4" w:space="0" w:color="auto"/>
              <w:bottom w:val="single" w:sz="4" w:space="0" w:color="auto"/>
              <w:right w:val="single" w:sz="4" w:space="0" w:color="auto"/>
            </w:tcBorders>
            <w:vAlign w:val="center"/>
            <w:hideMark/>
          </w:tcPr>
          <w:p w14:paraId="6855CA4B" w14:textId="77777777" w:rsidR="000B1EF6" w:rsidRPr="002B26AC" w:rsidRDefault="000B1EF6" w:rsidP="00DF3CA8">
            <w:pPr>
              <w:jc w:val="center"/>
              <w:rPr>
                <w:rFonts w:cs="Arial"/>
                <w:szCs w:val="22"/>
              </w:rPr>
            </w:pPr>
            <w:r w:rsidRPr="002B26AC">
              <w:rPr>
                <w:rFonts w:cs="Arial"/>
                <w:szCs w:val="22"/>
              </w:rPr>
              <w:t>$2,386,765</w:t>
            </w:r>
          </w:p>
        </w:tc>
        <w:tc>
          <w:tcPr>
            <w:tcW w:w="1465" w:type="dxa"/>
            <w:tcBorders>
              <w:top w:val="single" w:sz="4" w:space="0" w:color="auto"/>
              <w:left w:val="single" w:sz="4" w:space="0" w:color="auto"/>
              <w:bottom w:val="single" w:sz="4" w:space="0" w:color="auto"/>
              <w:right w:val="single" w:sz="4" w:space="0" w:color="auto"/>
            </w:tcBorders>
            <w:vAlign w:val="center"/>
          </w:tcPr>
          <w:p w14:paraId="3E3E7B2F" w14:textId="76F48171" w:rsidR="000B1EF6" w:rsidRPr="002B26AC" w:rsidRDefault="000B1EF6" w:rsidP="00DF3CA8">
            <w:pPr>
              <w:jc w:val="center"/>
              <w:rPr>
                <w:rFonts w:cs="Arial"/>
                <w:szCs w:val="22"/>
              </w:rPr>
            </w:pPr>
            <w:r>
              <w:rPr>
                <w:rFonts w:cs="Arial"/>
                <w:szCs w:val="22"/>
              </w:rPr>
              <w:t>$708,430</w:t>
            </w:r>
          </w:p>
        </w:tc>
        <w:tc>
          <w:tcPr>
            <w:tcW w:w="1465" w:type="dxa"/>
            <w:tcBorders>
              <w:top w:val="single" w:sz="4" w:space="0" w:color="auto"/>
              <w:left w:val="single" w:sz="4" w:space="0" w:color="auto"/>
              <w:bottom w:val="single" w:sz="4" w:space="0" w:color="auto"/>
              <w:right w:val="single" w:sz="4" w:space="0" w:color="auto"/>
            </w:tcBorders>
            <w:vAlign w:val="center"/>
          </w:tcPr>
          <w:p w14:paraId="7A6ADC47" w14:textId="0AB3E1B4" w:rsidR="000B1EF6" w:rsidRPr="002B26AC" w:rsidRDefault="000B1EF6" w:rsidP="000B1EF6">
            <w:pPr>
              <w:jc w:val="center"/>
              <w:rPr>
                <w:rFonts w:cs="Arial"/>
                <w:szCs w:val="22"/>
              </w:rPr>
            </w:pPr>
            <w:r>
              <w:rPr>
                <w:rFonts w:cs="Arial"/>
                <w:szCs w:val="22"/>
              </w:rPr>
              <w:t>$2,126,369</w:t>
            </w:r>
          </w:p>
        </w:tc>
        <w:tc>
          <w:tcPr>
            <w:tcW w:w="1465" w:type="dxa"/>
            <w:tcBorders>
              <w:top w:val="single" w:sz="4" w:space="0" w:color="auto"/>
              <w:left w:val="single" w:sz="4" w:space="0" w:color="auto"/>
              <w:bottom w:val="single" w:sz="4" w:space="0" w:color="auto"/>
              <w:right w:val="single" w:sz="4" w:space="0" w:color="auto"/>
            </w:tcBorders>
            <w:vAlign w:val="center"/>
          </w:tcPr>
          <w:p w14:paraId="7E088F0A" w14:textId="499080D5" w:rsidR="000B1EF6" w:rsidRPr="002B26AC" w:rsidRDefault="000B1EF6" w:rsidP="000B1EF6">
            <w:pPr>
              <w:jc w:val="center"/>
              <w:rPr>
                <w:rFonts w:cs="Arial"/>
                <w:szCs w:val="22"/>
              </w:rPr>
            </w:pPr>
            <w:r>
              <w:rPr>
                <w:rFonts w:cs="Arial"/>
                <w:szCs w:val="22"/>
              </w:rPr>
              <w:t>$1,379,715</w:t>
            </w:r>
          </w:p>
        </w:tc>
        <w:tc>
          <w:tcPr>
            <w:tcW w:w="1550" w:type="dxa"/>
            <w:tcBorders>
              <w:top w:val="single" w:sz="4" w:space="0" w:color="auto"/>
              <w:left w:val="single" w:sz="4" w:space="0" w:color="auto"/>
              <w:bottom w:val="single" w:sz="4" w:space="0" w:color="auto"/>
              <w:right w:val="single" w:sz="4" w:space="0" w:color="auto"/>
            </w:tcBorders>
            <w:vAlign w:val="center"/>
          </w:tcPr>
          <w:p w14:paraId="29647216" w14:textId="089A6E78" w:rsidR="000B1EF6" w:rsidRPr="002B26AC" w:rsidRDefault="00CC21F9" w:rsidP="000B1EF6">
            <w:pPr>
              <w:jc w:val="center"/>
              <w:rPr>
                <w:rFonts w:cs="Arial"/>
                <w:szCs w:val="22"/>
              </w:rPr>
            </w:pPr>
            <w:r>
              <w:rPr>
                <w:rFonts w:cs="Arial"/>
                <w:szCs w:val="22"/>
              </w:rPr>
              <w:t>$316,781</w:t>
            </w:r>
          </w:p>
        </w:tc>
      </w:tr>
      <w:tr w:rsidR="000B1EF6" w:rsidRPr="002B26AC" w14:paraId="7C1881C0" w14:textId="77777777" w:rsidTr="000B1EF6">
        <w:trPr>
          <w:cantSplit/>
          <w:trHeight w:val="540"/>
        </w:trPr>
        <w:tc>
          <w:tcPr>
            <w:tcW w:w="1945" w:type="dxa"/>
            <w:tcBorders>
              <w:top w:val="single" w:sz="4" w:space="0" w:color="auto"/>
              <w:left w:val="single" w:sz="4" w:space="0" w:color="auto"/>
              <w:bottom w:val="single" w:sz="4" w:space="0" w:color="auto"/>
              <w:right w:val="single" w:sz="4" w:space="0" w:color="auto"/>
            </w:tcBorders>
            <w:vAlign w:val="center"/>
            <w:hideMark/>
          </w:tcPr>
          <w:p w14:paraId="0B6771DD" w14:textId="77777777" w:rsidR="000B1EF6" w:rsidRPr="002B26AC" w:rsidRDefault="000B1EF6" w:rsidP="00DF3CA8">
            <w:pPr>
              <w:rPr>
                <w:rFonts w:cs="Arial"/>
                <w:b/>
                <w:szCs w:val="22"/>
              </w:rPr>
            </w:pPr>
            <w:r w:rsidRPr="002B26AC">
              <w:rPr>
                <w:rFonts w:cs="Arial"/>
                <w:b/>
                <w:szCs w:val="22"/>
              </w:rPr>
              <w:t>Total Expenditures</w:t>
            </w:r>
          </w:p>
        </w:tc>
        <w:tc>
          <w:tcPr>
            <w:tcW w:w="1465" w:type="dxa"/>
            <w:tcBorders>
              <w:top w:val="single" w:sz="4" w:space="0" w:color="auto"/>
              <w:left w:val="single" w:sz="4" w:space="0" w:color="auto"/>
              <w:bottom w:val="single" w:sz="4" w:space="0" w:color="auto"/>
              <w:right w:val="single" w:sz="4" w:space="0" w:color="auto"/>
            </w:tcBorders>
            <w:vAlign w:val="center"/>
            <w:hideMark/>
          </w:tcPr>
          <w:p w14:paraId="1A87F1A5" w14:textId="77777777" w:rsidR="000B1EF6" w:rsidRPr="002B26AC" w:rsidRDefault="000B1EF6" w:rsidP="00DF3CA8">
            <w:pPr>
              <w:jc w:val="center"/>
              <w:rPr>
                <w:rFonts w:cs="Arial"/>
                <w:szCs w:val="22"/>
              </w:rPr>
            </w:pPr>
            <w:r w:rsidRPr="002B26AC">
              <w:rPr>
                <w:rFonts w:cs="Arial"/>
                <w:szCs w:val="22"/>
              </w:rPr>
              <w:t>$2,010,305</w:t>
            </w:r>
          </w:p>
        </w:tc>
        <w:tc>
          <w:tcPr>
            <w:tcW w:w="1465" w:type="dxa"/>
            <w:tcBorders>
              <w:top w:val="single" w:sz="4" w:space="0" w:color="auto"/>
              <w:left w:val="single" w:sz="4" w:space="0" w:color="auto"/>
              <w:bottom w:val="single" w:sz="4" w:space="0" w:color="auto"/>
              <w:right w:val="single" w:sz="4" w:space="0" w:color="auto"/>
            </w:tcBorders>
            <w:vAlign w:val="center"/>
          </w:tcPr>
          <w:p w14:paraId="6C4E0FEB" w14:textId="2C587162" w:rsidR="000B1EF6" w:rsidRPr="002B26AC" w:rsidRDefault="000B1EF6" w:rsidP="00DF3CA8">
            <w:pPr>
              <w:jc w:val="center"/>
              <w:rPr>
                <w:rFonts w:cs="Arial"/>
                <w:szCs w:val="22"/>
              </w:rPr>
            </w:pPr>
            <w:r>
              <w:rPr>
                <w:rFonts w:cs="Arial"/>
                <w:szCs w:val="22"/>
              </w:rPr>
              <w:t>$1,086,537</w:t>
            </w:r>
          </w:p>
        </w:tc>
        <w:tc>
          <w:tcPr>
            <w:tcW w:w="1465" w:type="dxa"/>
            <w:tcBorders>
              <w:top w:val="single" w:sz="4" w:space="0" w:color="auto"/>
              <w:left w:val="single" w:sz="4" w:space="0" w:color="auto"/>
              <w:bottom w:val="single" w:sz="4" w:space="0" w:color="auto"/>
              <w:right w:val="single" w:sz="4" w:space="0" w:color="auto"/>
            </w:tcBorders>
            <w:vAlign w:val="center"/>
          </w:tcPr>
          <w:p w14:paraId="1BAFB6FD" w14:textId="5F80E09D" w:rsidR="000B1EF6" w:rsidRPr="002B26AC" w:rsidRDefault="000B1EF6" w:rsidP="000B1EF6">
            <w:pPr>
              <w:jc w:val="center"/>
              <w:rPr>
                <w:rFonts w:cs="Arial"/>
                <w:szCs w:val="22"/>
              </w:rPr>
            </w:pPr>
            <w:r>
              <w:rPr>
                <w:rFonts w:cs="Arial"/>
                <w:szCs w:val="22"/>
              </w:rPr>
              <w:t>$1,617,239</w:t>
            </w:r>
          </w:p>
        </w:tc>
        <w:tc>
          <w:tcPr>
            <w:tcW w:w="1465" w:type="dxa"/>
            <w:tcBorders>
              <w:top w:val="single" w:sz="4" w:space="0" w:color="auto"/>
              <w:left w:val="single" w:sz="4" w:space="0" w:color="auto"/>
              <w:bottom w:val="single" w:sz="4" w:space="0" w:color="auto"/>
              <w:right w:val="single" w:sz="4" w:space="0" w:color="auto"/>
            </w:tcBorders>
            <w:vAlign w:val="center"/>
          </w:tcPr>
          <w:p w14:paraId="09C5A76E" w14:textId="7EAD95E9" w:rsidR="000B1EF6" w:rsidRPr="002B26AC" w:rsidRDefault="000B1EF6" w:rsidP="000B1EF6">
            <w:pPr>
              <w:jc w:val="center"/>
              <w:rPr>
                <w:rFonts w:cs="Arial"/>
                <w:szCs w:val="22"/>
              </w:rPr>
            </w:pPr>
            <w:r>
              <w:rPr>
                <w:rFonts w:cs="Arial"/>
                <w:szCs w:val="22"/>
              </w:rPr>
              <w:t>$1,448,027</w:t>
            </w:r>
          </w:p>
        </w:tc>
        <w:tc>
          <w:tcPr>
            <w:tcW w:w="1550" w:type="dxa"/>
            <w:tcBorders>
              <w:top w:val="single" w:sz="4" w:space="0" w:color="auto"/>
              <w:left w:val="single" w:sz="4" w:space="0" w:color="auto"/>
              <w:bottom w:val="single" w:sz="4" w:space="0" w:color="auto"/>
              <w:right w:val="single" w:sz="4" w:space="0" w:color="auto"/>
            </w:tcBorders>
            <w:vAlign w:val="center"/>
          </w:tcPr>
          <w:p w14:paraId="7EB4E094" w14:textId="3FA9ED04" w:rsidR="000B1EF6" w:rsidRPr="002B26AC" w:rsidRDefault="00CC21F9" w:rsidP="000B1EF6">
            <w:pPr>
              <w:jc w:val="center"/>
              <w:rPr>
                <w:rFonts w:cs="Arial"/>
                <w:szCs w:val="22"/>
              </w:rPr>
            </w:pPr>
            <w:r>
              <w:rPr>
                <w:rFonts w:cs="Arial"/>
                <w:szCs w:val="22"/>
              </w:rPr>
              <w:t>$741,050</w:t>
            </w:r>
          </w:p>
        </w:tc>
      </w:tr>
      <w:tr w:rsidR="000B1EF6" w:rsidRPr="00AC2271" w14:paraId="24649750" w14:textId="77777777" w:rsidTr="000B1EF6">
        <w:trPr>
          <w:cantSplit/>
          <w:trHeight w:val="262"/>
        </w:trPr>
        <w:tc>
          <w:tcPr>
            <w:tcW w:w="1945" w:type="dxa"/>
            <w:tcBorders>
              <w:top w:val="single" w:sz="4" w:space="0" w:color="auto"/>
              <w:left w:val="single" w:sz="4" w:space="0" w:color="auto"/>
              <w:bottom w:val="single" w:sz="4" w:space="0" w:color="auto"/>
              <w:right w:val="single" w:sz="4" w:space="0" w:color="auto"/>
            </w:tcBorders>
            <w:vAlign w:val="center"/>
            <w:hideMark/>
          </w:tcPr>
          <w:p w14:paraId="5336A9D8" w14:textId="77777777" w:rsidR="000B1EF6" w:rsidRPr="00AC2271" w:rsidRDefault="000B1EF6" w:rsidP="00DF3CA8">
            <w:pPr>
              <w:rPr>
                <w:rFonts w:cs="Arial"/>
                <w:b/>
                <w:szCs w:val="22"/>
              </w:rPr>
            </w:pPr>
            <w:r w:rsidRPr="00AC2271">
              <w:rPr>
                <w:rFonts w:cs="Arial"/>
                <w:b/>
                <w:szCs w:val="22"/>
              </w:rPr>
              <w:t>Surplus (Deficits)</w:t>
            </w:r>
          </w:p>
        </w:tc>
        <w:tc>
          <w:tcPr>
            <w:tcW w:w="1465" w:type="dxa"/>
            <w:tcBorders>
              <w:top w:val="single" w:sz="4" w:space="0" w:color="auto"/>
              <w:left w:val="single" w:sz="4" w:space="0" w:color="auto"/>
              <w:bottom w:val="single" w:sz="4" w:space="0" w:color="auto"/>
              <w:right w:val="single" w:sz="4" w:space="0" w:color="auto"/>
            </w:tcBorders>
            <w:vAlign w:val="center"/>
            <w:hideMark/>
          </w:tcPr>
          <w:p w14:paraId="731EB07D" w14:textId="77777777" w:rsidR="000B1EF6" w:rsidRPr="00AC2271" w:rsidRDefault="000B1EF6" w:rsidP="00DF3CA8">
            <w:pPr>
              <w:jc w:val="center"/>
              <w:rPr>
                <w:rFonts w:cs="Arial"/>
                <w:szCs w:val="22"/>
              </w:rPr>
            </w:pPr>
            <w:r w:rsidRPr="00AC2271">
              <w:rPr>
                <w:rFonts w:cs="Arial"/>
                <w:szCs w:val="22"/>
              </w:rPr>
              <w:t>$376,460</w:t>
            </w:r>
          </w:p>
        </w:tc>
        <w:tc>
          <w:tcPr>
            <w:tcW w:w="1465" w:type="dxa"/>
            <w:tcBorders>
              <w:top w:val="single" w:sz="4" w:space="0" w:color="auto"/>
              <w:left w:val="single" w:sz="4" w:space="0" w:color="auto"/>
              <w:bottom w:val="single" w:sz="4" w:space="0" w:color="auto"/>
              <w:right w:val="single" w:sz="4" w:space="0" w:color="auto"/>
            </w:tcBorders>
            <w:vAlign w:val="center"/>
          </w:tcPr>
          <w:p w14:paraId="7B659043" w14:textId="6C836DAD" w:rsidR="000B1EF6" w:rsidRPr="00AC2271" w:rsidRDefault="000B1EF6" w:rsidP="00DF3CA8">
            <w:pPr>
              <w:jc w:val="center"/>
              <w:rPr>
                <w:rFonts w:cs="Arial"/>
                <w:szCs w:val="22"/>
              </w:rPr>
            </w:pPr>
            <w:r w:rsidRPr="00AC2271">
              <w:rPr>
                <w:rFonts w:cs="Arial"/>
                <w:szCs w:val="22"/>
              </w:rPr>
              <w:t>($378,107)</w:t>
            </w:r>
          </w:p>
        </w:tc>
        <w:tc>
          <w:tcPr>
            <w:tcW w:w="1465" w:type="dxa"/>
            <w:tcBorders>
              <w:top w:val="single" w:sz="4" w:space="0" w:color="auto"/>
              <w:left w:val="single" w:sz="4" w:space="0" w:color="auto"/>
              <w:bottom w:val="single" w:sz="4" w:space="0" w:color="auto"/>
              <w:right w:val="single" w:sz="4" w:space="0" w:color="auto"/>
            </w:tcBorders>
            <w:vAlign w:val="center"/>
          </w:tcPr>
          <w:p w14:paraId="431D343C" w14:textId="4B3A7E63" w:rsidR="000B1EF6" w:rsidRPr="00AC2271" w:rsidRDefault="000B1EF6" w:rsidP="000B1EF6">
            <w:pPr>
              <w:jc w:val="center"/>
              <w:rPr>
                <w:rFonts w:cs="Arial"/>
                <w:szCs w:val="22"/>
              </w:rPr>
            </w:pPr>
            <w:r w:rsidRPr="00AC2271">
              <w:rPr>
                <w:rFonts w:cs="Arial"/>
                <w:szCs w:val="22"/>
              </w:rPr>
              <w:t>$509,130</w:t>
            </w:r>
          </w:p>
        </w:tc>
        <w:tc>
          <w:tcPr>
            <w:tcW w:w="1465" w:type="dxa"/>
            <w:tcBorders>
              <w:top w:val="single" w:sz="4" w:space="0" w:color="auto"/>
              <w:left w:val="single" w:sz="4" w:space="0" w:color="auto"/>
              <w:bottom w:val="single" w:sz="4" w:space="0" w:color="auto"/>
              <w:right w:val="single" w:sz="4" w:space="0" w:color="auto"/>
            </w:tcBorders>
            <w:vAlign w:val="center"/>
          </w:tcPr>
          <w:p w14:paraId="025C4711" w14:textId="04A26517" w:rsidR="000B1EF6" w:rsidRPr="00AC2271" w:rsidRDefault="000B1EF6" w:rsidP="000B1EF6">
            <w:pPr>
              <w:jc w:val="center"/>
              <w:rPr>
                <w:rFonts w:cs="Arial"/>
                <w:szCs w:val="22"/>
              </w:rPr>
            </w:pPr>
            <w:r w:rsidRPr="00AC2271">
              <w:rPr>
                <w:rFonts w:cs="Arial"/>
                <w:szCs w:val="22"/>
              </w:rPr>
              <w:t>($68,312)</w:t>
            </w:r>
          </w:p>
        </w:tc>
        <w:tc>
          <w:tcPr>
            <w:tcW w:w="1550" w:type="dxa"/>
            <w:tcBorders>
              <w:top w:val="single" w:sz="4" w:space="0" w:color="auto"/>
              <w:left w:val="single" w:sz="4" w:space="0" w:color="auto"/>
              <w:bottom w:val="single" w:sz="4" w:space="0" w:color="auto"/>
              <w:right w:val="single" w:sz="4" w:space="0" w:color="auto"/>
            </w:tcBorders>
            <w:vAlign w:val="center"/>
          </w:tcPr>
          <w:p w14:paraId="291EF9DF" w14:textId="4567D35D" w:rsidR="000B1EF6" w:rsidRPr="00AC2271" w:rsidRDefault="00CC21F9" w:rsidP="000B1EF6">
            <w:pPr>
              <w:jc w:val="center"/>
              <w:rPr>
                <w:rFonts w:cs="Arial"/>
                <w:szCs w:val="22"/>
              </w:rPr>
            </w:pPr>
            <w:r w:rsidRPr="00AC2271">
              <w:rPr>
                <w:rFonts w:cs="Arial"/>
                <w:szCs w:val="22"/>
              </w:rPr>
              <w:t>($424,269)</w:t>
            </w:r>
          </w:p>
        </w:tc>
      </w:tr>
      <w:tr w:rsidR="000B1EF6" w:rsidRPr="00AC2271" w14:paraId="0533638F" w14:textId="77777777" w:rsidTr="000B1EF6">
        <w:trPr>
          <w:cantSplit/>
          <w:trHeight w:val="524"/>
        </w:trPr>
        <w:tc>
          <w:tcPr>
            <w:tcW w:w="1945" w:type="dxa"/>
            <w:tcBorders>
              <w:top w:val="single" w:sz="4" w:space="0" w:color="auto"/>
              <w:left w:val="single" w:sz="4" w:space="0" w:color="auto"/>
              <w:bottom w:val="single" w:sz="4" w:space="0" w:color="auto"/>
              <w:right w:val="single" w:sz="4" w:space="0" w:color="auto"/>
            </w:tcBorders>
            <w:vAlign w:val="center"/>
            <w:hideMark/>
          </w:tcPr>
          <w:p w14:paraId="420DA47D" w14:textId="77777777" w:rsidR="000B1EF6" w:rsidRPr="00AC2271" w:rsidRDefault="000B1EF6" w:rsidP="00DF3CA8">
            <w:pPr>
              <w:rPr>
                <w:rFonts w:cs="Arial"/>
                <w:b/>
                <w:szCs w:val="22"/>
              </w:rPr>
            </w:pPr>
            <w:r w:rsidRPr="00AC2271">
              <w:rPr>
                <w:rFonts w:cs="Arial"/>
                <w:b/>
                <w:szCs w:val="22"/>
              </w:rPr>
              <w:t>Beginning Net Position</w:t>
            </w:r>
          </w:p>
        </w:tc>
        <w:tc>
          <w:tcPr>
            <w:tcW w:w="1465" w:type="dxa"/>
            <w:tcBorders>
              <w:top w:val="single" w:sz="4" w:space="0" w:color="auto"/>
              <w:left w:val="single" w:sz="4" w:space="0" w:color="auto"/>
              <w:bottom w:val="single" w:sz="4" w:space="0" w:color="auto"/>
              <w:right w:val="single" w:sz="4" w:space="0" w:color="auto"/>
            </w:tcBorders>
            <w:vAlign w:val="center"/>
            <w:hideMark/>
          </w:tcPr>
          <w:p w14:paraId="206C33BE" w14:textId="77777777" w:rsidR="000B1EF6" w:rsidRPr="00AC2271" w:rsidRDefault="000B1EF6" w:rsidP="00DF3CA8">
            <w:pPr>
              <w:jc w:val="center"/>
              <w:rPr>
                <w:rFonts w:cs="Arial"/>
                <w:szCs w:val="22"/>
              </w:rPr>
            </w:pPr>
            <w:r w:rsidRPr="00AC2271">
              <w:rPr>
                <w:rFonts w:cs="Arial"/>
                <w:szCs w:val="22"/>
              </w:rPr>
              <w:t>$91,812*</w:t>
            </w:r>
          </w:p>
        </w:tc>
        <w:tc>
          <w:tcPr>
            <w:tcW w:w="1465" w:type="dxa"/>
            <w:tcBorders>
              <w:top w:val="single" w:sz="4" w:space="0" w:color="auto"/>
              <w:left w:val="single" w:sz="4" w:space="0" w:color="auto"/>
              <w:bottom w:val="single" w:sz="4" w:space="0" w:color="auto"/>
              <w:right w:val="single" w:sz="4" w:space="0" w:color="auto"/>
            </w:tcBorders>
            <w:vAlign w:val="center"/>
          </w:tcPr>
          <w:p w14:paraId="7209BBD0" w14:textId="37CAB43C" w:rsidR="000B1EF6" w:rsidRPr="00AC2271" w:rsidRDefault="000B1EF6" w:rsidP="00DF3CA8">
            <w:pPr>
              <w:jc w:val="center"/>
              <w:rPr>
                <w:rFonts w:cs="Arial"/>
                <w:szCs w:val="22"/>
              </w:rPr>
            </w:pPr>
            <w:r w:rsidRPr="00AC2271">
              <w:rPr>
                <w:rFonts w:cs="Arial"/>
                <w:szCs w:val="22"/>
              </w:rPr>
              <w:t>$109,671</w:t>
            </w:r>
          </w:p>
        </w:tc>
        <w:tc>
          <w:tcPr>
            <w:tcW w:w="1465" w:type="dxa"/>
            <w:tcBorders>
              <w:top w:val="single" w:sz="4" w:space="0" w:color="auto"/>
              <w:left w:val="single" w:sz="4" w:space="0" w:color="auto"/>
              <w:bottom w:val="single" w:sz="4" w:space="0" w:color="auto"/>
              <w:right w:val="single" w:sz="4" w:space="0" w:color="auto"/>
            </w:tcBorders>
            <w:vAlign w:val="center"/>
          </w:tcPr>
          <w:p w14:paraId="3FB19278" w14:textId="7089AC55" w:rsidR="000B1EF6" w:rsidRPr="00AC2271" w:rsidRDefault="000B1EF6" w:rsidP="000B1EF6">
            <w:pPr>
              <w:jc w:val="center"/>
              <w:rPr>
                <w:rFonts w:cs="Arial"/>
                <w:szCs w:val="22"/>
              </w:rPr>
            </w:pPr>
            <w:r w:rsidRPr="00AC2271">
              <w:rPr>
                <w:rFonts w:cs="Arial"/>
                <w:szCs w:val="22"/>
              </w:rPr>
              <w:t>($223,995)*</w:t>
            </w:r>
          </w:p>
        </w:tc>
        <w:tc>
          <w:tcPr>
            <w:tcW w:w="1465" w:type="dxa"/>
            <w:tcBorders>
              <w:top w:val="single" w:sz="4" w:space="0" w:color="auto"/>
              <w:left w:val="single" w:sz="4" w:space="0" w:color="auto"/>
              <w:bottom w:val="single" w:sz="4" w:space="0" w:color="auto"/>
              <w:right w:val="single" w:sz="4" w:space="0" w:color="auto"/>
            </w:tcBorders>
            <w:vAlign w:val="center"/>
          </w:tcPr>
          <w:p w14:paraId="7A7718D0" w14:textId="005FD380" w:rsidR="000B1EF6" w:rsidRPr="00AC2271" w:rsidRDefault="000B1EF6" w:rsidP="000B1EF6">
            <w:pPr>
              <w:jc w:val="center"/>
              <w:rPr>
                <w:rFonts w:cs="Arial"/>
                <w:szCs w:val="22"/>
              </w:rPr>
            </w:pPr>
            <w:r w:rsidRPr="00AC2271">
              <w:rPr>
                <w:rFonts w:cs="Arial"/>
                <w:szCs w:val="22"/>
              </w:rPr>
              <w:t>($268,436)</w:t>
            </w:r>
          </w:p>
        </w:tc>
        <w:tc>
          <w:tcPr>
            <w:tcW w:w="1550" w:type="dxa"/>
            <w:tcBorders>
              <w:top w:val="single" w:sz="4" w:space="0" w:color="auto"/>
              <w:left w:val="single" w:sz="4" w:space="0" w:color="auto"/>
              <w:bottom w:val="single" w:sz="4" w:space="0" w:color="auto"/>
              <w:right w:val="single" w:sz="4" w:space="0" w:color="auto"/>
            </w:tcBorders>
            <w:vAlign w:val="center"/>
          </w:tcPr>
          <w:p w14:paraId="45FFE650" w14:textId="3D48E7E0" w:rsidR="000B1EF6" w:rsidRPr="00AC2271" w:rsidRDefault="00CC21F9" w:rsidP="000B1EF6">
            <w:pPr>
              <w:jc w:val="center"/>
              <w:rPr>
                <w:rFonts w:cs="Arial"/>
                <w:szCs w:val="22"/>
              </w:rPr>
            </w:pPr>
            <w:r w:rsidRPr="00AC2271">
              <w:rPr>
                <w:rFonts w:cs="Arial"/>
                <w:szCs w:val="22"/>
              </w:rPr>
              <w:t>($268,436)</w:t>
            </w:r>
          </w:p>
        </w:tc>
      </w:tr>
      <w:tr w:rsidR="000B1EF6" w:rsidRPr="00AC2271" w14:paraId="48611006" w14:textId="77777777" w:rsidTr="000B1EF6">
        <w:trPr>
          <w:cantSplit/>
          <w:trHeight w:val="524"/>
        </w:trPr>
        <w:tc>
          <w:tcPr>
            <w:tcW w:w="1945" w:type="dxa"/>
            <w:tcBorders>
              <w:top w:val="single" w:sz="4" w:space="0" w:color="auto"/>
              <w:left w:val="single" w:sz="4" w:space="0" w:color="auto"/>
              <w:bottom w:val="single" w:sz="4" w:space="0" w:color="auto"/>
              <w:right w:val="single" w:sz="4" w:space="0" w:color="auto"/>
            </w:tcBorders>
            <w:vAlign w:val="center"/>
            <w:hideMark/>
          </w:tcPr>
          <w:p w14:paraId="1F7F05EC" w14:textId="77777777" w:rsidR="000B1EF6" w:rsidRPr="00AC2271" w:rsidRDefault="000B1EF6" w:rsidP="00DF3CA8">
            <w:pPr>
              <w:rPr>
                <w:rFonts w:cs="Arial"/>
                <w:b/>
                <w:szCs w:val="22"/>
              </w:rPr>
            </w:pPr>
            <w:r w:rsidRPr="00AC2271">
              <w:rPr>
                <w:rFonts w:cs="Arial"/>
                <w:b/>
                <w:szCs w:val="22"/>
              </w:rPr>
              <w:t>Ending Net Position</w:t>
            </w:r>
          </w:p>
        </w:tc>
        <w:tc>
          <w:tcPr>
            <w:tcW w:w="1465" w:type="dxa"/>
            <w:tcBorders>
              <w:top w:val="single" w:sz="4" w:space="0" w:color="auto"/>
              <w:left w:val="single" w:sz="4" w:space="0" w:color="auto"/>
              <w:bottom w:val="single" w:sz="4" w:space="0" w:color="auto"/>
              <w:right w:val="single" w:sz="4" w:space="0" w:color="auto"/>
            </w:tcBorders>
            <w:vAlign w:val="center"/>
            <w:hideMark/>
          </w:tcPr>
          <w:p w14:paraId="6712DF36" w14:textId="77777777" w:rsidR="000B1EF6" w:rsidRPr="00AC2271" w:rsidRDefault="000B1EF6" w:rsidP="00DF3CA8">
            <w:pPr>
              <w:jc w:val="center"/>
              <w:rPr>
                <w:rFonts w:cs="Arial"/>
                <w:szCs w:val="22"/>
              </w:rPr>
            </w:pPr>
            <w:r w:rsidRPr="00AC2271">
              <w:rPr>
                <w:rFonts w:cs="Arial"/>
                <w:szCs w:val="22"/>
              </w:rPr>
              <w:t>$468,272</w:t>
            </w:r>
          </w:p>
        </w:tc>
        <w:tc>
          <w:tcPr>
            <w:tcW w:w="1465" w:type="dxa"/>
            <w:tcBorders>
              <w:top w:val="single" w:sz="4" w:space="0" w:color="auto"/>
              <w:left w:val="single" w:sz="4" w:space="0" w:color="auto"/>
              <w:bottom w:val="single" w:sz="4" w:space="0" w:color="auto"/>
              <w:right w:val="single" w:sz="4" w:space="0" w:color="auto"/>
            </w:tcBorders>
            <w:vAlign w:val="center"/>
          </w:tcPr>
          <w:p w14:paraId="5A0A0876" w14:textId="44558715" w:rsidR="000B1EF6" w:rsidRPr="00AC2271" w:rsidRDefault="000B1EF6" w:rsidP="00DF3CA8">
            <w:pPr>
              <w:jc w:val="center"/>
              <w:rPr>
                <w:rFonts w:cs="Arial"/>
                <w:szCs w:val="22"/>
              </w:rPr>
            </w:pPr>
            <w:r w:rsidRPr="00AC2271">
              <w:rPr>
                <w:rFonts w:cs="Arial"/>
                <w:szCs w:val="22"/>
              </w:rPr>
              <w:t>($268,436)</w:t>
            </w:r>
          </w:p>
        </w:tc>
        <w:tc>
          <w:tcPr>
            <w:tcW w:w="1465" w:type="dxa"/>
            <w:tcBorders>
              <w:top w:val="single" w:sz="4" w:space="0" w:color="auto"/>
              <w:left w:val="single" w:sz="4" w:space="0" w:color="auto"/>
              <w:bottom w:val="single" w:sz="4" w:space="0" w:color="auto"/>
              <w:right w:val="single" w:sz="4" w:space="0" w:color="auto"/>
            </w:tcBorders>
            <w:vAlign w:val="center"/>
          </w:tcPr>
          <w:p w14:paraId="1360A8C6" w14:textId="49F9C038" w:rsidR="000B1EF6" w:rsidRPr="00AC2271" w:rsidRDefault="000B1EF6" w:rsidP="000B1EF6">
            <w:pPr>
              <w:jc w:val="center"/>
              <w:rPr>
                <w:rFonts w:cs="Arial"/>
                <w:szCs w:val="22"/>
              </w:rPr>
            </w:pPr>
            <w:r w:rsidRPr="00AC2271">
              <w:rPr>
                <w:rFonts w:cs="Arial"/>
                <w:szCs w:val="22"/>
              </w:rPr>
              <w:t>$285,135</w:t>
            </w:r>
          </w:p>
        </w:tc>
        <w:tc>
          <w:tcPr>
            <w:tcW w:w="1465" w:type="dxa"/>
            <w:tcBorders>
              <w:top w:val="single" w:sz="4" w:space="0" w:color="auto"/>
              <w:left w:val="single" w:sz="4" w:space="0" w:color="auto"/>
              <w:bottom w:val="single" w:sz="4" w:space="0" w:color="auto"/>
              <w:right w:val="single" w:sz="4" w:space="0" w:color="auto"/>
            </w:tcBorders>
            <w:vAlign w:val="center"/>
          </w:tcPr>
          <w:p w14:paraId="4DF37BA5" w14:textId="37006BF8" w:rsidR="000B1EF6" w:rsidRPr="00AC2271" w:rsidRDefault="00CC21F9" w:rsidP="000B1EF6">
            <w:pPr>
              <w:jc w:val="center"/>
              <w:rPr>
                <w:rFonts w:cs="Arial"/>
                <w:szCs w:val="22"/>
              </w:rPr>
            </w:pPr>
            <w:r w:rsidRPr="00AC2271">
              <w:rPr>
                <w:rFonts w:cs="Arial"/>
                <w:szCs w:val="22"/>
              </w:rPr>
              <w:t>($336,748)</w:t>
            </w:r>
          </w:p>
        </w:tc>
        <w:tc>
          <w:tcPr>
            <w:tcW w:w="1550" w:type="dxa"/>
            <w:tcBorders>
              <w:top w:val="single" w:sz="4" w:space="0" w:color="auto"/>
              <w:left w:val="single" w:sz="4" w:space="0" w:color="auto"/>
              <w:bottom w:val="single" w:sz="4" w:space="0" w:color="auto"/>
              <w:right w:val="single" w:sz="4" w:space="0" w:color="auto"/>
            </w:tcBorders>
            <w:vAlign w:val="center"/>
          </w:tcPr>
          <w:p w14:paraId="10DB4E8C" w14:textId="54A9476F" w:rsidR="000B1EF6" w:rsidRPr="00AC2271" w:rsidRDefault="00CC21F9" w:rsidP="000B1EF6">
            <w:pPr>
              <w:jc w:val="center"/>
              <w:rPr>
                <w:rFonts w:cs="Arial"/>
                <w:szCs w:val="22"/>
              </w:rPr>
            </w:pPr>
            <w:r w:rsidRPr="00AC2271">
              <w:rPr>
                <w:rFonts w:cs="Arial"/>
                <w:szCs w:val="22"/>
              </w:rPr>
              <w:t>($692,704)</w:t>
            </w:r>
          </w:p>
        </w:tc>
      </w:tr>
    </w:tbl>
    <w:p w14:paraId="5250095E" w14:textId="1C5D1766" w:rsidR="000B1EF6" w:rsidRPr="00AC2271" w:rsidRDefault="00CC21F9" w:rsidP="00CC21F9">
      <w:pPr>
        <w:spacing w:before="240" w:after="240"/>
        <w:rPr>
          <w:rFonts w:eastAsia="Arial"/>
        </w:rPr>
      </w:pPr>
      <w:r w:rsidRPr="00AC2271">
        <w:rPr>
          <w:rFonts w:eastAsia="Arial"/>
        </w:rPr>
        <w:t>* Estimated amount at the time of budget development.</w:t>
      </w:r>
    </w:p>
    <w:p w14:paraId="0F440FEC" w14:textId="77777777" w:rsidR="00E668F3" w:rsidRDefault="00B654CA" w:rsidP="00B654CA">
      <w:pPr>
        <w:spacing w:after="240"/>
        <w:rPr>
          <w:rFonts w:eastAsia="Arial"/>
        </w:rPr>
      </w:pPr>
      <w:r w:rsidRPr="00AC2271">
        <w:rPr>
          <w:rFonts w:eastAsia="Arial"/>
        </w:rPr>
        <w:t xml:space="preserve">As illustrated in the table above, </w:t>
      </w:r>
      <w:r w:rsidR="00835FD4" w:rsidRPr="00AC2271">
        <w:rPr>
          <w:rFonts w:eastAsia="Arial"/>
        </w:rPr>
        <w:t>T.I.M.E.</w:t>
      </w:r>
      <w:r w:rsidRPr="00AC2271">
        <w:rPr>
          <w:rFonts w:eastAsia="Arial"/>
        </w:rPr>
        <w:t>’s 2021</w:t>
      </w:r>
      <w:r w:rsidR="00CC21F9" w:rsidRPr="00AC2271">
        <w:rPr>
          <w:rFonts w:eastAsia="Arial"/>
        </w:rPr>
        <w:t>–</w:t>
      </w:r>
      <w:r w:rsidRPr="00AC2271">
        <w:rPr>
          <w:rFonts w:eastAsia="Arial"/>
        </w:rPr>
        <w:t xml:space="preserve">22 </w:t>
      </w:r>
      <w:r w:rsidR="00CC21F9" w:rsidRPr="00AC2271">
        <w:rPr>
          <w:rFonts w:eastAsia="Arial"/>
        </w:rPr>
        <w:t xml:space="preserve">adopted budget </w:t>
      </w:r>
      <w:r w:rsidRPr="00AC2271">
        <w:rPr>
          <w:rFonts w:eastAsia="Arial"/>
        </w:rPr>
        <w:t xml:space="preserve">projected an operating surplus of $376,460 and an ending </w:t>
      </w:r>
      <w:r w:rsidR="00CC21F9" w:rsidRPr="00AC2271">
        <w:rPr>
          <w:rFonts w:eastAsia="Arial"/>
        </w:rPr>
        <w:t xml:space="preserve">net position </w:t>
      </w:r>
      <w:r w:rsidRPr="00AC2271">
        <w:rPr>
          <w:rFonts w:eastAsia="Arial"/>
        </w:rPr>
        <w:t xml:space="preserve">of $468,272. Due to </w:t>
      </w:r>
      <w:r w:rsidR="00835FD4" w:rsidRPr="00AC2271">
        <w:rPr>
          <w:rFonts w:eastAsia="Arial"/>
        </w:rPr>
        <w:t>T.I.M.E.</w:t>
      </w:r>
      <w:r w:rsidRPr="00AC2271">
        <w:rPr>
          <w:rFonts w:eastAsia="Arial"/>
        </w:rPr>
        <w:t xml:space="preserve">’s substantial enrollment shortfall, </w:t>
      </w:r>
      <w:r w:rsidR="00835FD4" w:rsidRPr="00AC2271">
        <w:rPr>
          <w:rFonts w:eastAsia="Arial"/>
        </w:rPr>
        <w:t>T.I.M.E.</w:t>
      </w:r>
      <w:r w:rsidRPr="00AC2271">
        <w:rPr>
          <w:rFonts w:eastAsia="Arial"/>
        </w:rPr>
        <w:t xml:space="preserve"> incurred a deficit of $378,107 and an ending </w:t>
      </w:r>
      <w:r w:rsidR="00CC21F9" w:rsidRPr="00AC2271">
        <w:rPr>
          <w:rFonts w:eastAsia="Arial"/>
        </w:rPr>
        <w:t xml:space="preserve">net position </w:t>
      </w:r>
      <w:r w:rsidRPr="00AC2271">
        <w:rPr>
          <w:rFonts w:eastAsia="Arial"/>
        </w:rPr>
        <w:t>of negative $268,436 in 2021</w:t>
      </w:r>
      <w:r w:rsidR="00CC21F9" w:rsidRPr="00AC2271">
        <w:rPr>
          <w:rFonts w:eastAsia="Arial"/>
        </w:rPr>
        <w:t>–</w:t>
      </w:r>
      <w:r w:rsidRPr="00AC2271">
        <w:rPr>
          <w:rFonts w:eastAsia="Arial"/>
        </w:rPr>
        <w:t xml:space="preserve">22. </w:t>
      </w:r>
      <w:r w:rsidR="00835FD4" w:rsidRPr="00AC2271">
        <w:rPr>
          <w:rFonts w:eastAsia="Arial"/>
        </w:rPr>
        <w:t>T.I.M.E.</w:t>
      </w:r>
      <w:r w:rsidRPr="00AC2271">
        <w:rPr>
          <w:rFonts w:eastAsia="Arial"/>
        </w:rPr>
        <w:t>’s 2022</w:t>
      </w:r>
      <w:r w:rsidR="00CC21F9" w:rsidRPr="00AC2271">
        <w:rPr>
          <w:rFonts w:eastAsia="Arial"/>
        </w:rPr>
        <w:t>–</w:t>
      </w:r>
      <w:r w:rsidRPr="00AC2271">
        <w:rPr>
          <w:rFonts w:eastAsia="Arial"/>
        </w:rPr>
        <w:t xml:space="preserve">23 </w:t>
      </w:r>
      <w:r w:rsidR="00CC21F9" w:rsidRPr="00AC2271">
        <w:rPr>
          <w:rFonts w:eastAsia="Arial"/>
        </w:rPr>
        <w:t xml:space="preserve">adopted budget </w:t>
      </w:r>
      <w:r w:rsidRPr="00AC2271">
        <w:rPr>
          <w:rFonts w:eastAsia="Arial"/>
        </w:rPr>
        <w:t>projected a surplus of $509,1</w:t>
      </w:r>
      <w:r w:rsidR="00AC2271" w:rsidRPr="00AC2271">
        <w:rPr>
          <w:rFonts w:eastAsia="Arial"/>
        </w:rPr>
        <w:t>30</w:t>
      </w:r>
      <w:r w:rsidRPr="00AC2271">
        <w:rPr>
          <w:rFonts w:eastAsia="Arial"/>
        </w:rPr>
        <w:t xml:space="preserve"> and</w:t>
      </w:r>
      <w:r w:rsidRPr="00B654CA">
        <w:rPr>
          <w:rFonts w:eastAsia="Arial"/>
        </w:rPr>
        <w:t xml:space="preserve"> an ending </w:t>
      </w:r>
      <w:r w:rsidR="00CC21F9" w:rsidRPr="00B654CA">
        <w:rPr>
          <w:rFonts w:eastAsia="Arial"/>
        </w:rPr>
        <w:t xml:space="preserve">net position </w:t>
      </w:r>
      <w:r w:rsidRPr="00B654CA">
        <w:rPr>
          <w:rFonts w:eastAsia="Arial"/>
        </w:rPr>
        <w:t>of $285,135. However, its 2022</w:t>
      </w:r>
      <w:r w:rsidR="00CC21F9">
        <w:rPr>
          <w:rFonts w:eastAsia="Arial"/>
        </w:rPr>
        <w:t>–</w:t>
      </w:r>
      <w:r w:rsidRPr="00B654CA">
        <w:rPr>
          <w:rFonts w:eastAsia="Arial"/>
        </w:rPr>
        <w:t xml:space="preserve">23 </w:t>
      </w:r>
      <w:r w:rsidR="00CC21F9" w:rsidRPr="00B654CA">
        <w:rPr>
          <w:rFonts w:eastAsia="Arial"/>
        </w:rPr>
        <w:t>First Interim Report</w:t>
      </w:r>
      <w:r w:rsidR="00CC21F9">
        <w:rPr>
          <w:rFonts w:eastAsia="Arial"/>
        </w:rPr>
        <w:t xml:space="preserve"> </w:t>
      </w:r>
      <w:r w:rsidR="00CC21F9" w:rsidRPr="00793FDD">
        <w:rPr>
          <w:rFonts w:eastAsia="Arial"/>
        </w:rPr>
        <w:t xml:space="preserve">projection </w:t>
      </w:r>
      <w:r w:rsidRPr="00793FDD">
        <w:rPr>
          <w:rFonts w:eastAsia="Arial"/>
        </w:rPr>
        <w:t xml:space="preserve">reflected a revised budget and projects an </w:t>
      </w:r>
      <w:r w:rsidRPr="00793FDD">
        <w:rPr>
          <w:rFonts w:eastAsia="Arial"/>
        </w:rPr>
        <w:lastRenderedPageBreak/>
        <w:t>operating deficit of $68,312</w:t>
      </w:r>
      <w:r w:rsidR="00E668F3">
        <w:rPr>
          <w:rFonts w:eastAsia="Arial"/>
        </w:rPr>
        <w:t xml:space="preserve">; </w:t>
      </w:r>
      <w:r w:rsidRPr="00793FDD">
        <w:rPr>
          <w:rFonts w:eastAsia="Arial"/>
        </w:rPr>
        <w:t xml:space="preserve">an ending </w:t>
      </w:r>
      <w:r w:rsidR="00CC21F9" w:rsidRPr="00793FDD">
        <w:rPr>
          <w:rFonts w:eastAsia="Arial"/>
        </w:rPr>
        <w:t>net</w:t>
      </w:r>
      <w:r w:rsidR="00CC21F9" w:rsidRPr="00B654CA">
        <w:rPr>
          <w:rFonts w:eastAsia="Arial"/>
        </w:rPr>
        <w:t xml:space="preserve"> position </w:t>
      </w:r>
      <w:r w:rsidRPr="00B654CA">
        <w:rPr>
          <w:rFonts w:eastAsia="Arial"/>
        </w:rPr>
        <w:t>of negative $336,748</w:t>
      </w:r>
      <w:r w:rsidR="00E668F3">
        <w:rPr>
          <w:rFonts w:eastAsia="Arial"/>
        </w:rPr>
        <w:t>;</w:t>
      </w:r>
      <w:r w:rsidRPr="00B654CA">
        <w:rPr>
          <w:rFonts w:eastAsia="Arial"/>
        </w:rPr>
        <w:t xml:space="preserve"> and a </w:t>
      </w:r>
      <w:r w:rsidRPr="00793FDD">
        <w:rPr>
          <w:rFonts w:eastAsia="Arial"/>
        </w:rPr>
        <w:t>reserve for economic uncertainties of negative 23.3 percent.</w:t>
      </w:r>
      <w:r w:rsidRPr="00B654CA">
        <w:rPr>
          <w:rFonts w:eastAsia="Arial"/>
        </w:rPr>
        <w:t xml:space="preserve"> </w:t>
      </w:r>
    </w:p>
    <w:p w14:paraId="10D6D482" w14:textId="19E55D96" w:rsidR="00B654CA" w:rsidRPr="00B654CA" w:rsidRDefault="00B654CA" w:rsidP="00B654CA">
      <w:pPr>
        <w:spacing w:after="240"/>
        <w:rPr>
          <w:rFonts w:eastAsia="Arial"/>
        </w:rPr>
      </w:pPr>
      <w:r w:rsidRPr="00B654CA">
        <w:rPr>
          <w:rFonts w:eastAsia="Arial"/>
        </w:rPr>
        <w:t>In addition to a substantial reduction in the projected revenues due to enrollment</w:t>
      </w:r>
      <w:r w:rsidR="00E668F3">
        <w:rPr>
          <w:rFonts w:eastAsia="Arial"/>
        </w:rPr>
        <w:t xml:space="preserve"> and </w:t>
      </w:r>
      <w:r w:rsidRPr="00B654CA">
        <w:rPr>
          <w:rFonts w:eastAsia="Arial"/>
        </w:rPr>
        <w:t xml:space="preserve">ADA shortfall, </w:t>
      </w:r>
      <w:r w:rsidR="00835FD4">
        <w:rPr>
          <w:rFonts w:eastAsia="Arial"/>
        </w:rPr>
        <w:t>T.I.M.E.</w:t>
      </w:r>
      <w:r w:rsidRPr="00B654CA">
        <w:rPr>
          <w:rFonts w:eastAsia="Arial"/>
        </w:rPr>
        <w:t xml:space="preserve"> is incurring increased operational costs, including a long</w:t>
      </w:r>
      <w:r w:rsidR="00CC21F9">
        <w:rPr>
          <w:rFonts w:eastAsia="Arial"/>
        </w:rPr>
        <w:t>-</w:t>
      </w:r>
      <w:r w:rsidRPr="00B654CA">
        <w:rPr>
          <w:rFonts w:eastAsia="Arial"/>
        </w:rPr>
        <w:t>term commitment under its five</w:t>
      </w:r>
      <w:r w:rsidR="00CC21F9">
        <w:rPr>
          <w:rFonts w:eastAsia="Arial"/>
        </w:rPr>
        <w:t>-</w:t>
      </w:r>
      <w:r w:rsidRPr="00B654CA">
        <w:rPr>
          <w:rFonts w:eastAsia="Arial"/>
        </w:rPr>
        <w:t xml:space="preserve">year lease agreement. The </w:t>
      </w:r>
      <w:r w:rsidR="00CC21F9" w:rsidRPr="00B654CA">
        <w:rPr>
          <w:rFonts w:eastAsia="Arial"/>
        </w:rPr>
        <w:t xml:space="preserve">first interim report </w:t>
      </w:r>
      <w:r w:rsidRPr="00B654CA">
        <w:rPr>
          <w:rFonts w:eastAsia="Arial"/>
        </w:rPr>
        <w:t xml:space="preserve">projects facility leases and related expenses totaling </w:t>
      </w:r>
      <w:r w:rsidRPr="00793FDD">
        <w:rPr>
          <w:rFonts w:eastAsia="Arial"/>
        </w:rPr>
        <w:t>$412,786, an increase of $340,941 or 475.0 percent</w:t>
      </w:r>
      <w:r w:rsidRPr="00B654CA">
        <w:rPr>
          <w:rFonts w:eastAsia="Arial"/>
        </w:rPr>
        <w:t xml:space="preserve"> from its 2021</w:t>
      </w:r>
      <w:r w:rsidR="00CC21F9">
        <w:rPr>
          <w:rFonts w:eastAsia="Arial"/>
        </w:rPr>
        <w:t>–</w:t>
      </w:r>
      <w:r w:rsidRPr="00B654CA">
        <w:rPr>
          <w:rFonts w:eastAsia="Arial"/>
        </w:rPr>
        <w:t xml:space="preserve">22 facility leases related expenses. The budget for the facility leases and related expenses represents 42.9 percent of </w:t>
      </w:r>
      <w:r w:rsidR="00835FD4">
        <w:rPr>
          <w:rFonts w:eastAsia="Arial"/>
        </w:rPr>
        <w:t>T.I.M.E.</w:t>
      </w:r>
      <w:r w:rsidRPr="00B654CA">
        <w:rPr>
          <w:rFonts w:eastAsia="Arial"/>
        </w:rPr>
        <w:t>’s 2022</w:t>
      </w:r>
      <w:r w:rsidR="00CC21F9">
        <w:rPr>
          <w:rFonts w:eastAsia="Arial"/>
        </w:rPr>
        <w:t>–</w:t>
      </w:r>
      <w:r w:rsidRPr="00B654CA">
        <w:rPr>
          <w:rFonts w:eastAsia="Arial"/>
        </w:rPr>
        <w:t>23 projected LCFF revenues of $962,625.</w:t>
      </w:r>
    </w:p>
    <w:p w14:paraId="3F666C53" w14:textId="0284FC58" w:rsidR="00B654CA" w:rsidRDefault="00B654CA" w:rsidP="00B654CA">
      <w:pPr>
        <w:spacing w:after="240"/>
        <w:rPr>
          <w:rFonts w:eastAsia="Arial"/>
        </w:rPr>
      </w:pPr>
      <w:bookmarkStart w:id="3" w:name="_Hlk126913745"/>
      <w:r w:rsidRPr="00B654CA">
        <w:rPr>
          <w:rFonts w:eastAsia="Arial"/>
        </w:rPr>
        <w:t xml:space="preserve">The table below provides a summary of changes in </w:t>
      </w:r>
      <w:r w:rsidR="00835FD4">
        <w:rPr>
          <w:rFonts w:eastAsia="Arial"/>
        </w:rPr>
        <w:t>T.I.M.E.</w:t>
      </w:r>
      <w:r w:rsidRPr="00B654CA">
        <w:rPr>
          <w:rFonts w:eastAsia="Arial"/>
        </w:rPr>
        <w:t>’s financial position from July 1, 2022, to December 31, 2022.</w:t>
      </w:r>
    </w:p>
    <w:tbl>
      <w:tblPr>
        <w:tblStyle w:val="TableGrid"/>
        <w:tblW w:w="0" w:type="auto"/>
        <w:tblInd w:w="0" w:type="dxa"/>
        <w:tblLook w:val="04A0" w:firstRow="1" w:lastRow="0" w:firstColumn="1" w:lastColumn="0" w:noHBand="0" w:noVBand="1"/>
        <w:tblDescription w:val="Summary of changes in T.I.M.E.’s financial position from July 1, 2022, to December 31, 2022"/>
      </w:tblPr>
      <w:tblGrid>
        <w:gridCol w:w="1870"/>
        <w:gridCol w:w="1870"/>
        <w:gridCol w:w="1870"/>
        <w:gridCol w:w="1870"/>
        <w:gridCol w:w="1870"/>
      </w:tblGrid>
      <w:tr w:rsidR="00CC21F9" w14:paraId="61B1A8F2" w14:textId="77777777" w:rsidTr="00CA4AAA">
        <w:trPr>
          <w:cantSplit/>
          <w:tblHeader/>
        </w:trPr>
        <w:tc>
          <w:tcPr>
            <w:tcW w:w="1870" w:type="dxa"/>
            <w:shd w:val="clear" w:color="auto" w:fill="D9D9D9" w:themeFill="background1" w:themeFillShade="D9"/>
            <w:vAlign w:val="center"/>
          </w:tcPr>
          <w:p w14:paraId="0937BA39" w14:textId="139760F7" w:rsidR="00CC21F9" w:rsidRPr="00CC21F9" w:rsidRDefault="00CC21F9" w:rsidP="00CC21F9">
            <w:pPr>
              <w:jc w:val="center"/>
              <w:rPr>
                <w:rFonts w:eastAsia="Arial"/>
                <w:b/>
              </w:rPr>
            </w:pPr>
            <w:r>
              <w:rPr>
                <w:rFonts w:eastAsia="Arial"/>
                <w:b/>
              </w:rPr>
              <w:t>Criteria</w:t>
            </w:r>
          </w:p>
        </w:tc>
        <w:tc>
          <w:tcPr>
            <w:tcW w:w="1870" w:type="dxa"/>
            <w:shd w:val="clear" w:color="auto" w:fill="D9D9D9" w:themeFill="background1" w:themeFillShade="D9"/>
            <w:vAlign w:val="center"/>
          </w:tcPr>
          <w:p w14:paraId="39EFE2D7" w14:textId="16298230" w:rsidR="00CC21F9" w:rsidRPr="00CC21F9" w:rsidRDefault="00CC21F9" w:rsidP="00CC21F9">
            <w:pPr>
              <w:jc w:val="center"/>
              <w:rPr>
                <w:rFonts w:eastAsia="Arial"/>
                <w:b/>
              </w:rPr>
            </w:pPr>
            <w:r>
              <w:rPr>
                <w:rFonts w:eastAsia="Arial"/>
                <w:b/>
              </w:rPr>
              <w:t>July 1, 2022</w:t>
            </w:r>
          </w:p>
        </w:tc>
        <w:tc>
          <w:tcPr>
            <w:tcW w:w="1870" w:type="dxa"/>
            <w:shd w:val="clear" w:color="auto" w:fill="D9D9D9" w:themeFill="background1" w:themeFillShade="D9"/>
            <w:vAlign w:val="center"/>
          </w:tcPr>
          <w:p w14:paraId="42DE2C8B" w14:textId="6D285D17" w:rsidR="00CC21F9" w:rsidRPr="00CC21F9" w:rsidRDefault="00CC21F9" w:rsidP="00CC21F9">
            <w:pPr>
              <w:jc w:val="center"/>
              <w:rPr>
                <w:rFonts w:eastAsia="Arial"/>
                <w:b/>
              </w:rPr>
            </w:pPr>
            <w:r>
              <w:rPr>
                <w:rFonts w:eastAsia="Arial"/>
                <w:b/>
              </w:rPr>
              <w:t>December 31, 2022</w:t>
            </w:r>
          </w:p>
        </w:tc>
        <w:tc>
          <w:tcPr>
            <w:tcW w:w="1870" w:type="dxa"/>
            <w:shd w:val="clear" w:color="auto" w:fill="D9D9D9" w:themeFill="background1" w:themeFillShade="D9"/>
            <w:vAlign w:val="center"/>
          </w:tcPr>
          <w:p w14:paraId="605FB38D" w14:textId="62C722B5" w:rsidR="00CC21F9" w:rsidRPr="00CC21F9" w:rsidRDefault="00CC21F9" w:rsidP="00CC21F9">
            <w:pPr>
              <w:jc w:val="center"/>
              <w:rPr>
                <w:rFonts w:eastAsia="Arial"/>
                <w:b/>
              </w:rPr>
            </w:pPr>
            <w:r>
              <w:rPr>
                <w:rFonts w:eastAsia="Arial"/>
                <w:b/>
              </w:rPr>
              <w:t>Year-to-Date Change</w:t>
            </w:r>
          </w:p>
        </w:tc>
        <w:tc>
          <w:tcPr>
            <w:tcW w:w="1870" w:type="dxa"/>
            <w:shd w:val="clear" w:color="auto" w:fill="D9D9D9" w:themeFill="background1" w:themeFillShade="D9"/>
            <w:vAlign w:val="center"/>
          </w:tcPr>
          <w:p w14:paraId="52780702" w14:textId="5CF1CF20" w:rsidR="00CC21F9" w:rsidRPr="00CC21F9" w:rsidRDefault="00CC21F9" w:rsidP="00CC21F9">
            <w:pPr>
              <w:jc w:val="center"/>
              <w:rPr>
                <w:rFonts w:eastAsia="Arial"/>
                <w:b/>
              </w:rPr>
            </w:pPr>
            <w:r>
              <w:rPr>
                <w:rFonts w:eastAsia="Arial"/>
                <w:b/>
              </w:rPr>
              <w:t>Year-to-Date Percentage Change</w:t>
            </w:r>
          </w:p>
        </w:tc>
      </w:tr>
      <w:tr w:rsidR="00CC21F9" w14:paraId="20C64A6A" w14:textId="77777777" w:rsidTr="00CA4AAA">
        <w:trPr>
          <w:cantSplit/>
        </w:trPr>
        <w:tc>
          <w:tcPr>
            <w:tcW w:w="1870" w:type="dxa"/>
            <w:vAlign w:val="center"/>
          </w:tcPr>
          <w:p w14:paraId="77AB4838" w14:textId="4E50B06B" w:rsidR="00CC21F9" w:rsidRPr="00CC21F9" w:rsidRDefault="00CC21F9" w:rsidP="00CC21F9">
            <w:pPr>
              <w:rPr>
                <w:rFonts w:eastAsia="Arial"/>
                <w:b/>
              </w:rPr>
            </w:pPr>
            <w:r>
              <w:rPr>
                <w:rFonts w:eastAsia="Arial"/>
                <w:b/>
              </w:rPr>
              <w:t>Total Assets</w:t>
            </w:r>
          </w:p>
        </w:tc>
        <w:tc>
          <w:tcPr>
            <w:tcW w:w="1870" w:type="dxa"/>
            <w:vAlign w:val="center"/>
          </w:tcPr>
          <w:p w14:paraId="00FE734D" w14:textId="7832A0AD" w:rsidR="00CC21F9" w:rsidRDefault="00CC21F9" w:rsidP="00CC21F9">
            <w:pPr>
              <w:jc w:val="center"/>
              <w:rPr>
                <w:rFonts w:eastAsia="Arial"/>
              </w:rPr>
            </w:pPr>
            <w:r>
              <w:rPr>
                <w:rFonts w:eastAsia="Arial"/>
              </w:rPr>
              <w:t>$226,663</w:t>
            </w:r>
          </w:p>
        </w:tc>
        <w:tc>
          <w:tcPr>
            <w:tcW w:w="1870" w:type="dxa"/>
            <w:vAlign w:val="center"/>
          </w:tcPr>
          <w:p w14:paraId="3C99F444" w14:textId="120D1D98" w:rsidR="00CC21F9" w:rsidRDefault="00CC21F9" w:rsidP="00CC21F9">
            <w:pPr>
              <w:jc w:val="center"/>
              <w:rPr>
                <w:rFonts w:eastAsia="Arial"/>
              </w:rPr>
            </w:pPr>
            <w:r>
              <w:rPr>
                <w:rFonts w:eastAsia="Arial"/>
              </w:rPr>
              <w:t>($</w:t>
            </w:r>
            <w:proofErr w:type="gramStart"/>
            <w:r>
              <w:rPr>
                <w:rFonts w:eastAsia="Arial"/>
              </w:rPr>
              <w:t>19,432)*</w:t>
            </w:r>
            <w:proofErr w:type="gramEnd"/>
          </w:p>
        </w:tc>
        <w:tc>
          <w:tcPr>
            <w:tcW w:w="1870" w:type="dxa"/>
            <w:vAlign w:val="center"/>
          </w:tcPr>
          <w:p w14:paraId="793C9D62" w14:textId="08907907" w:rsidR="00CC21F9" w:rsidRDefault="00CC21F9" w:rsidP="00CC21F9">
            <w:pPr>
              <w:jc w:val="center"/>
              <w:rPr>
                <w:rFonts w:eastAsia="Arial"/>
              </w:rPr>
            </w:pPr>
            <w:r>
              <w:rPr>
                <w:rFonts w:eastAsia="Arial"/>
              </w:rPr>
              <w:t>($246,095)</w:t>
            </w:r>
          </w:p>
        </w:tc>
        <w:tc>
          <w:tcPr>
            <w:tcW w:w="1870" w:type="dxa"/>
            <w:vAlign w:val="center"/>
          </w:tcPr>
          <w:p w14:paraId="256EA540" w14:textId="32FE8273" w:rsidR="00CC21F9" w:rsidRDefault="007C7CB2" w:rsidP="00CC21F9">
            <w:pPr>
              <w:jc w:val="center"/>
              <w:rPr>
                <w:rFonts w:eastAsia="Arial"/>
              </w:rPr>
            </w:pPr>
            <w:r>
              <w:rPr>
                <w:rFonts w:eastAsia="Arial"/>
              </w:rPr>
              <w:t>(149%)</w:t>
            </w:r>
          </w:p>
        </w:tc>
      </w:tr>
      <w:tr w:rsidR="00CC21F9" w14:paraId="6E876BF5" w14:textId="77777777" w:rsidTr="00CA4AAA">
        <w:trPr>
          <w:cantSplit/>
        </w:trPr>
        <w:tc>
          <w:tcPr>
            <w:tcW w:w="1870" w:type="dxa"/>
            <w:vAlign w:val="center"/>
          </w:tcPr>
          <w:p w14:paraId="722186E4" w14:textId="7A3F1284" w:rsidR="00CC21F9" w:rsidRPr="00CC21F9" w:rsidRDefault="00CC21F9" w:rsidP="00CC21F9">
            <w:pPr>
              <w:rPr>
                <w:rFonts w:eastAsia="Arial"/>
                <w:b/>
              </w:rPr>
            </w:pPr>
            <w:r>
              <w:rPr>
                <w:rFonts w:eastAsia="Arial"/>
                <w:b/>
              </w:rPr>
              <w:t>Total Liabilities</w:t>
            </w:r>
          </w:p>
        </w:tc>
        <w:tc>
          <w:tcPr>
            <w:tcW w:w="1870" w:type="dxa"/>
            <w:vAlign w:val="center"/>
          </w:tcPr>
          <w:p w14:paraId="0B40D67D" w14:textId="7577F197" w:rsidR="00CC21F9" w:rsidRDefault="00CC21F9" w:rsidP="00CC21F9">
            <w:pPr>
              <w:jc w:val="center"/>
              <w:rPr>
                <w:rFonts w:eastAsia="Arial"/>
              </w:rPr>
            </w:pPr>
            <w:r>
              <w:rPr>
                <w:rFonts w:eastAsia="Arial"/>
              </w:rPr>
              <w:t>$495,099</w:t>
            </w:r>
          </w:p>
        </w:tc>
        <w:tc>
          <w:tcPr>
            <w:tcW w:w="1870" w:type="dxa"/>
            <w:vAlign w:val="center"/>
          </w:tcPr>
          <w:p w14:paraId="51711E0D" w14:textId="7691B1AE" w:rsidR="00CC21F9" w:rsidRDefault="00CC21F9" w:rsidP="00CC21F9">
            <w:pPr>
              <w:jc w:val="center"/>
              <w:rPr>
                <w:rFonts w:eastAsia="Arial"/>
              </w:rPr>
            </w:pPr>
            <w:r>
              <w:rPr>
                <w:rFonts w:eastAsia="Arial"/>
              </w:rPr>
              <w:t>$673,273</w:t>
            </w:r>
          </w:p>
        </w:tc>
        <w:tc>
          <w:tcPr>
            <w:tcW w:w="1870" w:type="dxa"/>
            <w:vAlign w:val="center"/>
          </w:tcPr>
          <w:p w14:paraId="7B9AABBD" w14:textId="3CC23ADF" w:rsidR="00CC21F9" w:rsidRDefault="00CC21F9" w:rsidP="00CC21F9">
            <w:pPr>
              <w:jc w:val="center"/>
              <w:rPr>
                <w:rFonts w:eastAsia="Arial"/>
              </w:rPr>
            </w:pPr>
            <w:r>
              <w:rPr>
                <w:rFonts w:eastAsia="Arial"/>
              </w:rPr>
              <w:t>$178,174</w:t>
            </w:r>
          </w:p>
        </w:tc>
        <w:tc>
          <w:tcPr>
            <w:tcW w:w="1870" w:type="dxa"/>
            <w:vAlign w:val="center"/>
          </w:tcPr>
          <w:p w14:paraId="77BB7BC0" w14:textId="477BD56E" w:rsidR="00CC21F9" w:rsidRDefault="007C7CB2" w:rsidP="00CC21F9">
            <w:pPr>
              <w:jc w:val="center"/>
              <w:rPr>
                <w:rFonts w:eastAsia="Arial"/>
              </w:rPr>
            </w:pPr>
            <w:r>
              <w:rPr>
                <w:rFonts w:eastAsia="Arial"/>
              </w:rPr>
              <w:t>36%</w:t>
            </w:r>
          </w:p>
        </w:tc>
      </w:tr>
      <w:tr w:rsidR="00CC21F9" w:rsidRPr="003F09B4" w14:paraId="32B18F99" w14:textId="77777777" w:rsidTr="00CA4AAA">
        <w:trPr>
          <w:cantSplit/>
        </w:trPr>
        <w:tc>
          <w:tcPr>
            <w:tcW w:w="1870" w:type="dxa"/>
            <w:vAlign w:val="center"/>
          </w:tcPr>
          <w:p w14:paraId="5C4595E8" w14:textId="1DDCF159" w:rsidR="00CC21F9" w:rsidRPr="003F09B4" w:rsidRDefault="00CC21F9" w:rsidP="00CC21F9">
            <w:pPr>
              <w:rPr>
                <w:rFonts w:eastAsia="Arial"/>
                <w:b/>
              </w:rPr>
            </w:pPr>
            <w:r w:rsidRPr="003F09B4">
              <w:rPr>
                <w:rFonts w:eastAsia="Arial"/>
                <w:b/>
              </w:rPr>
              <w:t>Total Net Assets</w:t>
            </w:r>
          </w:p>
        </w:tc>
        <w:tc>
          <w:tcPr>
            <w:tcW w:w="1870" w:type="dxa"/>
            <w:vAlign w:val="center"/>
          </w:tcPr>
          <w:p w14:paraId="7494C184" w14:textId="08653314" w:rsidR="00CC21F9" w:rsidRPr="003F09B4" w:rsidRDefault="00CC21F9" w:rsidP="00CC21F9">
            <w:pPr>
              <w:jc w:val="center"/>
              <w:rPr>
                <w:rFonts w:eastAsia="Arial"/>
              </w:rPr>
            </w:pPr>
            <w:r w:rsidRPr="003F09B4">
              <w:rPr>
                <w:rFonts w:eastAsia="Arial"/>
              </w:rPr>
              <w:t>($268,436)</w:t>
            </w:r>
          </w:p>
        </w:tc>
        <w:tc>
          <w:tcPr>
            <w:tcW w:w="1870" w:type="dxa"/>
            <w:vAlign w:val="center"/>
          </w:tcPr>
          <w:p w14:paraId="09D0D5CC" w14:textId="21962B65" w:rsidR="00CC21F9" w:rsidRPr="003F09B4" w:rsidRDefault="00CC21F9" w:rsidP="00CC21F9">
            <w:pPr>
              <w:jc w:val="center"/>
              <w:rPr>
                <w:rFonts w:eastAsia="Arial"/>
              </w:rPr>
            </w:pPr>
            <w:r w:rsidRPr="003F09B4">
              <w:rPr>
                <w:rFonts w:eastAsia="Arial"/>
              </w:rPr>
              <w:t>($692,</w:t>
            </w:r>
            <w:r w:rsidR="000220C2" w:rsidRPr="003F09B4">
              <w:rPr>
                <w:rFonts w:eastAsia="Arial"/>
              </w:rPr>
              <w:t>70</w:t>
            </w:r>
            <w:r w:rsidR="000220C2">
              <w:rPr>
                <w:rFonts w:eastAsia="Arial"/>
              </w:rPr>
              <w:t>5</w:t>
            </w:r>
            <w:r w:rsidRPr="003F09B4">
              <w:rPr>
                <w:rFonts w:eastAsia="Arial"/>
              </w:rPr>
              <w:t>)</w:t>
            </w:r>
          </w:p>
        </w:tc>
        <w:tc>
          <w:tcPr>
            <w:tcW w:w="1870" w:type="dxa"/>
            <w:vAlign w:val="center"/>
          </w:tcPr>
          <w:p w14:paraId="2BA6BBDE" w14:textId="2FEA4001" w:rsidR="00CC21F9" w:rsidRPr="003F09B4" w:rsidRDefault="00CC21F9" w:rsidP="00CC21F9">
            <w:pPr>
              <w:jc w:val="center"/>
              <w:rPr>
                <w:rFonts w:eastAsia="Arial"/>
              </w:rPr>
            </w:pPr>
            <w:r w:rsidRPr="003F09B4">
              <w:rPr>
                <w:rFonts w:eastAsia="Arial"/>
              </w:rPr>
              <w:t>($424,269)</w:t>
            </w:r>
          </w:p>
        </w:tc>
        <w:tc>
          <w:tcPr>
            <w:tcW w:w="1870" w:type="dxa"/>
            <w:vAlign w:val="center"/>
          </w:tcPr>
          <w:p w14:paraId="3681F570" w14:textId="369AB9B3" w:rsidR="00CC21F9" w:rsidRPr="003F09B4" w:rsidRDefault="007C7CB2" w:rsidP="00CC21F9">
            <w:pPr>
              <w:jc w:val="center"/>
              <w:rPr>
                <w:rFonts w:eastAsia="Arial"/>
              </w:rPr>
            </w:pPr>
            <w:r w:rsidRPr="003F09B4">
              <w:rPr>
                <w:rFonts w:eastAsia="Arial"/>
              </w:rPr>
              <w:t>158%</w:t>
            </w:r>
          </w:p>
        </w:tc>
      </w:tr>
    </w:tbl>
    <w:p w14:paraId="42D15B97" w14:textId="70517BAF" w:rsidR="00CC21F9" w:rsidRPr="003F09B4" w:rsidRDefault="007C7CB2" w:rsidP="007C7CB2">
      <w:pPr>
        <w:spacing w:before="240" w:after="240"/>
        <w:rPr>
          <w:rFonts w:eastAsia="Arial"/>
        </w:rPr>
      </w:pPr>
      <w:r w:rsidRPr="003F09B4">
        <w:rPr>
          <w:rFonts w:eastAsia="Arial"/>
        </w:rPr>
        <w:t xml:space="preserve">* Negative total assets include factored (sale) receivables of </w:t>
      </w:r>
      <w:r w:rsidR="00793FDD" w:rsidRPr="003F09B4">
        <w:rPr>
          <w:rFonts w:eastAsia="Arial"/>
        </w:rPr>
        <w:t xml:space="preserve">negative </w:t>
      </w:r>
      <w:r w:rsidRPr="003F09B4">
        <w:rPr>
          <w:rFonts w:eastAsia="Arial"/>
        </w:rPr>
        <w:t>$247,600 net of other assets, including a cash balance of $14,189.</w:t>
      </w:r>
    </w:p>
    <w:bookmarkEnd w:id="3"/>
    <w:p w14:paraId="6199EBE8" w14:textId="479A8749" w:rsidR="0086540E" w:rsidRPr="003F09B4" w:rsidRDefault="00835FD4" w:rsidP="004B3D48">
      <w:pPr>
        <w:spacing w:after="240"/>
        <w:rPr>
          <w:rFonts w:eastAsia="Arial"/>
        </w:rPr>
      </w:pPr>
      <w:r w:rsidRPr="003F09B4">
        <w:rPr>
          <w:rFonts w:eastAsia="Arial"/>
        </w:rPr>
        <w:t>T.I.M.E.</w:t>
      </w:r>
      <w:r w:rsidR="00B654CA" w:rsidRPr="003F09B4">
        <w:rPr>
          <w:rFonts w:eastAsia="Arial"/>
        </w:rPr>
        <w:t>’s financial activities from July 1, 2022</w:t>
      </w:r>
      <w:r w:rsidR="007C7CB2" w:rsidRPr="003F09B4">
        <w:rPr>
          <w:rFonts w:eastAsia="Arial"/>
        </w:rPr>
        <w:t>,</w:t>
      </w:r>
      <w:r w:rsidR="00B654CA" w:rsidRPr="003F09B4">
        <w:rPr>
          <w:rFonts w:eastAsia="Arial"/>
        </w:rPr>
        <w:t xml:space="preserve"> to December 31, 2022</w:t>
      </w:r>
      <w:r w:rsidR="007C7CB2" w:rsidRPr="003F09B4">
        <w:rPr>
          <w:rFonts w:eastAsia="Arial"/>
        </w:rPr>
        <w:t>,</w:t>
      </w:r>
      <w:r w:rsidR="00B654CA" w:rsidRPr="003F09B4">
        <w:rPr>
          <w:rFonts w:eastAsia="Arial"/>
        </w:rPr>
        <w:t xml:space="preserve"> resulted in an operating deficit of $424,269</w:t>
      </w:r>
      <w:r w:rsidR="00793FDD" w:rsidRPr="003F09B4">
        <w:rPr>
          <w:rFonts w:eastAsia="Arial"/>
        </w:rPr>
        <w:t>;</w:t>
      </w:r>
      <w:r w:rsidR="00B654CA" w:rsidRPr="003F09B4">
        <w:rPr>
          <w:rFonts w:eastAsia="Arial"/>
        </w:rPr>
        <w:t xml:space="preserve"> an </w:t>
      </w:r>
      <w:proofErr w:type="gramStart"/>
      <w:r w:rsidR="00B654CA" w:rsidRPr="003F09B4">
        <w:rPr>
          <w:rFonts w:eastAsia="Arial"/>
        </w:rPr>
        <w:t xml:space="preserve">ending </w:t>
      </w:r>
      <w:r w:rsidR="007C7CB2" w:rsidRPr="003F09B4">
        <w:rPr>
          <w:rFonts w:eastAsia="Arial"/>
        </w:rPr>
        <w:t>net assets</w:t>
      </w:r>
      <w:proofErr w:type="gramEnd"/>
      <w:r w:rsidR="007C7CB2" w:rsidRPr="003F09B4">
        <w:rPr>
          <w:rFonts w:eastAsia="Arial"/>
        </w:rPr>
        <w:t xml:space="preserve"> </w:t>
      </w:r>
      <w:r w:rsidR="00B654CA" w:rsidRPr="003F09B4">
        <w:rPr>
          <w:rFonts w:eastAsia="Arial"/>
        </w:rPr>
        <w:t>of negative $692,704</w:t>
      </w:r>
      <w:r w:rsidR="00793FDD" w:rsidRPr="003F09B4">
        <w:rPr>
          <w:rFonts w:eastAsia="Arial"/>
        </w:rPr>
        <w:t>;</w:t>
      </w:r>
      <w:r w:rsidR="00B654CA" w:rsidRPr="003F09B4">
        <w:rPr>
          <w:rFonts w:eastAsia="Arial"/>
        </w:rPr>
        <w:t xml:space="preserve"> and a reserve for economic uncertainties of negative 47.8 percent based on </w:t>
      </w:r>
      <w:r w:rsidRPr="003F09B4">
        <w:rPr>
          <w:rFonts w:eastAsia="Arial"/>
        </w:rPr>
        <w:t>T.I.M.E.</w:t>
      </w:r>
      <w:r w:rsidR="00B654CA" w:rsidRPr="003F09B4">
        <w:rPr>
          <w:rFonts w:eastAsia="Arial"/>
        </w:rPr>
        <w:t>’s 2022</w:t>
      </w:r>
      <w:r w:rsidR="007C7CB2" w:rsidRPr="003F09B4">
        <w:rPr>
          <w:rFonts w:eastAsia="Arial"/>
        </w:rPr>
        <w:t>–</w:t>
      </w:r>
      <w:r w:rsidR="00B654CA" w:rsidRPr="003F09B4">
        <w:rPr>
          <w:rFonts w:eastAsia="Arial"/>
        </w:rPr>
        <w:t xml:space="preserve">23 first interim projected expenses. </w:t>
      </w:r>
      <w:r w:rsidRPr="003F09B4">
        <w:rPr>
          <w:rFonts w:eastAsia="Arial"/>
        </w:rPr>
        <w:t>T.I.M.E.</w:t>
      </w:r>
      <w:r w:rsidR="00B654CA" w:rsidRPr="003F09B4">
        <w:rPr>
          <w:rFonts w:eastAsia="Arial"/>
        </w:rPr>
        <w:t>’s reserve is far below the 3 percent minimum reserve requirement</w:t>
      </w:r>
      <w:r w:rsidR="000522B6" w:rsidRPr="003F09B4">
        <w:rPr>
          <w:rFonts w:eastAsia="Arial"/>
        </w:rPr>
        <w:t>, which is outlined on</w:t>
      </w:r>
      <w:r w:rsidR="00B654CA" w:rsidRPr="003F09B4">
        <w:rPr>
          <w:rFonts w:eastAsia="Arial"/>
        </w:rPr>
        <w:t xml:space="preserve"> page 18</w:t>
      </w:r>
      <w:r w:rsidR="000522B6" w:rsidRPr="003F09B4">
        <w:rPr>
          <w:rFonts w:eastAsia="Arial"/>
        </w:rPr>
        <w:t xml:space="preserve"> in</w:t>
      </w:r>
      <w:r w:rsidR="00B654CA" w:rsidRPr="003F09B4">
        <w:rPr>
          <w:rFonts w:eastAsia="Arial"/>
        </w:rPr>
        <w:t xml:space="preserve"> section 3.4 (Revenue and Expenditure Reporting)</w:t>
      </w:r>
      <w:r w:rsidR="007C7CB2" w:rsidRPr="003F09B4">
        <w:rPr>
          <w:rFonts w:eastAsia="Arial"/>
        </w:rPr>
        <w:t xml:space="preserve"> of its MOU with </w:t>
      </w:r>
      <w:r w:rsidR="00BF129C" w:rsidRPr="003F09B4">
        <w:rPr>
          <w:rFonts w:eastAsia="Arial"/>
        </w:rPr>
        <w:t>LACOE</w:t>
      </w:r>
      <w:r w:rsidR="00B654CA" w:rsidRPr="003F09B4">
        <w:rPr>
          <w:rFonts w:eastAsia="Arial"/>
        </w:rPr>
        <w:t>.</w:t>
      </w:r>
    </w:p>
    <w:p w14:paraId="6905047A" w14:textId="3BDA8285" w:rsidR="00793FDD" w:rsidRDefault="00B654CA" w:rsidP="004B3D48">
      <w:pPr>
        <w:spacing w:after="240"/>
        <w:rPr>
          <w:rFonts w:eastAsia="Arial"/>
        </w:rPr>
      </w:pPr>
      <w:r w:rsidRPr="003F09B4">
        <w:rPr>
          <w:rFonts w:eastAsia="Arial"/>
        </w:rPr>
        <w:t xml:space="preserve">LACOE remains concerned that </w:t>
      </w:r>
      <w:r w:rsidR="00835FD4" w:rsidRPr="003F09B4">
        <w:rPr>
          <w:rFonts w:eastAsia="Arial"/>
        </w:rPr>
        <w:t>T.I.M.E.</w:t>
      </w:r>
      <w:r w:rsidRPr="003F09B4">
        <w:rPr>
          <w:rFonts w:eastAsia="Arial"/>
        </w:rPr>
        <w:t xml:space="preserve"> has not developed and implemented a recovery plan necessary to prevent further deteriorating of its financial condition. </w:t>
      </w:r>
      <w:r w:rsidR="00835FD4" w:rsidRPr="003F09B4">
        <w:rPr>
          <w:rFonts w:eastAsia="Arial"/>
        </w:rPr>
        <w:t>T.I.M.E.</w:t>
      </w:r>
      <w:r w:rsidRPr="003F09B4">
        <w:rPr>
          <w:rFonts w:eastAsia="Arial"/>
        </w:rPr>
        <w:t>’s Statement of Financial Position, as of December 31, 2022, reflected total assets of negative $19,432</w:t>
      </w:r>
      <w:r w:rsidR="00793FDD" w:rsidRPr="003F09B4">
        <w:rPr>
          <w:rFonts w:eastAsia="Arial"/>
        </w:rPr>
        <w:t xml:space="preserve">; </w:t>
      </w:r>
      <w:r w:rsidRPr="003F09B4">
        <w:rPr>
          <w:rFonts w:eastAsia="Arial"/>
        </w:rPr>
        <w:t>total liabilities of $673,273</w:t>
      </w:r>
      <w:r w:rsidR="00793FDD" w:rsidRPr="003F09B4">
        <w:rPr>
          <w:rFonts w:eastAsia="Arial"/>
        </w:rPr>
        <w:t>;</w:t>
      </w:r>
      <w:r w:rsidRPr="003F09B4">
        <w:rPr>
          <w:rFonts w:eastAsia="Arial"/>
        </w:rPr>
        <w:t xml:space="preserve"> and an ending </w:t>
      </w:r>
      <w:r w:rsidR="007C7CB2" w:rsidRPr="003F09B4">
        <w:rPr>
          <w:rFonts w:eastAsia="Arial"/>
        </w:rPr>
        <w:t xml:space="preserve">net position </w:t>
      </w:r>
      <w:r w:rsidRPr="003F09B4">
        <w:rPr>
          <w:rFonts w:eastAsia="Arial"/>
        </w:rPr>
        <w:t>of negative $692,704. Included</w:t>
      </w:r>
      <w:r w:rsidRPr="00B654CA">
        <w:rPr>
          <w:rFonts w:eastAsia="Arial"/>
        </w:rPr>
        <w:t xml:space="preserve"> in the total liabilities are various personal promissory notes totaling $279,444 and a Charter School Revolving Loan of $86,002. </w:t>
      </w:r>
      <w:r w:rsidR="00835FD4">
        <w:rPr>
          <w:rFonts w:eastAsia="Arial"/>
        </w:rPr>
        <w:t>T.I.M.E.</w:t>
      </w:r>
      <w:r w:rsidRPr="00B654CA">
        <w:rPr>
          <w:rFonts w:eastAsia="Arial"/>
        </w:rPr>
        <w:t>’s ability to repay outstanding liabilities will depend on future revenue growth in excess of operational costs.</w:t>
      </w:r>
    </w:p>
    <w:p w14:paraId="6CFDCA07" w14:textId="2FBC61E9" w:rsidR="002B26AC" w:rsidRPr="004B3D48" w:rsidRDefault="00835FD4" w:rsidP="004B3D48">
      <w:pPr>
        <w:spacing w:after="240"/>
        <w:rPr>
          <w:rFonts w:eastAsia="Arial"/>
        </w:rPr>
      </w:pPr>
      <w:r>
        <w:rPr>
          <w:rFonts w:eastAsia="Arial"/>
        </w:rPr>
        <w:t>T.I.M.E.</w:t>
      </w:r>
      <w:r w:rsidR="00B654CA" w:rsidRPr="00B654CA">
        <w:rPr>
          <w:rFonts w:eastAsia="Arial"/>
        </w:rPr>
        <w:t xml:space="preserve">’s structural deficit, rising debts, </w:t>
      </w:r>
      <w:r w:rsidR="007C7CB2">
        <w:rPr>
          <w:rFonts w:eastAsia="Arial"/>
        </w:rPr>
        <w:t xml:space="preserve">and </w:t>
      </w:r>
      <w:r w:rsidR="00B654CA" w:rsidRPr="00B654CA">
        <w:rPr>
          <w:rFonts w:eastAsia="Arial"/>
        </w:rPr>
        <w:t>lack of a viable plan to address its dire fiscal condition,</w:t>
      </w:r>
      <w:r w:rsidR="00983D4C">
        <w:rPr>
          <w:rFonts w:eastAsia="Arial"/>
        </w:rPr>
        <w:t xml:space="preserve"> leave in doubt </w:t>
      </w:r>
      <w:r>
        <w:rPr>
          <w:rFonts w:eastAsia="Arial"/>
        </w:rPr>
        <w:t>T.I.M.E.</w:t>
      </w:r>
      <w:r w:rsidR="00983D4C">
        <w:rPr>
          <w:rFonts w:eastAsia="Arial"/>
        </w:rPr>
        <w:t xml:space="preserve">’s </w:t>
      </w:r>
      <w:r w:rsidR="00B654CA" w:rsidRPr="00B654CA">
        <w:rPr>
          <w:rFonts w:eastAsia="Arial"/>
        </w:rPr>
        <w:t>ability to secure additional funding to satisfy its immediate and future financial obligations, inclusive of payroll obligations.</w:t>
      </w:r>
    </w:p>
    <w:p w14:paraId="0DA3D7C5" w14:textId="2649FE83" w:rsidR="002B26AC" w:rsidRDefault="002B26AC" w:rsidP="00671251">
      <w:pPr>
        <w:pStyle w:val="Heading3"/>
      </w:pPr>
      <w:r>
        <w:lastRenderedPageBreak/>
        <w:t>Cash Flow Projection</w:t>
      </w:r>
    </w:p>
    <w:p w14:paraId="60221BB9" w14:textId="77777777" w:rsidR="00167980" w:rsidRDefault="004B3D48" w:rsidP="00FC4C26">
      <w:pPr>
        <w:spacing w:after="240"/>
        <w:rPr>
          <w:szCs w:val="22"/>
        </w:rPr>
      </w:pPr>
      <w:bookmarkStart w:id="4" w:name="_Hlk91166169"/>
      <w:r w:rsidRPr="004B3D48">
        <w:rPr>
          <w:szCs w:val="22"/>
        </w:rPr>
        <w:t xml:space="preserve">As of December 31, 2022, </w:t>
      </w:r>
      <w:r w:rsidR="00835FD4">
        <w:rPr>
          <w:szCs w:val="22"/>
        </w:rPr>
        <w:t>T.I.M.E.</w:t>
      </w:r>
      <w:r w:rsidRPr="004B3D48">
        <w:rPr>
          <w:szCs w:val="22"/>
        </w:rPr>
        <w:t xml:space="preserve"> has a low ending cash balance of $14,189, representing only 3.6 days of operating cash based on </w:t>
      </w:r>
      <w:r w:rsidR="00835FD4">
        <w:rPr>
          <w:szCs w:val="22"/>
        </w:rPr>
        <w:t>T.I.M.E.</w:t>
      </w:r>
      <w:r w:rsidRPr="004B3D48">
        <w:rPr>
          <w:szCs w:val="22"/>
        </w:rPr>
        <w:t xml:space="preserve">’s first interim projections. </w:t>
      </w:r>
      <w:r w:rsidR="00835FD4">
        <w:rPr>
          <w:szCs w:val="22"/>
        </w:rPr>
        <w:t>T.I.M.E.</w:t>
      </w:r>
      <w:r w:rsidRPr="004B3D48">
        <w:rPr>
          <w:szCs w:val="22"/>
        </w:rPr>
        <w:t>’s November 2022 cash flow projection reflects positive ending cash balances for the remainder of the fiscal year, with a projected June 2023 ending cash balance of $52,352. The projection incorporated cash proceeds from the sales of future State Aid receivables totaling $586,400. The cash projection also includes facility sub-leasing cash receipts totaling $126,667 and S</w:t>
      </w:r>
      <w:r w:rsidR="00287BDA">
        <w:rPr>
          <w:szCs w:val="22"/>
        </w:rPr>
        <w:t xml:space="preserve">enate </w:t>
      </w:r>
      <w:r w:rsidRPr="004B3D48">
        <w:rPr>
          <w:szCs w:val="22"/>
        </w:rPr>
        <w:t>B</w:t>
      </w:r>
      <w:r w:rsidR="00287BDA">
        <w:rPr>
          <w:szCs w:val="22"/>
        </w:rPr>
        <w:t>ill</w:t>
      </w:r>
      <w:r w:rsidRPr="004B3D48">
        <w:rPr>
          <w:szCs w:val="22"/>
        </w:rPr>
        <w:t xml:space="preserve"> 740 </w:t>
      </w:r>
      <w:r w:rsidR="00BF129C">
        <w:rPr>
          <w:szCs w:val="22"/>
        </w:rPr>
        <w:t>g</w:t>
      </w:r>
      <w:r w:rsidRPr="004B3D48">
        <w:rPr>
          <w:szCs w:val="22"/>
        </w:rPr>
        <w:t xml:space="preserve">rant totaling $49,699. However, </w:t>
      </w:r>
      <w:r w:rsidR="00835FD4">
        <w:rPr>
          <w:szCs w:val="22"/>
        </w:rPr>
        <w:t>T.I.M.E.</w:t>
      </w:r>
      <w:r w:rsidRPr="004B3D48">
        <w:rPr>
          <w:szCs w:val="22"/>
        </w:rPr>
        <w:t xml:space="preserve">’s projected cash receipts appear to be overstated based on the two executed sub-lease agreements as of December 31, 2022. These two leases can potentially generate a combined monthly income of $6,570, lower by $10,097 compared to </w:t>
      </w:r>
      <w:r w:rsidR="00835FD4">
        <w:rPr>
          <w:szCs w:val="22"/>
        </w:rPr>
        <w:t>T.I.M.E.</w:t>
      </w:r>
      <w:r w:rsidRPr="004B3D48">
        <w:rPr>
          <w:szCs w:val="22"/>
        </w:rPr>
        <w:t xml:space="preserve">’s projected monthly cash receipts of $16,667. </w:t>
      </w:r>
      <w:r w:rsidR="00835FD4">
        <w:rPr>
          <w:szCs w:val="22"/>
        </w:rPr>
        <w:t>T.I.M.E.</w:t>
      </w:r>
      <w:r w:rsidRPr="004B3D48">
        <w:rPr>
          <w:szCs w:val="22"/>
        </w:rPr>
        <w:t>’s 2022</w:t>
      </w:r>
      <w:r w:rsidR="00BF129C">
        <w:rPr>
          <w:szCs w:val="22"/>
        </w:rPr>
        <w:t>–</w:t>
      </w:r>
      <w:r w:rsidR="00BF129C" w:rsidRPr="004B3D48">
        <w:rPr>
          <w:szCs w:val="22"/>
        </w:rPr>
        <w:t xml:space="preserve">23 adopted budget </w:t>
      </w:r>
      <w:r w:rsidRPr="004B3D48">
        <w:rPr>
          <w:szCs w:val="22"/>
        </w:rPr>
        <w:t xml:space="preserve">projected sub-lease revenues totaling $247,500 but has revised that amount to $126,667, which is currently overstated. In addition, the budgeted SB 740 grant of $66,266 and projected cash receipts of $49,699 are also in question since </w:t>
      </w:r>
      <w:r w:rsidR="00835FD4">
        <w:rPr>
          <w:szCs w:val="22"/>
        </w:rPr>
        <w:t>T.I.M.E.</w:t>
      </w:r>
      <w:r w:rsidRPr="004B3D48">
        <w:rPr>
          <w:szCs w:val="22"/>
        </w:rPr>
        <w:t xml:space="preserve"> has not received an award letter for this grant. Further, </w:t>
      </w:r>
      <w:r w:rsidR="00835FD4">
        <w:rPr>
          <w:szCs w:val="22"/>
        </w:rPr>
        <w:t>T.I.M.E.</w:t>
      </w:r>
      <w:r w:rsidRPr="004B3D48">
        <w:rPr>
          <w:szCs w:val="22"/>
        </w:rPr>
        <w:t xml:space="preserve"> may incur additional loss of revenues in the current fiscal year should the current attendance decline, which could place an additional burden on </w:t>
      </w:r>
      <w:r w:rsidR="00835FD4">
        <w:rPr>
          <w:szCs w:val="22"/>
        </w:rPr>
        <w:t>T.I.M.E.</w:t>
      </w:r>
      <w:r w:rsidRPr="004B3D48">
        <w:rPr>
          <w:szCs w:val="22"/>
        </w:rPr>
        <w:t xml:space="preserve">’s cash requirements. </w:t>
      </w:r>
    </w:p>
    <w:p w14:paraId="64629588" w14:textId="13702164" w:rsidR="00707D1A" w:rsidRDefault="00BF129C" w:rsidP="00FC4C26">
      <w:pPr>
        <w:spacing w:after="240"/>
        <w:rPr>
          <w:szCs w:val="22"/>
        </w:rPr>
      </w:pPr>
      <w:r w:rsidRPr="00BF129C">
        <w:rPr>
          <w:szCs w:val="22"/>
        </w:rPr>
        <w:t xml:space="preserve">LACOE </w:t>
      </w:r>
      <w:r w:rsidR="000220C2">
        <w:rPr>
          <w:szCs w:val="22"/>
        </w:rPr>
        <w:t xml:space="preserve">and the CDE </w:t>
      </w:r>
      <w:r w:rsidRPr="00BF129C">
        <w:rPr>
          <w:szCs w:val="22"/>
        </w:rPr>
        <w:t>remain concerned that the cash projection continues to be overstated and that T</w:t>
      </w:r>
      <w:r>
        <w:rPr>
          <w:szCs w:val="22"/>
        </w:rPr>
        <w:t>.</w:t>
      </w:r>
      <w:r w:rsidRPr="00BF129C">
        <w:rPr>
          <w:szCs w:val="22"/>
        </w:rPr>
        <w:t>I</w:t>
      </w:r>
      <w:r>
        <w:rPr>
          <w:szCs w:val="22"/>
        </w:rPr>
        <w:t>.</w:t>
      </w:r>
      <w:r w:rsidRPr="00BF129C">
        <w:rPr>
          <w:szCs w:val="22"/>
        </w:rPr>
        <w:t>M</w:t>
      </w:r>
      <w:r>
        <w:rPr>
          <w:szCs w:val="22"/>
        </w:rPr>
        <w:t>.</w:t>
      </w:r>
      <w:r w:rsidRPr="00BF129C">
        <w:rPr>
          <w:szCs w:val="22"/>
        </w:rPr>
        <w:t>E</w:t>
      </w:r>
      <w:r>
        <w:rPr>
          <w:szCs w:val="22"/>
        </w:rPr>
        <w:t>.</w:t>
      </w:r>
      <w:r w:rsidRPr="00BF129C">
        <w:rPr>
          <w:szCs w:val="22"/>
        </w:rPr>
        <w:t xml:space="preserve"> may not be able to meet its financial obligations for the remainder of this fiscal year.</w:t>
      </w:r>
    </w:p>
    <w:bookmarkEnd w:id="4"/>
    <w:p w14:paraId="388A0A90" w14:textId="7FE6D2D6" w:rsidR="0025135D" w:rsidRDefault="00E668F3" w:rsidP="00812F6E">
      <w:pPr>
        <w:pStyle w:val="Heading2"/>
        <w:spacing w:before="0"/>
        <w:rPr>
          <w:lang w:eastAsia="ja-JP"/>
        </w:rPr>
      </w:pPr>
      <w:r>
        <w:rPr>
          <w:lang w:eastAsia="ja-JP"/>
        </w:rPr>
        <w:t>Additional</w:t>
      </w:r>
      <w:r w:rsidR="0025135D" w:rsidRPr="00227FF6">
        <w:rPr>
          <w:lang w:eastAsia="ja-JP"/>
        </w:rPr>
        <w:t xml:space="preserve"> Concern</w:t>
      </w:r>
    </w:p>
    <w:p w14:paraId="5AB859DE" w14:textId="757256FF" w:rsidR="00BF129C" w:rsidRPr="00BF129C" w:rsidRDefault="00BF129C" w:rsidP="00BF129C">
      <w:pPr>
        <w:pStyle w:val="Heading3"/>
        <w:rPr>
          <w:lang w:eastAsia="ja-JP"/>
        </w:rPr>
      </w:pPr>
      <w:r>
        <w:rPr>
          <w:lang w:eastAsia="ja-JP"/>
        </w:rPr>
        <w:t>Personal Loan to the School Executed Prior to T.I.M.E. Board Approval</w:t>
      </w:r>
    </w:p>
    <w:p w14:paraId="4FE6F357" w14:textId="302FEA25" w:rsidR="006E4AE2" w:rsidRDefault="00835FD4" w:rsidP="00167980">
      <w:pPr>
        <w:spacing w:after="240"/>
        <w:rPr>
          <w:lang w:eastAsia="ja-JP"/>
        </w:rPr>
      </w:pPr>
      <w:r>
        <w:rPr>
          <w:lang w:eastAsia="ja-JP"/>
        </w:rPr>
        <w:t>T.I.M.E.</w:t>
      </w:r>
      <w:r w:rsidR="006E4AE2" w:rsidRPr="006E4AE2">
        <w:rPr>
          <w:lang w:eastAsia="ja-JP"/>
        </w:rPr>
        <w:t xml:space="preserve">’s </w:t>
      </w:r>
      <w:r w:rsidR="00BF129C">
        <w:rPr>
          <w:lang w:eastAsia="ja-JP"/>
        </w:rPr>
        <w:t>B</w:t>
      </w:r>
      <w:r w:rsidR="006E4AE2" w:rsidRPr="006E4AE2">
        <w:rPr>
          <w:lang w:eastAsia="ja-JP"/>
        </w:rPr>
        <w:t>oard</w:t>
      </w:r>
      <w:r w:rsidR="006E4AE2">
        <w:rPr>
          <w:lang w:eastAsia="ja-JP"/>
        </w:rPr>
        <w:t>-</w:t>
      </w:r>
      <w:r w:rsidR="006E4AE2" w:rsidRPr="006E4AE2">
        <w:rPr>
          <w:lang w:eastAsia="ja-JP"/>
        </w:rPr>
        <w:t xml:space="preserve">approved fiscal policies included in the charter petition state that the governing board will approve all loans from third parties. On January 31, 2023, LACOE received a promissory note for a loan to </w:t>
      </w:r>
      <w:r>
        <w:rPr>
          <w:lang w:eastAsia="ja-JP"/>
        </w:rPr>
        <w:t>T.I.M.E.</w:t>
      </w:r>
      <w:r w:rsidR="00167980">
        <w:rPr>
          <w:lang w:eastAsia="ja-JP"/>
        </w:rPr>
        <w:t>, which was</w:t>
      </w:r>
      <w:r w:rsidR="006E4AE2" w:rsidRPr="006E4AE2">
        <w:rPr>
          <w:lang w:eastAsia="ja-JP"/>
        </w:rPr>
        <w:t xml:space="preserve"> executed on January 12, 2023. LACOE staff contacted </w:t>
      </w:r>
      <w:r w:rsidR="00BF129C">
        <w:rPr>
          <w:lang w:eastAsia="ja-JP"/>
        </w:rPr>
        <w:t xml:space="preserve">T.I.M.E. </w:t>
      </w:r>
      <w:r w:rsidR="006E4AE2" w:rsidRPr="006E4AE2">
        <w:rPr>
          <w:lang w:eastAsia="ja-JP"/>
        </w:rPr>
        <w:t>to determine i</w:t>
      </w:r>
      <w:r w:rsidR="00BF129C">
        <w:rPr>
          <w:lang w:eastAsia="ja-JP"/>
        </w:rPr>
        <w:t>f T.I.M.E.’s</w:t>
      </w:r>
      <w:r w:rsidR="006E4AE2" w:rsidRPr="006E4AE2">
        <w:rPr>
          <w:lang w:eastAsia="ja-JP"/>
        </w:rPr>
        <w:t xml:space="preserve"> </w:t>
      </w:r>
      <w:r w:rsidR="00BF129C">
        <w:rPr>
          <w:lang w:eastAsia="ja-JP"/>
        </w:rPr>
        <w:t>Board</w:t>
      </w:r>
      <w:r w:rsidR="006E4AE2" w:rsidRPr="006E4AE2">
        <w:rPr>
          <w:lang w:eastAsia="ja-JP"/>
        </w:rPr>
        <w:t xml:space="preserve"> had approved the promissory note on or before January 12, 2023. </w:t>
      </w:r>
      <w:r w:rsidR="00BF129C">
        <w:rPr>
          <w:lang w:eastAsia="ja-JP"/>
        </w:rPr>
        <w:t>T.I.M.E.’s</w:t>
      </w:r>
      <w:r w:rsidR="006E4AE2" w:rsidRPr="006E4AE2">
        <w:rPr>
          <w:lang w:eastAsia="ja-JP"/>
        </w:rPr>
        <w:t xml:space="preserve"> executive director stated that </w:t>
      </w:r>
      <w:r>
        <w:rPr>
          <w:lang w:eastAsia="ja-JP"/>
        </w:rPr>
        <w:t>T.I.M.E.</w:t>
      </w:r>
      <w:r w:rsidR="006E4AE2" w:rsidRPr="006E4AE2">
        <w:rPr>
          <w:lang w:eastAsia="ja-JP"/>
        </w:rPr>
        <w:t>’s</w:t>
      </w:r>
      <w:r w:rsidR="00BF129C">
        <w:rPr>
          <w:lang w:eastAsia="ja-JP"/>
        </w:rPr>
        <w:t xml:space="preserve"> Board</w:t>
      </w:r>
      <w:r w:rsidR="006E4AE2" w:rsidRPr="006E4AE2">
        <w:rPr>
          <w:lang w:eastAsia="ja-JP"/>
        </w:rPr>
        <w:t xml:space="preserve"> approved the promissory note on January 31, 2023.</w:t>
      </w:r>
      <w:r w:rsidR="00BF129C">
        <w:rPr>
          <w:lang w:eastAsia="ja-JP"/>
        </w:rPr>
        <w:t xml:space="preserve"> The</w:t>
      </w:r>
      <w:r w:rsidR="006E4AE2" w:rsidRPr="006E4AE2">
        <w:rPr>
          <w:lang w:eastAsia="ja-JP"/>
        </w:rPr>
        <w:t xml:space="preserve"> T</w:t>
      </w:r>
      <w:r w:rsidR="00BF129C">
        <w:rPr>
          <w:lang w:eastAsia="ja-JP"/>
        </w:rPr>
        <w:t xml:space="preserve">.I.M.E. </w:t>
      </w:r>
      <w:r w:rsidR="006E4AE2" w:rsidRPr="006E4AE2">
        <w:rPr>
          <w:lang w:eastAsia="ja-JP"/>
        </w:rPr>
        <w:t xml:space="preserve">Board’s approval of the promissory note after it was executed is a direct violation of </w:t>
      </w:r>
      <w:r>
        <w:rPr>
          <w:lang w:eastAsia="ja-JP"/>
        </w:rPr>
        <w:t>T.I.M.E.</w:t>
      </w:r>
      <w:r w:rsidR="006E4AE2" w:rsidRPr="006E4AE2">
        <w:rPr>
          <w:lang w:eastAsia="ja-JP"/>
        </w:rPr>
        <w:t xml:space="preserve">’s adopted fiscal policies. The matter poses concerns regarding the internal controls and </w:t>
      </w:r>
      <w:r>
        <w:rPr>
          <w:lang w:eastAsia="ja-JP"/>
        </w:rPr>
        <w:t>T.I.M.E.</w:t>
      </w:r>
      <w:r w:rsidR="006E4AE2" w:rsidRPr="006E4AE2">
        <w:rPr>
          <w:lang w:eastAsia="ja-JP"/>
        </w:rPr>
        <w:t xml:space="preserve">’s adherence to the checks and balances delineated in its fiscal policies. This is also a direct violation of the MOU between </w:t>
      </w:r>
      <w:r>
        <w:rPr>
          <w:lang w:eastAsia="ja-JP"/>
        </w:rPr>
        <w:t>T.I.M.E.</w:t>
      </w:r>
      <w:r w:rsidR="006E4AE2" w:rsidRPr="006E4AE2">
        <w:rPr>
          <w:lang w:eastAsia="ja-JP"/>
        </w:rPr>
        <w:t xml:space="preserve"> and LACOE, which requires notification prior to the school incurring additional debt.</w:t>
      </w:r>
    </w:p>
    <w:p w14:paraId="6A1229C5" w14:textId="7C184309" w:rsidR="006E4AE2" w:rsidRPr="006E4AE2" w:rsidRDefault="006E4AE2" w:rsidP="00167980">
      <w:pPr>
        <w:spacing w:after="240"/>
        <w:rPr>
          <w:lang w:eastAsia="ja-JP"/>
        </w:rPr>
      </w:pPr>
      <w:r w:rsidRPr="006E4AE2">
        <w:rPr>
          <w:lang w:eastAsia="ja-JP"/>
        </w:rPr>
        <w:t xml:space="preserve">As of January 31, 2023, </w:t>
      </w:r>
      <w:r w:rsidR="00835FD4">
        <w:rPr>
          <w:lang w:eastAsia="ja-JP"/>
        </w:rPr>
        <w:t>T.I.M.E.</w:t>
      </w:r>
      <w:r w:rsidRPr="006E4AE2">
        <w:rPr>
          <w:lang w:eastAsia="ja-JP"/>
        </w:rPr>
        <w:t xml:space="preserve"> has outstanding promissory notes due to its executive director totaling $228,548, comprised of $219,444 in principal and $9,104 in accrued interests. In addition, there are also two other outstanding promissory notes totaling $120,000 due to two other individuals ($60,000 each). </w:t>
      </w:r>
      <w:r w:rsidR="00835FD4">
        <w:rPr>
          <w:lang w:eastAsia="ja-JP"/>
        </w:rPr>
        <w:t>T.I.M.E.</w:t>
      </w:r>
      <w:r w:rsidRPr="006E4AE2">
        <w:rPr>
          <w:lang w:eastAsia="ja-JP"/>
        </w:rPr>
        <w:t xml:space="preserve"> has not provided a plan to repay its outstanding debts.</w:t>
      </w:r>
    </w:p>
    <w:bookmarkEnd w:id="1"/>
    <w:p w14:paraId="27B4890F" w14:textId="4FFFB8CD" w:rsidR="003E4DF7" w:rsidRDefault="00B7378E" w:rsidP="00812F6E">
      <w:pPr>
        <w:pStyle w:val="Heading2"/>
        <w:spacing w:before="0"/>
      </w:pPr>
      <w:r>
        <w:rPr>
          <w:bCs/>
        </w:rPr>
        <w:lastRenderedPageBreak/>
        <w:t xml:space="preserve">Previous Board </w:t>
      </w:r>
      <w:r w:rsidR="003E4DF7">
        <w:t>Action</w:t>
      </w:r>
    </w:p>
    <w:p w14:paraId="5FEAD44E" w14:textId="2E21BD31" w:rsidR="002A7569" w:rsidRDefault="002A7569" w:rsidP="002A7569">
      <w:pPr>
        <w:spacing w:after="240"/>
      </w:pPr>
      <w:bookmarkStart w:id="5" w:name="_Hlk39038666"/>
      <w:r w:rsidRPr="009D4E23">
        <w:t xml:space="preserve">On August 26, 2019, the petitioner submitted the </w:t>
      </w:r>
      <w:r w:rsidR="00835FD4">
        <w:t>T.I.M.E.</w:t>
      </w:r>
      <w:r w:rsidRPr="009D4E23">
        <w:t xml:space="preserve"> </w:t>
      </w:r>
      <w:r w:rsidR="00E668F3">
        <w:t xml:space="preserve">charter </w:t>
      </w:r>
      <w:r w:rsidRPr="009D4E23">
        <w:t xml:space="preserve">petition to </w:t>
      </w:r>
      <w:r w:rsidR="00CF2BEF">
        <w:t xml:space="preserve">the </w:t>
      </w:r>
      <w:r w:rsidRPr="009D4E23">
        <w:t>Montebello Unified School District (MUSD). O</w:t>
      </w:r>
      <w:bookmarkStart w:id="6" w:name="_Hlk37326099"/>
      <w:r w:rsidRPr="009D4E23">
        <w:t xml:space="preserve">n October 23, 2019, MUSD voted to deny the </w:t>
      </w:r>
      <w:r w:rsidR="00835FD4">
        <w:t>T.I.M.E.</w:t>
      </w:r>
      <w:r w:rsidRPr="009D4E23">
        <w:t xml:space="preserve"> </w:t>
      </w:r>
      <w:r w:rsidR="00E668F3">
        <w:t xml:space="preserve">charter </w:t>
      </w:r>
      <w:r w:rsidRPr="009D4E23">
        <w:t>petition by a vote of four to zero.</w:t>
      </w:r>
    </w:p>
    <w:p w14:paraId="3D3FD942" w14:textId="69B53480" w:rsidR="002A7569" w:rsidRPr="009D4E23" w:rsidRDefault="002A7569" w:rsidP="002A7569">
      <w:pPr>
        <w:spacing w:after="240"/>
      </w:pPr>
      <w:r w:rsidRPr="009D4E23">
        <w:t xml:space="preserve">On November 12, 2019, the petitioner submitted the </w:t>
      </w:r>
      <w:r w:rsidR="00835FD4">
        <w:t>T.I.M.E.</w:t>
      </w:r>
      <w:r w:rsidRPr="009D4E23">
        <w:t xml:space="preserve"> </w:t>
      </w:r>
      <w:r w:rsidR="00E668F3">
        <w:t xml:space="preserve">charter </w:t>
      </w:r>
      <w:r w:rsidRPr="009D4E23">
        <w:t xml:space="preserve">petition to </w:t>
      </w:r>
      <w:r>
        <w:t>LACOE.</w:t>
      </w:r>
      <w:r w:rsidRPr="009D4E23">
        <w:t xml:space="preserve"> On January 14, 2020, the L</w:t>
      </w:r>
      <w:r w:rsidR="00E668F3">
        <w:t>os Angeles County Board of Education (L</w:t>
      </w:r>
      <w:r w:rsidRPr="009D4E23">
        <w:t>ACBOE</w:t>
      </w:r>
      <w:r w:rsidR="00E668F3">
        <w:t>)</w:t>
      </w:r>
      <w:r w:rsidRPr="009D4E23">
        <w:t xml:space="preserve"> voted to amend the motion to approve the Superintendent’s recommendation to deny the </w:t>
      </w:r>
      <w:r w:rsidR="00835FD4">
        <w:t>T.I.M.E.</w:t>
      </w:r>
      <w:r w:rsidRPr="009D4E23">
        <w:t xml:space="preserve"> </w:t>
      </w:r>
      <w:r w:rsidR="00E668F3">
        <w:t xml:space="preserve">charter </w:t>
      </w:r>
      <w:r w:rsidRPr="009D4E23">
        <w:t>petition. The</w:t>
      </w:r>
      <w:r>
        <w:t xml:space="preserve"> </w:t>
      </w:r>
      <w:r w:rsidRPr="009D4E23">
        <w:t>CDE notes that LACBOE only adopted Finding 2, Indicator 2 (Budget Plan[s] Deficiencies) of the staff report (Attachment 7</w:t>
      </w:r>
      <w:r w:rsidRPr="00E271E0">
        <w:rPr>
          <w:rFonts w:cs="Arial"/>
        </w:rPr>
        <w:t xml:space="preserve"> </w:t>
      </w:r>
      <w:r>
        <w:rPr>
          <w:rFonts w:cs="Arial"/>
        </w:rPr>
        <w:t xml:space="preserve">of the Agenda Item 6 on the June 9, 2020, Meeting Notice on the SBE ACCS web page at </w:t>
      </w:r>
      <w:hyperlink r:id="rId10" w:history="1">
        <w:r w:rsidR="00BB2D50" w:rsidRPr="0050353D">
          <w:rPr>
            <w:rStyle w:val="Hyperlink"/>
          </w:rPr>
          <w:t>https://www.cde.ca.gov/be/cc/cs/documents/accs-jun20item06a7.pdf</w:t>
        </w:r>
      </w:hyperlink>
      <w:r w:rsidRPr="009D4E23">
        <w:t xml:space="preserve">). LACBOE denied the </w:t>
      </w:r>
      <w:r w:rsidR="00835FD4">
        <w:t>T.I.M.E.</w:t>
      </w:r>
      <w:r w:rsidRPr="009D4E23">
        <w:t xml:space="preserve"> </w:t>
      </w:r>
      <w:r w:rsidR="00E668F3">
        <w:t xml:space="preserve">charter </w:t>
      </w:r>
      <w:r w:rsidRPr="009D4E23">
        <w:t>petition by a vote of five to one.</w:t>
      </w:r>
    </w:p>
    <w:p w14:paraId="1419E8FA" w14:textId="0C94E7DE" w:rsidR="002B1C0C" w:rsidRPr="009F60BF" w:rsidRDefault="002A7569" w:rsidP="00812F6E">
      <w:pPr>
        <w:spacing w:after="240"/>
      </w:pPr>
      <w:r w:rsidRPr="009F60BF">
        <w:t xml:space="preserve">The petitioner submitted the </w:t>
      </w:r>
      <w:r w:rsidR="00835FD4">
        <w:t>T.I.M.E.</w:t>
      </w:r>
      <w:r w:rsidRPr="009F60BF">
        <w:t xml:space="preserve"> </w:t>
      </w:r>
      <w:r w:rsidR="00E668F3">
        <w:t xml:space="preserve">charter </w:t>
      </w:r>
      <w:r w:rsidRPr="009F60BF">
        <w:t>petition to the SBE on March 6, 2020.</w:t>
      </w:r>
      <w:bookmarkEnd w:id="5"/>
      <w:bookmarkEnd w:id="6"/>
      <w:r w:rsidRPr="009F60BF">
        <w:t xml:space="preserve"> The </w:t>
      </w:r>
      <w:r w:rsidR="00CF2BEF">
        <w:t>Advisory Commission on Charter Schools (ACCS)</w:t>
      </w:r>
      <w:r w:rsidRPr="009F60BF">
        <w:t xml:space="preserve"> considered the </w:t>
      </w:r>
      <w:r w:rsidR="00835FD4">
        <w:t>T.I.M.E.</w:t>
      </w:r>
      <w:r w:rsidRPr="009F60BF">
        <w:t xml:space="preserve"> </w:t>
      </w:r>
      <w:r w:rsidR="00E668F3">
        <w:t xml:space="preserve">charter </w:t>
      </w:r>
      <w:r w:rsidRPr="009F60BF">
        <w:t xml:space="preserve">petition at its </w:t>
      </w:r>
      <w:r w:rsidR="00804AF0" w:rsidRPr="009F60BF">
        <w:t>June 9, 2020, meeting</w:t>
      </w:r>
      <w:r w:rsidR="00731296" w:rsidRPr="009F60BF">
        <w:t xml:space="preserve">. At this meeting, the CDE proposed to recommend that the SBE deny the </w:t>
      </w:r>
      <w:r w:rsidR="00835FD4">
        <w:t>T.I.M.E.</w:t>
      </w:r>
      <w:r w:rsidR="00E668F3">
        <w:t xml:space="preserve"> charter</w:t>
      </w:r>
      <w:r w:rsidR="00731296" w:rsidRPr="009F60BF">
        <w:t xml:space="preserve"> petition. The ACCS did not agree with the CDE’s recommendation and </w:t>
      </w:r>
      <w:r w:rsidR="00350B8F" w:rsidRPr="009F60BF">
        <w:t xml:space="preserve">moved to </w:t>
      </w:r>
      <w:r w:rsidR="0038181C" w:rsidRPr="009F60BF">
        <w:t xml:space="preserve">recommend approval of </w:t>
      </w:r>
      <w:r w:rsidR="00350B8F" w:rsidRPr="009F60BF">
        <w:t xml:space="preserve">the </w:t>
      </w:r>
      <w:r w:rsidR="00835FD4">
        <w:t>T.I.M.E.</w:t>
      </w:r>
      <w:r w:rsidR="00E668F3">
        <w:t xml:space="preserve"> charter</w:t>
      </w:r>
      <w:r w:rsidR="00350B8F" w:rsidRPr="009F60BF">
        <w:t xml:space="preserve"> petition with a delay in opening for one year, with the understanding that </w:t>
      </w:r>
      <w:r w:rsidR="00835FD4">
        <w:t>T.I.M.E.</w:t>
      </w:r>
      <w:r w:rsidR="00350B8F" w:rsidRPr="009F60BF">
        <w:t xml:space="preserve"> would be in operation for four years. The motion passed by a vote of seven to two.</w:t>
      </w:r>
      <w:r w:rsidR="001B4524" w:rsidRPr="009F60BF">
        <w:t xml:space="preserve"> </w:t>
      </w:r>
      <w:r w:rsidR="00804AF0" w:rsidRPr="009F60BF">
        <w:rPr>
          <w:rFonts w:eastAsia="Calibri" w:cs="Arial"/>
        </w:rPr>
        <w:t xml:space="preserve">The notice for the June 9, 2020, ACCS meeting is located on the SBE ACCS web page at </w:t>
      </w:r>
      <w:hyperlink r:id="rId11" w:tooltip="June 2020 ACCS Meeting Agenda web page" w:history="1">
        <w:r w:rsidR="00804AF0" w:rsidRPr="009F60BF">
          <w:rPr>
            <w:rStyle w:val="Hyperlink"/>
          </w:rPr>
          <w:t>https://www.cde.ca.gov/be/cc/cs/accsnotice060920.asp</w:t>
        </w:r>
      </w:hyperlink>
      <w:r w:rsidR="00804AF0" w:rsidRPr="009F60BF">
        <w:t>.</w:t>
      </w:r>
    </w:p>
    <w:p w14:paraId="038CDE52" w14:textId="0B4B7408" w:rsidR="004D3CDC" w:rsidRDefault="00731296" w:rsidP="00812F6E">
      <w:pPr>
        <w:spacing w:after="240"/>
        <w:rPr>
          <w:rFonts w:cs="Arial"/>
        </w:rPr>
      </w:pPr>
      <w:r w:rsidRPr="009F60BF">
        <w:rPr>
          <w:rFonts w:cs="Arial"/>
        </w:rPr>
        <w:t xml:space="preserve">At </w:t>
      </w:r>
      <w:r w:rsidR="00B93F98">
        <w:rPr>
          <w:rFonts w:cs="Arial"/>
        </w:rPr>
        <w:t>the</w:t>
      </w:r>
      <w:r w:rsidRPr="009F60BF">
        <w:rPr>
          <w:rFonts w:cs="Arial"/>
        </w:rPr>
        <w:t xml:space="preserve"> July 9, 2020, </w:t>
      </w:r>
      <w:r w:rsidR="00E668F3">
        <w:rPr>
          <w:rFonts w:cs="Arial"/>
        </w:rPr>
        <w:t xml:space="preserve">SBE </w:t>
      </w:r>
      <w:r w:rsidRPr="009F60BF">
        <w:rPr>
          <w:rFonts w:cs="Arial"/>
        </w:rPr>
        <w:t xml:space="preserve">meeting, the CDE again recommended that the SBE deny the </w:t>
      </w:r>
      <w:r w:rsidR="00835FD4">
        <w:rPr>
          <w:rFonts w:cs="Arial"/>
        </w:rPr>
        <w:t>T.I.M.E.</w:t>
      </w:r>
      <w:r w:rsidRPr="009F60BF">
        <w:rPr>
          <w:rFonts w:cs="Arial"/>
        </w:rPr>
        <w:t xml:space="preserve"> </w:t>
      </w:r>
      <w:r w:rsidR="00BB2D50">
        <w:rPr>
          <w:rFonts w:cs="Arial"/>
        </w:rPr>
        <w:t xml:space="preserve">charter </w:t>
      </w:r>
      <w:r w:rsidRPr="009F60BF">
        <w:rPr>
          <w:rFonts w:cs="Arial"/>
        </w:rPr>
        <w:t xml:space="preserve">petition. However, the SBE moved to approve the </w:t>
      </w:r>
      <w:r w:rsidR="00835FD4">
        <w:rPr>
          <w:rFonts w:cs="Arial"/>
        </w:rPr>
        <w:t>T.I.M.E.</w:t>
      </w:r>
      <w:r w:rsidRPr="009F60BF">
        <w:rPr>
          <w:rFonts w:cs="Arial"/>
        </w:rPr>
        <w:t xml:space="preserve"> </w:t>
      </w:r>
      <w:r w:rsidR="00BB2D50">
        <w:rPr>
          <w:rFonts w:cs="Arial"/>
        </w:rPr>
        <w:t xml:space="preserve">charter </w:t>
      </w:r>
      <w:r w:rsidRPr="009F60BF">
        <w:rPr>
          <w:rFonts w:cs="Arial"/>
        </w:rPr>
        <w:t xml:space="preserve">petition with conditions. The motion passed by a vote of 10 to 0. </w:t>
      </w:r>
      <w:r w:rsidR="00496F6B" w:rsidRPr="009F60BF">
        <w:rPr>
          <w:rFonts w:cs="Arial"/>
        </w:rPr>
        <w:t xml:space="preserve">The </w:t>
      </w:r>
      <w:r w:rsidR="004D3CDC" w:rsidRPr="009F60BF">
        <w:rPr>
          <w:rFonts w:cs="Arial"/>
        </w:rPr>
        <w:t xml:space="preserve">meeting agenda and corresponding minutes </w:t>
      </w:r>
      <w:r w:rsidR="00496F6B" w:rsidRPr="009F60BF">
        <w:rPr>
          <w:rFonts w:cs="Arial"/>
        </w:rPr>
        <w:t xml:space="preserve">for this item (Item </w:t>
      </w:r>
      <w:r w:rsidR="002A7569" w:rsidRPr="009F60BF">
        <w:rPr>
          <w:rFonts w:cs="Arial"/>
        </w:rPr>
        <w:t>19)</w:t>
      </w:r>
      <w:r w:rsidR="00496F6B" w:rsidRPr="009F60BF">
        <w:rPr>
          <w:rFonts w:cs="Arial"/>
        </w:rPr>
        <w:t xml:space="preserve"> </w:t>
      </w:r>
      <w:r w:rsidR="004D3CDC" w:rsidRPr="009F60BF">
        <w:rPr>
          <w:rFonts w:cs="Arial"/>
        </w:rPr>
        <w:t xml:space="preserve">can be found on the </w:t>
      </w:r>
      <w:r w:rsidR="001B4524" w:rsidRPr="009F60BF">
        <w:rPr>
          <w:rFonts w:cs="Arial"/>
        </w:rPr>
        <w:t xml:space="preserve">SBE Meeting for July 2020 web page at </w:t>
      </w:r>
      <w:hyperlink r:id="rId12" w:tooltip="SBE Meeting for July 2020 web page" w:history="1">
        <w:r w:rsidR="002801DF" w:rsidRPr="009F60BF">
          <w:rPr>
            <w:rStyle w:val="Hyperlink"/>
          </w:rPr>
          <w:t>https://www.cde.ca.gov/be/ag/ag/yr20/agenda202007.asp</w:t>
        </w:r>
      </w:hyperlink>
      <w:r w:rsidRPr="009F60BF">
        <w:rPr>
          <w:rFonts w:cs="Arial"/>
        </w:rPr>
        <w:t xml:space="preserve"> and </w:t>
      </w:r>
      <w:hyperlink r:id="rId13" w:tooltip="SBE Meeting for July 2020 web page" w:history="1">
        <w:r w:rsidRPr="009F60BF">
          <w:rPr>
            <w:rStyle w:val="Hyperlink"/>
            <w:rFonts w:cs="Arial"/>
          </w:rPr>
          <w:t>https://www.cde.ca.gov/be/mt/ms/documents/finalminutes0809jul2020.docx</w:t>
        </w:r>
      </w:hyperlink>
      <w:r w:rsidRPr="009F60BF">
        <w:rPr>
          <w:rFonts w:cs="Arial"/>
        </w:rPr>
        <w:t>, respectively.</w:t>
      </w:r>
    </w:p>
    <w:p w14:paraId="2A21FCF3" w14:textId="7DF4DE1B" w:rsidR="00444A72" w:rsidRPr="00444A72" w:rsidRDefault="00444A72" w:rsidP="00444A72">
      <w:pPr>
        <w:spacing w:after="240"/>
        <w:rPr>
          <w:rFonts w:cs="Arial"/>
        </w:rPr>
      </w:pPr>
      <w:r w:rsidRPr="00B93F98">
        <w:rPr>
          <w:rFonts w:cs="Arial"/>
        </w:rPr>
        <w:t>At the July 14, 2022</w:t>
      </w:r>
      <w:r w:rsidR="00CF2BEF" w:rsidRPr="00B93F98">
        <w:rPr>
          <w:rFonts w:cs="Arial"/>
        </w:rPr>
        <w:t>,</w:t>
      </w:r>
      <w:r w:rsidRPr="00B93F98">
        <w:rPr>
          <w:rFonts w:cs="Arial"/>
        </w:rPr>
        <w:t xml:space="preserve"> </w:t>
      </w:r>
      <w:r w:rsidR="00BB2D50">
        <w:rPr>
          <w:rFonts w:cs="Arial"/>
        </w:rPr>
        <w:t xml:space="preserve">SBE </w:t>
      </w:r>
      <w:r w:rsidRPr="00B93F98">
        <w:rPr>
          <w:rFonts w:cs="Arial"/>
        </w:rPr>
        <w:t xml:space="preserve">meeting, </w:t>
      </w:r>
      <w:r w:rsidR="00B93F98" w:rsidRPr="00B93F98">
        <w:rPr>
          <w:rFonts w:cs="Arial"/>
        </w:rPr>
        <w:t xml:space="preserve">the CDE recommended that the SBE consider issuing a Notice of Violation to T.I.M.E., pursuant to </w:t>
      </w:r>
      <w:r w:rsidR="00B93F98" w:rsidRPr="00B93F98">
        <w:rPr>
          <w:rFonts w:cs="Arial"/>
          <w:i/>
        </w:rPr>
        <w:t xml:space="preserve">EC </w:t>
      </w:r>
      <w:r w:rsidR="00B93F98" w:rsidRPr="00B93F98">
        <w:rPr>
          <w:rFonts w:cs="Arial"/>
        </w:rPr>
        <w:t xml:space="preserve">Section 47607(g). The SBE moved to approve the CDE recommendation to issue a Notice of Violation to T.I.M.E.; however, the motion failed by a vote of five to four. As six affirmative votes are required for an action to carry, no action was taken by the SBE. The meeting agenda and corresponding minutes for this item (Item 18) can be found on the SBE Meeting for July 2022 web page at </w:t>
      </w:r>
      <w:hyperlink r:id="rId14" w:history="1">
        <w:r w:rsidR="00B93F98" w:rsidRPr="00B93F98">
          <w:rPr>
            <w:rStyle w:val="Hyperlink"/>
            <w:rFonts w:cs="Arial"/>
          </w:rPr>
          <w:t>https://www.cde.ca.gov/be/ag/ag/yr22/agenda202207.asp</w:t>
        </w:r>
      </w:hyperlink>
      <w:r w:rsidR="00B93F98" w:rsidRPr="00B93F98">
        <w:rPr>
          <w:rFonts w:cs="Arial"/>
        </w:rPr>
        <w:t xml:space="preserve"> and </w:t>
      </w:r>
      <w:hyperlink r:id="rId15" w:history="1">
        <w:r w:rsidR="00B93F98" w:rsidRPr="00B93F98">
          <w:rPr>
            <w:rStyle w:val="Hyperlink"/>
            <w:rFonts w:cs="Arial"/>
          </w:rPr>
          <w:t>https://www.cde.ca.gov/be/mt/ms/documents/finalminutes1314jul2022.docx</w:t>
        </w:r>
      </w:hyperlink>
      <w:r w:rsidR="00B93F98" w:rsidRPr="00B93F98">
        <w:rPr>
          <w:rFonts w:cs="Arial"/>
        </w:rPr>
        <w:t>, respectively.</w:t>
      </w:r>
    </w:p>
    <w:p w14:paraId="411B142C" w14:textId="5ECFCBD7" w:rsidR="00406F50" w:rsidRPr="001B3958" w:rsidRDefault="00406F50" w:rsidP="00812F6E">
      <w:pPr>
        <w:pStyle w:val="Heading2"/>
        <w:spacing w:before="0"/>
      </w:pPr>
      <w:bookmarkStart w:id="7" w:name="_Hlk91149395"/>
      <w:bookmarkStart w:id="8" w:name="_Hlk90454948"/>
      <w:r w:rsidRPr="001B3958">
        <w:lastRenderedPageBreak/>
        <w:t>Attachments</w:t>
      </w:r>
    </w:p>
    <w:p w14:paraId="1191BB50" w14:textId="1403C46F" w:rsidR="00D341BF" w:rsidRDefault="00D341BF" w:rsidP="00D341BF">
      <w:pPr>
        <w:pStyle w:val="Default"/>
        <w:numPr>
          <w:ilvl w:val="0"/>
          <w:numId w:val="1"/>
        </w:numPr>
        <w:spacing w:after="240"/>
      </w:pPr>
      <w:bookmarkStart w:id="9" w:name="_Hlk91152495"/>
      <w:bookmarkEnd w:id="7"/>
      <w:bookmarkEnd w:id="8"/>
      <w:r w:rsidRPr="00812F6E">
        <w:rPr>
          <w:b/>
        </w:rPr>
        <w:t>Attachment 1:</w:t>
      </w:r>
      <w:r w:rsidRPr="00812F6E">
        <w:t xml:space="preserve"> </w:t>
      </w:r>
      <w:r>
        <w:t xml:space="preserve">Draft </w:t>
      </w:r>
      <w:r w:rsidRPr="00812F6E">
        <w:t xml:space="preserve">Letter to </w:t>
      </w:r>
      <w:bookmarkStart w:id="10" w:name="_Hlk107230547"/>
      <w:r w:rsidRPr="00812F6E">
        <w:t xml:space="preserve">Board President </w:t>
      </w:r>
      <w:r>
        <w:t xml:space="preserve">Brown, </w:t>
      </w:r>
      <w:r w:rsidRPr="00812F6E">
        <w:t xml:space="preserve">Executive </w:t>
      </w:r>
      <w:r>
        <w:t>Director Ramirez, and T.I.M.E. Community Governing</w:t>
      </w:r>
      <w:bookmarkEnd w:id="10"/>
      <w:r>
        <w:t xml:space="preserve"> Board</w:t>
      </w:r>
      <w:r w:rsidRPr="00812F6E">
        <w:t xml:space="preserve"> </w:t>
      </w:r>
      <w:r w:rsidRPr="00F00BB5">
        <w:t>Dated March 9, 2023</w:t>
      </w:r>
      <w:r w:rsidRPr="00812F6E">
        <w:t xml:space="preserve">: Notice of Violation Pursuant to California </w:t>
      </w:r>
      <w:r w:rsidRPr="00812F6E">
        <w:rPr>
          <w:i/>
        </w:rPr>
        <w:t>Education Code</w:t>
      </w:r>
      <w:r w:rsidRPr="00812F6E">
        <w:t xml:space="preserve"> Section 47607(</w:t>
      </w:r>
      <w:r>
        <w:t>g</w:t>
      </w:r>
      <w:r w:rsidRPr="00812F6E">
        <w:t>) (</w:t>
      </w:r>
      <w:r w:rsidR="00504AE4">
        <w:t>7</w:t>
      </w:r>
      <w:r>
        <w:t xml:space="preserve"> </w:t>
      </w:r>
      <w:r w:rsidRPr="00F62FA8">
        <w:t>Pages</w:t>
      </w:r>
      <w:r w:rsidRPr="00812F6E">
        <w:t>)</w:t>
      </w:r>
      <w:bookmarkEnd w:id="9"/>
    </w:p>
    <w:p w14:paraId="1ECBA1F0" w14:textId="507EB708" w:rsidR="00D341BF" w:rsidRDefault="00D341BF" w:rsidP="00D341BF">
      <w:pPr>
        <w:pStyle w:val="Default"/>
        <w:numPr>
          <w:ilvl w:val="0"/>
          <w:numId w:val="1"/>
        </w:numPr>
        <w:spacing w:after="240"/>
      </w:pPr>
      <w:r>
        <w:rPr>
          <w:b/>
        </w:rPr>
        <w:t>Attachment 2:</w:t>
      </w:r>
      <w:r>
        <w:t xml:space="preserve"> T.I.M.E. Community </w:t>
      </w:r>
      <w:r w:rsidRPr="00812F6E">
        <w:t xml:space="preserve">Charter </w:t>
      </w:r>
      <w:r>
        <w:t xml:space="preserve">Petition </w:t>
      </w:r>
      <w:r w:rsidRPr="00812F6E">
        <w:t xml:space="preserve">as </w:t>
      </w:r>
      <w:r>
        <w:t>A</w:t>
      </w:r>
      <w:r w:rsidRPr="00812F6E">
        <w:t xml:space="preserve">pproved by the California State Board of Education on July </w:t>
      </w:r>
      <w:r>
        <w:t>9</w:t>
      </w:r>
      <w:r w:rsidRPr="00812F6E">
        <w:t>, 2020 (</w:t>
      </w:r>
      <w:r w:rsidR="00504AE4">
        <w:t>14</w:t>
      </w:r>
      <w:r w:rsidR="00524A55">
        <w:t>7</w:t>
      </w:r>
      <w:r>
        <w:t xml:space="preserve"> P</w:t>
      </w:r>
      <w:r w:rsidRPr="00812F6E">
        <w:t>ages)</w:t>
      </w:r>
    </w:p>
    <w:p w14:paraId="05103EAC" w14:textId="5025AABA" w:rsidR="00D341BF" w:rsidRDefault="00D341BF" w:rsidP="00D341BF">
      <w:pPr>
        <w:pStyle w:val="ListParagraph"/>
        <w:numPr>
          <w:ilvl w:val="0"/>
          <w:numId w:val="1"/>
        </w:numPr>
        <w:spacing w:after="240"/>
        <w:contextualSpacing w:val="0"/>
        <w:rPr>
          <w:rFonts w:cs="Arial"/>
        </w:rPr>
      </w:pPr>
      <w:r w:rsidRPr="00812F6E">
        <w:rPr>
          <w:rFonts w:cs="Arial"/>
          <w:b/>
        </w:rPr>
        <w:t xml:space="preserve">Attachment </w:t>
      </w:r>
      <w:r>
        <w:rPr>
          <w:rFonts w:cs="Arial"/>
          <w:b/>
        </w:rPr>
        <w:t>3</w:t>
      </w:r>
      <w:r w:rsidRPr="00812F6E">
        <w:rPr>
          <w:rFonts w:cs="Arial"/>
          <w:b/>
        </w:rPr>
        <w:t>:</w:t>
      </w:r>
      <w:r w:rsidRPr="00812F6E">
        <w:rPr>
          <w:rFonts w:cs="Arial"/>
        </w:rPr>
        <w:t xml:space="preserve"> Memorandum of Understanding between the </w:t>
      </w:r>
      <w:bookmarkStart w:id="11" w:name="_Hlk107237538"/>
      <w:r>
        <w:rPr>
          <w:rFonts w:cs="Arial"/>
        </w:rPr>
        <w:t xml:space="preserve">Los Angeles County Office of Education </w:t>
      </w:r>
      <w:bookmarkEnd w:id="11"/>
      <w:r w:rsidRPr="00812F6E">
        <w:rPr>
          <w:rFonts w:cs="Arial"/>
        </w:rPr>
        <w:t xml:space="preserve">and </w:t>
      </w:r>
      <w:r>
        <w:rPr>
          <w:rFonts w:cs="Arial"/>
        </w:rPr>
        <w:t xml:space="preserve">T.I.M.E. Community </w:t>
      </w:r>
      <w:r w:rsidRPr="00812F6E">
        <w:rPr>
          <w:rFonts w:cs="Arial"/>
        </w:rPr>
        <w:t>(</w:t>
      </w:r>
      <w:r w:rsidR="00504AE4">
        <w:rPr>
          <w:rFonts w:cs="Arial"/>
        </w:rPr>
        <w:t>4</w:t>
      </w:r>
      <w:r w:rsidR="00524A55">
        <w:rPr>
          <w:rFonts w:cs="Arial"/>
        </w:rPr>
        <w:t>5</w:t>
      </w:r>
      <w:r w:rsidR="00504AE4">
        <w:rPr>
          <w:rFonts w:cs="Arial"/>
        </w:rPr>
        <w:t xml:space="preserve"> </w:t>
      </w:r>
      <w:r>
        <w:rPr>
          <w:rFonts w:cs="Arial"/>
        </w:rPr>
        <w:t>P</w:t>
      </w:r>
      <w:r w:rsidRPr="00812F6E">
        <w:rPr>
          <w:rFonts w:cs="Arial"/>
        </w:rPr>
        <w:t>ages)</w:t>
      </w:r>
    </w:p>
    <w:p w14:paraId="5B40EEBA" w14:textId="19DC1581" w:rsidR="00D341BF" w:rsidRDefault="00D341BF" w:rsidP="00D341BF">
      <w:pPr>
        <w:pStyle w:val="ListParagraph"/>
        <w:numPr>
          <w:ilvl w:val="0"/>
          <w:numId w:val="1"/>
        </w:numPr>
        <w:spacing w:after="240"/>
        <w:contextualSpacing w:val="0"/>
        <w:rPr>
          <w:rFonts w:cs="Arial"/>
        </w:rPr>
      </w:pPr>
      <w:r>
        <w:rPr>
          <w:rFonts w:cs="Arial"/>
          <w:b/>
        </w:rPr>
        <w:t xml:space="preserve">Attachment 4: </w:t>
      </w:r>
      <w:r>
        <w:rPr>
          <w:rFonts w:cs="Arial"/>
        </w:rPr>
        <w:t>October 6, 2022, Letter of Concern from the Los Angeles County Office of Education to T.I.M.E. Community Regarding the School’s Adopted Budget for Fiscal Year 2022–23 (</w:t>
      </w:r>
      <w:r w:rsidR="00504AE4">
        <w:rPr>
          <w:rFonts w:cs="Arial"/>
        </w:rPr>
        <w:t>1</w:t>
      </w:r>
      <w:r w:rsidR="00524A55">
        <w:rPr>
          <w:rFonts w:cs="Arial"/>
        </w:rPr>
        <w:t>6</w:t>
      </w:r>
      <w:r>
        <w:rPr>
          <w:rFonts w:cs="Arial"/>
        </w:rPr>
        <w:t xml:space="preserve"> Pages)</w:t>
      </w:r>
    </w:p>
    <w:p w14:paraId="65132FC8" w14:textId="2D22EA4B" w:rsidR="00D341BF" w:rsidRDefault="00D341BF" w:rsidP="00D341BF">
      <w:pPr>
        <w:pStyle w:val="ListParagraph"/>
        <w:numPr>
          <w:ilvl w:val="0"/>
          <w:numId w:val="1"/>
        </w:numPr>
        <w:spacing w:after="240"/>
        <w:contextualSpacing w:val="0"/>
        <w:rPr>
          <w:rFonts w:cs="Arial"/>
        </w:rPr>
      </w:pPr>
      <w:r>
        <w:rPr>
          <w:rFonts w:cs="Arial"/>
          <w:b/>
        </w:rPr>
        <w:t>Attachment 5:</w:t>
      </w:r>
      <w:r>
        <w:rPr>
          <w:rFonts w:cs="Arial"/>
        </w:rPr>
        <w:t xml:space="preserve"> October 11, 2022, Letter of Concern from the Los Angeles County Office of Education to T.I.M.E. Community Regarding the School’s Unaudited Actuals for Fiscal Year 2021–22 (</w:t>
      </w:r>
      <w:r w:rsidR="00504AE4">
        <w:rPr>
          <w:rFonts w:cs="Arial"/>
        </w:rPr>
        <w:t>1</w:t>
      </w:r>
      <w:r w:rsidR="00524A55">
        <w:rPr>
          <w:rFonts w:cs="Arial"/>
        </w:rPr>
        <w:t>8</w:t>
      </w:r>
      <w:r>
        <w:rPr>
          <w:rFonts w:cs="Arial"/>
        </w:rPr>
        <w:t xml:space="preserve"> Pages)</w:t>
      </w:r>
    </w:p>
    <w:p w14:paraId="2C1D002C" w14:textId="51D3C4C5" w:rsidR="00D341BF" w:rsidRDefault="00D341BF" w:rsidP="00D341BF">
      <w:pPr>
        <w:pStyle w:val="ListParagraph"/>
        <w:numPr>
          <w:ilvl w:val="0"/>
          <w:numId w:val="1"/>
        </w:numPr>
        <w:spacing w:after="240"/>
        <w:contextualSpacing w:val="0"/>
        <w:rPr>
          <w:rFonts w:cs="Arial"/>
        </w:rPr>
      </w:pPr>
      <w:r>
        <w:rPr>
          <w:rFonts w:cs="Arial"/>
          <w:b/>
        </w:rPr>
        <w:t>Attachment 6:</w:t>
      </w:r>
      <w:r>
        <w:rPr>
          <w:rFonts w:cs="Arial"/>
        </w:rPr>
        <w:t xml:space="preserve"> October 31, 2022, T.I.M.E. Community Revised Budget for Fiscal Year 2022–23 (</w:t>
      </w:r>
      <w:r w:rsidR="002B7ABE">
        <w:rPr>
          <w:rFonts w:cs="Arial"/>
        </w:rPr>
        <w:t>4</w:t>
      </w:r>
      <w:r w:rsidR="00524A55">
        <w:rPr>
          <w:rFonts w:cs="Arial"/>
        </w:rPr>
        <w:t>8</w:t>
      </w:r>
      <w:r>
        <w:rPr>
          <w:rFonts w:cs="Arial"/>
        </w:rPr>
        <w:t xml:space="preserve"> Pages)</w:t>
      </w:r>
    </w:p>
    <w:p w14:paraId="6F9C5CC4" w14:textId="16BC0CA5" w:rsidR="00D341BF" w:rsidRDefault="00D341BF" w:rsidP="00D341BF">
      <w:pPr>
        <w:pStyle w:val="ListParagraph"/>
        <w:numPr>
          <w:ilvl w:val="0"/>
          <w:numId w:val="1"/>
        </w:numPr>
        <w:spacing w:after="240"/>
        <w:contextualSpacing w:val="0"/>
        <w:rPr>
          <w:rFonts w:cs="Arial"/>
        </w:rPr>
      </w:pPr>
      <w:r>
        <w:rPr>
          <w:rFonts w:cs="Arial"/>
          <w:b/>
        </w:rPr>
        <w:t>Attachment 7:</w:t>
      </w:r>
      <w:r>
        <w:rPr>
          <w:rFonts w:cs="Arial"/>
        </w:rPr>
        <w:t xml:space="preserve"> January 17, 2023, Letter of Concern from the Los Angeles County Office of Education to T.I.M.E. Community Regarding the School’s First Interim Report for Fiscal Year 2022–23 (</w:t>
      </w:r>
      <w:r w:rsidR="002B7ABE">
        <w:rPr>
          <w:rFonts w:cs="Arial"/>
        </w:rPr>
        <w:t>3</w:t>
      </w:r>
      <w:r w:rsidR="00524A55">
        <w:rPr>
          <w:rFonts w:cs="Arial"/>
        </w:rPr>
        <w:t>2</w:t>
      </w:r>
      <w:r>
        <w:rPr>
          <w:rFonts w:cs="Arial"/>
        </w:rPr>
        <w:t xml:space="preserve"> Pages)</w:t>
      </w:r>
    </w:p>
    <w:p w14:paraId="5C9FC1AA" w14:textId="151745C6" w:rsidR="00D341BF" w:rsidRDefault="00D341BF" w:rsidP="00D341BF">
      <w:pPr>
        <w:pStyle w:val="ListParagraph"/>
        <w:numPr>
          <w:ilvl w:val="0"/>
          <w:numId w:val="1"/>
        </w:numPr>
        <w:spacing w:after="240"/>
        <w:contextualSpacing w:val="0"/>
        <w:rPr>
          <w:rFonts w:cs="Arial"/>
        </w:rPr>
      </w:pPr>
      <w:r>
        <w:rPr>
          <w:rFonts w:cs="Arial"/>
          <w:b/>
        </w:rPr>
        <w:t>Attachment 8:</w:t>
      </w:r>
      <w:r>
        <w:rPr>
          <w:rFonts w:cs="Arial"/>
        </w:rPr>
        <w:t xml:space="preserve"> January 27, 2023, T.I.M.E. Community Audit Letter and Audit for Year Ended June 30, 2022 (</w:t>
      </w:r>
      <w:r w:rsidR="00524A55">
        <w:rPr>
          <w:rFonts w:cs="Arial"/>
        </w:rPr>
        <w:t>40</w:t>
      </w:r>
      <w:r>
        <w:rPr>
          <w:rFonts w:cs="Arial"/>
        </w:rPr>
        <w:t xml:space="preserve"> Pages)</w:t>
      </w:r>
    </w:p>
    <w:p w14:paraId="77D57756" w14:textId="7C806F90" w:rsidR="00D341BF" w:rsidRPr="00167980" w:rsidRDefault="00D341BF" w:rsidP="00D341BF">
      <w:pPr>
        <w:pStyle w:val="ListParagraph"/>
        <w:numPr>
          <w:ilvl w:val="0"/>
          <w:numId w:val="1"/>
        </w:numPr>
        <w:spacing w:after="240"/>
        <w:contextualSpacing w:val="0"/>
        <w:rPr>
          <w:rFonts w:cs="Arial"/>
        </w:rPr>
      </w:pPr>
      <w:r>
        <w:rPr>
          <w:rFonts w:cs="Arial"/>
          <w:b/>
        </w:rPr>
        <w:t>Attachment 9:</w:t>
      </w:r>
      <w:r>
        <w:rPr>
          <w:rFonts w:cs="Arial"/>
        </w:rPr>
        <w:t xml:space="preserve"> T.I.M.E. Community Financials for October 2022 (</w:t>
      </w:r>
      <w:r w:rsidR="002B7ABE">
        <w:rPr>
          <w:rFonts w:cs="Arial"/>
        </w:rPr>
        <w:t>19</w:t>
      </w:r>
      <w:r w:rsidR="00524A55">
        <w:rPr>
          <w:rFonts w:cs="Arial"/>
        </w:rPr>
        <w:t>4</w:t>
      </w:r>
      <w:r>
        <w:rPr>
          <w:rFonts w:cs="Arial"/>
        </w:rPr>
        <w:t xml:space="preserve"> Pages)</w:t>
      </w:r>
      <w:r>
        <w:t xml:space="preserve"> </w:t>
      </w:r>
    </w:p>
    <w:p w14:paraId="5350239D" w14:textId="7933CA26" w:rsidR="00D341BF" w:rsidRPr="00167980" w:rsidRDefault="00D341BF" w:rsidP="00D341BF">
      <w:pPr>
        <w:pStyle w:val="ListParagraph"/>
        <w:numPr>
          <w:ilvl w:val="0"/>
          <w:numId w:val="1"/>
        </w:numPr>
        <w:spacing w:after="240"/>
        <w:contextualSpacing w:val="0"/>
        <w:rPr>
          <w:rFonts w:cs="Arial"/>
        </w:rPr>
      </w:pPr>
      <w:r>
        <w:rPr>
          <w:rFonts w:cs="Arial"/>
          <w:b/>
        </w:rPr>
        <w:t>Attachment 10:</w:t>
      </w:r>
      <w:r>
        <w:rPr>
          <w:rFonts w:cs="Arial"/>
        </w:rPr>
        <w:t xml:space="preserve"> T.I.M.E. Community Financials for November 2022 (</w:t>
      </w:r>
      <w:r w:rsidR="0032346E" w:rsidRPr="0032346E">
        <w:rPr>
          <w:rFonts w:cs="Arial"/>
        </w:rPr>
        <w:t>21</w:t>
      </w:r>
      <w:r w:rsidR="00524A55">
        <w:rPr>
          <w:rFonts w:cs="Arial"/>
        </w:rPr>
        <w:t>3</w:t>
      </w:r>
      <w:r>
        <w:rPr>
          <w:rFonts w:cs="Arial"/>
        </w:rPr>
        <w:t xml:space="preserve"> Pages)</w:t>
      </w:r>
      <w:r>
        <w:t xml:space="preserve"> </w:t>
      </w:r>
    </w:p>
    <w:p w14:paraId="4473242A" w14:textId="7546ABF8" w:rsidR="00D341BF" w:rsidRPr="00167980" w:rsidRDefault="00D341BF" w:rsidP="00D341BF">
      <w:pPr>
        <w:pStyle w:val="ListParagraph"/>
        <w:numPr>
          <w:ilvl w:val="0"/>
          <w:numId w:val="1"/>
        </w:numPr>
        <w:spacing w:after="240"/>
        <w:contextualSpacing w:val="0"/>
        <w:rPr>
          <w:rFonts w:cs="Arial"/>
        </w:rPr>
      </w:pPr>
      <w:r>
        <w:rPr>
          <w:rFonts w:cs="Arial"/>
          <w:b/>
        </w:rPr>
        <w:t>Attachment 11:</w:t>
      </w:r>
      <w:r>
        <w:rPr>
          <w:rFonts w:cs="Arial"/>
        </w:rPr>
        <w:t xml:space="preserve"> T.I.M.E. Community Financials for December 2022 (</w:t>
      </w:r>
      <w:r w:rsidR="0032346E" w:rsidRPr="0032346E">
        <w:rPr>
          <w:rFonts w:cs="Arial"/>
        </w:rPr>
        <w:t>2</w:t>
      </w:r>
      <w:r w:rsidR="00524A55">
        <w:rPr>
          <w:rFonts w:cs="Arial"/>
        </w:rPr>
        <w:t>30</w:t>
      </w:r>
      <w:r>
        <w:rPr>
          <w:rFonts w:cs="Arial"/>
        </w:rPr>
        <w:t xml:space="preserve"> Pages)</w:t>
      </w:r>
      <w:r>
        <w:t xml:space="preserve"> </w:t>
      </w:r>
    </w:p>
    <w:p w14:paraId="103F28D7" w14:textId="41351DCB" w:rsidR="00D341BF" w:rsidRDefault="00D341BF" w:rsidP="00D341BF">
      <w:pPr>
        <w:pStyle w:val="ListParagraph"/>
        <w:numPr>
          <w:ilvl w:val="0"/>
          <w:numId w:val="1"/>
        </w:numPr>
        <w:spacing w:after="240"/>
        <w:contextualSpacing w:val="0"/>
        <w:rPr>
          <w:rFonts w:cs="Arial"/>
        </w:rPr>
      </w:pPr>
      <w:r>
        <w:rPr>
          <w:rFonts w:cs="Arial"/>
          <w:b/>
        </w:rPr>
        <w:t>Attachment 12:</w:t>
      </w:r>
      <w:r>
        <w:rPr>
          <w:rFonts w:cs="Arial"/>
        </w:rPr>
        <w:t xml:space="preserve"> T.I.M.E. Community 2021–22 Second Principal Apportionment and 2022–23 First Principal Apportionment (</w:t>
      </w:r>
      <w:r w:rsidR="002B7ABE">
        <w:rPr>
          <w:rFonts w:cs="Arial"/>
        </w:rPr>
        <w:t>1</w:t>
      </w:r>
      <w:r w:rsidR="00524A55">
        <w:rPr>
          <w:rFonts w:cs="Arial"/>
        </w:rPr>
        <w:t>8</w:t>
      </w:r>
      <w:r>
        <w:rPr>
          <w:rFonts w:cs="Arial"/>
        </w:rPr>
        <w:t xml:space="preserve"> Pages)</w:t>
      </w:r>
    </w:p>
    <w:p w14:paraId="341AACAC" w14:textId="6FEE9C6A" w:rsidR="00167980" w:rsidRPr="00D341BF" w:rsidRDefault="00D341BF" w:rsidP="00D341BF">
      <w:pPr>
        <w:pStyle w:val="ListParagraph"/>
        <w:numPr>
          <w:ilvl w:val="0"/>
          <w:numId w:val="1"/>
        </w:numPr>
        <w:spacing w:after="240"/>
        <w:contextualSpacing w:val="0"/>
        <w:rPr>
          <w:rFonts w:cs="Arial"/>
        </w:rPr>
      </w:pPr>
      <w:r>
        <w:rPr>
          <w:rFonts w:cs="Arial"/>
          <w:b/>
        </w:rPr>
        <w:t xml:space="preserve">Attachment 13: </w:t>
      </w:r>
      <w:r>
        <w:rPr>
          <w:rFonts w:cs="Arial"/>
        </w:rPr>
        <w:t>Promissory Notes (</w:t>
      </w:r>
      <w:r w:rsidR="00524A55">
        <w:rPr>
          <w:rFonts w:cs="Arial"/>
        </w:rPr>
        <w:t>9</w:t>
      </w:r>
      <w:r>
        <w:rPr>
          <w:rFonts w:cs="Arial"/>
        </w:rPr>
        <w:t xml:space="preserve"> Pages)</w:t>
      </w:r>
    </w:p>
    <w:sectPr w:rsidR="00167980" w:rsidRPr="00D341BF" w:rsidSect="00407E9B">
      <w:headerReference w:type="even" r:id="rId16"/>
      <w:headerReference w:type="default" r:id="rId17"/>
      <w:headerReference w:type="first" r:id="rId18"/>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F7303" w14:textId="77777777" w:rsidR="00671FB0" w:rsidRDefault="00671FB0" w:rsidP="000E09DC">
      <w:r>
        <w:separator/>
      </w:r>
    </w:p>
  </w:endnote>
  <w:endnote w:type="continuationSeparator" w:id="0">
    <w:p w14:paraId="6E61CAD1" w14:textId="77777777" w:rsidR="00671FB0" w:rsidRDefault="00671FB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C2DF6" w14:textId="77777777" w:rsidR="00671FB0" w:rsidRDefault="00671FB0" w:rsidP="000E09DC">
      <w:r>
        <w:separator/>
      </w:r>
    </w:p>
  </w:footnote>
  <w:footnote w:type="continuationSeparator" w:id="0">
    <w:p w14:paraId="43DF93F6" w14:textId="77777777" w:rsidR="00671FB0" w:rsidRDefault="00671FB0"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694DF" w14:textId="7314929C" w:rsidR="00873EFF" w:rsidRPr="000E09DC" w:rsidRDefault="00873EFF"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3E0A1D4E" w14:textId="77777777" w:rsidR="00873EFF" w:rsidRDefault="00873EFF"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25132190" w14:textId="77777777" w:rsidR="00873EFF" w:rsidRPr="00527B0E" w:rsidRDefault="00873EFF"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FB6AC" w14:textId="539387C8" w:rsidR="003C292B" w:rsidRDefault="003C2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6B593F36" w14:textId="7CE245A8" w:rsidR="00873EFF" w:rsidRDefault="009A2C94" w:rsidP="009247FB">
        <w:pPr>
          <w:pStyle w:val="Header"/>
          <w:jc w:val="right"/>
        </w:pPr>
        <w:r>
          <w:t>l</w:t>
        </w:r>
        <w:r w:rsidR="00873EFF">
          <w:t>ab-csd-</w:t>
        </w:r>
        <w:r>
          <w:t>mar23</w:t>
        </w:r>
        <w:r w:rsidR="00873EFF" w:rsidRPr="00972074">
          <w:t>item0</w:t>
        </w:r>
        <w:r>
          <w:t>2</w:t>
        </w:r>
      </w:p>
      <w:p w14:paraId="59DAEA69" w14:textId="77777777" w:rsidR="00873EFF" w:rsidRPr="009247FB" w:rsidRDefault="00873EFF" w:rsidP="00604955">
        <w:pPr>
          <w:pStyle w:val="Header"/>
          <w:spacing w:after="100" w:afterAutospacing="1"/>
          <w:jc w:val="right"/>
        </w:pPr>
        <w:r w:rsidRPr="009247FB">
          <w:t xml:space="preserve">Page </w:t>
        </w:r>
        <w:r w:rsidRPr="009247FB">
          <w:rPr>
            <w:bCs/>
          </w:rPr>
          <w:fldChar w:fldCharType="begin"/>
        </w:r>
        <w:r w:rsidRPr="009247FB">
          <w:rPr>
            <w:bCs/>
          </w:rPr>
          <w:instrText xml:space="preserve"> PAGE </w:instrText>
        </w:r>
        <w:r w:rsidRPr="009247FB">
          <w:rPr>
            <w:bCs/>
          </w:rPr>
          <w:fldChar w:fldCharType="separate"/>
        </w:r>
        <w:r>
          <w:rPr>
            <w:bCs/>
            <w:noProof/>
          </w:rPr>
          <w:t>2</w:t>
        </w:r>
        <w:r w:rsidRPr="009247FB">
          <w:rPr>
            <w:bCs/>
          </w:rPr>
          <w:fldChar w:fldCharType="end"/>
        </w:r>
        <w:r w:rsidRPr="009247FB">
          <w:t xml:space="preserve"> of </w:t>
        </w:r>
        <w:r w:rsidRPr="009247FB">
          <w:rPr>
            <w:bCs/>
          </w:rPr>
          <w:fldChar w:fldCharType="begin"/>
        </w:r>
        <w:r w:rsidRPr="009247FB">
          <w:rPr>
            <w:bCs/>
          </w:rPr>
          <w:instrText xml:space="preserve"> NUMPAGES  </w:instrText>
        </w:r>
        <w:r w:rsidRPr="009247FB">
          <w:rPr>
            <w:bCs/>
          </w:rPr>
          <w:fldChar w:fldCharType="separate"/>
        </w:r>
        <w:r>
          <w:rPr>
            <w:bCs/>
            <w:noProof/>
          </w:rPr>
          <w:t>3</w:t>
        </w:r>
        <w:r w:rsidRPr="009247FB">
          <w:rPr>
            <w:bCs/>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3A7DD" w14:textId="774956CA" w:rsidR="003C292B" w:rsidRDefault="003C2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82A"/>
    <w:multiLevelType w:val="hybridMultilevel"/>
    <w:tmpl w:val="3CD29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2615F8"/>
    <w:multiLevelType w:val="hybridMultilevel"/>
    <w:tmpl w:val="0E3675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F6D20"/>
    <w:multiLevelType w:val="hybridMultilevel"/>
    <w:tmpl w:val="85CE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A758B"/>
    <w:multiLevelType w:val="hybridMultilevel"/>
    <w:tmpl w:val="47CE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20A5B"/>
    <w:multiLevelType w:val="hybridMultilevel"/>
    <w:tmpl w:val="2884AFBE"/>
    <w:lvl w:ilvl="0" w:tplc="1BBEC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2F75A3"/>
    <w:multiLevelType w:val="hybridMultilevel"/>
    <w:tmpl w:val="8396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1A0839"/>
    <w:multiLevelType w:val="hybridMultilevel"/>
    <w:tmpl w:val="383E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042D0D"/>
    <w:multiLevelType w:val="hybridMultilevel"/>
    <w:tmpl w:val="FBAC84A6"/>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0"/>
  </w:num>
  <w:num w:numId="7">
    <w:abstractNumId w:val="7"/>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DC"/>
    <w:rsid w:val="000040D5"/>
    <w:rsid w:val="00006281"/>
    <w:rsid w:val="00013FD5"/>
    <w:rsid w:val="000220C2"/>
    <w:rsid w:val="000225FA"/>
    <w:rsid w:val="00022D62"/>
    <w:rsid w:val="000252A7"/>
    <w:rsid w:val="000324AD"/>
    <w:rsid w:val="0003292C"/>
    <w:rsid w:val="00040FE1"/>
    <w:rsid w:val="00050EBB"/>
    <w:rsid w:val="000522B6"/>
    <w:rsid w:val="00056944"/>
    <w:rsid w:val="00062A49"/>
    <w:rsid w:val="00067731"/>
    <w:rsid w:val="000713B0"/>
    <w:rsid w:val="0007600A"/>
    <w:rsid w:val="00081AAE"/>
    <w:rsid w:val="00095B45"/>
    <w:rsid w:val="000A3AB1"/>
    <w:rsid w:val="000B1EF6"/>
    <w:rsid w:val="000B6B89"/>
    <w:rsid w:val="000C1313"/>
    <w:rsid w:val="000C2209"/>
    <w:rsid w:val="000D16B3"/>
    <w:rsid w:val="000D537B"/>
    <w:rsid w:val="000E09DC"/>
    <w:rsid w:val="000E2B2F"/>
    <w:rsid w:val="000E5E10"/>
    <w:rsid w:val="000E5F38"/>
    <w:rsid w:val="000E6E7B"/>
    <w:rsid w:val="00101BDD"/>
    <w:rsid w:val="001048F3"/>
    <w:rsid w:val="00106FCE"/>
    <w:rsid w:val="00114EBB"/>
    <w:rsid w:val="0011641E"/>
    <w:rsid w:val="001176A6"/>
    <w:rsid w:val="00121A8F"/>
    <w:rsid w:val="00125CA3"/>
    <w:rsid w:val="00130059"/>
    <w:rsid w:val="00130DEA"/>
    <w:rsid w:val="00137C27"/>
    <w:rsid w:val="00142F9D"/>
    <w:rsid w:val="0014312F"/>
    <w:rsid w:val="00145181"/>
    <w:rsid w:val="001522A8"/>
    <w:rsid w:val="00154498"/>
    <w:rsid w:val="00157585"/>
    <w:rsid w:val="00167980"/>
    <w:rsid w:val="00175084"/>
    <w:rsid w:val="00176E26"/>
    <w:rsid w:val="0018148D"/>
    <w:rsid w:val="001859DA"/>
    <w:rsid w:val="001862C4"/>
    <w:rsid w:val="00187A65"/>
    <w:rsid w:val="001967B7"/>
    <w:rsid w:val="00197779"/>
    <w:rsid w:val="001A049D"/>
    <w:rsid w:val="001A0CA5"/>
    <w:rsid w:val="001A3F95"/>
    <w:rsid w:val="001A5416"/>
    <w:rsid w:val="001A5A3C"/>
    <w:rsid w:val="001A620B"/>
    <w:rsid w:val="001A6C61"/>
    <w:rsid w:val="001B3958"/>
    <w:rsid w:val="001B4524"/>
    <w:rsid w:val="001C63C5"/>
    <w:rsid w:val="001D0952"/>
    <w:rsid w:val="001D3781"/>
    <w:rsid w:val="001D4263"/>
    <w:rsid w:val="001D68B9"/>
    <w:rsid w:val="001E1806"/>
    <w:rsid w:val="001E1929"/>
    <w:rsid w:val="001E3928"/>
    <w:rsid w:val="001F32FD"/>
    <w:rsid w:val="001F355C"/>
    <w:rsid w:val="001F3AD9"/>
    <w:rsid w:val="001F5D55"/>
    <w:rsid w:val="0021232E"/>
    <w:rsid w:val="00214956"/>
    <w:rsid w:val="00223112"/>
    <w:rsid w:val="0022456D"/>
    <w:rsid w:val="00227FF6"/>
    <w:rsid w:val="00240B26"/>
    <w:rsid w:val="00250A08"/>
    <w:rsid w:val="0025135D"/>
    <w:rsid w:val="002515BF"/>
    <w:rsid w:val="0025301B"/>
    <w:rsid w:val="00256DDA"/>
    <w:rsid w:val="00261A90"/>
    <w:rsid w:val="00264E9A"/>
    <w:rsid w:val="00267112"/>
    <w:rsid w:val="002801DF"/>
    <w:rsid w:val="0028245D"/>
    <w:rsid w:val="00284633"/>
    <w:rsid w:val="00287BDA"/>
    <w:rsid w:val="002A4B1E"/>
    <w:rsid w:val="002A7569"/>
    <w:rsid w:val="002B1C0C"/>
    <w:rsid w:val="002B1F45"/>
    <w:rsid w:val="002B26AC"/>
    <w:rsid w:val="002B27D5"/>
    <w:rsid w:val="002B4B14"/>
    <w:rsid w:val="002B4CC5"/>
    <w:rsid w:val="002B7ABE"/>
    <w:rsid w:val="002C08C6"/>
    <w:rsid w:val="002C63EF"/>
    <w:rsid w:val="002C75FB"/>
    <w:rsid w:val="002D1A82"/>
    <w:rsid w:val="002E417C"/>
    <w:rsid w:val="002E4CB5"/>
    <w:rsid w:val="002E6510"/>
    <w:rsid w:val="002E6BD0"/>
    <w:rsid w:val="002E6FCA"/>
    <w:rsid w:val="002F043B"/>
    <w:rsid w:val="002F21A5"/>
    <w:rsid w:val="002F279B"/>
    <w:rsid w:val="00302849"/>
    <w:rsid w:val="00306401"/>
    <w:rsid w:val="0030697D"/>
    <w:rsid w:val="00314CB7"/>
    <w:rsid w:val="00315131"/>
    <w:rsid w:val="003227A8"/>
    <w:rsid w:val="00322CDA"/>
    <w:rsid w:val="0032346E"/>
    <w:rsid w:val="00341367"/>
    <w:rsid w:val="00342D95"/>
    <w:rsid w:val="00350B8F"/>
    <w:rsid w:val="00352292"/>
    <w:rsid w:val="00356AB4"/>
    <w:rsid w:val="00363520"/>
    <w:rsid w:val="00363790"/>
    <w:rsid w:val="00365BBC"/>
    <w:rsid w:val="003705FC"/>
    <w:rsid w:val="00372CBF"/>
    <w:rsid w:val="0038181C"/>
    <w:rsid w:val="003846F4"/>
    <w:rsid w:val="00384ACF"/>
    <w:rsid w:val="00384CBF"/>
    <w:rsid w:val="00385D38"/>
    <w:rsid w:val="00397BFD"/>
    <w:rsid w:val="003A625C"/>
    <w:rsid w:val="003A666B"/>
    <w:rsid w:val="003A6FCD"/>
    <w:rsid w:val="003A78D4"/>
    <w:rsid w:val="003B2DCF"/>
    <w:rsid w:val="003C1BA4"/>
    <w:rsid w:val="003C292B"/>
    <w:rsid w:val="003D0273"/>
    <w:rsid w:val="003D09D8"/>
    <w:rsid w:val="003D1ECD"/>
    <w:rsid w:val="003E1E8D"/>
    <w:rsid w:val="003E24F9"/>
    <w:rsid w:val="003E4DF7"/>
    <w:rsid w:val="003F09B4"/>
    <w:rsid w:val="003F0BB2"/>
    <w:rsid w:val="003F7F53"/>
    <w:rsid w:val="00406F50"/>
    <w:rsid w:val="00407E9B"/>
    <w:rsid w:val="00410DEE"/>
    <w:rsid w:val="004123C2"/>
    <w:rsid w:val="004203BC"/>
    <w:rsid w:val="0042251B"/>
    <w:rsid w:val="00432934"/>
    <w:rsid w:val="00444A72"/>
    <w:rsid w:val="0044670C"/>
    <w:rsid w:val="0045247F"/>
    <w:rsid w:val="00453CE1"/>
    <w:rsid w:val="00456102"/>
    <w:rsid w:val="004616F2"/>
    <w:rsid w:val="0046223B"/>
    <w:rsid w:val="00467C51"/>
    <w:rsid w:val="00474CB5"/>
    <w:rsid w:val="0047534A"/>
    <w:rsid w:val="00475AD7"/>
    <w:rsid w:val="00476E50"/>
    <w:rsid w:val="00485BCA"/>
    <w:rsid w:val="00494071"/>
    <w:rsid w:val="00495324"/>
    <w:rsid w:val="00495F83"/>
    <w:rsid w:val="00496F6B"/>
    <w:rsid w:val="0049735E"/>
    <w:rsid w:val="004A463D"/>
    <w:rsid w:val="004B3D48"/>
    <w:rsid w:val="004C4A23"/>
    <w:rsid w:val="004C5979"/>
    <w:rsid w:val="004C6696"/>
    <w:rsid w:val="004D097C"/>
    <w:rsid w:val="004D3CDC"/>
    <w:rsid w:val="004E029B"/>
    <w:rsid w:val="004E6CE4"/>
    <w:rsid w:val="004F0733"/>
    <w:rsid w:val="00504AE4"/>
    <w:rsid w:val="00510EDD"/>
    <w:rsid w:val="00515590"/>
    <w:rsid w:val="00517C00"/>
    <w:rsid w:val="005210F5"/>
    <w:rsid w:val="0052199E"/>
    <w:rsid w:val="005238D3"/>
    <w:rsid w:val="00524A55"/>
    <w:rsid w:val="00527B0E"/>
    <w:rsid w:val="005375E6"/>
    <w:rsid w:val="00545BED"/>
    <w:rsid w:val="005562B6"/>
    <w:rsid w:val="00562591"/>
    <w:rsid w:val="00572215"/>
    <w:rsid w:val="005917B1"/>
    <w:rsid w:val="00592E15"/>
    <w:rsid w:val="0059460E"/>
    <w:rsid w:val="005A2BF0"/>
    <w:rsid w:val="005B23CB"/>
    <w:rsid w:val="005B6761"/>
    <w:rsid w:val="005C4AB2"/>
    <w:rsid w:val="005C56BE"/>
    <w:rsid w:val="005C5DE8"/>
    <w:rsid w:val="005C6974"/>
    <w:rsid w:val="005D357D"/>
    <w:rsid w:val="005E2A26"/>
    <w:rsid w:val="005F2F40"/>
    <w:rsid w:val="005F4A57"/>
    <w:rsid w:val="005F6BD2"/>
    <w:rsid w:val="00604955"/>
    <w:rsid w:val="0060732C"/>
    <w:rsid w:val="00616C86"/>
    <w:rsid w:val="006173D6"/>
    <w:rsid w:val="00623295"/>
    <w:rsid w:val="00623EA3"/>
    <w:rsid w:val="0063237D"/>
    <w:rsid w:val="0063303C"/>
    <w:rsid w:val="006359C2"/>
    <w:rsid w:val="00655A1D"/>
    <w:rsid w:val="00665895"/>
    <w:rsid w:val="00666327"/>
    <w:rsid w:val="00671251"/>
    <w:rsid w:val="00671FB0"/>
    <w:rsid w:val="00677247"/>
    <w:rsid w:val="00681823"/>
    <w:rsid w:val="00682CF6"/>
    <w:rsid w:val="006875DB"/>
    <w:rsid w:val="006900F4"/>
    <w:rsid w:val="00692300"/>
    <w:rsid w:val="00693951"/>
    <w:rsid w:val="006A2969"/>
    <w:rsid w:val="006A3B77"/>
    <w:rsid w:val="006B2111"/>
    <w:rsid w:val="006B5238"/>
    <w:rsid w:val="006C0896"/>
    <w:rsid w:val="006C0A1F"/>
    <w:rsid w:val="006C3770"/>
    <w:rsid w:val="006C40E1"/>
    <w:rsid w:val="006D0223"/>
    <w:rsid w:val="006D4506"/>
    <w:rsid w:val="006E06C6"/>
    <w:rsid w:val="006E454D"/>
    <w:rsid w:val="006E4AE2"/>
    <w:rsid w:val="006F3AE6"/>
    <w:rsid w:val="006F52EF"/>
    <w:rsid w:val="006F6081"/>
    <w:rsid w:val="00702FF2"/>
    <w:rsid w:val="007031AD"/>
    <w:rsid w:val="00703286"/>
    <w:rsid w:val="00707B28"/>
    <w:rsid w:val="00707D1A"/>
    <w:rsid w:val="00714928"/>
    <w:rsid w:val="00715F92"/>
    <w:rsid w:val="00726013"/>
    <w:rsid w:val="00726EDA"/>
    <w:rsid w:val="00731296"/>
    <w:rsid w:val="007313A3"/>
    <w:rsid w:val="0073223B"/>
    <w:rsid w:val="00733F44"/>
    <w:rsid w:val="00737158"/>
    <w:rsid w:val="0074041D"/>
    <w:rsid w:val="007428B8"/>
    <w:rsid w:val="00746164"/>
    <w:rsid w:val="007515A9"/>
    <w:rsid w:val="00753901"/>
    <w:rsid w:val="00761E40"/>
    <w:rsid w:val="0076411F"/>
    <w:rsid w:val="00772B0E"/>
    <w:rsid w:val="007733C5"/>
    <w:rsid w:val="00780AEC"/>
    <w:rsid w:val="00780BB6"/>
    <w:rsid w:val="00783E36"/>
    <w:rsid w:val="007854AC"/>
    <w:rsid w:val="00793FDD"/>
    <w:rsid w:val="007A4AC3"/>
    <w:rsid w:val="007C1AFA"/>
    <w:rsid w:val="007C5697"/>
    <w:rsid w:val="007C7CB2"/>
    <w:rsid w:val="007D106D"/>
    <w:rsid w:val="007D6A8F"/>
    <w:rsid w:val="007D6FBD"/>
    <w:rsid w:val="007E593F"/>
    <w:rsid w:val="007F28DB"/>
    <w:rsid w:val="007F3F08"/>
    <w:rsid w:val="00804AF0"/>
    <w:rsid w:val="00807405"/>
    <w:rsid w:val="00807AC7"/>
    <w:rsid w:val="00812F6E"/>
    <w:rsid w:val="00814B47"/>
    <w:rsid w:val="008230B7"/>
    <w:rsid w:val="0082388D"/>
    <w:rsid w:val="0082678F"/>
    <w:rsid w:val="00834351"/>
    <w:rsid w:val="0083588B"/>
    <w:rsid w:val="00835FD4"/>
    <w:rsid w:val="00845C52"/>
    <w:rsid w:val="00847729"/>
    <w:rsid w:val="0085320B"/>
    <w:rsid w:val="0086540E"/>
    <w:rsid w:val="00866EDE"/>
    <w:rsid w:val="00873EFF"/>
    <w:rsid w:val="0087532F"/>
    <w:rsid w:val="00877214"/>
    <w:rsid w:val="0088563C"/>
    <w:rsid w:val="00886523"/>
    <w:rsid w:val="008876D1"/>
    <w:rsid w:val="008909EE"/>
    <w:rsid w:val="008913F8"/>
    <w:rsid w:val="008930F3"/>
    <w:rsid w:val="008932E6"/>
    <w:rsid w:val="008A2154"/>
    <w:rsid w:val="008A3E19"/>
    <w:rsid w:val="008B228D"/>
    <w:rsid w:val="008B2C48"/>
    <w:rsid w:val="008B6A03"/>
    <w:rsid w:val="008B70D9"/>
    <w:rsid w:val="008B7577"/>
    <w:rsid w:val="008C21F1"/>
    <w:rsid w:val="008D7093"/>
    <w:rsid w:val="008E03FE"/>
    <w:rsid w:val="008E1CA0"/>
    <w:rsid w:val="008E3E4F"/>
    <w:rsid w:val="008E6C53"/>
    <w:rsid w:val="008F138E"/>
    <w:rsid w:val="008F41ED"/>
    <w:rsid w:val="0090398F"/>
    <w:rsid w:val="0091117B"/>
    <w:rsid w:val="00913854"/>
    <w:rsid w:val="0091710D"/>
    <w:rsid w:val="0092219C"/>
    <w:rsid w:val="009247FB"/>
    <w:rsid w:val="0092584F"/>
    <w:rsid w:val="009373C5"/>
    <w:rsid w:val="00937C03"/>
    <w:rsid w:val="00964602"/>
    <w:rsid w:val="0096590B"/>
    <w:rsid w:val="00971FFB"/>
    <w:rsid w:val="00972074"/>
    <w:rsid w:val="00972076"/>
    <w:rsid w:val="009763EE"/>
    <w:rsid w:val="00983D4C"/>
    <w:rsid w:val="00984D51"/>
    <w:rsid w:val="00990C62"/>
    <w:rsid w:val="00997EE4"/>
    <w:rsid w:val="009A2C94"/>
    <w:rsid w:val="009A5DFF"/>
    <w:rsid w:val="009A7434"/>
    <w:rsid w:val="009A7B21"/>
    <w:rsid w:val="009B04E1"/>
    <w:rsid w:val="009B6DE4"/>
    <w:rsid w:val="009C4ED0"/>
    <w:rsid w:val="009C63AD"/>
    <w:rsid w:val="009C6FF2"/>
    <w:rsid w:val="009D5028"/>
    <w:rsid w:val="009F19DC"/>
    <w:rsid w:val="009F335C"/>
    <w:rsid w:val="009F60BF"/>
    <w:rsid w:val="009F712A"/>
    <w:rsid w:val="00A07F42"/>
    <w:rsid w:val="00A15283"/>
    <w:rsid w:val="00A16315"/>
    <w:rsid w:val="00A265CA"/>
    <w:rsid w:val="00A30B3C"/>
    <w:rsid w:val="00A363F9"/>
    <w:rsid w:val="00A36ED7"/>
    <w:rsid w:val="00A42FD6"/>
    <w:rsid w:val="00A646A5"/>
    <w:rsid w:val="00A70418"/>
    <w:rsid w:val="00A8254E"/>
    <w:rsid w:val="00A95381"/>
    <w:rsid w:val="00A9747A"/>
    <w:rsid w:val="00AA0B44"/>
    <w:rsid w:val="00AA2148"/>
    <w:rsid w:val="00AC0948"/>
    <w:rsid w:val="00AC1982"/>
    <w:rsid w:val="00AC2271"/>
    <w:rsid w:val="00AD6C9D"/>
    <w:rsid w:val="00AD7B5F"/>
    <w:rsid w:val="00AE784D"/>
    <w:rsid w:val="00AF5844"/>
    <w:rsid w:val="00AF79DD"/>
    <w:rsid w:val="00B04C99"/>
    <w:rsid w:val="00B12FC9"/>
    <w:rsid w:val="00B1322C"/>
    <w:rsid w:val="00B33419"/>
    <w:rsid w:val="00B35B0F"/>
    <w:rsid w:val="00B3727D"/>
    <w:rsid w:val="00B4750F"/>
    <w:rsid w:val="00B628DF"/>
    <w:rsid w:val="00B633F8"/>
    <w:rsid w:val="00B654CA"/>
    <w:rsid w:val="00B676CA"/>
    <w:rsid w:val="00B7148B"/>
    <w:rsid w:val="00B723B4"/>
    <w:rsid w:val="00B723BE"/>
    <w:rsid w:val="00B7378E"/>
    <w:rsid w:val="00B7702B"/>
    <w:rsid w:val="00B82705"/>
    <w:rsid w:val="00B85331"/>
    <w:rsid w:val="00B858F6"/>
    <w:rsid w:val="00B93F98"/>
    <w:rsid w:val="00BA0BBE"/>
    <w:rsid w:val="00BA5D0B"/>
    <w:rsid w:val="00BA62C7"/>
    <w:rsid w:val="00BA7E4B"/>
    <w:rsid w:val="00BB2D50"/>
    <w:rsid w:val="00BB4D19"/>
    <w:rsid w:val="00BD420C"/>
    <w:rsid w:val="00BE2E86"/>
    <w:rsid w:val="00BE314B"/>
    <w:rsid w:val="00BE3DB0"/>
    <w:rsid w:val="00BF0B0F"/>
    <w:rsid w:val="00BF129C"/>
    <w:rsid w:val="00BF1C2E"/>
    <w:rsid w:val="00BF1EA4"/>
    <w:rsid w:val="00C02A7A"/>
    <w:rsid w:val="00C05E3C"/>
    <w:rsid w:val="00C07DBE"/>
    <w:rsid w:val="00C1168C"/>
    <w:rsid w:val="00C13EA4"/>
    <w:rsid w:val="00C144D1"/>
    <w:rsid w:val="00C15C41"/>
    <w:rsid w:val="00C16C10"/>
    <w:rsid w:val="00C23507"/>
    <w:rsid w:val="00C258CF"/>
    <w:rsid w:val="00C26A2F"/>
    <w:rsid w:val="00C2794C"/>
    <w:rsid w:val="00C27D57"/>
    <w:rsid w:val="00C30001"/>
    <w:rsid w:val="00C32D8B"/>
    <w:rsid w:val="00C33D5F"/>
    <w:rsid w:val="00C36BD7"/>
    <w:rsid w:val="00C55E33"/>
    <w:rsid w:val="00C70C21"/>
    <w:rsid w:val="00C71903"/>
    <w:rsid w:val="00C754B9"/>
    <w:rsid w:val="00C82CBA"/>
    <w:rsid w:val="00CA38E3"/>
    <w:rsid w:val="00CA4AAA"/>
    <w:rsid w:val="00CA4ECD"/>
    <w:rsid w:val="00CB5448"/>
    <w:rsid w:val="00CC21F9"/>
    <w:rsid w:val="00CC323A"/>
    <w:rsid w:val="00CE1C84"/>
    <w:rsid w:val="00CE3205"/>
    <w:rsid w:val="00CE7F09"/>
    <w:rsid w:val="00CF2BEF"/>
    <w:rsid w:val="00CF546A"/>
    <w:rsid w:val="00CF56B3"/>
    <w:rsid w:val="00D006A0"/>
    <w:rsid w:val="00D048A3"/>
    <w:rsid w:val="00D04D60"/>
    <w:rsid w:val="00D052A0"/>
    <w:rsid w:val="00D063CC"/>
    <w:rsid w:val="00D137AB"/>
    <w:rsid w:val="00D1641D"/>
    <w:rsid w:val="00D21FD7"/>
    <w:rsid w:val="00D341BF"/>
    <w:rsid w:val="00D3571D"/>
    <w:rsid w:val="00D369FF"/>
    <w:rsid w:val="00D3736E"/>
    <w:rsid w:val="00D37BA0"/>
    <w:rsid w:val="00D4044E"/>
    <w:rsid w:val="00D47214"/>
    <w:rsid w:val="00D47DAB"/>
    <w:rsid w:val="00D509B9"/>
    <w:rsid w:val="00D5115F"/>
    <w:rsid w:val="00D51366"/>
    <w:rsid w:val="00D5332E"/>
    <w:rsid w:val="00D53B5D"/>
    <w:rsid w:val="00D559CE"/>
    <w:rsid w:val="00D56F5B"/>
    <w:rsid w:val="00D64872"/>
    <w:rsid w:val="00D64EA2"/>
    <w:rsid w:val="00D67DFB"/>
    <w:rsid w:val="00D800C3"/>
    <w:rsid w:val="00D85DCC"/>
    <w:rsid w:val="00D8667C"/>
    <w:rsid w:val="00D86AB9"/>
    <w:rsid w:val="00D92E80"/>
    <w:rsid w:val="00D96DD3"/>
    <w:rsid w:val="00DA0361"/>
    <w:rsid w:val="00DA441F"/>
    <w:rsid w:val="00DA6E61"/>
    <w:rsid w:val="00DC12C1"/>
    <w:rsid w:val="00DD0939"/>
    <w:rsid w:val="00DD1205"/>
    <w:rsid w:val="00DD17F4"/>
    <w:rsid w:val="00DD4045"/>
    <w:rsid w:val="00DE6813"/>
    <w:rsid w:val="00DF04A6"/>
    <w:rsid w:val="00DF052F"/>
    <w:rsid w:val="00DF6A66"/>
    <w:rsid w:val="00E034F6"/>
    <w:rsid w:val="00E04471"/>
    <w:rsid w:val="00E125A4"/>
    <w:rsid w:val="00E12AED"/>
    <w:rsid w:val="00E16CD6"/>
    <w:rsid w:val="00E17454"/>
    <w:rsid w:val="00E22061"/>
    <w:rsid w:val="00E23FA8"/>
    <w:rsid w:val="00E3189E"/>
    <w:rsid w:val="00E3596B"/>
    <w:rsid w:val="00E4698A"/>
    <w:rsid w:val="00E51715"/>
    <w:rsid w:val="00E55138"/>
    <w:rsid w:val="00E668F3"/>
    <w:rsid w:val="00E674EF"/>
    <w:rsid w:val="00E679C7"/>
    <w:rsid w:val="00E700FA"/>
    <w:rsid w:val="00E71E07"/>
    <w:rsid w:val="00E72AC8"/>
    <w:rsid w:val="00E845C1"/>
    <w:rsid w:val="00EA078E"/>
    <w:rsid w:val="00EA1E21"/>
    <w:rsid w:val="00EA58B2"/>
    <w:rsid w:val="00EA5A0B"/>
    <w:rsid w:val="00EA7D4F"/>
    <w:rsid w:val="00EB16F7"/>
    <w:rsid w:val="00EB5D8B"/>
    <w:rsid w:val="00EB638E"/>
    <w:rsid w:val="00EB7C3A"/>
    <w:rsid w:val="00EC504C"/>
    <w:rsid w:val="00ED5DF2"/>
    <w:rsid w:val="00EE4419"/>
    <w:rsid w:val="00EE5681"/>
    <w:rsid w:val="00EF380B"/>
    <w:rsid w:val="00EF715E"/>
    <w:rsid w:val="00F00BB5"/>
    <w:rsid w:val="00F152A8"/>
    <w:rsid w:val="00F17553"/>
    <w:rsid w:val="00F24D38"/>
    <w:rsid w:val="00F25F49"/>
    <w:rsid w:val="00F2637D"/>
    <w:rsid w:val="00F26643"/>
    <w:rsid w:val="00F31EDE"/>
    <w:rsid w:val="00F32142"/>
    <w:rsid w:val="00F342A0"/>
    <w:rsid w:val="00F343A8"/>
    <w:rsid w:val="00F40507"/>
    <w:rsid w:val="00F40510"/>
    <w:rsid w:val="00F61B1C"/>
    <w:rsid w:val="00F62FA8"/>
    <w:rsid w:val="00F63840"/>
    <w:rsid w:val="00F668DA"/>
    <w:rsid w:val="00F74A8E"/>
    <w:rsid w:val="00F76D8D"/>
    <w:rsid w:val="00F81451"/>
    <w:rsid w:val="00F822F6"/>
    <w:rsid w:val="00F826E4"/>
    <w:rsid w:val="00F848E7"/>
    <w:rsid w:val="00F84ED3"/>
    <w:rsid w:val="00F86419"/>
    <w:rsid w:val="00F86758"/>
    <w:rsid w:val="00F95F8E"/>
    <w:rsid w:val="00FA0438"/>
    <w:rsid w:val="00FA1F4D"/>
    <w:rsid w:val="00FB0A5C"/>
    <w:rsid w:val="00FB1D66"/>
    <w:rsid w:val="00FC09B4"/>
    <w:rsid w:val="00FC1FCE"/>
    <w:rsid w:val="00FC25E2"/>
    <w:rsid w:val="00FC451B"/>
    <w:rsid w:val="00FC4C26"/>
    <w:rsid w:val="00FD22FC"/>
    <w:rsid w:val="00FD27B8"/>
    <w:rsid w:val="00FD5079"/>
    <w:rsid w:val="00FE3007"/>
    <w:rsid w:val="00FE4BD6"/>
    <w:rsid w:val="00FF277C"/>
    <w:rsid w:val="00FF2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F2666"/>
  <w15:chartTrackingRefBased/>
  <w15:docId w15:val="{AF7F25F9-5754-4868-9B55-EF8F3D21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1B4524"/>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9C63AD"/>
    <w:pPr>
      <w:keepNext/>
      <w:keepLines/>
      <w:spacing w:before="240" w:after="240"/>
      <w:outlineLvl w:val="2"/>
    </w:pPr>
    <w:rPr>
      <w:rFonts w:eastAsiaTheme="majorEastAsia" w:cstheme="majorBidi"/>
      <w:b/>
    </w:rPr>
  </w:style>
  <w:style w:type="paragraph" w:styleId="Heading4">
    <w:name w:val="heading 4"/>
    <w:basedOn w:val="Normal"/>
    <w:next w:val="Normal"/>
    <w:link w:val="Heading4Char"/>
    <w:autoRedefine/>
    <w:uiPriority w:val="9"/>
    <w:unhideWhenUsed/>
    <w:qFormat/>
    <w:rsid w:val="00322CDA"/>
    <w:pPr>
      <w:keepNext/>
      <w:keepLines/>
      <w:spacing w:before="240" w:after="240"/>
      <w:outlineLvl w:val="3"/>
    </w:pPr>
    <w:rPr>
      <w:rFonts w:eastAsia="Arial" w:cstheme="majorBidi"/>
      <w:i/>
      <w:iCs/>
    </w:rPr>
  </w:style>
  <w:style w:type="paragraph" w:styleId="Heading5">
    <w:name w:val="heading 5"/>
    <w:basedOn w:val="Normal"/>
    <w:next w:val="Normal"/>
    <w:link w:val="Heading5Char"/>
    <w:uiPriority w:val="9"/>
    <w:unhideWhenUsed/>
    <w:qFormat/>
    <w:rsid w:val="00E04471"/>
    <w:pPr>
      <w:keepNext/>
      <w:keepLines/>
      <w:spacing w:before="40"/>
      <w:outlineLvl w:val="4"/>
    </w:pPr>
    <w:rPr>
      <w:rFonts w:eastAsiaTheme="majorEastAsia" w:cstheme="majorBidi"/>
      <w:b/>
      <w:sz w:val="28"/>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1B4524"/>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9C63AD"/>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322CDA"/>
    <w:rPr>
      <w:rFonts w:ascii="Arial" w:eastAsia="Arial" w:hAnsi="Arial" w:cstheme="majorBidi"/>
      <w:i/>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04471"/>
    <w:rPr>
      <w:rFonts w:ascii="Arial" w:eastAsiaTheme="majorEastAsia" w:hAnsi="Arial" w:cstheme="majorBidi"/>
      <w:b/>
      <w:sz w:val="28"/>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CommentText">
    <w:name w:val="annotation text"/>
    <w:basedOn w:val="Normal"/>
    <w:link w:val="CommentTextChar"/>
    <w:uiPriority w:val="99"/>
    <w:unhideWhenUsed/>
    <w:rsid w:val="004D3CDC"/>
    <w:rPr>
      <w:sz w:val="20"/>
      <w:szCs w:val="20"/>
    </w:rPr>
  </w:style>
  <w:style w:type="character" w:customStyle="1" w:styleId="CommentTextChar">
    <w:name w:val="Comment Text Char"/>
    <w:basedOn w:val="DefaultParagraphFont"/>
    <w:link w:val="CommentText"/>
    <w:uiPriority w:val="99"/>
    <w:rsid w:val="004D3CDC"/>
    <w:rPr>
      <w:rFonts w:ascii="Arial" w:eastAsia="Times New Roman" w:hAnsi="Arial" w:cs="Times New Roman"/>
      <w:sz w:val="20"/>
      <w:szCs w:val="20"/>
    </w:rPr>
  </w:style>
  <w:style w:type="paragraph" w:customStyle="1" w:styleId="Default">
    <w:name w:val="Default"/>
    <w:rsid w:val="004D3CDC"/>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uiPriority w:val="99"/>
    <w:semiHidden/>
    <w:unhideWhenUsed/>
    <w:rsid w:val="004D3CDC"/>
    <w:rPr>
      <w:sz w:val="16"/>
      <w:szCs w:val="16"/>
    </w:rPr>
  </w:style>
  <w:style w:type="paragraph" w:styleId="CommentSubject">
    <w:name w:val="annotation subject"/>
    <w:basedOn w:val="CommentText"/>
    <w:next w:val="CommentText"/>
    <w:link w:val="CommentSubjectChar"/>
    <w:uiPriority w:val="99"/>
    <w:semiHidden/>
    <w:unhideWhenUsed/>
    <w:rsid w:val="004D3CDC"/>
    <w:rPr>
      <w:b/>
      <w:bCs/>
    </w:rPr>
  </w:style>
  <w:style w:type="character" w:customStyle="1" w:styleId="CommentSubjectChar">
    <w:name w:val="Comment Subject Char"/>
    <w:basedOn w:val="CommentTextChar"/>
    <w:link w:val="CommentSubject"/>
    <w:uiPriority w:val="99"/>
    <w:semiHidden/>
    <w:rsid w:val="004D3CDC"/>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1B4524"/>
    <w:rPr>
      <w:color w:val="954F72" w:themeColor="followedHyperlink"/>
      <w:u w:val="single"/>
    </w:rPr>
  </w:style>
  <w:style w:type="character" w:styleId="UnresolvedMention">
    <w:name w:val="Unresolved Mention"/>
    <w:basedOn w:val="DefaultParagraphFont"/>
    <w:uiPriority w:val="99"/>
    <w:semiHidden/>
    <w:unhideWhenUsed/>
    <w:rsid w:val="001B4524"/>
    <w:rPr>
      <w:color w:val="605E5C"/>
      <w:shd w:val="clear" w:color="auto" w:fill="E1DFDD"/>
    </w:rPr>
  </w:style>
  <w:style w:type="paragraph" w:styleId="Revision">
    <w:name w:val="Revision"/>
    <w:hidden/>
    <w:uiPriority w:val="99"/>
    <w:semiHidden/>
    <w:rsid w:val="00C754B9"/>
    <w:pPr>
      <w:spacing w:after="0" w:line="240" w:lineRule="auto"/>
    </w:pPr>
    <w:rPr>
      <w:rFonts w:ascii="Arial" w:eastAsia="Times New Roman" w:hAnsi="Arial" w:cs="Times New Roman"/>
      <w:sz w:val="24"/>
      <w:szCs w:val="24"/>
    </w:rPr>
  </w:style>
  <w:style w:type="paragraph" w:styleId="FootnoteText">
    <w:name w:val="footnote text"/>
    <w:basedOn w:val="Normal"/>
    <w:link w:val="FootnoteTextChar"/>
    <w:uiPriority w:val="99"/>
    <w:unhideWhenUsed/>
    <w:rsid w:val="007F28DB"/>
    <w:rPr>
      <w:sz w:val="20"/>
      <w:szCs w:val="20"/>
    </w:rPr>
  </w:style>
  <w:style w:type="character" w:customStyle="1" w:styleId="FootnoteTextChar">
    <w:name w:val="Footnote Text Char"/>
    <w:basedOn w:val="DefaultParagraphFont"/>
    <w:link w:val="FootnoteText"/>
    <w:uiPriority w:val="99"/>
    <w:rsid w:val="007F28D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7F28DB"/>
    <w:rPr>
      <w:vertAlign w:val="superscript"/>
    </w:rPr>
  </w:style>
  <w:style w:type="table" w:styleId="TableGrid">
    <w:name w:val="Table Grid"/>
    <w:basedOn w:val="TableNormal"/>
    <w:rsid w:val="00BD420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1A90"/>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2804">
      <w:bodyDiv w:val="1"/>
      <w:marLeft w:val="0"/>
      <w:marRight w:val="0"/>
      <w:marTop w:val="0"/>
      <w:marBottom w:val="0"/>
      <w:divBdr>
        <w:top w:val="none" w:sz="0" w:space="0" w:color="auto"/>
        <w:left w:val="none" w:sz="0" w:space="0" w:color="auto"/>
        <w:bottom w:val="none" w:sz="0" w:space="0" w:color="auto"/>
        <w:right w:val="none" w:sz="0" w:space="0" w:color="auto"/>
      </w:divBdr>
    </w:div>
    <w:div w:id="48849508">
      <w:bodyDiv w:val="1"/>
      <w:marLeft w:val="0"/>
      <w:marRight w:val="0"/>
      <w:marTop w:val="0"/>
      <w:marBottom w:val="0"/>
      <w:divBdr>
        <w:top w:val="none" w:sz="0" w:space="0" w:color="auto"/>
        <w:left w:val="none" w:sz="0" w:space="0" w:color="auto"/>
        <w:bottom w:val="none" w:sz="0" w:space="0" w:color="auto"/>
        <w:right w:val="none" w:sz="0" w:space="0" w:color="auto"/>
      </w:divBdr>
    </w:div>
    <w:div w:id="55668376">
      <w:bodyDiv w:val="1"/>
      <w:marLeft w:val="0"/>
      <w:marRight w:val="0"/>
      <w:marTop w:val="0"/>
      <w:marBottom w:val="0"/>
      <w:divBdr>
        <w:top w:val="none" w:sz="0" w:space="0" w:color="auto"/>
        <w:left w:val="none" w:sz="0" w:space="0" w:color="auto"/>
        <w:bottom w:val="none" w:sz="0" w:space="0" w:color="auto"/>
        <w:right w:val="none" w:sz="0" w:space="0" w:color="auto"/>
      </w:divBdr>
    </w:div>
    <w:div w:id="165630260">
      <w:bodyDiv w:val="1"/>
      <w:marLeft w:val="0"/>
      <w:marRight w:val="0"/>
      <w:marTop w:val="0"/>
      <w:marBottom w:val="0"/>
      <w:divBdr>
        <w:top w:val="none" w:sz="0" w:space="0" w:color="auto"/>
        <w:left w:val="none" w:sz="0" w:space="0" w:color="auto"/>
        <w:bottom w:val="none" w:sz="0" w:space="0" w:color="auto"/>
        <w:right w:val="none" w:sz="0" w:space="0" w:color="auto"/>
      </w:divBdr>
    </w:div>
    <w:div w:id="209730343">
      <w:bodyDiv w:val="1"/>
      <w:marLeft w:val="0"/>
      <w:marRight w:val="0"/>
      <w:marTop w:val="0"/>
      <w:marBottom w:val="0"/>
      <w:divBdr>
        <w:top w:val="none" w:sz="0" w:space="0" w:color="auto"/>
        <w:left w:val="none" w:sz="0" w:space="0" w:color="auto"/>
        <w:bottom w:val="none" w:sz="0" w:space="0" w:color="auto"/>
        <w:right w:val="none" w:sz="0" w:space="0" w:color="auto"/>
      </w:divBdr>
    </w:div>
    <w:div w:id="235282136">
      <w:bodyDiv w:val="1"/>
      <w:marLeft w:val="0"/>
      <w:marRight w:val="0"/>
      <w:marTop w:val="0"/>
      <w:marBottom w:val="0"/>
      <w:divBdr>
        <w:top w:val="none" w:sz="0" w:space="0" w:color="auto"/>
        <w:left w:val="none" w:sz="0" w:space="0" w:color="auto"/>
        <w:bottom w:val="none" w:sz="0" w:space="0" w:color="auto"/>
        <w:right w:val="none" w:sz="0" w:space="0" w:color="auto"/>
      </w:divBdr>
    </w:div>
    <w:div w:id="425421504">
      <w:bodyDiv w:val="1"/>
      <w:marLeft w:val="0"/>
      <w:marRight w:val="0"/>
      <w:marTop w:val="0"/>
      <w:marBottom w:val="0"/>
      <w:divBdr>
        <w:top w:val="none" w:sz="0" w:space="0" w:color="auto"/>
        <w:left w:val="none" w:sz="0" w:space="0" w:color="auto"/>
        <w:bottom w:val="none" w:sz="0" w:space="0" w:color="auto"/>
        <w:right w:val="none" w:sz="0" w:space="0" w:color="auto"/>
      </w:divBdr>
    </w:div>
    <w:div w:id="452676337">
      <w:bodyDiv w:val="1"/>
      <w:marLeft w:val="0"/>
      <w:marRight w:val="0"/>
      <w:marTop w:val="0"/>
      <w:marBottom w:val="0"/>
      <w:divBdr>
        <w:top w:val="none" w:sz="0" w:space="0" w:color="auto"/>
        <w:left w:val="none" w:sz="0" w:space="0" w:color="auto"/>
        <w:bottom w:val="none" w:sz="0" w:space="0" w:color="auto"/>
        <w:right w:val="none" w:sz="0" w:space="0" w:color="auto"/>
      </w:divBdr>
    </w:div>
    <w:div w:id="526601428">
      <w:bodyDiv w:val="1"/>
      <w:marLeft w:val="0"/>
      <w:marRight w:val="0"/>
      <w:marTop w:val="0"/>
      <w:marBottom w:val="0"/>
      <w:divBdr>
        <w:top w:val="none" w:sz="0" w:space="0" w:color="auto"/>
        <w:left w:val="none" w:sz="0" w:space="0" w:color="auto"/>
        <w:bottom w:val="none" w:sz="0" w:space="0" w:color="auto"/>
        <w:right w:val="none" w:sz="0" w:space="0" w:color="auto"/>
      </w:divBdr>
    </w:div>
    <w:div w:id="571085770">
      <w:bodyDiv w:val="1"/>
      <w:marLeft w:val="0"/>
      <w:marRight w:val="0"/>
      <w:marTop w:val="0"/>
      <w:marBottom w:val="0"/>
      <w:divBdr>
        <w:top w:val="none" w:sz="0" w:space="0" w:color="auto"/>
        <w:left w:val="none" w:sz="0" w:space="0" w:color="auto"/>
        <w:bottom w:val="none" w:sz="0" w:space="0" w:color="auto"/>
        <w:right w:val="none" w:sz="0" w:space="0" w:color="auto"/>
      </w:divBdr>
    </w:div>
    <w:div w:id="575094610">
      <w:bodyDiv w:val="1"/>
      <w:marLeft w:val="0"/>
      <w:marRight w:val="0"/>
      <w:marTop w:val="0"/>
      <w:marBottom w:val="0"/>
      <w:divBdr>
        <w:top w:val="none" w:sz="0" w:space="0" w:color="auto"/>
        <w:left w:val="none" w:sz="0" w:space="0" w:color="auto"/>
        <w:bottom w:val="none" w:sz="0" w:space="0" w:color="auto"/>
        <w:right w:val="none" w:sz="0" w:space="0" w:color="auto"/>
      </w:divBdr>
    </w:div>
    <w:div w:id="665086159">
      <w:bodyDiv w:val="1"/>
      <w:marLeft w:val="0"/>
      <w:marRight w:val="0"/>
      <w:marTop w:val="0"/>
      <w:marBottom w:val="0"/>
      <w:divBdr>
        <w:top w:val="none" w:sz="0" w:space="0" w:color="auto"/>
        <w:left w:val="none" w:sz="0" w:space="0" w:color="auto"/>
        <w:bottom w:val="none" w:sz="0" w:space="0" w:color="auto"/>
        <w:right w:val="none" w:sz="0" w:space="0" w:color="auto"/>
      </w:divBdr>
    </w:div>
    <w:div w:id="719015749">
      <w:bodyDiv w:val="1"/>
      <w:marLeft w:val="0"/>
      <w:marRight w:val="0"/>
      <w:marTop w:val="0"/>
      <w:marBottom w:val="0"/>
      <w:divBdr>
        <w:top w:val="none" w:sz="0" w:space="0" w:color="auto"/>
        <w:left w:val="none" w:sz="0" w:space="0" w:color="auto"/>
        <w:bottom w:val="none" w:sz="0" w:space="0" w:color="auto"/>
        <w:right w:val="none" w:sz="0" w:space="0" w:color="auto"/>
      </w:divBdr>
    </w:div>
    <w:div w:id="861436129">
      <w:bodyDiv w:val="1"/>
      <w:marLeft w:val="0"/>
      <w:marRight w:val="0"/>
      <w:marTop w:val="0"/>
      <w:marBottom w:val="0"/>
      <w:divBdr>
        <w:top w:val="none" w:sz="0" w:space="0" w:color="auto"/>
        <w:left w:val="none" w:sz="0" w:space="0" w:color="auto"/>
        <w:bottom w:val="none" w:sz="0" w:space="0" w:color="auto"/>
        <w:right w:val="none" w:sz="0" w:space="0" w:color="auto"/>
      </w:divBdr>
    </w:div>
    <w:div w:id="959454353">
      <w:bodyDiv w:val="1"/>
      <w:marLeft w:val="0"/>
      <w:marRight w:val="0"/>
      <w:marTop w:val="0"/>
      <w:marBottom w:val="0"/>
      <w:divBdr>
        <w:top w:val="none" w:sz="0" w:space="0" w:color="auto"/>
        <w:left w:val="none" w:sz="0" w:space="0" w:color="auto"/>
        <w:bottom w:val="none" w:sz="0" w:space="0" w:color="auto"/>
        <w:right w:val="none" w:sz="0" w:space="0" w:color="auto"/>
      </w:divBdr>
    </w:div>
    <w:div w:id="1062143969">
      <w:bodyDiv w:val="1"/>
      <w:marLeft w:val="0"/>
      <w:marRight w:val="0"/>
      <w:marTop w:val="0"/>
      <w:marBottom w:val="0"/>
      <w:divBdr>
        <w:top w:val="none" w:sz="0" w:space="0" w:color="auto"/>
        <w:left w:val="none" w:sz="0" w:space="0" w:color="auto"/>
        <w:bottom w:val="none" w:sz="0" w:space="0" w:color="auto"/>
        <w:right w:val="none" w:sz="0" w:space="0" w:color="auto"/>
      </w:divBdr>
    </w:div>
    <w:div w:id="1116026040">
      <w:bodyDiv w:val="1"/>
      <w:marLeft w:val="0"/>
      <w:marRight w:val="0"/>
      <w:marTop w:val="0"/>
      <w:marBottom w:val="0"/>
      <w:divBdr>
        <w:top w:val="none" w:sz="0" w:space="0" w:color="auto"/>
        <w:left w:val="none" w:sz="0" w:space="0" w:color="auto"/>
        <w:bottom w:val="none" w:sz="0" w:space="0" w:color="auto"/>
        <w:right w:val="none" w:sz="0" w:space="0" w:color="auto"/>
      </w:divBdr>
    </w:div>
    <w:div w:id="1288706485">
      <w:bodyDiv w:val="1"/>
      <w:marLeft w:val="0"/>
      <w:marRight w:val="0"/>
      <w:marTop w:val="0"/>
      <w:marBottom w:val="0"/>
      <w:divBdr>
        <w:top w:val="none" w:sz="0" w:space="0" w:color="auto"/>
        <w:left w:val="none" w:sz="0" w:space="0" w:color="auto"/>
        <w:bottom w:val="none" w:sz="0" w:space="0" w:color="auto"/>
        <w:right w:val="none" w:sz="0" w:space="0" w:color="auto"/>
      </w:divBdr>
    </w:div>
    <w:div w:id="1298878244">
      <w:bodyDiv w:val="1"/>
      <w:marLeft w:val="0"/>
      <w:marRight w:val="0"/>
      <w:marTop w:val="0"/>
      <w:marBottom w:val="0"/>
      <w:divBdr>
        <w:top w:val="none" w:sz="0" w:space="0" w:color="auto"/>
        <w:left w:val="none" w:sz="0" w:space="0" w:color="auto"/>
        <w:bottom w:val="none" w:sz="0" w:space="0" w:color="auto"/>
        <w:right w:val="none" w:sz="0" w:space="0" w:color="auto"/>
      </w:divBdr>
    </w:div>
    <w:div w:id="1301492553">
      <w:bodyDiv w:val="1"/>
      <w:marLeft w:val="0"/>
      <w:marRight w:val="0"/>
      <w:marTop w:val="0"/>
      <w:marBottom w:val="0"/>
      <w:divBdr>
        <w:top w:val="none" w:sz="0" w:space="0" w:color="auto"/>
        <w:left w:val="none" w:sz="0" w:space="0" w:color="auto"/>
        <w:bottom w:val="none" w:sz="0" w:space="0" w:color="auto"/>
        <w:right w:val="none" w:sz="0" w:space="0" w:color="auto"/>
      </w:divBdr>
    </w:div>
    <w:div w:id="1333265482">
      <w:bodyDiv w:val="1"/>
      <w:marLeft w:val="0"/>
      <w:marRight w:val="0"/>
      <w:marTop w:val="0"/>
      <w:marBottom w:val="0"/>
      <w:divBdr>
        <w:top w:val="none" w:sz="0" w:space="0" w:color="auto"/>
        <w:left w:val="none" w:sz="0" w:space="0" w:color="auto"/>
        <w:bottom w:val="none" w:sz="0" w:space="0" w:color="auto"/>
        <w:right w:val="none" w:sz="0" w:space="0" w:color="auto"/>
      </w:divBdr>
    </w:div>
    <w:div w:id="1339579389">
      <w:bodyDiv w:val="1"/>
      <w:marLeft w:val="0"/>
      <w:marRight w:val="0"/>
      <w:marTop w:val="0"/>
      <w:marBottom w:val="0"/>
      <w:divBdr>
        <w:top w:val="none" w:sz="0" w:space="0" w:color="auto"/>
        <w:left w:val="none" w:sz="0" w:space="0" w:color="auto"/>
        <w:bottom w:val="none" w:sz="0" w:space="0" w:color="auto"/>
        <w:right w:val="none" w:sz="0" w:space="0" w:color="auto"/>
      </w:divBdr>
    </w:div>
    <w:div w:id="1342587756">
      <w:bodyDiv w:val="1"/>
      <w:marLeft w:val="0"/>
      <w:marRight w:val="0"/>
      <w:marTop w:val="0"/>
      <w:marBottom w:val="0"/>
      <w:divBdr>
        <w:top w:val="none" w:sz="0" w:space="0" w:color="auto"/>
        <w:left w:val="none" w:sz="0" w:space="0" w:color="auto"/>
        <w:bottom w:val="none" w:sz="0" w:space="0" w:color="auto"/>
        <w:right w:val="none" w:sz="0" w:space="0" w:color="auto"/>
      </w:divBdr>
    </w:div>
    <w:div w:id="1378044123">
      <w:bodyDiv w:val="1"/>
      <w:marLeft w:val="0"/>
      <w:marRight w:val="0"/>
      <w:marTop w:val="0"/>
      <w:marBottom w:val="0"/>
      <w:divBdr>
        <w:top w:val="none" w:sz="0" w:space="0" w:color="auto"/>
        <w:left w:val="none" w:sz="0" w:space="0" w:color="auto"/>
        <w:bottom w:val="none" w:sz="0" w:space="0" w:color="auto"/>
        <w:right w:val="none" w:sz="0" w:space="0" w:color="auto"/>
      </w:divBdr>
      <w:divsChild>
        <w:div w:id="1830827642">
          <w:marLeft w:val="0"/>
          <w:marRight w:val="0"/>
          <w:marTop w:val="0"/>
          <w:marBottom w:val="0"/>
          <w:divBdr>
            <w:top w:val="none" w:sz="0" w:space="0" w:color="auto"/>
            <w:left w:val="none" w:sz="0" w:space="0" w:color="auto"/>
            <w:bottom w:val="none" w:sz="0" w:space="0" w:color="auto"/>
            <w:right w:val="none" w:sz="0" w:space="0" w:color="auto"/>
          </w:divBdr>
        </w:div>
        <w:div w:id="1898662092">
          <w:marLeft w:val="0"/>
          <w:marRight w:val="0"/>
          <w:marTop w:val="0"/>
          <w:marBottom w:val="0"/>
          <w:divBdr>
            <w:top w:val="none" w:sz="0" w:space="0" w:color="auto"/>
            <w:left w:val="none" w:sz="0" w:space="0" w:color="auto"/>
            <w:bottom w:val="none" w:sz="0" w:space="0" w:color="auto"/>
            <w:right w:val="none" w:sz="0" w:space="0" w:color="auto"/>
          </w:divBdr>
        </w:div>
      </w:divsChild>
    </w:div>
    <w:div w:id="1381440386">
      <w:bodyDiv w:val="1"/>
      <w:marLeft w:val="0"/>
      <w:marRight w:val="0"/>
      <w:marTop w:val="0"/>
      <w:marBottom w:val="0"/>
      <w:divBdr>
        <w:top w:val="none" w:sz="0" w:space="0" w:color="auto"/>
        <w:left w:val="none" w:sz="0" w:space="0" w:color="auto"/>
        <w:bottom w:val="none" w:sz="0" w:space="0" w:color="auto"/>
        <w:right w:val="none" w:sz="0" w:space="0" w:color="auto"/>
      </w:divBdr>
    </w:div>
    <w:div w:id="1429161121">
      <w:bodyDiv w:val="1"/>
      <w:marLeft w:val="0"/>
      <w:marRight w:val="0"/>
      <w:marTop w:val="0"/>
      <w:marBottom w:val="0"/>
      <w:divBdr>
        <w:top w:val="none" w:sz="0" w:space="0" w:color="auto"/>
        <w:left w:val="none" w:sz="0" w:space="0" w:color="auto"/>
        <w:bottom w:val="none" w:sz="0" w:space="0" w:color="auto"/>
        <w:right w:val="none" w:sz="0" w:space="0" w:color="auto"/>
      </w:divBdr>
    </w:div>
    <w:div w:id="1799294356">
      <w:bodyDiv w:val="1"/>
      <w:marLeft w:val="0"/>
      <w:marRight w:val="0"/>
      <w:marTop w:val="0"/>
      <w:marBottom w:val="0"/>
      <w:divBdr>
        <w:top w:val="none" w:sz="0" w:space="0" w:color="auto"/>
        <w:left w:val="none" w:sz="0" w:space="0" w:color="auto"/>
        <w:bottom w:val="none" w:sz="0" w:space="0" w:color="auto"/>
        <w:right w:val="none" w:sz="0" w:space="0" w:color="auto"/>
      </w:divBdr>
    </w:div>
    <w:div w:id="202331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mt/ms/documents/finalminutes0809jul2020.docx"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be/ag/ag/yr20/agenda202007.as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cc/cs/accsnotice060920.asp" TargetMode="External"/><Relationship Id="rId5" Type="http://schemas.openxmlformats.org/officeDocument/2006/relationships/webSettings" Target="webSettings.xml"/><Relationship Id="rId15" Type="http://schemas.openxmlformats.org/officeDocument/2006/relationships/hyperlink" Target="https://www.cde.ca.gov/be/mt/ms/documents/finalminutes1314jul2022.docx" TargetMode="External"/><Relationship Id="rId10" Type="http://schemas.openxmlformats.org/officeDocument/2006/relationships/hyperlink" Target="https://www.cde.ca.gov/be/cc/cs/documents/accs-jun20item06a7.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ag/ag/yr22/agenda202207.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D9B07-600F-443F-B163-FB4A95C9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8</Pages>
  <Words>2910</Words>
  <Characters>16593</Characters>
  <DocSecurity>0</DocSecurity>
  <Lines>138</Lines>
  <Paragraphs>38</Paragraphs>
  <ScaleCrop>false</ScaleCrop>
  <HeadingPairs>
    <vt:vector size="2" baseType="variant">
      <vt:variant>
        <vt:lpstr>Title</vt:lpstr>
      </vt:variant>
      <vt:variant>
        <vt:i4>1</vt:i4>
      </vt:variant>
    </vt:vector>
  </HeadingPairs>
  <TitlesOfParts>
    <vt:vector size="1" baseType="lpstr">
      <vt:lpstr>March 2023 Agenda Item XX - Meeting Agendas (CA State Board of Education)</vt:lpstr>
    </vt:vector>
  </TitlesOfParts>
  <Company>California State Board of Education</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2023 Agenda Item 10 - Meeting Agendas (CA State Board of Education)</dc:title>
  <dc:subject>T.I.M.E. Community: Consider Issuing a Notice of Violation Pursuant to California Education Code Section 47607(g).</dc:subject>
  <cp:keywords/>
  <dc:description/>
  <cp:lastPrinted>2018-02-13T16:54:00Z</cp:lastPrinted>
  <dcterms:created xsi:type="dcterms:W3CDTF">2023-02-14T16:30:00Z</dcterms:created>
  <dcterms:modified xsi:type="dcterms:W3CDTF">2023-02-25T03:10:00Z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747535718</vt:i4>
  </property>
</Properties>
</file>