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E852E" w14:textId="77777777" w:rsidR="00057A96" w:rsidRPr="007F17D8" w:rsidRDefault="00057A96" w:rsidP="00057A96">
      <w:bookmarkStart w:id="0" w:name="_GoBack"/>
      <w:bookmarkEnd w:id="0"/>
      <w:r w:rsidRPr="007F17D8">
        <w:t>California Department of Education</w:t>
      </w:r>
    </w:p>
    <w:p w14:paraId="74D7E8A9" w14:textId="77777777" w:rsidR="00057A96" w:rsidRPr="007F17D8" w:rsidRDefault="00057A96" w:rsidP="00057A96">
      <w:r w:rsidRPr="007F17D8">
        <w:t>Executive Office</w:t>
      </w:r>
    </w:p>
    <w:p w14:paraId="1A058904" w14:textId="77777777" w:rsidR="00982A10" w:rsidRPr="007F17D8" w:rsidRDefault="00057A96" w:rsidP="00982A10">
      <w:r w:rsidRPr="007F17D8">
        <w:t>SBE-00</w:t>
      </w:r>
      <w:r w:rsidR="00BC376B" w:rsidRPr="007F17D8">
        <w:t>2</w:t>
      </w:r>
      <w:r w:rsidRPr="007F17D8">
        <w:t xml:space="preserve"> (REV. 1</w:t>
      </w:r>
      <w:r w:rsidR="000C139F" w:rsidRPr="007F17D8">
        <w:t>1</w:t>
      </w:r>
      <w:r w:rsidRPr="007F17D8">
        <w:t>/2017)</w:t>
      </w:r>
    </w:p>
    <w:p w14:paraId="61662E66" w14:textId="5964F867" w:rsidR="00982A10" w:rsidRPr="007F17D8" w:rsidRDefault="009F2947" w:rsidP="00B166C6">
      <w:pPr>
        <w:jc w:val="right"/>
      </w:pPr>
      <w:r w:rsidRPr="007F17D8">
        <w:t>memo-</w:t>
      </w:r>
      <w:r w:rsidR="00B958C8" w:rsidRPr="007F17D8">
        <w:t>eab</w:t>
      </w:r>
      <w:r w:rsidRPr="007F17D8">
        <w:t>-eeed-aug19item01</w:t>
      </w:r>
    </w:p>
    <w:p w14:paraId="64A6681A" w14:textId="1AC0C8DA" w:rsidR="00B166C6" w:rsidRPr="007F17D8" w:rsidRDefault="009F2947" w:rsidP="00B166C6">
      <w:pPr>
        <w:jc w:val="right"/>
        <w:sectPr w:rsidR="00B166C6" w:rsidRPr="007F17D8" w:rsidSect="00B166C6">
          <w:headerReference w:type="default" r:id="rId8"/>
          <w:pgSz w:w="12240" w:h="15840"/>
          <w:pgMar w:top="720" w:right="1440" w:bottom="1008" w:left="1440" w:header="720" w:footer="720" w:gutter="0"/>
          <w:cols w:num="2" w:space="720"/>
          <w:titlePg/>
          <w:docGrid w:linePitch="326"/>
        </w:sectPr>
      </w:pPr>
      <w:r w:rsidRPr="007F17D8">
        <w:t xml:space="preserve">Page </w:t>
      </w:r>
      <w:r w:rsidR="00DC6578" w:rsidRPr="007F17D8">
        <w:fldChar w:fldCharType="begin"/>
      </w:r>
      <w:r w:rsidR="00DC6578" w:rsidRPr="007F17D8">
        <w:instrText xml:space="preserve"> PAGE   \* MERGEFORMAT </w:instrText>
      </w:r>
      <w:r w:rsidR="00DC6578" w:rsidRPr="007F17D8">
        <w:fldChar w:fldCharType="separate"/>
      </w:r>
      <w:r w:rsidR="00720004" w:rsidRPr="007F17D8">
        <w:rPr>
          <w:noProof/>
        </w:rPr>
        <w:t>1</w:t>
      </w:r>
      <w:r w:rsidR="00DC6578" w:rsidRPr="007F17D8">
        <w:rPr>
          <w:noProof/>
        </w:rPr>
        <w:fldChar w:fldCharType="end"/>
      </w:r>
      <w:r w:rsidR="00E113DA" w:rsidRPr="007F17D8">
        <w:t xml:space="preserve"> of </w:t>
      </w:r>
      <w:r w:rsidR="00B0410B">
        <w:t>8</w:t>
      </w:r>
    </w:p>
    <w:p w14:paraId="4F9E924D" w14:textId="77777777" w:rsidR="00057A96" w:rsidRPr="007F17D8" w:rsidRDefault="00BC376B" w:rsidP="0033616F">
      <w:pPr>
        <w:pStyle w:val="Heading1"/>
        <w:spacing w:line="360" w:lineRule="auto"/>
        <w:rPr>
          <w:rFonts w:ascii="Arial" w:hAnsi="Arial" w:cs="Arial"/>
          <w:b/>
          <w:color w:val="auto"/>
          <w:sz w:val="40"/>
          <w:szCs w:val="52"/>
        </w:rPr>
      </w:pPr>
      <w:r w:rsidRPr="007F17D8">
        <w:rPr>
          <w:rFonts w:ascii="Arial" w:hAnsi="Arial" w:cs="Arial"/>
          <w:b/>
          <w:color w:val="auto"/>
          <w:sz w:val="40"/>
          <w:szCs w:val="52"/>
        </w:rPr>
        <w:t>MEMORANDUM</w:t>
      </w:r>
    </w:p>
    <w:p w14:paraId="115F6439" w14:textId="2FFF0647" w:rsidR="00057A96" w:rsidRPr="007F17D8" w:rsidRDefault="008F6CA0" w:rsidP="00B166C6">
      <w:pPr>
        <w:pStyle w:val="MessageHeader"/>
      </w:pPr>
      <w:r w:rsidRPr="007F17D8">
        <w:t>DATE:</w:t>
      </w:r>
      <w:r w:rsidRPr="007F17D8">
        <w:tab/>
      </w:r>
      <w:r w:rsidR="00B166C6" w:rsidRPr="007F17D8">
        <w:rPr>
          <w:b w:val="0"/>
        </w:rPr>
        <w:t>August 30</w:t>
      </w:r>
      <w:r w:rsidR="00741AFC" w:rsidRPr="007F17D8">
        <w:rPr>
          <w:b w:val="0"/>
        </w:rPr>
        <w:t>, 2019</w:t>
      </w:r>
      <w:r w:rsidR="00057A96" w:rsidRPr="007F17D8">
        <w:t xml:space="preserve"> </w:t>
      </w:r>
    </w:p>
    <w:p w14:paraId="1394A6CB" w14:textId="433C981C" w:rsidR="00057A96" w:rsidRPr="007F17D8" w:rsidRDefault="00057A96" w:rsidP="00B166C6">
      <w:pPr>
        <w:pStyle w:val="MessageHeader"/>
        <w:tabs>
          <w:tab w:val="left" w:pos="1440"/>
        </w:tabs>
      </w:pPr>
      <w:r w:rsidRPr="007F17D8">
        <w:t>TO:</w:t>
      </w:r>
      <w:r w:rsidRPr="007F17D8">
        <w:tab/>
      </w:r>
      <w:r w:rsidRPr="007F17D8">
        <w:rPr>
          <w:b w:val="0"/>
        </w:rPr>
        <w:t>MEMBERS, State Board of Education</w:t>
      </w:r>
    </w:p>
    <w:p w14:paraId="48CF632E" w14:textId="77777777" w:rsidR="00057A96" w:rsidRPr="007F17D8" w:rsidRDefault="00057A96" w:rsidP="00B166C6">
      <w:pPr>
        <w:pStyle w:val="MessageHeader"/>
        <w:rPr>
          <w:b w:val="0"/>
        </w:rPr>
      </w:pPr>
      <w:r w:rsidRPr="007F17D8">
        <w:t>FROM:</w:t>
      </w:r>
      <w:r w:rsidR="00C61F78" w:rsidRPr="007F17D8">
        <w:tab/>
      </w:r>
      <w:r w:rsidR="00C61F78" w:rsidRPr="007F17D8">
        <w:rPr>
          <w:b w:val="0"/>
        </w:rPr>
        <w:t>TO</w:t>
      </w:r>
      <w:r w:rsidR="001D4A5B" w:rsidRPr="007F17D8">
        <w:rPr>
          <w:b w:val="0"/>
        </w:rPr>
        <w:t>NY THURMOND</w:t>
      </w:r>
      <w:r w:rsidR="00C61F78" w:rsidRPr="007F17D8">
        <w:rPr>
          <w:b w:val="0"/>
        </w:rPr>
        <w:t xml:space="preserve">, </w:t>
      </w:r>
      <w:r w:rsidRPr="007F17D8">
        <w:rPr>
          <w:b w:val="0"/>
        </w:rPr>
        <w:t>State Superintendent of Public Instruction</w:t>
      </w:r>
    </w:p>
    <w:p w14:paraId="571CC6B5" w14:textId="77777777" w:rsidR="00597CBE" w:rsidRPr="007F17D8" w:rsidRDefault="00057A96" w:rsidP="00B166C6">
      <w:pPr>
        <w:pStyle w:val="MessageHeader"/>
        <w:rPr>
          <w:b w:val="0"/>
        </w:rPr>
      </w:pPr>
      <w:r w:rsidRPr="007F17D8">
        <w:t>SUBJECT:</w:t>
      </w:r>
      <w:r w:rsidRPr="007F17D8">
        <w:tab/>
      </w:r>
      <w:r w:rsidR="00741AFC" w:rsidRPr="007F17D8">
        <w:rPr>
          <w:b w:val="0"/>
        </w:rPr>
        <w:t>2017–18 Educator Equity Data</w:t>
      </w:r>
    </w:p>
    <w:p w14:paraId="05FFF648" w14:textId="77777777" w:rsidR="00057A96" w:rsidRPr="007F17D8" w:rsidRDefault="00474A2F" w:rsidP="008B1135">
      <w:pPr>
        <w:pStyle w:val="Heading2"/>
        <w:spacing w:before="240" w:after="0" w:line="360" w:lineRule="auto"/>
        <w:rPr>
          <w:sz w:val="36"/>
        </w:rPr>
      </w:pPr>
      <w:r w:rsidRPr="007F17D8">
        <w:rPr>
          <w:sz w:val="36"/>
        </w:rPr>
        <w:t>Summary o</w:t>
      </w:r>
      <w:r w:rsidR="00057A96" w:rsidRPr="007F17D8">
        <w:rPr>
          <w:sz w:val="36"/>
        </w:rPr>
        <w:t>f Key Issues</w:t>
      </w:r>
    </w:p>
    <w:p w14:paraId="4797EA8B" w14:textId="7C65A81A" w:rsidR="00741AFC" w:rsidRPr="007F17D8" w:rsidRDefault="00741AFC" w:rsidP="00741AFC">
      <w:pPr>
        <w:spacing w:after="240"/>
        <w:rPr>
          <w:rFonts w:eastAsia="Calibri" w:cs="Arial"/>
          <w:lang w:val="en"/>
        </w:rPr>
      </w:pPr>
      <w:r w:rsidRPr="007F17D8">
        <w:rPr>
          <w:rFonts w:eastAsia="Calibri" w:cs="Arial"/>
          <w:lang w:val="en"/>
        </w:rPr>
        <w:t xml:space="preserve">California has long been committed to providing a high-quality education to all students regardless of socioeconomic status or background. Educational equity has been a thoughtfully and deliberatively discussed priority for many years. Effective policies and practices were instituted during the No Child Left Behind (NCLB) era to make strides in providing all students with access to excellent educators. Under </w:t>
      </w:r>
      <w:proofErr w:type="gramStart"/>
      <w:r w:rsidRPr="007F17D8">
        <w:rPr>
          <w:rFonts w:eastAsia="Calibri" w:cs="Arial"/>
          <w:lang w:val="en"/>
        </w:rPr>
        <w:t>the</w:t>
      </w:r>
      <w:r w:rsidR="00B166C6" w:rsidRPr="007F17D8">
        <w:rPr>
          <w:rFonts w:eastAsia="Calibri" w:cs="Arial"/>
          <w:lang w:val="en"/>
        </w:rPr>
        <w:t xml:space="preserve"> </w:t>
      </w:r>
      <w:r w:rsidRPr="007F17D8">
        <w:rPr>
          <w:rFonts w:eastAsia="Calibri" w:cs="Arial"/>
          <w:lang w:val="en"/>
        </w:rPr>
        <w:t>Every</w:t>
      </w:r>
      <w:proofErr w:type="gramEnd"/>
      <w:r w:rsidRPr="007F17D8">
        <w:rPr>
          <w:rFonts w:eastAsia="Calibri" w:cs="Arial"/>
          <w:lang w:val="en"/>
        </w:rPr>
        <w:t xml:space="preserve"> Student Succeeds Act (ESSA), the California Department of Education (CDE) is leveraging and expanding upon this work to recruit, prepare, and maintain a highly skilled educator workforce for the benefit of all students but especially students from historically underserved communities. </w:t>
      </w:r>
    </w:p>
    <w:p w14:paraId="2A0DADCA" w14:textId="1063F529" w:rsidR="00741AFC" w:rsidRPr="007F17D8" w:rsidRDefault="00741AFC" w:rsidP="00741AFC">
      <w:pPr>
        <w:spacing w:after="240"/>
        <w:rPr>
          <w:rFonts w:eastAsia="Calibri" w:cs="Arial"/>
          <w:lang w:val="en"/>
        </w:rPr>
      </w:pPr>
      <w:r w:rsidRPr="007F17D8">
        <w:rPr>
          <w:rFonts w:eastAsia="Calibri" w:cs="Arial"/>
          <w:lang w:val="en"/>
        </w:rPr>
        <w:t xml:space="preserve">To meet ESSA requirements, this memo includes data illustrating the various credential statuses recognized by state law, statewide teacher </w:t>
      </w:r>
      <w:proofErr w:type="spellStart"/>
      <w:r w:rsidRPr="007F17D8">
        <w:rPr>
          <w:rFonts w:eastAsia="Calibri" w:cs="Arial"/>
          <w:lang w:val="en"/>
        </w:rPr>
        <w:t>misassignments</w:t>
      </w:r>
      <w:proofErr w:type="spellEnd"/>
      <w:r w:rsidRPr="007F17D8">
        <w:rPr>
          <w:rFonts w:eastAsia="Calibri" w:cs="Arial"/>
          <w:lang w:val="en"/>
        </w:rPr>
        <w:t xml:space="preserve">, and data describing the distribution of </w:t>
      </w:r>
      <w:r w:rsidR="00C87574" w:rsidRPr="007F17D8">
        <w:rPr>
          <w:rFonts w:eastAsia="Calibri" w:cs="Arial"/>
          <w:lang w:val="en"/>
        </w:rPr>
        <w:t>“</w:t>
      </w:r>
      <w:r w:rsidRPr="007F17D8">
        <w:rPr>
          <w:rFonts w:eastAsia="Calibri" w:cs="Arial"/>
          <w:lang w:val="en"/>
        </w:rPr>
        <w:t>inexperienced,</w:t>
      </w:r>
      <w:r w:rsidR="00C87574" w:rsidRPr="007F17D8">
        <w:rPr>
          <w:rFonts w:eastAsia="Calibri" w:cs="Arial"/>
          <w:lang w:val="en"/>
        </w:rPr>
        <w:t>”</w:t>
      </w:r>
      <w:r w:rsidRPr="007F17D8">
        <w:rPr>
          <w:rFonts w:eastAsia="Calibri" w:cs="Arial"/>
          <w:lang w:val="en"/>
        </w:rPr>
        <w:t xml:space="preserve"> </w:t>
      </w:r>
      <w:r w:rsidR="00C87574" w:rsidRPr="007F17D8">
        <w:rPr>
          <w:rFonts w:eastAsia="Calibri" w:cs="Arial"/>
          <w:lang w:val="en"/>
        </w:rPr>
        <w:t>“</w:t>
      </w:r>
      <w:r w:rsidRPr="007F17D8">
        <w:rPr>
          <w:rFonts w:eastAsia="Calibri" w:cs="Arial"/>
          <w:lang w:val="en"/>
        </w:rPr>
        <w:t>ineffective</w:t>
      </w:r>
      <w:r w:rsidR="00C87574" w:rsidRPr="007F17D8">
        <w:rPr>
          <w:rFonts w:eastAsia="Calibri" w:cs="Arial"/>
          <w:lang w:val="en"/>
        </w:rPr>
        <w:t>”</w:t>
      </w:r>
      <w:r w:rsidRPr="007F17D8">
        <w:rPr>
          <w:rFonts w:eastAsia="Calibri" w:cs="Arial"/>
          <w:lang w:val="en"/>
        </w:rPr>
        <w:t xml:space="preserve"> and </w:t>
      </w:r>
      <w:r w:rsidR="00C87574" w:rsidRPr="007F17D8">
        <w:rPr>
          <w:rFonts w:eastAsia="Calibri" w:cs="Arial"/>
          <w:lang w:val="en"/>
        </w:rPr>
        <w:t>“</w:t>
      </w:r>
      <w:r w:rsidRPr="007F17D8">
        <w:rPr>
          <w:rFonts w:eastAsia="Calibri" w:cs="Arial"/>
          <w:lang w:val="en"/>
        </w:rPr>
        <w:t>out-of-field</w:t>
      </w:r>
      <w:r w:rsidR="00C87574" w:rsidRPr="007F17D8">
        <w:rPr>
          <w:rFonts w:eastAsia="Calibri" w:cs="Arial"/>
          <w:lang w:val="en"/>
        </w:rPr>
        <w:t>”</w:t>
      </w:r>
      <w:r w:rsidRPr="007F17D8">
        <w:rPr>
          <w:rFonts w:eastAsia="Calibri" w:cs="Arial"/>
          <w:lang w:val="en"/>
        </w:rPr>
        <w:t xml:space="preserve"> teachers serving minority and socioeconomically disadvantaged (SED) students.</w:t>
      </w:r>
    </w:p>
    <w:p w14:paraId="69D0E94F" w14:textId="77777777" w:rsidR="00741AFC" w:rsidRPr="007F17D8" w:rsidRDefault="00741AFC" w:rsidP="00B166C6">
      <w:pPr>
        <w:pStyle w:val="Heading3"/>
      </w:pPr>
      <w:r w:rsidRPr="007F17D8">
        <w:t>Evaluating and Reporting Disproportionate Rates of Access to Educators under the No Child Left Behind Act</w:t>
      </w:r>
    </w:p>
    <w:p w14:paraId="0E936E1E" w14:textId="78425354" w:rsidR="00741AFC" w:rsidRPr="007F17D8" w:rsidRDefault="00741AFC" w:rsidP="00741AFC">
      <w:pPr>
        <w:kinsoku w:val="0"/>
        <w:overflowPunct w:val="0"/>
        <w:spacing w:after="240"/>
        <w:textAlignment w:val="baseline"/>
        <w:rPr>
          <w:rFonts w:cs="Arial"/>
        </w:rPr>
      </w:pPr>
      <w:r w:rsidRPr="007F17D8">
        <w:rPr>
          <w:rFonts w:eastAsiaTheme="minorEastAsia" w:cs="Arial"/>
          <w:kern w:val="24"/>
        </w:rPr>
        <w:t>Under NCLB, local educational agencies (LEAs), were required to submit and the CDE was required to approve, Local Educational Agency</w:t>
      </w:r>
      <w:r w:rsidR="00FA3A7C" w:rsidRPr="007F17D8">
        <w:rPr>
          <w:rFonts w:eastAsiaTheme="minorEastAsia" w:cs="Arial"/>
          <w:kern w:val="24"/>
        </w:rPr>
        <w:t xml:space="preserve"> (LEA)</w:t>
      </w:r>
      <w:r w:rsidRPr="007F17D8">
        <w:rPr>
          <w:rFonts w:eastAsiaTheme="minorEastAsia" w:cs="Arial"/>
          <w:kern w:val="24"/>
        </w:rPr>
        <w:t xml:space="preserve"> Plans in order to receive federal funding. As part of the LEA</w:t>
      </w:r>
      <w:r w:rsidR="00FA3A7C" w:rsidRPr="007F17D8">
        <w:rPr>
          <w:rFonts w:eastAsiaTheme="minorEastAsia" w:cs="Arial"/>
          <w:kern w:val="24"/>
        </w:rPr>
        <w:t xml:space="preserve"> </w:t>
      </w:r>
      <w:r w:rsidRPr="007F17D8">
        <w:rPr>
          <w:rFonts w:eastAsiaTheme="minorEastAsia" w:cs="Arial"/>
          <w:kern w:val="24"/>
        </w:rPr>
        <w:t>P</w:t>
      </w:r>
      <w:r w:rsidR="00FA3A7C" w:rsidRPr="007F17D8">
        <w:rPr>
          <w:rFonts w:eastAsiaTheme="minorEastAsia" w:cs="Arial"/>
          <w:kern w:val="24"/>
        </w:rPr>
        <w:t>lans</w:t>
      </w:r>
      <w:r w:rsidRPr="007F17D8">
        <w:rPr>
          <w:rFonts w:eastAsiaTheme="minorEastAsia" w:cs="Arial"/>
          <w:kern w:val="24"/>
        </w:rPr>
        <w:t>, LEAs were required to sign an assurance that low-income and minority students are not taught at higher rates than other students by unqualified, out-of-field, or inexperienced teachers.</w:t>
      </w:r>
    </w:p>
    <w:p w14:paraId="5BD7445D" w14:textId="77777777" w:rsidR="00DC6578" w:rsidRPr="007F17D8" w:rsidRDefault="00DC6578" w:rsidP="00DC6578">
      <w:pPr>
        <w:kinsoku w:val="0"/>
        <w:overflowPunct w:val="0"/>
        <w:spacing w:before="86" w:after="240"/>
        <w:textAlignment w:val="baseline"/>
        <w:rPr>
          <w:rFonts w:cs="Arial"/>
        </w:rPr>
      </w:pPr>
      <w:r w:rsidRPr="007F17D8">
        <w:rPr>
          <w:rFonts w:eastAsiaTheme="minorEastAsia" w:cs="Arial"/>
          <w:kern w:val="24"/>
        </w:rPr>
        <w:t xml:space="preserve">NCLB also required LEAs not making progress regarding the HQT requirement to develop and implement an improvement plan and required CDE to provide technical assistance to LEAs in this work. </w:t>
      </w:r>
      <w:r w:rsidRPr="007F17D8">
        <w:rPr>
          <w:rFonts w:cs="Arial"/>
        </w:rPr>
        <w:t xml:space="preserve">To facilitate implementation of this requirement, the California State Legislature authorized the Compliance Monitoring, Intervention, and Sanctions (CMIS) Program in 2007. </w:t>
      </w:r>
    </w:p>
    <w:p w14:paraId="6C6679CD" w14:textId="77777777" w:rsidR="00DC6578" w:rsidRPr="007F17D8" w:rsidRDefault="00DC6578" w:rsidP="00DC6578">
      <w:pPr>
        <w:spacing w:after="240"/>
        <w:rPr>
          <w:rFonts w:cs="Arial"/>
        </w:rPr>
      </w:pPr>
      <w:r w:rsidRPr="007F17D8">
        <w:rPr>
          <w:rFonts w:cs="Arial"/>
        </w:rPr>
        <w:t>The CMIS Program was administered by the Educator Excellence and Equity Division of the CDE. The primary role of the CMIS Program was to monitor and provide technical assistance to LEAs to meet compliance with federal laws regarding HQTs.</w:t>
      </w:r>
    </w:p>
    <w:p w14:paraId="325B9B65" w14:textId="77777777" w:rsidR="00DC6578" w:rsidRPr="007F17D8" w:rsidRDefault="00DC6578" w:rsidP="00DC6578">
      <w:pPr>
        <w:spacing w:after="240"/>
        <w:rPr>
          <w:rFonts w:cs="Arial"/>
        </w:rPr>
      </w:pPr>
      <w:r w:rsidRPr="007F17D8">
        <w:rPr>
          <w:rFonts w:cs="Arial"/>
        </w:rPr>
        <w:lastRenderedPageBreak/>
        <w:t xml:space="preserve">In 2014, the U.S. Department of Education (ED) required states to create a current and future work plan to remedy gaps in equitable access to excellent educators for all students. The California plan details a theory of action and progress towards achieving equitable access to excellent teachers and leaders for all students. California’s 2015–17 plans to ensure equitable access to excellent educators are available on the CDE Educator Excellence web page at </w:t>
      </w:r>
      <w:hyperlink r:id="rId9" w:tooltip="Educator Excellence Web Page" w:history="1">
        <w:r w:rsidRPr="007F17D8">
          <w:rPr>
            <w:rStyle w:val="Hyperlink"/>
            <w:rFonts w:cs="Arial"/>
          </w:rPr>
          <w:t>https://www.cde.ca.gov/pd/ee/</w:t>
        </w:r>
      </w:hyperlink>
      <w:r w:rsidRPr="007F17D8">
        <w:rPr>
          <w:rFonts w:cs="Arial"/>
        </w:rPr>
        <w:t xml:space="preserve">. </w:t>
      </w:r>
    </w:p>
    <w:p w14:paraId="7F653725" w14:textId="77777777" w:rsidR="00DC6578" w:rsidRPr="007F17D8" w:rsidRDefault="00DC6578" w:rsidP="00DC6578">
      <w:pPr>
        <w:rPr>
          <w:rFonts w:cs="Arial"/>
        </w:rPr>
      </w:pPr>
      <w:r w:rsidRPr="007F17D8">
        <w:rPr>
          <w:rFonts w:cs="Arial"/>
        </w:rPr>
        <w:t xml:space="preserve">In January 2016, the CDE received new information from the ED regarding the transition from NCLB to the ESSA, eliminating the HQT requirements in NCLB. California’s ESSA State Plan describes how the state will meet the new educator equity data reporting requirements. </w:t>
      </w:r>
    </w:p>
    <w:p w14:paraId="69019541" w14:textId="77777777" w:rsidR="00DC6578" w:rsidRPr="007F17D8" w:rsidRDefault="00DC6578" w:rsidP="00B166C6">
      <w:pPr>
        <w:pStyle w:val="Heading3"/>
        <w:rPr>
          <w:lang w:val="en"/>
        </w:rPr>
      </w:pPr>
      <w:r w:rsidRPr="007F17D8">
        <w:rPr>
          <w:lang w:val="en"/>
        </w:rPr>
        <w:t xml:space="preserve">Reporting Educator Equity Data under </w:t>
      </w:r>
      <w:proofErr w:type="gramStart"/>
      <w:r w:rsidRPr="007F17D8">
        <w:rPr>
          <w:lang w:val="en"/>
        </w:rPr>
        <w:t>the Every</w:t>
      </w:r>
      <w:proofErr w:type="gramEnd"/>
      <w:r w:rsidRPr="007F17D8">
        <w:rPr>
          <w:lang w:val="en"/>
        </w:rPr>
        <w:t xml:space="preserve"> Student Succeeds Act</w:t>
      </w:r>
    </w:p>
    <w:p w14:paraId="7CC7C08B" w14:textId="62EEDA50" w:rsidR="00DC6578" w:rsidRPr="007F17D8" w:rsidRDefault="00DC6578" w:rsidP="00DC6578">
      <w:pPr>
        <w:shd w:val="clear" w:color="auto" w:fill="FFFFFF"/>
        <w:spacing w:after="240"/>
        <w:rPr>
          <w:rFonts w:cs="Arial"/>
          <w:lang w:val="en"/>
        </w:rPr>
      </w:pPr>
      <w:r w:rsidRPr="007F17D8">
        <w:rPr>
          <w:rFonts w:cs="Arial"/>
          <w:lang w:val="en"/>
        </w:rPr>
        <w:t>California’s Local Control Funding Formula (LCFF) fundamentally changed how all LEAs in the state are funded, how the</w:t>
      </w:r>
      <w:r w:rsidR="00FA3A7C" w:rsidRPr="007F17D8">
        <w:rPr>
          <w:rFonts w:cs="Arial"/>
          <w:lang w:val="en"/>
        </w:rPr>
        <w:t xml:space="preserve">ir results </w:t>
      </w:r>
      <w:r w:rsidRPr="007F17D8">
        <w:rPr>
          <w:rFonts w:cs="Arial"/>
          <w:lang w:val="en"/>
        </w:rPr>
        <w:t>are measured</w:t>
      </w:r>
      <w:r w:rsidR="00FA3A7C" w:rsidRPr="007F17D8">
        <w:rPr>
          <w:rFonts w:cs="Arial"/>
          <w:lang w:val="en"/>
        </w:rPr>
        <w:t>,</w:t>
      </w:r>
      <w:r w:rsidRPr="007F17D8">
        <w:rPr>
          <w:rFonts w:cs="Arial"/>
          <w:lang w:val="en"/>
        </w:rPr>
        <w:t xml:space="preserve"> and the services and supports they receive to allow all students to succeed to their greatest potential. California is committed to aligning state and federal education policies to the greatest extent possible to develop an integrated local, state, and federal accountability and continuous improvement system grounded in the LCFF. </w:t>
      </w:r>
    </w:p>
    <w:p w14:paraId="16327DD9" w14:textId="2944D1C9" w:rsidR="00DC6578" w:rsidRPr="007F17D8" w:rsidRDefault="00DC6578" w:rsidP="00DC6578">
      <w:pPr>
        <w:shd w:val="clear" w:color="auto" w:fill="FFFFFF"/>
        <w:spacing w:after="240"/>
        <w:rPr>
          <w:rFonts w:cs="Arial"/>
          <w:lang w:val="en"/>
        </w:rPr>
      </w:pPr>
      <w:r w:rsidRPr="007F17D8">
        <w:rPr>
          <w:rFonts w:cs="Arial"/>
          <w:lang w:val="en"/>
        </w:rPr>
        <w:t xml:space="preserve">Under the LCFF, LEAs are held accountable for improving student performance. Specifically, California’s LCFF-based </w:t>
      </w:r>
      <w:r w:rsidR="007D5493" w:rsidRPr="007F17D8">
        <w:rPr>
          <w:rFonts w:cs="Arial"/>
          <w:lang w:val="en"/>
        </w:rPr>
        <w:t xml:space="preserve">accountability </w:t>
      </w:r>
      <w:r w:rsidRPr="007F17D8">
        <w:rPr>
          <w:rFonts w:cs="Arial"/>
          <w:lang w:val="en"/>
        </w:rPr>
        <w:t>system sets eight priorities for school districts and charter schools (10 for county offices of education [COEs]). LCFF Priority 1 recognizes that LEAs should be accountable for providing all students with access to standards-aligned instructional materials, facilities that are in good repair, and teachers who hold teaching credentials and are appropriately assigned (have official certification for the position in which they are teaching). Teachers are not appropriately assigned if they are placed in a</w:t>
      </w:r>
      <w:r w:rsidR="008946D2" w:rsidRPr="007F17D8">
        <w:rPr>
          <w:rFonts w:cs="Arial"/>
          <w:lang w:val="en"/>
        </w:rPr>
        <w:t xml:space="preserve"> teaching or services</w:t>
      </w:r>
      <w:r w:rsidRPr="007F17D8">
        <w:rPr>
          <w:rFonts w:cs="Arial"/>
          <w:lang w:val="en"/>
        </w:rPr>
        <w:t xml:space="preserve"> position for which the employee does not hold a legally recognized certificate or credential or if placed in a certificated teaching or services position that the employee is not otherwise authorized by statute to hold. State law provides that teachers in charter schools shall hold a certificate, permit, or other document equivalent to that which a teacher in other public schools would be required to hold, but currently allows charter schools credentialing flexibility with regard to non-core, non-college preparatory courses. </w:t>
      </w:r>
    </w:p>
    <w:p w14:paraId="2A12B04C" w14:textId="50A05850" w:rsidR="00DC6578" w:rsidRPr="007F17D8" w:rsidRDefault="00D80549" w:rsidP="00DC6578">
      <w:pPr>
        <w:shd w:val="clear" w:color="auto" w:fill="FFFFFF"/>
        <w:spacing w:after="240"/>
        <w:rPr>
          <w:rFonts w:cs="Arial"/>
          <w:lang w:val="en"/>
        </w:rPr>
      </w:pPr>
      <w:r w:rsidRPr="007F17D8">
        <w:rPr>
          <w:rFonts w:cs="Arial"/>
          <w:lang w:val="en"/>
        </w:rPr>
        <w:t xml:space="preserve">For educator equity, ESSA maintained the reporting requirements related to “out-of-field” and “inexperienced” teachers, but replaced the term HQT with the term “ineffective” and </w:t>
      </w:r>
      <w:r w:rsidR="00E96176" w:rsidRPr="007F17D8">
        <w:rPr>
          <w:rFonts w:cs="Arial"/>
          <w:lang w:val="en"/>
        </w:rPr>
        <w:t xml:space="preserve">required states </w:t>
      </w:r>
      <w:r w:rsidRPr="007F17D8">
        <w:rPr>
          <w:rFonts w:cs="Arial"/>
          <w:lang w:val="en"/>
        </w:rPr>
        <w:t xml:space="preserve">to define that term. </w:t>
      </w:r>
      <w:r w:rsidR="00DC6578" w:rsidRPr="007F17D8">
        <w:rPr>
          <w:rFonts w:cs="Arial"/>
          <w:lang w:val="en"/>
        </w:rPr>
        <w:t xml:space="preserve">Under NCLB, California did not collect data regarding teacher effectiveness, nor did the state have a definition for the term “ineffective teacher.” The CDE consulted with stakeholders regarding the most appropriate approach for addressing the ESSA requirement to evaluate and publicly report data regarding “ineffective” teachers and the students they serve. </w:t>
      </w:r>
    </w:p>
    <w:p w14:paraId="005D6C90" w14:textId="6409690C" w:rsidR="00D80549" w:rsidRPr="007F17D8" w:rsidRDefault="00DC6578" w:rsidP="00701E42">
      <w:pPr>
        <w:pStyle w:val="PlainText"/>
        <w:rPr>
          <w:rFonts w:cs="Arial"/>
          <w:lang w:val="en"/>
        </w:rPr>
      </w:pPr>
      <w:r w:rsidRPr="007F17D8">
        <w:rPr>
          <w:rFonts w:cs="Arial"/>
          <w:lang w:val="en"/>
        </w:rPr>
        <w:t xml:space="preserve">To meet ESSA requirements, California’s definition for “ineffective teacher” builds on LCFF Priority 1 by focusing on credential and assignment status—specifically whether </w:t>
      </w:r>
      <w:r w:rsidRPr="007F17D8">
        <w:rPr>
          <w:rFonts w:cs="Arial"/>
          <w:lang w:val="en"/>
        </w:rPr>
        <w:lastRenderedPageBreak/>
        <w:t xml:space="preserve">teachers are </w:t>
      </w:r>
      <w:proofErr w:type="spellStart"/>
      <w:r w:rsidR="008946D2" w:rsidRPr="007F17D8">
        <w:rPr>
          <w:rFonts w:cs="Arial"/>
          <w:lang w:val="en"/>
        </w:rPr>
        <w:t>mis</w:t>
      </w:r>
      <w:r w:rsidRPr="007F17D8">
        <w:rPr>
          <w:rFonts w:cs="Arial"/>
          <w:lang w:val="en"/>
        </w:rPr>
        <w:t>assigned</w:t>
      </w:r>
      <w:proofErr w:type="spellEnd"/>
      <w:r w:rsidRPr="007F17D8">
        <w:rPr>
          <w:rFonts w:cs="Arial"/>
          <w:lang w:val="en"/>
        </w:rPr>
        <w:t xml:space="preserve"> or are teaching without a credential—while recognizing the current flexibility afforded charter schools under state law. </w:t>
      </w:r>
    </w:p>
    <w:p w14:paraId="6504D99F" w14:textId="77777777" w:rsidR="00D80549" w:rsidRPr="007F17D8" w:rsidRDefault="00D80549" w:rsidP="00701E42">
      <w:pPr>
        <w:pStyle w:val="PlainText"/>
        <w:rPr>
          <w:rFonts w:cs="Arial"/>
          <w:lang w:val="en"/>
        </w:rPr>
      </w:pPr>
    </w:p>
    <w:p w14:paraId="2A020B82" w14:textId="4B6DCB6E" w:rsidR="00701E42" w:rsidRPr="007F17D8" w:rsidRDefault="00D80549" w:rsidP="00076047">
      <w:pPr>
        <w:shd w:val="clear" w:color="auto" w:fill="FFFFFF"/>
        <w:spacing w:after="240"/>
      </w:pPr>
      <w:r w:rsidRPr="007F17D8">
        <w:rPr>
          <w:rFonts w:cs="Arial"/>
          <w:lang w:val="en"/>
        </w:rPr>
        <w:t>Under the ESSA, the definitions provided in Table 1 below are used to collect relevant teacher and student data and calculate equity gaps.</w:t>
      </w:r>
      <w:r w:rsidR="00E96176" w:rsidRPr="007F17D8">
        <w:rPr>
          <w:rFonts w:cs="Arial"/>
          <w:lang w:val="en"/>
        </w:rPr>
        <w:t xml:space="preserve"> </w:t>
      </w:r>
      <w:r w:rsidR="00701E42" w:rsidRPr="007F17D8">
        <w:t xml:space="preserve">As part of the next revision of the ESSA State Plan, </w:t>
      </w:r>
      <w:r w:rsidR="008946D2" w:rsidRPr="007F17D8">
        <w:t xml:space="preserve">staff will recommend clarifying </w:t>
      </w:r>
      <w:r w:rsidR="00701E42" w:rsidRPr="007F17D8">
        <w:t>the definition of “ineffective teacher” to include individuals teaching with Provisional Internship Permits, Short-Term Staff Permits, and Variable Term Waivers</w:t>
      </w:r>
      <w:r w:rsidR="008946D2" w:rsidRPr="007F17D8">
        <w:t>, in addition to the two categories described in the current definition. Staff will also recommend clarifying the definition of “out-of-field teacher” to include in</w:t>
      </w:r>
      <w:r w:rsidR="00701E42" w:rsidRPr="007F17D8">
        <w:t>dividuals teaching with Short-Term Waivers</w:t>
      </w:r>
      <w:r w:rsidR="000758EF" w:rsidRPr="007F17D8">
        <w:t>, Emergency English Learner or Bilingual Permits,</w:t>
      </w:r>
      <w:r w:rsidR="00701E42" w:rsidRPr="007F17D8">
        <w:t xml:space="preserve"> and on Local Assignment Options</w:t>
      </w:r>
      <w:r w:rsidR="008946D2" w:rsidRPr="007F17D8">
        <w:t xml:space="preserve">, in addition to the </w:t>
      </w:r>
      <w:r w:rsidRPr="007F17D8">
        <w:t xml:space="preserve">two types of Limited Assignment Permits in the current definition. LEAs will be required to update the section of their LCAP Federal Addendum related to educator </w:t>
      </w:r>
      <w:proofErr w:type="gramStart"/>
      <w:r w:rsidRPr="007F17D8">
        <w:t>equity  to</w:t>
      </w:r>
      <w:proofErr w:type="gramEnd"/>
      <w:r w:rsidRPr="007F17D8">
        <w:t xml:space="preserve"> reflect the updated definitions of “ineffective” and “out-of-field” teachers. </w:t>
      </w:r>
    </w:p>
    <w:p w14:paraId="5F790AFE" w14:textId="77777777" w:rsidR="00DC6578" w:rsidRPr="007F17D8" w:rsidRDefault="00DC6578" w:rsidP="00B166C6">
      <w:pPr>
        <w:pStyle w:val="Heading3"/>
        <w:spacing w:before="240"/>
        <w:rPr>
          <w:lang w:val="en"/>
        </w:rPr>
      </w:pPr>
      <w:r w:rsidRPr="007F17D8">
        <w:rPr>
          <w:lang w:val="en"/>
        </w:rPr>
        <w:t xml:space="preserve">Table 1: California Definitions for Purposes of Collecting Equity Data under </w:t>
      </w:r>
      <w:proofErr w:type="gramStart"/>
      <w:r w:rsidRPr="007F17D8">
        <w:rPr>
          <w:lang w:val="en"/>
        </w:rPr>
        <w:t>the Every</w:t>
      </w:r>
      <w:proofErr w:type="gramEnd"/>
      <w:r w:rsidRPr="007F17D8">
        <w:rPr>
          <w:lang w:val="en"/>
        </w:rPr>
        <w:t xml:space="preserve"> Student Succeeds Act</w:t>
      </w:r>
    </w:p>
    <w:tbl>
      <w:tblPr>
        <w:tblStyle w:val="TableGrid"/>
        <w:tblW w:w="0" w:type="auto"/>
        <w:tblLook w:val="04A0" w:firstRow="1" w:lastRow="0" w:firstColumn="1" w:lastColumn="0" w:noHBand="0" w:noVBand="1"/>
        <w:tblDescription w:val="This chart contains terms and definitions under California's ESSA plan:  ineffective teacher, out-of-field teacher, inexperienced teacher, minority student and low-income student."/>
      </w:tblPr>
      <w:tblGrid>
        <w:gridCol w:w="2155"/>
        <w:gridCol w:w="7195"/>
      </w:tblGrid>
      <w:tr w:rsidR="00DC6578" w:rsidRPr="007F17D8" w14:paraId="6E444C65" w14:textId="77777777" w:rsidTr="00B40203">
        <w:trPr>
          <w:cantSplit/>
          <w:tblHeader/>
        </w:trPr>
        <w:tc>
          <w:tcPr>
            <w:tcW w:w="2155" w:type="dxa"/>
            <w:shd w:val="clear" w:color="auto" w:fill="D9D9D9" w:themeFill="background1" w:themeFillShade="D9"/>
          </w:tcPr>
          <w:p w14:paraId="41A79481" w14:textId="77777777" w:rsidR="00DC6578" w:rsidRPr="007F17D8" w:rsidRDefault="00DC6578" w:rsidP="00DC6578">
            <w:pPr>
              <w:spacing w:after="240"/>
              <w:jc w:val="center"/>
              <w:rPr>
                <w:rFonts w:cs="Arial"/>
                <w:b/>
                <w:lang w:val="en"/>
              </w:rPr>
            </w:pPr>
            <w:r w:rsidRPr="007F17D8">
              <w:rPr>
                <w:rFonts w:cs="Arial"/>
                <w:b/>
                <w:lang w:val="en"/>
              </w:rPr>
              <w:t>Term</w:t>
            </w:r>
          </w:p>
        </w:tc>
        <w:tc>
          <w:tcPr>
            <w:tcW w:w="7195" w:type="dxa"/>
            <w:shd w:val="clear" w:color="auto" w:fill="D9D9D9" w:themeFill="background1" w:themeFillShade="D9"/>
          </w:tcPr>
          <w:p w14:paraId="54F8F7B9" w14:textId="77777777" w:rsidR="00DC6578" w:rsidRPr="007F17D8" w:rsidRDefault="00DC6578" w:rsidP="00DC6578">
            <w:pPr>
              <w:spacing w:after="240"/>
              <w:jc w:val="center"/>
              <w:rPr>
                <w:rFonts w:cs="Arial"/>
                <w:b/>
                <w:lang w:val="en"/>
              </w:rPr>
            </w:pPr>
            <w:r w:rsidRPr="007F17D8">
              <w:rPr>
                <w:rFonts w:cs="Arial"/>
                <w:b/>
                <w:lang w:val="en"/>
              </w:rPr>
              <w:t>Definition</w:t>
            </w:r>
          </w:p>
        </w:tc>
      </w:tr>
      <w:tr w:rsidR="00DC6578" w:rsidRPr="007F17D8" w14:paraId="75D13D5F" w14:textId="77777777" w:rsidTr="00B40203">
        <w:trPr>
          <w:cantSplit/>
        </w:trPr>
        <w:tc>
          <w:tcPr>
            <w:tcW w:w="2155" w:type="dxa"/>
          </w:tcPr>
          <w:p w14:paraId="4D33B6E0" w14:textId="77777777" w:rsidR="00DC6578" w:rsidRPr="007F17D8" w:rsidRDefault="00DC6578" w:rsidP="00DC6578">
            <w:pPr>
              <w:spacing w:after="240"/>
              <w:rPr>
                <w:rFonts w:cs="Arial"/>
                <w:lang w:val="en"/>
              </w:rPr>
            </w:pPr>
            <w:r w:rsidRPr="007F17D8">
              <w:rPr>
                <w:rFonts w:cs="Arial"/>
                <w:lang w:val="en"/>
              </w:rPr>
              <w:t>Ineffective Teacher</w:t>
            </w:r>
          </w:p>
        </w:tc>
        <w:tc>
          <w:tcPr>
            <w:tcW w:w="7195" w:type="dxa"/>
          </w:tcPr>
          <w:p w14:paraId="53FB96B3" w14:textId="77777777" w:rsidR="00DC6578" w:rsidRPr="007F17D8" w:rsidRDefault="00DC6578" w:rsidP="00DC6578">
            <w:pPr>
              <w:spacing w:after="240"/>
              <w:rPr>
                <w:rFonts w:cs="Arial"/>
                <w:lang w:val="en"/>
              </w:rPr>
            </w:pPr>
            <w:r w:rsidRPr="007F17D8">
              <w:rPr>
                <w:rFonts w:cs="Arial"/>
                <w:lang w:val="en"/>
              </w:rPr>
              <w:t xml:space="preserve">A teacher who is: (a) </w:t>
            </w:r>
            <w:proofErr w:type="spellStart"/>
            <w:r w:rsidRPr="007F17D8">
              <w:rPr>
                <w:rFonts w:cs="Arial"/>
                <w:lang w:val="en"/>
              </w:rPr>
              <w:t>misassigned</w:t>
            </w:r>
            <w:proofErr w:type="spellEnd"/>
            <w:r w:rsidRPr="007F17D8">
              <w:rPr>
                <w:rFonts w:cs="Arial"/>
                <w:lang w:val="en"/>
              </w:rPr>
              <w:t xml:space="preserve"> (placed in a position for which the employee does not hold a legally recognized certificate or credential or a certificated employee placed in a teaching or services position in which the employee is not otherwise authorized by statute to serve), or (b) teaching without a credential.</w:t>
            </w:r>
          </w:p>
        </w:tc>
      </w:tr>
      <w:tr w:rsidR="00DC6578" w:rsidRPr="007F17D8" w14:paraId="589FD475" w14:textId="77777777" w:rsidTr="00B40203">
        <w:trPr>
          <w:cantSplit/>
        </w:trPr>
        <w:tc>
          <w:tcPr>
            <w:tcW w:w="2155" w:type="dxa"/>
          </w:tcPr>
          <w:p w14:paraId="772C5860" w14:textId="77777777" w:rsidR="00DC6578" w:rsidRPr="007F17D8" w:rsidRDefault="00DC6578" w:rsidP="00DC6578">
            <w:pPr>
              <w:tabs>
                <w:tab w:val="left" w:pos="1355"/>
              </w:tabs>
              <w:rPr>
                <w:rFonts w:cs="Arial"/>
                <w:lang w:val="en"/>
              </w:rPr>
            </w:pPr>
            <w:r w:rsidRPr="007F17D8">
              <w:rPr>
                <w:rFonts w:cs="Arial"/>
                <w:lang w:val="en"/>
              </w:rPr>
              <w:t>Out-of-Field Teacher</w:t>
            </w:r>
          </w:p>
        </w:tc>
        <w:tc>
          <w:tcPr>
            <w:tcW w:w="7195" w:type="dxa"/>
          </w:tcPr>
          <w:p w14:paraId="7B47463E" w14:textId="77777777" w:rsidR="00DC6578" w:rsidRPr="007F17D8" w:rsidRDefault="00DC6578" w:rsidP="00DC6578">
            <w:pPr>
              <w:spacing w:after="240"/>
              <w:rPr>
                <w:rFonts w:cs="Arial"/>
                <w:lang w:val="en"/>
              </w:rPr>
            </w:pPr>
            <w:r w:rsidRPr="007F17D8">
              <w:rPr>
                <w:rFonts w:cs="Arial"/>
                <w:lang w:val="en"/>
              </w:rPr>
              <w:t xml:space="preserve">A teacher who has not yet demonstrated subject matter competence in the subject area(s) or for the student population to which he or she is assigned. Under this definition, teachers with the following limited permits would be considered out-of-field: </w:t>
            </w:r>
          </w:p>
          <w:p w14:paraId="785EC3F6" w14:textId="77777777" w:rsidR="00DC6578" w:rsidRPr="007F17D8" w:rsidRDefault="00DC6578" w:rsidP="00DC6578">
            <w:pPr>
              <w:pStyle w:val="ListParagraph"/>
              <w:numPr>
                <w:ilvl w:val="0"/>
                <w:numId w:val="1"/>
              </w:numPr>
              <w:spacing w:after="240"/>
              <w:rPr>
                <w:rFonts w:cs="Arial"/>
                <w:lang w:val="en"/>
              </w:rPr>
            </w:pPr>
            <w:r w:rsidRPr="007F17D8">
              <w:rPr>
                <w:rFonts w:cs="Arial"/>
                <w:lang w:val="en"/>
              </w:rPr>
              <w:t xml:space="preserve">General Education Limited Assignment Permit </w:t>
            </w:r>
          </w:p>
          <w:p w14:paraId="6690B5EB" w14:textId="77777777" w:rsidR="00DC6578" w:rsidRPr="007F17D8" w:rsidRDefault="00DC6578" w:rsidP="00DC6578">
            <w:pPr>
              <w:pStyle w:val="ListParagraph"/>
              <w:numPr>
                <w:ilvl w:val="0"/>
                <w:numId w:val="1"/>
              </w:numPr>
              <w:spacing w:after="240"/>
              <w:rPr>
                <w:rFonts w:cs="Arial"/>
                <w:lang w:val="en"/>
              </w:rPr>
            </w:pPr>
            <w:r w:rsidRPr="007F17D8">
              <w:rPr>
                <w:rFonts w:cs="Arial"/>
                <w:lang w:val="en"/>
              </w:rPr>
              <w:t xml:space="preserve">Special Education Limited Assignment Permit </w:t>
            </w:r>
          </w:p>
        </w:tc>
      </w:tr>
      <w:tr w:rsidR="00DC6578" w:rsidRPr="007F17D8" w14:paraId="1AF9ECBE" w14:textId="77777777" w:rsidTr="00B40203">
        <w:trPr>
          <w:cantSplit/>
        </w:trPr>
        <w:tc>
          <w:tcPr>
            <w:tcW w:w="2155" w:type="dxa"/>
          </w:tcPr>
          <w:p w14:paraId="06A66F6A" w14:textId="77777777" w:rsidR="00DC6578" w:rsidRPr="007F17D8" w:rsidRDefault="00DC6578" w:rsidP="00DC6578">
            <w:pPr>
              <w:spacing w:after="240"/>
              <w:rPr>
                <w:rFonts w:cs="Arial"/>
                <w:lang w:val="en"/>
              </w:rPr>
            </w:pPr>
            <w:r w:rsidRPr="007F17D8">
              <w:rPr>
                <w:rFonts w:cs="Arial"/>
                <w:lang w:val="en"/>
              </w:rPr>
              <w:t>Inexperienced Teacher</w:t>
            </w:r>
          </w:p>
        </w:tc>
        <w:tc>
          <w:tcPr>
            <w:tcW w:w="7195" w:type="dxa"/>
          </w:tcPr>
          <w:p w14:paraId="3A0CDFFE" w14:textId="77777777" w:rsidR="00DC6578" w:rsidRPr="007F17D8" w:rsidRDefault="00DC6578" w:rsidP="00DC6578">
            <w:pPr>
              <w:spacing w:after="240"/>
              <w:rPr>
                <w:rFonts w:cs="Arial"/>
                <w:lang w:val="en"/>
              </w:rPr>
            </w:pPr>
            <w:r w:rsidRPr="007F17D8">
              <w:rPr>
                <w:rFonts w:cs="Arial"/>
                <w:lang w:val="en"/>
              </w:rPr>
              <w:t>A teacher who has two or fewer years of teaching experience.</w:t>
            </w:r>
          </w:p>
        </w:tc>
      </w:tr>
      <w:tr w:rsidR="00DC6578" w:rsidRPr="007F17D8" w14:paraId="58B6F427" w14:textId="77777777" w:rsidTr="00B40203">
        <w:trPr>
          <w:cantSplit/>
        </w:trPr>
        <w:tc>
          <w:tcPr>
            <w:tcW w:w="2155" w:type="dxa"/>
          </w:tcPr>
          <w:p w14:paraId="00FBE3DC" w14:textId="77777777" w:rsidR="00DC6578" w:rsidRPr="007F17D8" w:rsidRDefault="00DC6578" w:rsidP="00DC6578">
            <w:pPr>
              <w:spacing w:after="240"/>
              <w:rPr>
                <w:rFonts w:cs="Arial"/>
                <w:lang w:val="en"/>
              </w:rPr>
            </w:pPr>
            <w:r w:rsidRPr="007F17D8">
              <w:rPr>
                <w:rFonts w:cs="Arial"/>
                <w:lang w:val="en"/>
              </w:rPr>
              <w:t>Minority Student</w:t>
            </w:r>
          </w:p>
        </w:tc>
        <w:tc>
          <w:tcPr>
            <w:tcW w:w="7195" w:type="dxa"/>
          </w:tcPr>
          <w:p w14:paraId="5A611030" w14:textId="6A6766D1" w:rsidR="00DC6578" w:rsidRPr="007F17D8" w:rsidRDefault="00DC6578" w:rsidP="00DC6578">
            <w:pPr>
              <w:spacing w:after="240"/>
              <w:rPr>
                <w:rFonts w:cs="Arial"/>
                <w:lang w:val="en"/>
              </w:rPr>
            </w:pPr>
            <w:r w:rsidRPr="007F17D8">
              <w:rPr>
                <w:rFonts w:cs="Arial"/>
                <w:lang w:val="en"/>
              </w:rPr>
              <w:t>A student who is American Indian/Alaska Native, Asian, African American, Filipino, Native Hawaiian/Pacific Islander, Hispanic, or Two or More Races Not Hispanic.</w:t>
            </w:r>
          </w:p>
        </w:tc>
      </w:tr>
      <w:tr w:rsidR="00DC6578" w:rsidRPr="007F17D8" w14:paraId="2BA148BA" w14:textId="77777777" w:rsidTr="00B40203">
        <w:trPr>
          <w:cantSplit/>
        </w:trPr>
        <w:tc>
          <w:tcPr>
            <w:tcW w:w="2155" w:type="dxa"/>
          </w:tcPr>
          <w:p w14:paraId="7DC164FD" w14:textId="77777777" w:rsidR="00DC6578" w:rsidRPr="007F17D8" w:rsidRDefault="00DC6578" w:rsidP="00DC6578">
            <w:pPr>
              <w:spacing w:after="240"/>
              <w:rPr>
                <w:rFonts w:cs="Arial"/>
                <w:lang w:val="en"/>
              </w:rPr>
            </w:pPr>
            <w:r w:rsidRPr="007F17D8">
              <w:rPr>
                <w:rFonts w:cs="Arial"/>
                <w:lang w:val="en"/>
              </w:rPr>
              <w:t>Low-Income Student</w:t>
            </w:r>
          </w:p>
        </w:tc>
        <w:tc>
          <w:tcPr>
            <w:tcW w:w="7195" w:type="dxa"/>
          </w:tcPr>
          <w:p w14:paraId="7F4C4288" w14:textId="77777777" w:rsidR="00DC6578" w:rsidRPr="007F17D8" w:rsidRDefault="00DC6578" w:rsidP="00DC6578">
            <w:pPr>
              <w:spacing w:after="240"/>
              <w:rPr>
                <w:rFonts w:cs="Arial"/>
                <w:lang w:val="en"/>
              </w:rPr>
            </w:pPr>
            <w:r w:rsidRPr="007F17D8">
              <w:rPr>
                <w:rFonts w:cs="Arial"/>
                <w:lang w:val="en"/>
              </w:rPr>
              <w:t xml:space="preserve">A student who is eligible to receive free or </w:t>
            </w:r>
            <w:proofErr w:type="gramStart"/>
            <w:r w:rsidRPr="007F17D8">
              <w:rPr>
                <w:rFonts w:cs="Arial"/>
                <w:lang w:val="en"/>
              </w:rPr>
              <w:t>reduced price</w:t>
            </w:r>
            <w:proofErr w:type="gramEnd"/>
            <w:r w:rsidRPr="007F17D8">
              <w:rPr>
                <w:rFonts w:cs="Arial"/>
                <w:lang w:val="en"/>
              </w:rPr>
              <w:t xml:space="preserve"> meals.  </w:t>
            </w:r>
          </w:p>
        </w:tc>
      </w:tr>
    </w:tbl>
    <w:p w14:paraId="656FE202" w14:textId="2D2F8676" w:rsidR="00DC6578" w:rsidRPr="007F17D8" w:rsidRDefault="00DC6578" w:rsidP="00DC6578">
      <w:pPr>
        <w:pStyle w:val="Default"/>
        <w:spacing w:before="240" w:after="240"/>
        <w:rPr>
          <w:lang w:val="en"/>
        </w:rPr>
      </w:pPr>
      <w:r w:rsidRPr="007F17D8">
        <w:t xml:space="preserve">For the 2017–18 data in Attachment 1, the CDE used data collected via the California Longitudinal Pupil Achievement Data System (CALPADS), the California Commission </w:t>
      </w:r>
      <w:r w:rsidRPr="007F17D8">
        <w:lastRenderedPageBreak/>
        <w:t xml:space="preserve">on Teacher Credentialing (CTC), and </w:t>
      </w:r>
      <w:proofErr w:type="spellStart"/>
      <w:r w:rsidRPr="007F17D8">
        <w:rPr>
          <w:i/>
          <w:iCs/>
        </w:rPr>
        <w:t>CalEdFacts</w:t>
      </w:r>
      <w:proofErr w:type="spellEnd"/>
      <w:r w:rsidRPr="007F17D8">
        <w:rPr>
          <w:i/>
          <w:iCs/>
        </w:rPr>
        <w:t xml:space="preserve"> </w:t>
      </w:r>
      <w:r w:rsidRPr="007F17D8">
        <w:t xml:space="preserve">to create data profiles that provide information regarding the rates at which low-income and minority children are taught by out-of-field, and inexperienced teachers compared to the rates at which other children are taught by these teachers. The CTC and CDE have entered into a data sharing Memorandum of Understanding (MOU) which, along with the new </w:t>
      </w:r>
      <w:r w:rsidRPr="007F17D8">
        <w:rPr>
          <w:lang w:val="en"/>
        </w:rPr>
        <w:t>California State Assignment Accountability System (</w:t>
      </w:r>
      <w:proofErr w:type="spellStart"/>
      <w:r w:rsidRPr="007F17D8">
        <w:rPr>
          <w:lang w:val="en"/>
        </w:rPr>
        <w:t>CalSAAS</w:t>
      </w:r>
      <w:proofErr w:type="spellEnd"/>
      <w:r w:rsidRPr="007F17D8">
        <w:rPr>
          <w:lang w:val="en"/>
        </w:rPr>
        <w:t xml:space="preserve">), will allow the CDE to report </w:t>
      </w:r>
      <w:r w:rsidR="00701E42" w:rsidRPr="007F17D8">
        <w:rPr>
          <w:lang w:val="en"/>
        </w:rPr>
        <w:t>initial</w:t>
      </w:r>
      <w:r w:rsidRPr="007F17D8">
        <w:rPr>
          <w:lang w:val="en"/>
        </w:rPr>
        <w:t xml:space="preserve"> data</w:t>
      </w:r>
      <w:r w:rsidR="00E96176" w:rsidRPr="007F17D8">
        <w:rPr>
          <w:lang w:val="en"/>
        </w:rPr>
        <w:t>, based on the 2018</w:t>
      </w:r>
      <w:r w:rsidR="00D13988" w:rsidRPr="007F17D8">
        <w:rPr>
          <w:lang w:val="en"/>
        </w:rPr>
        <w:t>–</w:t>
      </w:r>
      <w:r w:rsidR="00E96176" w:rsidRPr="007F17D8">
        <w:rPr>
          <w:lang w:val="en"/>
        </w:rPr>
        <w:t>19 school year,</w:t>
      </w:r>
      <w:r w:rsidRPr="007F17D8">
        <w:rPr>
          <w:lang w:val="en"/>
        </w:rPr>
        <w:t xml:space="preserve"> regarding the distribution of ineffective </w:t>
      </w:r>
      <w:r w:rsidR="000758EF" w:rsidRPr="007F17D8">
        <w:rPr>
          <w:lang w:val="en"/>
        </w:rPr>
        <w:t xml:space="preserve">and out-of-field </w:t>
      </w:r>
      <w:r w:rsidRPr="007F17D8">
        <w:rPr>
          <w:lang w:val="en"/>
        </w:rPr>
        <w:t>teachers</w:t>
      </w:r>
      <w:r w:rsidR="000758EF" w:rsidRPr="007F17D8">
        <w:rPr>
          <w:lang w:val="en"/>
        </w:rPr>
        <w:t xml:space="preserve"> according to their new definitions in the updated California ESSA State Plan</w:t>
      </w:r>
      <w:r w:rsidR="00E96176" w:rsidRPr="007F17D8">
        <w:rPr>
          <w:lang w:val="en"/>
        </w:rPr>
        <w:t xml:space="preserve"> </w:t>
      </w:r>
      <w:r w:rsidRPr="007F17D8">
        <w:rPr>
          <w:lang w:val="en"/>
        </w:rPr>
        <w:t xml:space="preserve">in </w:t>
      </w:r>
      <w:r w:rsidR="00E96176" w:rsidRPr="007F17D8">
        <w:rPr>
          <w:lang w:val="en"/>
        </w:rPr>
        <w:t xml:space="preserve">spring </w:t>
      </w:r>
      <w:r w:rsidRPr="007F17D8">
        <w:rPr>
          <w:lang w:val="en"/>
        </w:rPr>
        <w:t>2020</w:t>
      </w:r>
      <w:r w:rsidR="00E96176" w:rsidRPr="007F17D8">
        <w:rPr>
          <w:lang w:val="en"/>
        </w:rPr>
        <w:t>. This timing will allow LEAs to update the educator equity</w:t>
      </w:r>
      <w:r w:rsidR="00D13988" w:rsidRPr="007F17D8">
        <w:rPr>
          <w:lang w:val="en"/>
        </w:rPr>
        <w:t xml:space="preserve"> </w:t>
      </w:r>
      <w:r w:rsidR="009211D3" w:rsidRPr="007F17D8">
        <w:rPr>
          <w:lang w:val="en"/>
        </w:rPr>
        <w:t xml:space="preserve">section of the LCAP Federal Addendum </w:t>
      </w:r>
      <w:r w:rsidR="00E96176" w:rsidRPr="007F17D8">
        <w:rPr>
          <w:lang w:val="en"/>
        </w:rPr>
        <w:t>based on the updated definitions</w:t>
      </w:r>
      <w:r w:rsidRPr="007F17D8">
        <w:rPr>
          <w:lang w:val="en"/>
        </w:rPr>
        <w:t>.</w:t>
      </w:r>
    </w:p>
    <w:p w14:paraId="103E49C9" w14:textId="77777777" w:rsidR="00DC6578" w:rsidRPr="007F17D8" w:rsidRDefault="00DC6578" w:rsidP="00DC6578">
      <w:pPr>
        <w:pStyle w:val="Default"/>
        <w:spacing w:after="240"/>
      </w:pPr>
      <w:r w:rsidRPr="007F17D8">
        <w:t xml:space="preserve">The data included in the attachment represents California’s 10,081 schools organized by student demographics into deciles. The 1,008 schools in Decile 1 were compared to the 1,008 schools in Decile 10. </w:t>
      </w:r>
    </w:p>
    <w:p w14:paraId="40A15C71" w14:textId="77777777" w:rsidR="00DC6578" w:rsidRPr="007F17D8" w:rsidRDefault="00DC6578" w:rsidP="00DC6578">
      <w:pPr>
        <w:spacing w:after="240"/>
        <w:rPr>
          <w:rFonts w:cs="Arial"/>
        </w:rPr>
      </w:pPr>
      <w:r w:rsidRPr="007F17D8">
        <w:rPr>
          <w:rFonts w:cs="Arial"/>
        </w:rPr>
        <w:t>A summary of disproportionate rates of access to educators based on 2017–18 data is provided in Table 2 below.</w:t>
      </w:r>
    </w:p>
    <w:p w14:paraId="09642C47" w14:textId="77777777" w:rsidR="00DC6578" w:rsidRPr="007F17D8" w:rsidRDefault="00DC6578" w:rsidP="00B166C6">
      <w:pPr>
        <w:pStyle w:val="Heading3"/>
        <w:spacing w:before="240"/>
        <w:rPr>
          <w:lang w:val="en"/>
        </w:rPr>
      </w:pPr>
      <w:r w:rsidRPr="007F17D8">
        <w:rPr>
          <w:lang w:val="en"/>
        </w:rPr>
        <w:t>Table 2: Summary of 2017–18 Educator Equity Data</w:t>
      </w:r>
    </w:p>
    <w:tbl>
      <w:tblPr>
        <w:tblStyle w:val="TableGrid"/>
        <w:tblW w:w="0" w:type="auto"/>
        <w:tblLook w:val="04A0" w:firstRow="1" w:lastRow="0" w:firstColumn="1" w:lastColumn="0" w:noHBand="0" w:noVBand="1"/>
        <w:tblDescription w:val="This is a chart that contains the a summary of the following educator equity data from 2017-2018:  Inexperienced Teachers by Minority Quartile, Inexperienced Teachers by SED Quartile, Unqualified Teachers by Minority Quartile, Unqualified Teachers by SED Quartile, Out-of-Field Teachers by Minority Quartile, and Out-of-Field Teachers by SED Quartile."/>
      </w:tblPr>
      <w:tblGrid>
        <w:gridCol w:w="3865"/>
        <w:gridCol w:w="5485"/>
      </w:tblGrid>
      <w:tr w:rsidR="00DC6578" w:rsidRPr="007F17D8" w14:paraId="1B185CBD" w14:textId="77777777" w:rsidTr="00DC6578">
        <w:trPr>
          <w:cantSplit/>
          <w:tblHeader/>
        </w:trPr>
        <w:tc>
          <w:tcPr>
            <w:tcW w:w="3865" w:type="dxa"/>
            <w:shd w:val="clear" w:color="auto" w:fill="D9D9D9" w:themeFill="background1" w:themeFillShade="D9"/>
          </w:tcPr>
          <w:p w14:paraId="63034F5F" w14:textId="77777777" w:rsidR="00DC6578" w:rsidRPr="007F17D8" w:rsidRDefault="00DC6578" w:rsidP="00DC6578">
            <w:pPr>
              <w:jc w:val="center"/>
              <w:rPr>
                <w:rFonts w:cs="Arial"/>
                <w:b/>
                <w:lang w:val="en"/>
              </w:rPr>
            </w:pPr>
            <w:r w:rsidRPr="007F17D8">
              <w:rPr>
                <w:rFonts w:cs="Arial"/>
                <w:b/>
                <w:lang w:val="en"/>
              </w:rPr>
              <w:t>Distribution</w:t>
            </w:r>
          </w:p>
        </w:tc>
        <w:tc>
          <w:tcPr>
            <w:tcW w:w="5485" w:type="dxa"/>
            <w:shd w:val="clear" w:color="auto" w:fill="D9D9D9" w:themeFill="background1" w:themeFillShade="D9"/>
          </w:tcPr>
          <w:p w14:paraId="1108D677" w14:textId="77777777" w:rsidR="00DC6578" w:rsidRPr="007F17D8" w:rsidRDefault="00DC6578" w:rsidP="00DC6578">
            <w:pPr>
              <w:jc w:val="center"/>
              <w:rPr>
                <w:rFonts w:cs="Arial"/>
                <w:b/>
                <w:lang w:val="en"/>
              </w:rPr>
            </w:pPr>
            <w:r w:rsidRPr="007F17D8">
              <w:rPr>
                <w:rFonts w:cs="Arial"/>
                <w:b/>
                <w:lang w:val="en"/>
              </w:rPr>
              <w:t>Description</w:t>
            </w:r>
          </w:p>
        </w:tc>
      </w:tr>
      <w:tr w:rsidR="00DC6578" w:rsidRPr="007F17D8" w14:paraId="61B720BF" w14:textId="77777777" w:rsidTr="00DC6578">
        <w:trPr>
          <w:cantSplit/>
        </w:trPr>
        <w:tc>
          <w:tcPr>
            <w:tcW w:w="3865" w:type="dxa"/>
          </w:tcPr>
          <w:p w14:paraId="10AA7968" w14:textId="77777777" w:rsidR="00DC6578" w:rsidRPr="007F17D8" w:rsidRDefault="00DC6578" w:rsidP="00DC6578">
            <w:pPr>
              <w:rPr>
                <w:rFonts w:cs="Arial"/>
                <w:lang w:val="en"/>
              </w:rPr>
            </w:pPr>
            <w:r w:rsidRPr="007F17D8">
              <w:rPr>
                <w:rFonts w:cs="Arial"/>
                <w:lang w:val="en"/>
              </w:rPr>
              <w:t>Inexperienced Teachers by Minority Decile</w:t>
            </w:r>
          </w:p>
        </w:tc>
        <w:tc>
          <w:tcPr>
            <w:tcW w:w="5485" w:type="dxa"/>
          </w:tcPr>
          <w:p w14:paraId="77004DD7" w14:textId="77777777" w:rsidR="00DC6578" w:rsidRPr="007F17D8" w:rsidRDefault="00DC6578" w:rsidP="00DC6578">
            <w:pPr>
              <w:rPr>
                <w:rFonts w:cs="Arial"/>
                <w:lang w:val="en"/>
              </w:rPr>
            </w:pPr>
            <w:r w:rsidRPr="007F17D8">
              <w:rPr>
                <w:rFonts w:cs="Arial"/>
                <w:lang w:val="en"/>
              </w:rPr>
              <w:t>15.2 percent of teachers in California’s schools with the highest percentage of minority students had been teaching for two or fewer years, while 10.4 percent of teachers in schools with the lowest percentage of minority students have been teaching for two or fewer years.</w:t>
            </w:r>
          </w:p>
        </w:tc>
      </w:tr>
      <w:tr w:rsidR="00DC6578" w:rsidRPr="007F17D8" w14:paraId="390F811D" w14:textId="77777777" w:rsidTr="00DC6578">
        <w:trPr>
          <w:cantSplit/>
        </w:trPr>
        <w:tc>
          <w:tcPr>
            <w:tcW w:w="3865" w:type="dxa"/>
          </w:tcPr>
          <w:p w14:paraId="4970321A" w14:textId="77777777" w:rsidR="00DC6578" w:rsidRPr="007F17D8" w:rsidRDefault="00DC6578" w:rsidP="00DC6578">
            <w:pPr>
              <w:rPr>
                <w:rFonts w:cs="Arial"/>
                <w:lang w:val="en"/>
              </w:rPr>
            </w:pPr>
            <w:r w:rsidRPr="007F17D8">
              <w:rPr>
                <w:rFonts w:cs="Arial"/>
                <w:lang w:val="en"/>
              </w:rPr>
              <w:t>Inexperienced Teachers by Low-Income Decile</w:t>
            </w:r>
          </w:p>
        </w:tc>
        <w:tc>
          <w:tcPr>
            <w:tcW w:w="5485" w:type="dxa"/>
          </w:tcPr>
          <w:p w14:paraId="703EECCE" w14:textId="77777777" w:rsidR="00DC6578" w:rsidRPr="007F17D8" w:rsidRDefault="00DC6578" w:rsidP="00DC6578">
            <w:pPr>
              <w:rPr>
                <w:rFonts w:cs="Arial"/>
                <w:lang w:val="en"/>
              </w:rPr>
            </w:pPr>
            <w:r w:rsidRPr="007F17D8">
              <w:rPr>
                <w:rFonts w:cs="Arial"/>
                <w:lang w:val="en"/>
              </w:rPr>
              <w:t xml:space="preserve">16.1 percent of teachers in schools with the highest percentage of </w:t>
            </w:r>
            <w:r w:rsidRPr="007F17D8">
              <w:rPr>
                <w:rFonts w:eastAsia="Calibri" w:cs="Arial"/>
                <w:lang w:val="en"/>
              </w:rPr>
              <w:t>low-income</w:t>
            </w:r>
            <w:r w:rsidRPr="007F17D8">
              <w:rPr>
                <w:rFonts w:cs="Arial"/>
                <w:lang w:val="en"/>
              </w:rPr>
              <w:t xml:space="preserve"> students have been teaching for two or fewer years, while 8.8 percent of teachers in schools with the lowest percentage of SED students have been teaching for two or fewer years.</w:t>
            </w:r>
          </w:p>
        </w:tc>
      </w:tr>
      <w:tr w:rsidR="00DC6578" w:rsidRPr="007F17D8" w14:paraId="5EFB1687" w14:textId="77777777" w:rsidTr="00DC6578">
        <w:trPr>
          <w:cantSplit/>
        </w:trPr>
        <w:tc>
          <w:tcPr>
            <w:tcW w:w="3865" w:type="dxa"/>
          </w:tcPr>
          <w:p w14:paraId="22D90D21" w14:textId="77777777" w:rsidR="00DC6578" w:rsidRPr="007F17D8" w:rsidRDefault="00DC6578" w:rsidP="00DC6578">
            <w:pPr>
              <w:rPr>
                <w:rFonts w:cs="Arial"/>
                <w:lang w:val="en"/>
              </w:rPr>
            </w:pPr>
            <w:r w:rsidRPr="007F17D8">
              <w:rPr>
                <w:rFonts w:cs="Arial"/>
                <w:lang w:val="en"/>
              </w:rPr>
              <w:t>Out-of-field Teachers by Minority Decile</w:t>
            </w:r>
          </w:p>
        </w:tc>
        <w:tc>
          <w:tcPr>
            <w:tcW w:w="5485" w:type="dxa"/>
          </w:tcPr>
          <w:p w14:paraId="7BD96B6C" w14:textId="77777777" w:rsidR="00DC6578" w:rsidRPr="007F17D8" w:rsidRDefault="00DC6578" w:rsidP="00DC6578">
            <w:pPr>
              <w:rPr>
                <w:rFonts w:cs="Arial"/>
                <w:b/>
                <w:lang w:val="en"/>
              </w:rPr>
            </w:pPr>
            <w:r w:rsidRPr="007F17D8">
              <w:rPr>
                <w:rFonts w:cs="Arial"/>
                <w:lang w:val="en"/>
              </w:rPr>
              <w:t>0.8 percent of teachers in schools with the highest percentage of minority students held a Limited Assignment Permit; while 0.6 percent of teachers in schools with the lowest percentage of minority students held a Limited Assignment Permit.</w:t>
            </w:r>
          </w:p>
        </w:tc>
      </w:tr>
      <w:tr w:rsidR="00DC6578" w:rsidRPr="007F17D8" w14:paraId="4D244394" w14:textId="77777777" w:rsidTr="00DC6578">
        <w:trPr>
          <w:cantSplit/>
        </w:trPr>
        <w:tc>
          <w:tcPr>
            <w:tcW w:w="3865" w:type="dxa"/>
          </w:tcPr>
          <w:p w14:paraId="619C2277" w14:textId="77777777" w:rsidR="00DC6578" w:rsidRPr="007F17D8" w:rsidRDefault="00DC6578" w:rsidP="00DC6578">
            <w:pPr>
              <w:rPr>
                <w:rFonts w:cs="Arial"/>
                <w:b/>
                <w:lang w:val="en"/>
              </w:rPr>
            </w:pPr>
            <w:r w:rsidRPr="007F17D8">
              <w:rPr>
                <w:rFonts w:cs="Arial"/>
                <w:lang w:val="en"/>
              </w:rPr>
              <w:t>Out-of-field Teachers by Low-Income Decile</w:t>
            </w:r>
          </w:p>
        </w:tc>
        <w:tc>
          <w:tcPr>
            <w:tcW w:w="5485" w:type="dxa"/>
          </w:tcPr>
          <w:p w14:paraId="3DE31EE0" w14:textId="77777777" w:rsidR="00DC6578" w:rsidRPr="007F17D8" w:rsidRDefault="00DC6578" w:rsidP="00DC6578">
            <w:pPr>
              <w:rPr>
                <w:rFonts w:cs="Arial"/>
                <w:b/>
                <w:lang w:val="en"/>
              </w:rPr>
            </w:pPr>
            <w:r w:rsidRPr="007F17D8">
              <w:rPr>
                <w:rFonts w:cs="Arial"/>
                <w:lang w:val="en"/>
              </w:rPr>
              <w:t>0.8 percent of teachers in schools with the highest percentage of low-income students held a Limited Assignment Permit; while 0.5 percent of teachers in schools with the lowest percentage of low-income students held a Limited Assignment Permit.</w:t>
            </w:r>
          </w:p>
        </w:tc>
      </w:tr>
    </w:tbl>
    <w:p w14:paraId="03415432" w14:textId="77777777" w:rsidR="00DC6578" w:rsidRPr="007F17D8" w:rsidRDefault="00DC6578" w:rsidP="00DC6578">
      <w:pPr>
        <w:shd w:val="clear" w:color="auto" w:fill="FFFFFF"/>
        <w:spacing w:before="480" w:after="240"/>
        <w:rPr>
          <w:rFonts w:cs="Arial"/>
          <w:b/>
          <w:lang w:val="en"/>
        </w:rPr>
        <w:sectPr w:rsidR="00DC6578" w:rsidRPr="007F17D8" w:rsidSect="00B166C6">
          <w:type w:val="continuous"/>
          <w:pgSz w:w="12240" w:h="15840"/>
          <w:pgMar w:top="720" w:right="1440" w:bottom="1008" w:left="1440" w:header="720" w:footer="720" w:gutter="0"/>
          <w:cols w:space="720"/>
        </w:sectPr>
      </w:pPr>
    </w:p>
    <w:p w14:paraId="7C47A3F4" w14:textId="77777777" w:rsidR="00DC6578" w:rsidRPr="007F17D8" w:rsidRDefault="00DC6578" w:rsidP="00B166C6">
      <w:pPr>
        <w:pStyle w:val="Heading3"/>
        <w:spacing w:before="360"/>
        <w:rPr>
          <w:lang w:val="en"/>
        </w:rPr>
      </w:pPr>
      <w:r w:rsidRPr="007F17D8">
        <w:rPr>
          <w:lang w:val="en"/>
        </w:rPr>
        <w:lastRenderedPageBreak/>
        <w:t>California Credentials Issued in 2017–18</w:t>
      </w:r>
    </w:p>
    <w:p w14:paraId="6369C4C5" w14:textId="77777777" w:rsidR="00DC6578" w:rsidRPr="007F17D8" w:rsidRDefault="00DC6578" w:rsidP="00DC6578">
      <w:pPr>
        <w:shd w:val="clear" w:color="auto" w:fill="FFFFFF"/>
        <w:spacing w:after="240"/>
      </w:pPr>
      <w:r w:rsidRPr="007F17D8">
        <w:t xml:space="preserve">In California, teachers may earn a teaching credential through a variety of programs offered by an institution of higher education (IHE) or through intern programs offered by a school district, COE, or a consortium of districts. All teacher preparation programs must meet the same teacher preparation standards and be accredited by the CTC. </w:t>
      </w:r>
    </w:p>
    <w:p w14:paraId="6BAEB785" w14:textId="77777777" w:rsidR="00DC6578" w:rsidRPr="007F17D8" w:rsidRDefault="00DC6578" w:rsidP="00DC6578">
      <w:pPr>
        <w:shd w:val="clear" w:color="auto" w:fill="FFFFFF"/>
        <w:spacing w:after="240"/>
      </w:pPr>
      <w:r w:rsidRPr="007F17D8">
        <w:rPr>
          <w:rFonts w:eastAsiaTheme="minorHAnsi" w:cs="Arial"/>
          <w:color w:val="000000"/>
        </w:rPr>
        <w:t xml:space="preserve">Table 3 shows the total number of full-time equivalent individuals holding teaching documents who were employed in California public schools in 2017–18. The table also shows the numbers as a percentage of the total teaching staff in California. </w:t>
      </w:r>
      <w:proofErr w:type="gramStart"/>
      <w:r w:rsidRPr="007F17D8">
        <w:rPr>
          <w:rFonts w:eastAsiaTheme="minorHAnsi" w:cs="Arial"/>
          <w:color w:val="000000"/>
        </w:rPr>
        <w:t>Taking into account</w:t>
      </w:r>
      <w:proofErr w:type="gramEnd"/>
      <w:r w:rsidRPr="007F17D8">
        <w:rPr>
          <w:rFonts w:eastAsiaTheme="minorHAnsi" w:cs="Arial"/>
          <w:color w:val="000000"/>
        </w:rPr>
        <w:t xml:space="preserve"> the total number of certificated teaching staff in California’s schools, the number of university and district intern credentials accounted for 1.3 percent and 0.3 percent, respectively. </w:t>
      </w:r>
      <w:r w:rsidRPr="007F17D8">
        <w:t xml:space="preserve">For permits, </w:t>
      </w:r>
      <w:r w:rsidRPr="007F17D8">
        <w:rPr>
          <w:rFonts w:cs="Arial"/>
          <w:lang w:val="en"/>
        </w:rPr>
        <w:t>Short-Term Staff Permits (</w:t>
      </w:r>
      <w:r w:rsidRPr="007F17D8">
        <w:t xml:space="preserve">STSPs) accounted for 1.2 percent and </w:t>
      </w:r>
      <w:r w:rsidRPr="007F17D8">
        <w:rPr>
          <w:rFonts w:cs="Arial"/>
          <w:lang w:val="en"/>
        </w:rPr>
        <w:t>Provisional Intern Permits (</w:t>
      </w:r>
      <w:r w:rsidRPr="007F17D8">
        <w:t xml:space="preserve">PIPs) accounted for 0.7 percent of the total teaching workforce. Limited Assignment Teaching Permits represented 0.6 percent and waivers at less than 0.1 percent. </w:t>
      </w:r>
    </w:p>
    <w:p w14:paraId="28C3501F" w14:textId="77777777" w:rsidR="00DC6578" w:rsidRPr="007F17D8" w:rsidRDefault="00DC6578" w:rsidP="00B166C6">
      <w:pPr>
        <w:pStyle w:val="Heading3"/>
        <w:spacing w:before="240"/>
        <w:rPr>
          <w:lang w:val="en"/>
        </w:rPr>
      </w:pPr>
      <w:r w:rsidRPr="007F17D8">
        <w:rPr>
          <w:lang w:val="en"/>
        </w:rPr>
        <w:t>Table 3: California Teacher Authorizations 2017–18</w:t>
      </w:r>
    </w:p>
    <w:tbl>
      <w:tblPr>
        <w:tblStyle w:val="TableGrid"/>
        <w:tblW w:w="0" w:type="auto"/>
        <w:tblLook w:val="04A0" w:firstRow="1" w:lastRow="0" w:firstColumn="1" w:lastColumn="0" w:noHBand="0" w:noVBand="1"/>
        <w:tblDescription w:val="This table describes the type of credentials that California teachers held in 2017-18 and the percentage of each credential type statewide."/>
      </w:tblPr>
      <w:tblGrid>
        <w:gridCol w:w="5125"/>
        <w:gridCol w:w="2160"/>
        <w:gridCol w:w="2065"/>
      </w:tblGrid>
      <w:tr w:rsidR="00DC6578" w:rsidRPr="007F17D8" w14:paraId="2B74C531" w14:textId="77777777" w:rsidTr="00B40203">
        <w:trPr>
          <w:cantSplit/>
          <w:tblHeader/>
        </w:trPr>
        <w:tc>
          <w:tcPr>
            <w:tcW w:w="5125" w:type="dxa"/>
          </w:tcPr>
          <w:p w14:paraId="67E570D4" w14:textId="77777777" w:rsidR="00DC6578" w:rsidRPr="007F17D8" w:rsidRDefault="00DC6578" w:rsidP="00DC6578">
            <w:pPr>
              <w:jc w:val="center"/>
              <w:rPr>
                <w:rFonts w:cs="Arial"/>
                <w:b/>
                <w:lang w:val="en"/>
              </w:rPr>
            </w:pPr>
            <w:r w:rsidRPr="007F17D8">
              <w:rPr>
                <w:rFonts w:cs="Arial"/>
                <w:b/>
                <w:lang w:val="en"/>
              </w:rPr>
              <w:t>California Teacher Authorizations</w:t>
            </w:r>
          </w:p>
        </w:tc>
        <w:tc>
          <w:tcPr>
            <w:tcW w:w="2160" w:type="dxa"/>
          </w:tcPr>
          <w:p w14:paraId="68265E5D" w14:textId="77777777" w:rsidR="00DC6578" w:rsidRPr="007F17D8" w:rsidRDefault="00DC6578" w:rsidP="00DC6578">
            <w:pPr>
              <w:jc w:val="center"/>
              <w:rPr>
                <w:rFonts w:cs="Arial"/>
                <w:b/>
                <w:lang w:val="en"/>
              </w:rPr>
            </w:pPr>
            <w:r w:rsidRPr="007F17D8">
              <w:rPr>
                <w:rFonts w:cs="Arial"/>
                <w:b/>
                <w:lang w:val="en"/>
              </w:rPr>
              <w:t>2017–2018 Number</w:t>
            </w:r>
          </w:p>
        </w:tc>
        <w:tc>
          <w:tcPr>
            <w:tcW w:w="2065" w:type="dxa"/>
          </w:tcPr>
          <w:p w14:paraId="22FEFE76" w14:textId="77777777" w:rsidR="00DC6578" w:rsidRPr="007F17D8" w:rsidRDefault="00DC6578" w:rsidP="00DC6578">
            <w:pPr>
              <w:jc w:val="center"/>
              <w:rPr>
                <w:rFonts w:cs="Arial"/>
                <w:b/>
                <w:lang w:val="en"/>
              </w:rPr>
            </w:pPr>
            <w:r w:rsidRPr="007F17D8">
              <w:rPr>
                <w:rFonts w:cs="Arial"/>
                <w:b/>
                <w:lang w:val="en"/>
              </w:rPr>
              <w:t>2017–18 Percent of Total</w:t>
            </w:r>
          </w:p>
        </w:tc>
      </w:tr>
      <w:tr w:rsidR="00DC6578" w:rsidRPr="007F17D8" w14:paraId="79310B9A" w14:textId="77777777" w:rsidTr="00B40203">
        <w:trPr>
          <w:cantSplit/>
        </w:trPr>
        <w:tc>
          <w:tcPr>
            <w:tcW w:w="5125" w:type="dxa"/>
          </w:tcPr>
          <w:p w14:paraId="39BDB7DA" w14:textId="77777777" w:rsidR="00DC6578" w:rsidRPr="007F17D8" w:rsidRDefault="00DC6578" w:rsidP="00DC6578">
            <w:pPr>
              <w:rPr>
                <w:rFonts w:cs="Arial"/>
                <w:lang w:val="en"/>
              </w:rPr>
            </w:pPr>
            <w:r w:rsidRPr="007F17D8">
              <w:rPr>
                <w:rFonts w:cs="Arial"/>
                <w:lang w:val="en"/>
              </w:rPr>
              <w:t>Fully Credentialed Teacher (Preliminary and Clear)</w:t>
            </w:r>
          </w:p>
        </w:tc>
        <w:tc>
          <w:tcPr>
            <w:tcW w:w="2160" w:type="dxa"/>
          </w:tcPr>
          <w:p w14:paraId="3E42F1E0" w14:textId="77777777" w:rsidR="00DC6578" w:rsidRPr="007F17D8" w:rsidRDefault="00DC6578" w:rsidP="00DC6578">
            <w:pPr>
              <w:jc w:val="center"/>
              <w:rPr>
                <w:rFonts w:cs="Arial"/>
                <w:lang w:val="en"/>
              </w:rPr>
            </w:pPr>
            <w:r w:rsidRPr="007F17D8">
              <w:rPr>
                <w:rFonts w:cs="Arial"/>
                <w:lang w:val="en"/>
              </w:rPr>
              <w:t>293,108</w:t>
            </w:r>
          </w:p>
        </w:tc>
        <w:tc>
          <w:tcPr>
            <w:tcW w:w="2065" w:type="dxa"/>
          </w:tcPr>
          <w:p w14:paraId="2945E363" w14:textId="77777777" w:rsidR="00DC6578" w:rsidRPr="007F17D8" w:rsidRDefault="00DC6578" w:rsidP="00DC6578">
            <w:pPr>
              <w:jc w:val="center"/>
              <w:rPr>
                <w:rFonts w:cs="Arial"/>
                <w:lang w:val="en"/>
              </w:rPr>
            </w:pPr>
            <w:r w:rsidRPr="007F17D8">
              <w:rPr>
                <w:rFonts w:cs="Arial"/>
                <w:lang w:val="en"/>
              </w:rPr>
              <w:t>95.7%</w:t>
            </w:r>
          </w:p>
        </w:tc>
      </w:tr>
      <w:tr w:rsidR="00DC6578" w:rsidRPr="007F17D8" w14:paraId="7106E5D2" w14:textId="77777777" w:rsidTr="00B40203">
        <w:trPr>
          <w:cantSplit/>
        </w:trPr>
        <w:tc>
          <w:tcPr>
            <w:tcW w:w="5125" w:type="dxa"/>
          </w:tcPr>
          <w:p w14:paraId="69970D73" w14:textId="77777777" w:rsidR="00DC6578" w:rsidRPr="007F17D8" w:rsidRDefault="00DC6578" w:rsidP="00DC6578">
            <w:pPr>
              <w:rPr>
                <w:rFonts w:cs="Arial"/>
                <w:lang w:val="en"/>
              </w:rPr>
            </w:pPr>
            <w:r w:rsidRPr="007F17D8">
              <w:rPr>
                <w:rFonts w:cs="Arial"/>
                <w:lang w:val="en"/>
              </w:rPr>
              <w:t>University Intern Credentials</w:t>
            </w:r>
          </w:p>
        </w:tc>
        <w:tc>
          <w:tcPr>
            <w:tcW w:w="2160" w:type="dxa"/>
          </w:tcPr>
          <w:p w14:paraId="62EBF461" w14:textId="77777777" w:rsidR="00DC6578" w:rsidRPr="007F17D8" w:rsidRDefault="00DC6578" w:rsidP="00DC6578">
            <w:pPr>
              <w:jc w:val="center"/>
              <w:rPr>
                <w:rFonts w:cs="Arial"/>
                <w:lang w:val="en"/>
              </w:rPr>
            </w:pPr>
            <w:r w:rsidRPr="007F17D8">
              <w:rPr>
                <w:rFonts w:cs="Arial"/>
                <w:lang w:val="en"/>
              </w:rPr>
              <w:t>4,041</w:t>
            </w:r>
          </w:p>
        </w:tc>
        <w:tc>
          <w:tcPr>
            <w:tcW w:w="2065" w:type="dxa"/>
          </w:tcPr>
          <w:p w14:paraId="110B13E5" w14:textId="77777777" w:rsidR="00DC6578" w:rsidRPr="007F17D8" w:rsidRDefault="00DC6578" w:rsidP="00DC6578">
            <w:pPr>
              <w:jc w:val="center"/>
              <w:rPr>
                <w:rFonts w:cs="Arial"/>
                <w:lang w:val="en"/>
              </w:rPr>
            </w:pPr>
            <w:r w:rsidRPr="007F17D8">
              <w:rPr>
                <w:rFonts w:cs="Arial"/>
                <w:lang w:val="en"/>
              </w:rPr>
              <w:t>1.3%</w:t>
            </w:r>
          </w:p>
        </w:tc>
      </w:tr>
      <w:tr w:rsidR="00DC6578" w:rsidRPr="007F17D8" w14:paraId="7DAAE385" w14:textId="77777777" w:rsidTr="00B40203">
        <w:trPr>
          <w:cantSplit/>
        </w:trPr>
        <w:tc>
          <w:tcPr>
            <w:tcW w:w="5125" w:type="dxa"/>
          </w:tcPr>
          <w:p w14:paraId="30AB9AE2" w14:textId="77777777" w:rsidR="00DC6578" w:rsidRPr="007F17D8" w:rsidRDefault="00DC6578" w:rsidP="00DC6578">
            <w:pPr>
              <w:rPr>
                <w:rFonts w:cs="Arial"/>
                <w:lang w:val="en"/>
              </w:rPr>
            </w:pPr>
            <w:r w:rsidRPr="007F17D8">
              <w:rPr>
                <w:rFonts w:cs="Arial"/>
                <w:lang w:val="en"/>
              </w:rPr>
              <w:t>District Intern Credentials</w:t>
            </w:r>
          </w:p>
        </w:tc>
        <w:tc>
          <w:tcPr>
            <w:tcW w:w="2160" w:type="dxa"/>
          </w:tcPr>
          <w:p w14:paraId="426191AA" w14:textId="77777777" w:rsidR="00DC6578" w:rsidRPr="007F17D8" w:rsidRDefault="00DC6578" w:rsidP="00DC6578">
            <w:pPr>
              <w:jc w:val="center"/>
              <w:rPr>
                <w:rFonts w:cs="Arial"/>
                <w:lang w:val="en"/>
              </w:rPr>
            </w:pPr>
            <w:r w:rsidRPr="007F17D8">
              <w:rPr>
                <w:rFonts w:cs="Arial"/>
                <w:lang w:val="en"/>
              </w:rPr>
              <w:t>885</w:t>
            </w:r>
          </w:p>
        </w:tc>
        <w:tc>
          <w:tcPr>
            <w:tcW w:w="2065" w:type="dxa"/>
          </w:tcPr>
          <w:p w14:paraId="341DFE20" w14:textId="77777777" w:rsidR="00DC6578" w:rsidRPr="007F17D8" w:rsidRDefault="00DC6578" w:rsidP="00DC6578">
            <w:pPr>
              <w:jc w:val="center"/>
              <w:rPr>
                <w:rFonts w:cs="Arial"/>
                <w:lang w:val="en"/>
              </w:rPr>
            </w:pPr>
            <w:r w:rsidRPr="007F17D8">
              <w:rPr>
                <w:rFonts w:cs="Arial"/>
                <w:lang w:val="en"/>
              </w:rPr>
              <w:t>0.3%</w:t>
            </w:r>
          </w:p>
        </w:tc>
      </w:tr>
      <w:tr w:rsidR="00DC6578" w:rsidRPr="007F17D8" w14:paraId="11623EBD" w14:textId="77777777" w:rsidTr="00B40203">
        <w:trPr>
          <w:cantSplit/>
        </w:trPr>
        <w:tc>
          <w:tcPr>
            <w:tcW w:w="5125" w:type="dxa"/>
          </w:tcPr>
          <w:p w14:paraId="1FE7539D" w14:textId="77777777" w:rsidR="00DC6578" w:rsidRPr="007F17D8" w:rsidRDefault="00DC6578" w:rsidP="00DC6578">
            <w:pPr>
              <w:rPr>
                <w:rFonts w:cs="Arial"/>
                <w:lang w:val="en"/>
              </w:rPr>
            </w:pPr>
            <w:r w:rsidRPr="007F17D8">
              <w:rPr>
                <w:rFonts w:cs="Arial"/>
                <w:lang w:val="en"/>
              </w:rPr>
              <w:t>Limited Assignment Teaching Permits</w:t>
            </w:r>
          </w:p>
        </w:tc>
        <w:tc>
          <w:tcPr>
            <w:tcW w:w="2160" w:type="dxa"/>
          </w:tcPr>
          <w:p w14:paraId="087F6FE7" w14:textId="77777777" w:rsidR="00DC6578" w:rsidRPr="007F17D8" w:rsidRDefault="00DC6578" w:rsidP="00DC6578">
            <w:pPr>
              <w:jc w:val="center"/>
              <w:rPr>
                <w:rFonts w:cs="Arial"/>
                <w:lang w:val="en"/>
              </w:rPr>
            </w:pPr>
            <w:r w:rsidRPr="007F17D8">
              <w:rPr>
                <w:rFonts w:cs="Arial"/>
                <w:lang w:val="en"/>
              </w:rPr>
              <w:t>1,953</w:t>
            </w:r>
          </w:p>
        </w:tc>
        <w:tc>
          <w:tcPr>
            <w:tcW w:w="2065" w:type="dxa"/>
          </w:tcPr>
          <w:p w14:paraId="1BF4976F" w14:textId="77777777" w:rsidR="00DC6578" w:rsidRPr="007F17D8" w:rsidRDefault="00DC6578" w:rsidP="00DC6578">
            <w:pPr>
              <w:jc w:val="center"/>
              <w:rPr>
                <w:rFonts w:cs="Arial"/>
                <w:lang w:val="en"/>
              </w:rPr>
            </w:pPr>
            <w:r w:rsidRPr="007F17D8">
              <w:rPr>
                <w:rFonts w:cs="Arial"/>
                <w:lang w:val="en"/>
              </w:rPr>
              <w:t>0.6%</w:t>
            </w:r>
          </w:p>
        </w:tc>
      </w:tr>
      <w:tr w:rsidR="00DC6578" w:rsidRPr="007F17D8" w14:paraId="5C1D2731" w14:textId="77777777" w:rsidTr="00B40203">
        <w:trPr>
          <w:cantSplit/>
        </w:trPr>
        <w:tc>
          <w:tcPr>
            <w:tcW w:w="5125" w:type="dxa"/>
          </w:tcPr>
          <w:p w14:paraId="010DA218" w14:textId="77777777" w:rsidR="00DC6578" w:rsidRPr="007F17D8" w:rsidRDefault="00DC6578" w:rsidP="00DC6578">
            <w:pPr>
              <w:rPr>
                <w:rFonts w:cs="Arial"/>
                <w:lang w:val="en"/>
              </w:rPr>
            </w:pPr>
            <w:r w:rsidRPr="007F17D8">
              <w:rPr>
                <w:rFonts w:cs="Arial"/>
                <w:lang w:val="en"/>
              </w:rPr>
              <w:t>PIPs</w:t>
            </w:r>
          </w:p>
        </w:tc>
        <w:tc>
          <w:tcPr>
            <w:tcW w:w="2160" w:type="dxa"/>
          </w:tcPr>
          <w:p w14:paraId="03102680" w14:textId="77777777" w:rsidR="00DC6578" w:rsidRPr="007F17D8" w:rsidRDefault="00DC6578" w:rsidP="00DC6578">
            <w:pPr>
              <w:jc w:val="center"/>
              <w:rPr>
                <w:rFonts w:cs="Arial"/>
                <w:lang w:val="en"/>
              </w:rPr>
            </w:pPr>
            <w:r w:rsidRPr="007F17D8">
              <w:rPr>
                <w:rFonts w:cs="Arial"/>
                <w:lang w:val="en"/>
              </w:rPr>
              <w:t>2,279</w:t>
            </w:r>
          </w:p>
        </w:tc>
        <w:tc>
          <w:tcPr>
            <w:tcW w:w="2065" w:type="dxa"/>
          </w:tcPr>
          <w:p w14:paraId="1DA19D52" w14:textId="77777777" w:rsidR="00DC6578" w:rsidRPr="007F17D8" w:rsidRDefault="00DC6578" w:rsidP="00DC6578">
            <w:pPr>
              <w:jc w:val="center"/>
              <w:rPr>
                <w:rFonts w:cs="Arial"/>
                <w:lang w:val="en"/>
              </w:rPr>
            </w:pPr>
            <w:r w:rsidRPr="007F17D8">
              <w:rPr>
                <w:rFonts w:cs="Arial"/>
                <w:lang w:val="en"/>
              </w:rPr>
              <w:t>0.7%</w:t>
            </w:r>
          </w:p>
        </w:tc>
      </w:tr>
      <w:tr w:rsidR="00DC6578" w:rsidRPr="007F17D8" w14:paraId="6FCC8D95" w14:textId="77777777" w:rsidTr="00B40203">
        <w:trPr>
          <w:cantSplit/>
        </w:trPr>
        <w:tc>
          <w:tcPr>
            <w:tcW w:w="5125" w:type="dxa"/>
          </w:tcPr>
          <w:p w14:paraId="65757088" w14:textId="77777777" w:rsidR="00DC6578" w:rsidRPr="007F17D8" w:rsidRDefault="00DC6578" w:rsidP="00DC6578">
            <w:pPr>
              <w:rPr>
                <w:rFonts w:cs="Arial"/>
                <w:lang w:val="en"/>
              </w:rPr>
            </w:pPr>
            <w:r w:rsidRPr="007F17D8">
              <w:rPr>
                <w:rFonts w:cs="Arial"/>
                <w:lang w:val="en"/>
              </w:rPr>
              <w:t>STSPs</w:t>
            </w:r>
          </w:p>
        </w:tc>
        <w:tc>
          <w:tcPr>
            <w:tcW w:w="2160" w:type="dxa"/>
          </w:tcPr>
          <w:p w14:paraId="656AFEF3" w14:textId="77777777" w:rsidR="00DC6578" w:rsidRPr="007F17D8" w:rsidRDefault="00DC6578" w:rsidP="00DC6578">
            <w:pPr>
              <w:jc w:val="center"/>
              <w:rPr>
                <w:rFonts w:cs="Arial"/>
                <w:lang w:val="en"/>
              </w:rPr>
            </w:pPr>
            <w:r w:rsidRPr="007F17D8">
              <w:rPr>
                <w:rFonts w:cs="Arial"/>
                <w:lang w:val="en"/>
              </w:rPr>
              <w:t>3,607</w:t>
            </w:r>
          </w:p>
        </w:tc>
        <w:tc>
          <w:tcPr>
            <w:tcW w:w="2065" w:type="dxa"/>
          </w:tcPr>
          <w:p w14:paraId="54C39F8B" w14:textId="77777777" w:rsidR="00DC6578" w:rsidRPr="007F17D8" w:rsidRDefault="00DC6578" w:rsidP="00DC6578">
            <w:pPr>
              <w:jc w:val="center"/>
              <w:rPr>
                <w:rFonts w:cs="Arial"/>
                <w:lang w:val="en"/>
              </w:rPr>
            </w:pPr>
            <w:r w:rsidRPr="007F17D8">
              <w:rPr>
                <w:rFonts w:cs="Arial"/>
                <w:lang w:val="en"/>
              </w:rPr>
              <w:t>1.2%</w:t>
            </w:r>
          </w:p>
        </w:tc>
      </w:tr>
      <w:tr w:rsidR="00DC6578" w:rsidRPr="007F17D8" w14:paraId="3EBA03E9" w14:textId="77777777" w:rsidTr="00B40203">
        <w:trPr>
          <w:cantSplit/>
        </w:trPr>
        <w:tc>
          <w:tcPr>
            <w:tcW w:w="5125" w:type="dxa"/>
          </w:tcPr>
          <w:p w14:paraId="15607129" w14:textId="77777777" w:rsidR="00DC6578" w:rsidRPr="007F17D8" w:rsidRDefault="00DC6578" w:rsidP="00DC6578">
            <w:pPr>
              <w:rPr>
                <w:rFonts w:cs="Arial"/>
                <w:lang w:val="en"/>
              </w:rPr>
            </w:pPr>
            <w:r w:rsidRPr="007F17D8">
              <w:rPr>
                <w:rFonts w:cs="Arial"/>
                <w:lang w:val="en"/>
              </w:rPr>
              <w:t>Variable Term Waivers</w:t>
            </w:r>
          </w:p>
        </w:tc>
        <w:tc>
          <w:tcPr>
            <w:tcW w:w="2160" w:type="dxa"/>
          </w:tcPr>
          <w:p w14:paraId="2FE1F841" w14:textId="77777777" w:rsidR="00DC6578" w:rsidRPr="007F17D8" w:rsidRDefault="00DC6578" w:rsidP="00DC6578">
            <w:pPr>
              <w:jc w:val="center"/>
              <w:rPr>
                <w:rFonts w:cs="Arial"/>
                <w:lang w:val="en"/>
              </w:rPr>
            </w:pPr>
            <w:r w:rsidRPr="007F17D8">
              <w:rPr>
                <w:rFonts w:cs="Arial"/>
                <w:lang w:val="en"/>
              </w:rPr>
              <w:t>388</w:t>
            </w:r>
          </w:p>
        </w:tc>
        <w:tc>
          <w:tcPr>
            <w:tcW w:w="2065" w:type="dxa"/>
          </w:tcPr>
          <w:p w14:paraId="0AFD9E99" w14:textId="77777777" w:rsidR="00DC6578" w:rsidRPr="007F17D8" w:rsidRDefault="00DC6578" w:rsidP="00DC6578">
            <w:pPr>
              <w:jc w:val="center"/>
              <w:rPr>
                <w:rFonts w:cs="Arial"/>
                <w:lang w:val="en"/>
              </w:rPr>
            </w:pPr>
            <w:r w:rsidRPr="007F17D8">
              <w:rPr>
                <w:rFonts w:cs="Arial"/>
                <w:lang w:val="en"/>
              </w:rPr>
              <w:t>0.1%</w:t>
            </w:r>
          </w:p>
        </w:tc>
      </w:tr>
      <w:tr w:rsidR="00DC6578" w:rsidRPr="007F17D8" w14:paraId="6A07D0E8" w14:textId="77777777" w:rsidTr="00B40203">
        <w:trPr>
          <w:cantSplit/>
        </w:trPr>
        <w:tc>
          <w:tcPr>
            <w:tcW w:w="5125" w:type="dxa"/>
          </w:tcPr>
          <w:p w14:paraId="0134E18F" w14:textId="77777777" w:rsidR="00DC6578" w:rsidRPr="007F17D8" w:rsidRDefault="00DC6578" w:rsidP="00DC6578">
            <w:pPr>
              <w:rPr>
                <w:rFonts w:cs="Arial"/>
                <w:lang w:val="en"/>
              </w:rPr>
            </w:pPr>
            <w:r w:rsidRPr="007F17D8">
              <w:rPr>
                <w:rFonts w:cs="Arial"/>
                <w:lang w:val="en"/>
              </w:rPr>
              <w:t>Total</w:t>
            </w:r>
          </w:p>
        </w:tc>
        <w:tc>
          <w:tcPr>
            <w:tcW w:w="2160" w:type="dxa"/>
          </w:tcPr>
          <w:p w14:paraId="64BDCB3E" w14:textId="77777777" w:rsidR="00DC6578" w:rsidRPr="007F17D8" w:rsidRDefault="00DC6578" w:rsidP="00DC6578">
            <w:pPr>
              <w:jc w:val="center"/>
              <w:rPr>
                <w:rFonts w:cs="Arial"/>
                <w:lang w:val="en"/>
              </w:rPr>
            </w:pPr>
            <w:r w:rsidRPr="007F17D8">
              <w:rPr>
                <w:rFonts w:cs="Arial"/>
                <w:lang w:val="en"/>
              </w:rPr>
              <w:t>306,261</w:t>
            </w:r>
          </w:p>
        </w:tc>
        <w:tc>
          <w:tcPr>
            <w:tcW w:w="2065" w:type="dxa"/>
          </w:tcPr>
          <w:p w14:paraId="602AEE60" w14:textId="77777777" w:rsidR="00DC6578" w:rsidRPr="007F17D8" w:rsidRDefault="00DC6578" w:rsidP="00DC6578">
            <w:pPr>
              <w:jc w:val="center"/>
              <w:rPr>
                <w:rFonts w:cs="Arial"/>
                <w:lang w:val="en"/>
              </w:rPr>
            </w:pPr>
            <w:r w:rsidRPr="007F17D8">
              <w:rPr>
                <w:rFonts w:cs="Arial"/>
                <w:lang w:val="en"/>
              </w:rPr>
              <w:t>100%</w:t>
            </w:r>
          </w:p>
        </w:tc>
      </w:tr>
    </w:tbl>
    <w:p w14:paraId="48E65409" w14:textId="77777777" w:rsidR="00DC6578" w:rsidRPr="007F17D8" w:rsidRDefault="00DC6578" w:rsidP="00DC6578">
      <w:pPr>
        <w:shd w:val="clear" w:color="auto" w:fill="FFFFFF"/>
        <w:spacing w:before="120" w:after="480"/>
        <w:rPr>
          <w:rFonts w:cs="Arial"/>
          <w:i/>
          <w:lang w:val="en"/>
        </w:rPr>
      </w:pPr>
      <w:r w:rsidRPr="007F17D8">
        <w:rPr>
          <w:rFonts w:cs="Arial"/>
          <w:i/>
          <w:lang w:val="en"/>
        </w:rPr>
        <w:t xml:space="preserve">Source: Teacher Supply in California: A Report to the Legislature Annual Report </w:t>
      </w:r>
      <w:r w:rsidRPr="007F17D8">
        <w:rPr>
          <w:rFonts w:cs="Arial"/>
          <w:i/>
          <w:lang w:val="en"/>
        </w:rPr>
        <w:br/>
        <w:t>2017–18. California Commission on Teacher Credentialing, April 2019.</w:t>
      </w:r>
    </w:p>
    <w:p w14:paraId="4732AB7F" w14:textId="77777777" w:rsidR="00DC6578" w:rsidRPr="007F17D8" w:rsidRDefault="00DC6578" w:rsidP="00B166C6">
      <w:pPr>
        <w:pStyle w:val="Heading3"/>
        <w:rPr>
          <w:lang w:val="en"/>
        </w:rPr>
      </w:pPr>
      <w:r w:rsidRPr="007F17D8">
        <w:rPr>
          <w:lang w:val="en"/>
        </w:rPr>
        <w:t xml:space="preserve">California Teacher </w:t>
      </w:r>
      <w:proofErr w:type="spellStart"/>
      <w:r w:rsidRPr="007F17D8">
        <w:rPr>
          <w:lang w:val="en"/>
        </w:rPr>
        <w:t>Misassignments</w:t>
      </w:r>
      <w:proofErr w:type="spellEnd"/>
      <w:r w:rsidRPr="007F17D8">
        <w:rPr>
          <w:lang w:val="en"/>
        </w:rPr>
        <w:t xml:space="preserve"> by Level, 2016–17</w:t>
      </w:r>
    </w:p>
    <w:p w14:paraId="7DE9F2E3" w14:textId="77777777" w:rsidR="00DC6578" w:rsidRPr="007F17D8" w:rsidRDefault="00DC6578" w:rsidP="00DC6578">
      <w:pPr>
        <w:shd w:val="clear" w:color="auto" w:fill="FFFFFF"/>
        <w:spacing w:after="240"/>
      </w:pPr>
      <w:r w:rsidRPr="007F17D8">
        <w:t xml:space="preserve">As a result of the </w:t>
      </w:r>
      <w:r w:rsidRPr="007F17D8">
        <w:rPr>
          <w:i/>
          <w:iCs/>
        </w:rPr>
        <w:t xml:space="preserve">Williams v. State of California </w:t>
      </w:r>
      <w:r w:rsidRPr="007F17D8">
        <w:t xml:space="preserve">settlement, county superintendents of schools are required to annually monitor the assignments of all certificated staff for schools ranked in Deciles 1, 2, and 3 of the Academic Performance Index (API). Although API rankings no longer exist, California </w:t>
      </w:r>
      <w:r w:rsidRPr="007F17D8">
        <w:rPr>
          <w:i/>
        </w:rPr>
        <w:t>Education Code</w:t>
      </w:r>
      <w:r w:rsidRPr="007F17D8">
        <w:t xml:space="preserve"> has yet not been amended to reflect a different basis for assignment monitoring. Therefore, annual monitoring is still based on the 2012 Base API. Legislation has been introduced in the current session that would require annual monitoring for all schools.</w:t>
      </w:r>
    </w:p>
    <w:p w14:paraId="1317E0CF" w14:textId="77777777" w:rsidR="00DC6578" w:rsidRPr="007F17D8" w:rsidRDefault="00DC6578" w:rsidP="00DC6578">
      <w:pPr>
        <w:shd w:val="clear" w:color="auto" w:fill="FFFFFF"/>
        <w:spacing w:after="240"/>
        <w:rPr>
          <w:sz w:val="23"/>
          <w:szCs w:val="23"/>
        </w:rPr>
      </w:pPr>
      <w:r w:rsidRPr="007F17D8">
        <w:t xml:space="preserve">Assignment monitoring involves reviewing all assignment records for the certificated staff at these school sites in order to determine if the individual holds an appropriate credential and authorization for the instruction or service provided or if the educator is </w:t>
      </w:r>
      <w:r w:rsidRPr="007F17D8">
        <w:lastRenderedPageBreak/>
        <w:t xml:space="preserve">otherwise legally authorized to serve on the basis of a permit, waiver, or local assignment option within statute or regulation. County superintendents must also annually collect data for these schools on classrooms with a population of 20 percent or more English learner students in order to determine the number of classrooms served by a teacher without an appropriate English learner authorization. </w:t>
      </w:r>
    </w:p>
    <w:p w14:paraId="16181FDF" w14:textId="77777777" w:rsidR="00DC6578" w:rsidRPr="007F17D8" w:rsidRDefault="00DC6578" w:rsidP="00DC6578">
      <w:pPr>
        <w:shd w:val="clear" w:color="auto" w:fill="FFFFFF"/>
        <w:spacing w:after="240"/>
        <w:rPr>
          <w:szCs w:val="23"/>
        </w:rPr>
      </w:pPr>
      <w:r w:rsidRPr="007F17D8">
        <w:rPr>
          <w:iCs/>
          <w:szCs w:val="23"/>
        </w:rPr>
        <w:t>Table 4</w:t>
      </w:r>
      <w:r w:rsidRPr="007F17D8">
        <w:rPr>
          <w:i/>
          <w:iCs/>
          <w:szCs w:val="23"/>
        </w:rPr>
        <w:t xml:space="preserve"> </w:t>
      </w:r>
      <w:r w:rsidRPr="007F17D8">
        <w:rPr>
          <w:szCs w:val="23"/>
        </w:rPr>
        <w:t xml:space="preserve">provides the percentage of teaching </w:t>
      </w:r>
      <w:proofErr w:type="spellStart"/>
      <w:r w:rsidRPr="007F17D8">
        <w:rPr>
          <w:szCs w:val="23"/>
        </w:rPr>
        <w:t>misassignments</w:t>
      </w:r>
      <w:proofErr w:type="spellEnd"/>
      <w:r w:rsidRPr="007F17D8">
        <w:rPr>
          <w:szCs w:val="23"/>
        </w:rPr>
        <w:t xml:space="preserve"> that occurred in 2016–17 at each school level (elementary, middle, and high). In 2016–17, 31.0 percent of all teaching </w:t>
      </w:r>
      <w:proofErr w:type="spellStart"/>
      <w:r w:rsidRPr="007F17D8">
        <w:rPr>
          <w:szCs w:val="23"/>
        </w:rPr>
        <w:t>misassignments</w:t>
      </w:r>
      <w:proofErr w:type="spellEnd"/>
      <w:r w:rsidRPr="007F17D8">
        <w:rPr>
          <w:szCs w:val="23"/>
        </w:rPr>
        <w:t xml:space="preserve"> are identified at the high school level. Middle schools represent 34.5 percent of the identified teaching </w:t>
      </w:r>
      <w:proofErr w:type="spellStart"/>
      <w:r w:rsidRPr="007F17D8">
        <w:rPr>
          <w:szCs w:val="23"/>
        </w:rPr>
        <w:t>misassignments</w:t>
      </w:r>
      <w:proofErr w:type="spellEnd"/>
      <w:r w:rsidRPr="007F17D8">
        <w:rPr>
          <w:szCs w:val="23"/>
        </w:rPr>
        <w:t xml:space="preserve"> each year and elementary schools represent 28.5 percent.</w:t>
      </w:r>
    </w:p>
    <w:p w14:paraId="368B6A1B" w14:textId="77777777" w:rsidR="00DC6578" w:rsidRPr="007F17D8" w:rsidRDefault="00DC6578" w:rsidP="00B166C6">
      <w:pPr>
        <w:pStyle w:val="Heading3"/>
        <w:spacing w:before="240"/>
      </w:pPr>
      <w:r w:rsidRPr="007F17D8">
        <w:t xml:space="preserve">Table 4: 2016–17 California Teacher </w:t>
      </w:r>
      <w:proofErr w:type="spellStart"/>
      <w:r w:rsidRPr="007F17D8">
        <w:t>Misassignments</w:t>
      </w:r>
      <w:proofErr w:type="spellEnd"/>
      <w:r w:rsidRPr="007F17D8">
        <w:t xml:space="preserve"> by School Level</w:t>
      </w:r>
    </w:p>
    <w:p w14:paraId="1D725B36" w14:textId="77777777" w:rsidR="00DC6578" w:rsidRPr="007F17D8" w:rsidRDefault="00DC6578" w:rsidP="00DC6578">
      <w:pPr>
        <w:shd w:val="clear" w:color="auto" w:fill="FFFFFF"/>
        <w:spacing w:before="120"/>
        <w:rPr>
          <w:iCs/>
          <w:sz w:val="23"/>
          <w:szCs w:val="23"/>
        </w:rPr>
      </w:pPr>
      <w:r w:rsidRPr="007F17D8">
        <w:rPr>
          <w:rFonts w:cs="Arial"/>
          <w:noProof/>
        </w:rPr>
        <w:drawing>
          <wp:inline distT="0" distB="0" distL="0" distR="0" wp14:anchorId="1E264EC2" wp14:editId="3EA82984">
            <wp:extent cx="5861713" cy="2893325"/>
            <wp:effectExtent l="0" t="0" r="5715" b="2540"/>
            <wp:docPr id="1" name="Chart 1" descr="This is a pie chart that shows that 31% of the states teacher misassignnments are at the high school level, 34.5 percent of the misassignments are at the middle school level, and 28.5 percent are at the elementary level." title="2016-2017 California Teacher Misassignments by School Level"/>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21F272" w14:textId="77777777" w:rsidR="00DC6578" w:rsidRPr="007F17D8" w:rsidRDefault="00DC6578" w:rsidP="00DC6578">
      <w:pPr>
        <w:shd w:val="clear" w:color="auto" w:fill="FFFFFF"/>
        <w:spacing w:before="120" w:after="240"/>
        <w:rPr>
          <w:i/>
          <w:iCs/>
          <w:szCs w:val="23"/>
        </w:rPr>
      </w:pPr>
      <w:r w:rsidRPr="007F17D8">
        <w:rPr>
          <w:i/>
          <w:iCs/>
          <w:szCs w:val="23"/>
        </w:rPr>
        <w:t>Source: Assignment Monitoring of Certificated Staff in California by County Offices of Education 2015–17, A Report to the Legislature. California Commission on Teacher Credentialing. November 2018.</w:t>
      </w:r>
    </w:p>
    <w:p w14:paraId="7C5ED25B" w14:textId="77777777" w:rsidR="00DC6578" w:rsidRPr="007F17D8" w:rsidRDefault="00DC6578" w:rsidP="00DC6578">
      <w:pPr>
        <w:shd w:val="clear" w:color="auto" w:fill="FFFFFF"/>
        <w:spacing w:after="240"/>
        <w:rPr>
          <w:rFonts w:cs="Arial"/>
          <w:sz w:val="28"/>
          <w:lang w:val="en"/>
        </w:rPr>
      </w:pPr>
      <w:r w:rsidRPr="007F17D8">
        <w:rPr>
          <w:iCs/>
          <w:szCs w:val="23"/>
        </w:rPr>
        <w:t>Table 5</w:t>
      </w:r>
      <w:r w:rsidRPr="007F17D8">
        <w:rPr>
          <w:i/>
          <w:iCs/>
          <w:szCs w:val="23"/>
        </w:rPr>
        <w:t xml:space="preserve"> </w:t>
      </w:r>
      <w:r w:rsidRPr="007F17D8">
        <w:rPr>
          <w:szCs w:val="23"/>
        </w:rPr>
        <w:t xml:space="preserve">includes specific information on the number of identified </w:t>
      </w:r>
      <w:proofErr w:type="gramStart"/>
      <w:r w:rsidRPr="007F17D8">
        <w:rPr>
          <w:szCs w:val="23"/>
        </w:rPr>
        <w:t>teacher</w:t>
      </w:r>
      <w:proofErr w:type="gramEnd"/>
      <w:r w:rsidRPr="007F17D8">
        <w:rPr>
          <w:szCs w:val="23"/>
        </w:rPr>
        <w:t xml:space="preserve"> </w:t>
      </w:r>
      <w:proofErr w:type="spellStart"/>
      <w:r w:rsidRPr="007F17D8">
        <w:rPr>
          <w:szCs w:val="23"/>
        </w:rPr>
        <w:t>misassignments</w:t>
      </w:r>
      <w:proofErr w:type="spellEnd"/>
      <w:r w:rsidRPr="007F17D8">
        <w:rPr>
          <w:szCs w:val="23"/>
        </w:rPr>
        <w:t xml:space="preserve"> by aggregate content areas in 2016–17 for schools ranked in Deciles 1 through 3. The largest number of identified </w:t>
      </w:r>
      <w:proofErr w:type="spellStart"/>
      <w:r w:rsidRPr="007F17D8">
        <w:rPr>
          <w:szCs w:val="23"/>
        </w:rPr>
        <w:t>misassignments</w:t>
      </w:r>
      <w:proofErr w:type="spellEnd"/>
      <w:r w:rsidRPr="007F17D8">
        <w:rPr>
          <w:szCs w:val="23"/>
        </w:rPr>
        <w:t xml:space="preserve"> is within the area of special education accounting for over 30 percent of all </w:t>
      </w:r>
      <w:proofErr w:type="spellStart"/>
      <w:r w:rsidRPr="007F17D8">
        <w:rPr>
          <w:szCs w:val="23"/>
        </w:rPr>
        <w:t>misassignments</w:t>
      </w:r>
      <w:proofErr w:type="spellEnd"/>
      <w:r w:rsidRPr="007F17D8">
        <w:rPr>
          <w:szCs w:val="23"/>
        </w:rPr>
        <w:t>.</w:t>
      </w:r>
    </w:p>
    <w:p w14:paraId="5CB8F02F" w14:textId="77777777" w:rsidR="00DC6578" w:rsidRPr="007F17D8" w:rsidRDefault="00DC6578" w:rsidP="00B166C6">
      <w:pPr>
        <w:pStyle w:val="Heading3"/>
        <w:spacing w:before="240"/>
        <w:rPr>
          <w:lang w:val="en"/>
        </w:rPr>
      </w:pPr>
      <w:r w:rsidRPr="007F17D8">
        <w:rPr>
          <w:lang w:val="en"/>
        </w:rPr>
        <w:t xml:space="preserve">Table 5: California Teacher </w:t>
      </w:r>
      <w:proofErr w:type="spellStart"/>
      <w:r w:rsidRPr="007F17D8">
        <w:rPr>
          <w:lang w:val="en"/>
        </w:rPr>
        <w:t>Misassignments</w:t>
      </w:r>
      <w:proofErr w:type="spellEnd"/>
      <w:r w:rsidRPr="007F17D8">
        <w:rPr>
          <w:lang w:val="en"/>
        </w:rPr>
        <w:t xml:space="preserve"> by Subject Area, 2016–17</w:t>
      </w:r>
    </w:p>
    <w:tbl>
      <w:tblPr>
        <w:tblStyle w:val="TableGrid"/>
        <w:tblW w:w="0" w:type="auto"/>
        <w:tblLook w:val="04A0" w:firstRow="1" w:lastRow="0" w:firstColumn="1" w:lastColumn="0" w:noHBand="0" w:noVBand="1"/>
        <w:tblDescription w:val="This is a chart that shows subject areas taught in California in 2016-2017 and the number of teacher miassignments statewide in that subject area."/>
      </w:tblPr>
      <w:tblGrid>
        <w:gridCol w:w="4675"/>
        <w:gridCol w:w="4675"/>
      </w:tblGrid>
      <w:tr w:rsidR="00DC6578" w:rsidRPr="007F17D8" w14:paraId="2E8C4199" w14:textId="77777777" w:rsidTr="00B40203">
        <w:trPr>
          <w:cantSplit/>
          <w:tblHeader/>
        </w:trPr>
        <w:tc>
          <w:tcPr>
            <w:tcW w:w="4675" w:type="dxa"/>
          </w:tcPr>
          <w:p w14:paraId="3DE3101E" w14:textId="77777777" w:rsidR="00DC6578" w:rsidRPr="007F17D8" w:rsidRDefault="00DC6578" w:rsidP="00DC6578">
            <w:pPr>
              <w:jc w:val="center"/>
              <w:rPr>
                <w:rFonts w:cs="Arial"/>
                <w:b/>
                <w:lang w:val="en"/>
              </w:rPr>
            </w:pPr>
            <w:r w:rsidRPr="007F17D8">
              <w:rPr>
                <w:rFonts w:cs="Arial"/>
                <w:b/>
                <w:lang w:val="en"/>
              </w:rPr>
              <w:t>Subject</w:t>
            </w:r>
          </w:p>
        </w:tc>
        <w:tc>
          <w:tcPr>
            <w:tcW w:w="4675" w:type="dxa"/>
          </w:tcPr>
          <w:p w14:paraId="4AEE2EF5" w14:textId="77777777" w:rsidR="00DC6578" w:rsidRPr="007F17D8" w:rsidRDefault="00DC6578" w:rsidP="00DC6578">
            <w:pPr>
              <w:jc w:val="center"/>
              <w:rPr>
                <w:rFonts w:cs="Arial"/>
                <w:b/>
                <w:lang w:val="en"/>
              </w:rPr>
            </w:pPr>
            <w:r w:rsidRPr="007F17D8">
              <w:rPr>
                <w:rFonts w:cs="Arial"/>
                <w:b/>
                <w:lang w:val="en"/>
              </w:rPr>
              <w:t>2016–17</w:t>
            </w:r>
          </w:p>
        </w:tc>
      </w:tr>
      <w:tr w:rsidR="00DC6578" w:rsidRPr="007F17D8" w14:paraId="736D6F9F" w14:textId="77777777" w:rsidTr="00B40203">
        <w:trPr>
          <w:cantSplit/>
        </w:trPr>
        <w:tc>
          <w:tcPr>
            <w:tcW w:w="4675" w:type="dxa"/>
          </w:tcPr>
          <w:p w14:paraId="55BD6731" w14:textId="77777777" w:rsidR="00DC6578" w:rsidRPr="007F17D8" w:rsidRDefault="00DC6578" w:rsidP="00DC6578">
            <w:pPr>
              <w:rPr>
                <w:rFonts w:cs="Arial"/>
                <w:lang w:val="en"/>
              </w:rPr>
            </w:pPr>
            <w:r w:rsidRPr="007F17D8">
              <w:rPr>
                <w:rFonts w:cs="Arial"/>
                <w:lang w:val="en"/>
              </w:rPr>
              <w:t>Agriculture</w:t>
            </w:r>
          </w:p>
        </w:tc>
        <w:tc>
          <w:tcPr>
            <w:tcW w:w="4675" w:type="dxa"/>
          </w:tcPr>
          <w:p w14:paraId="5E2CB01F" w14:textId="77777777" w:rsidR="00DC6578" w:rsidRPr="007F17D8" w:rsidRDefault="00DC6578" w:rsidP="00DC6578">
            <w:pPr>
              <w:jc w:val="center"/>
              <w:rPr>
                <w:rFonts w:cs="Arial"/>
                <w:lang w:val="en"/>
              </w:rPr>
            </w:pPr>
            <w:r w:rsidRPr="007F17D8">
              <w:rPr>
                <w:rFonts w:cs="Arial"/>
                <w:lang w:val="en"/>
              </w:rPr>
              <w:t>2</w:t>
            </w:r>
          </w:p>
        </w:tc>
      </w:tr>
      <w:tr w:rsidR="00DC6578" w:rsidRPr="007F17D8" w14:paraId="77A3C865" w14:textId="77777777" w:rsidTr="00B40203">
        <w:trPr>
          <w:cantSplit/>
        </w:trPr>
        <w:tc>
          <w:tcPr>
            <w:tcW w:w="4675" w:type="dxa"/>
          </w:tcPr>
          <w:p w14:paraId="48602936" w14:textId="77777777" w:rsidR="00DC6578" w:rsidRPr="007F17D8" w:rsidRDefault="00DC6578" w:rsidP="00DC6578">
            <w:pPr>
              <w:rPr>
                <w:rFonts w:cs="Arial"/>
                <w:lang w:val="en"/>
              </w:rPr>
            </w:pPr>
            <w:r w:rsidRPr="007F17D8">
              <w:rPr>
                <w:rFonts w:cs="Arial"/>
                <w:lang w:val="en"/>
              </w:rPr>
              <w:t>Art</w:t>
            </w:r>
          </w:p>
        </w:tc>
        <w:tc>
          <w:tcPr>
            <w:tcW w:w="4675" w:type="dxa"/>
          </w:tcPr>
          <w:p w14:paraId="2C19DF99" w14:textId="77777777" w:rsidR="00DC6578" w:rsidRPr="007F17D8" w:rsidRDefault="00DC6578" w:rsidP="00DC6578">
            <w:pPr>
              <w:jc w:val="center"/>
              <w:rPr>
                <w:rFonts w:cs="Arial"/>
                <w:lang w:val="en"/>
              </w:rPr>
            </w:pPr>
            <w:r w:rsidRPr="007F17D8">
              <w:rPr>
                <w:rFonts w:cs="Arial"/>
                <w:lang w:val="en"/>
              </w:rPr>
              <w:t>37</w:t>
            </w:r>
          </w:p>
        </w:tc>
      </w:tr>
      <w:tr w:rsidR="00DC6578" w:rsidRPr="007F17D8" w14:paraId="307EFA1B" w14:textId="77777777" w:rsidTr="00B40203">
        <w:trPr>
          <w:cantSplit/>
        </w:trPr>
        <w:tc>
          <w:tcPr>
            <w:tcW w:w="4675" w:type="dxa"/>
          </w:tcPr>
          <w:p w14:paraId="614BC665" w14:textId="77777777" w:rsidR="00DC6578" w:rsidRPr="007F17D8" w:rsidRDefault="00DC6578" w:rsidP="00DC6578">
            <w:pPr>
              <w:rPr>
                <w:rFonts w:cs="Arial"/>
                <w:lang w:val="en"/>
              </w:rPr>
            </w:pPr>
            <w:r w:rsidRPr="007F17D8">
              <w:rPr>
                <w:rFonts w:cs="Arial"/>
                <w:lang w:val="en"/>
              </w:rPr>
              <w:t>Business</w:t>
            </w:r>
          </w:p>
        </w:tc>
        <w:tc>
          <w:tcPr>
            <w:tcW w:w="4675" w:type="dxa"/>
          </w:tcPr>
          <w:p w14:paraId="33070CB3" w14:textId="77777777" w:rsidR="00DC6578" w:rsidRPr="007F17D8" w:rsidRDefault="00DC6578" w:rsidP="00DC6578">
            <w:pPr>
              <w:jc w:val="center"/>
              <w:rPr>
                <w:rFonts w:cs="Arial"/>
                <w:lang w:val="en"/>
              </w:rPr>
            </w:pPr>
            <w:r w:rsidRPr="007F17D8">
              <w:rPr>
                <w:rFonts w:cs="Arial"/>
                <w:lang w:val="en"/>
              </w:rPr>
              <w:t>1</w:t>
            </w:r>
          </w:p>
        </w:tc>
      </w:tr>
      <w:tr w:rsidR="00DC6578" w:rsidRPr="007F17D8" w14:paraId="34D61FFE" w14:textId="77777777" w:rsidTr="00B40203">
        <w:trPr>
          <w:cantSplit/>
        </w:trPr>
        <w:tc>
          <w:tcPr>
            <w:tcW w:w="4675" w:type="dxa"/>
          </w:tcPr>
          <w:p w14:paraId="124DB7CD" w14:textId="77777777" w:rsidR="00DC6578" w:rsidRPr="007F17D8" w:rsidRDefault="00DC6578" w:rsidP="00DC6578">
            <w:pPr>
              <w:rPr>
                <w:rFonts w:cs="Arial"/>
                <w:lang w:val="en"/>
              </w:rPr>
            </w:pPr>
            <w:r w:rsidRPr="007F17D8">
              <w:rPr>
                <w:rFonts w:cs="Arial"/>
                <w:lang w:val="en"/>
              </w:rPr>
              <w:t>Career Technical Education (CTE)</w:t>
            </w:r>
          </w:p>
        </w:tc>
        <w:tc>
          <w:tcPr>
            <w:tcW w:w="4675" w:type="dxa"/>
          </w:tcPr>
          <w:p w14:paraId="4A90ECB8" w14:textId="77777777" w:rsidR="00DC6578" w:rsidRPr="007F17D8" w:rsidRDefault="00DC6578" w:rsidP="00DC6578">
            <w:pPr>
              <w:jc w:val="center"/>
              <w:rPr>
                <w:rFonts w:cs="Arial"/>
                <w:lang w:val="en"/>
              </w:rPr>
            </w:pPr>
            <w:r w:rsidRPr="007F17D8">
              <w:rPr>
                <w:rFonts w:cs="Arial"/>
                <w:lang w:val="en"/>
              </w:rPr>
              <w:t>33</w:t>
            </w:r>
          </w:p>
        </w:tc>
      </w:tr>
      <w:tr w:rsidR="00DC6578" w:rsidRPr="007F17D8" w14:paraId="6BCD677F" w14:textId="77777777" w:rsidTr="00B40203">
        <w:trPr>
          <w:cantSplit/>
        </w:trPr>
        <w:tc>
          <w:tcPr>
            <w:tcW w:w="4675" w:type="dxa"/>
          </w:tcPr>
          <w:p w14:paraId="15962240" w14:textId="77777777" w:rsidR="00DC6578" w:rsidRPr="007F17D8" w:rsidRDefault="00DC6578" w:rsidP="00DC6578">
            <w:pPr>
              <w:rPr>
                <w:rFonts w:cs="Arial"/>
                <w:lang w:val="en"/>
              </w:rPr>
            </w:pPr>
            <w:r w:rsidRPr="007F17D8">
              <w:rPr>
                <w:rFonts w:cs="Arial"/>
                <w:lang w:val="en"/>
              </w:rPr>
              <w:lastRenderedPageBreak/>
              <w:t>Computer Science</w:t>
            </w:r>
          </w:p>
        </w:tc>
        <w:tc>
          <w:tcPr>
            <w:tcW w:w="4675" w:type="dxa"/>
          </w:tcPr>
          <w:p w14:paraId="3BACB5F6" w14:textId="77777777" w:rsidR="00DC6578" w:rsidRPr="007F17D8" w:rsidRDefault="00DC6578" w:rsidP="00DC6578">
            <w:pPr>
              <w:jc w:val="center"/>
              <w:rPr>
                <w:rFonts w:cs="Arial"/>
                <w:lang w:val="en"/>
              </w:rPr>
            </w:pPr>
            <w:r w:rsidRPr="007F17D8">
              <w:rPr>
                <w:rFonts w:cs="Arial"/>
                <w:lang w:val="en"/>
              </w:rPr>
              <w:t>26</w:t>
            </w:r>
          </w:p>
        </w:tc>
      </w:tr>
      <w:tr w:rsidR="00DC6578" w:rsidRPr="007F17D8" w14:paraId="2751FF4A" w14:textId="77777777" w:rsidTr="00B40203">
        <w:trPr>
          <w:cantSplit/>
        </w:trPr>
        <w:tc>
          <w:tcPr>
            <w:tcW w:w="4675" w:type="dxa"/>
          </w:tcPr>
          <w:p w14:paraId="420857C4" w14:textId="77777777" w:rsidR="00DC6578" w:rsidRPr="007F17D8" w:rsidRDefault="00DC6578" w:rsidP="00DC6578">
            <w:pPr>
              <w:rPr>
                <w:rFonts w:cs="Arial"/>
                <w:lang w:val="en"/>
              </w:rPr>
            </w:pPr>
            <w:r w:rsidRPr="007F17D8">
              <w:rPr>
                <w:rFonts w:cs="Arial"/>
                <w:lang w:val="en"/>
              </w:rPr>
              <w:t>Dance</w:t>
            </w:r>
          </w:p>
        </w:tc>
        <w:tc>
          <w:tcPr>
            <w:tcW w:w="4675" w:type="dxa"/>
          </w:tcPr>
          <w:p w14:paraId="551BD1F1" w14:textId="77777777" w:rsidR="00DC6578" w:rsidRPr="007F17D8" w:rsidRDefault="00DC6578" w:rsidP="00DC6578">
            <w:pPr>
              <w:jc w:val="center"/>
              <w:rPr>
                <w:rFonts w:cs="Arial"/>
                <w:lang w:val="en"/>
              </w:rPr>
            </w:pPr>
            <w:r w:rsidRPr="007F17D8">
              <w:rPr>
                <w:rFonts w:cs="Arial"/>
                <w:lang w:val="en"/>
              </w:rPr>
              <w:t>2</w:t>
            </w:r>
          </w:p>
        </w:tc>
      </w:tr>
      <w:tr w:rsidR="00DC6578" w:rsidRPr="007F17D8" w14:paraId="23A54A59" w14:textId="77777777" w:rsidTr="00B40203">
        <w:trPr>
          <w:cantSplit/>
        </w:trPr>
        <w:tc>
          <w:tcPr>
            <w:tcW w:w="4675" w:type="dxa"/>
          </w:tcPr>
          <w:p w14:paraId="0FBB9393" w14:textId="77777777" w:rsidR="00DC6578" w:rsidRPr="007F17D8" w:rsidRDefault="00DC6578" w:rsidP="00DC6578">
            <w:pPr>
              <w:rPr>
                <w:rFonts w:cs="Arial"/>
                <w:lang w:val="en"/>
              </w:rPr>
            </w:pPr>
            <w:r w:rsidRPr="007F17D8">
              <w:rPr>
                <w:rFonts w:cs="Arial"/>
                <w:lang w:val="en"/>
              </w:rPr>
              <w:t>Electives</w:t>
            </w:r>
          </w:p>
        </w:tc>
        <w:tc>
          <w:tcPr>
            <w:tcW w:w="4675" w:type="dxa"/>
          </w:tcPr>
          <w:p w14:paraId="2A193224" w14:textId="77777777" w:rsidR="00DC6578" w:rsidRPr="007F17D8" w:rsidRDefault="00DC6578" w:rsidP="00DC6578">
            <w:pPr>
              <w:jc w:val="center"/>
              <w:rPr>
                <w:rFonts w:cs="Arial"/>
                <w:lang w:val="en"/>
              </w:rPr>
            </w:pPr>
            <w:r w:rsidRPr="007F17D8">
              <w:rPr>
                <w:rFonts w:cs="Arial"/>
                <w:lang w:val="en"/>
              </w:rPr>
              <w:t>132</w:t>
            </w:r>
          </w:p>
        </w:tc>
      </w:tr>
      <w:tr w:rsidR="00DC6578" w:rsidRPr="007F17D8" w14:paraId="7E710D75" w14:textId="77777777" w:rsidTr="00B40203">
        <w:trPr>
          <w:cantSplit/>
        </w:trPr>
        <w:tc>
          <w:tcPr>
            <w:tcW w:w="4675" w:type="dxa"/>
          </w:tcPr>
          <w:p w14:paraId="172205D0" w14:textId="77777777" w:rsidR="00DC6578" w:rsidRPr="007F17D8" w:rsidRDefault="00DC6578" w:rsidP="00DC6578">
            <w:pPr>
              <w:rPr>
                <w:rFonts w:cs="Arial"/>
                <w:lang w:val="en"/>
              </w:rPr>
            </w:pPr>
            <w:r w:rsidRPr="007F17D8">
              <w:rPr>
                <w:rFonts w:cs="Arial"/>
                <w:lang w:val="en"/>
              </w:rPr>
              <w:t>English</w:t>
            </w:r>
          </w:p>
        </w:tc>
        <w:tc>
          <w:tcPr>
            <w:tcW w:w="4675" w:type="dxa"/>
          </w:tcPr>
          <w:p w14:paraId="0F45A900" w14:textId="77777777" w:rsidR="00DC6578" w:rsidRPr="007F17D8" w:rsidRDefault="00DC6578" w:rsidP="00DC6578">
            <w:pPr>
              <w:jc w:val="center"/>
              <w:rPr>
                <w:rFonts w:cs="Arial"/>
                <w:lang w:val="en"/>
              </w:rPr>
            </w:pPr>
            <w:r w:rsidRPr="007F17D8">
              <w:rPr>
                <w:rFonts w:cs="Arial"/>
                <w:lang w:val="en"/>
              </w:rPr>
              <w:t>112</w:t>
            </w:r>
          </w:p>
        </w:tc>
      </w:tr>
      <w:tr w:rsidR="00DC6578" w:rsidRPr="007F17D8" w14:paraId="2940D80C" w14:textId="77777777" w:rsidTr="00B40203">
        <w:trPr>
          <w:cantSplit/>
        </w:trPr>
        <w:tc>
          <w:tcPr>
            <w:tcW w:w="4675" w:type="dxa"/>
          </w:tcPr>
          <w:p w14:paraId="521E4501" w14:textId="77777777" w:rsidR="00DC6578" w:rsidRPr="007F17D8" w:rsidRDefault="00DC6578" w:rsidP="00DC6578">
            <w:pPr>
              <w:rPr>
                <w:rFonts w:cs="Arial"/>
                <w:lang w:val="en"/>
              </w:rPr>
            </w:pPr>
            <w:r w:rsidRPr="007F17D8">
              <w:rPr>
                <w:rFonts w:cs="Arial"/>
                <w:lang w:val="en"/>
              </w:rPr>
              <w:t>English Learner</w:t>
            </w:r>
          </w:p>
        </w:tc>
        <w:tc>
          <w:tcPr>
            <w:tcW w:w="4675" w:type="dxa"/>
          </w:tcPr>
          <w:p w14:paraId="6E4A08CF" w14:textId="77777777" w:rsidR="00DC6578" w:rsidRPr="007F17D8" w:rsidRDefault="00DC6578" w:rsidP="00DC6578">
            <w:pPr>
              <w:jc w:val="center"/>
              <w:rPr>
                <w:rFonts w:cs="Arial"/>
                <w:lang w:val="en"/>
              </w:rPr>
            </w:pPr>
            <w:r w:rsidRPr="007F17D8">
              <w:rPr>
                <w:rFonts w:cs="Arial"/>
                <w:lang w:val="en"/>
              </w:rPr>
              <w:t>313</w:t>
            </w:r>
          </w:p>
        </w:tc>
      </w:tr>
      <w:tr w:rsidR="00DC6578" w:rsidRPr="007F17D8" w14:paraId="0E66E09C" w14:textId="77777777" w:rsidTr="00B40203">
        <w:trPr>
          <w:cantSplit/>
        </w:trPr>
        <w:tc>
          <w:tcPr>
            <w:tcW w:w="4675" w:type="dxa"/>
          </w:tcPr>
          <w:p w14:paraId="37AD1F19" w14:textId="77777777" w:rsidR="00DC6578" w:rsidRPr="007F17D8" w:rsidRDefault="00DC6578" w:rsidP="00DC6578">
            <w:pPr>
              <w:rPr>
                <w:rFonts w:cs="Arial"/>
                <w:lang w:val="en"/>
              </w:rPr>
            </w:pPr>
            <w:r w:rsidRPr="007F17D8">
              <w:rPr>
                <w:rFonts w:cs="Arial"/>
                <w:lang w:val="en"/>
              </w:rPr>
              <w:t>Health</w:t>
            </w:r>
          </w:p>
        </w:tc>
        <w:tc>
          <w:tcPr>
            <w:tcW w:w="4675" w:type="dxa"/>
          </w:tcPr>
          <w:p w14:paraId="078EDAA7" w14:textId="77777777" w:rsidR="00DC6578" w:rsidRPr="007F17D8" w:rsidRDefault="00DC6578" w:rsidP="00DC6578">
            <w:pPr>
              <w:jc w:val="center"/>
              <w:rPr>
                <w:rFonts w:cs="Arial"/>
                <w:lang w:val="en"/>
              </w:rPr>
            </w:pPr>
            <w:r w:rsidRPr="007F17D8">
              <w:rPr>
                <w:rFonts w:cs="Arial"/>
                <w:lang w:val="en"/>
              </w:rPr>
              <w:t>21</w:t>
            </w:r>
          </w:p>
        </w:tc>
      </w:tr>
      <w:tr w:rsidR="00DC6578" w:rsidRPr="007F17D8" w14:paraId="69438118" w14:textId="77777777" w:rsidTr="00B40203">
        <w:trPr>
          <w:cantSplit/>
        </w:trPr>
        <w:tc>
          <w:tcPr>
            <w:tcW w:w="4675" w:type="dxa"/>
          </w:tcPr>
          <w:p w14:paraId="1BC36D08" w14:textId="77777777" w:rsidR="00DC6578" w:rsidRPr="007F17D8" w:rsidRDefault="00DC6578" w:rsidP="00DC6578">
            <w:pPr>
              <w:rPr>
                <w:rFonts w:cs="Arial"/>
                <w:lang w:val="en"/>
              </w:rPr>
            </w:pPr>
            <w:r w:rsidRPr="007F17D8">
              <w:rPr>
                <w:rFonts w:cs="Arial"/>
                <w:lang w:val="en"/>
              </w:rPr>
              <w:t>Home Economics</w:t>
            </w:r>
          </w:p>
        </w:tc>
        <w:tc>
          <w:tcPr>
            <w:tcW w:w="4675" w:type="dxa"/>
          </w:tcPr>
          <w:p w14:paraId="333A93C3" w14:textId="77777777" w:rsidR="00DC6578" w:rsidRPr="007F17D8" w:rsidRDefault="00DC6578" w:rsidP="00DC6578">
            <w:pPr>
              <w:jc w:val="center"/>
              <w:rPr>
                <w:rFonts w:cs="Arial"/>
                <w:lang w:val="en"/>
              </w:rPr>
            </w:pPr>
            <w:r w:rsidRPr="007F17D8">
              <w:rPr>
                <w:rFonts w:cs="Arial"/>
                <w:lang w:val="en"/>
              </w:rPr>
              <w:t>5</w:t>
            </w:r>
          </w:p>
        </w:tc>
      </w:tr>
      <w:tr w:rsidR="00DC6578" w:rsidRPr="007F17D8" w14:paraId="547B9012" w14:textId="77777777" w:rsidTr="00B40203">
        <w:trPr>
          <w:cantSplit/>
        </w:trPr>
        <w:tc>
          <w:tcPr>
            <w:tcW w:w="4675" w:type="dxa"/>
          </w:tcPr>
          <w:p w14:paraId="5DBC6D14" w14:textId="77777777" w:rsidR="00DC6578" w:rsidRPr="007F17D8" w:rsidRDefault="00DC6578" w:rsidP="00DC6578">
            <w:pPr>
              <w:rPr>
                <w:rFonts w:cs="Arial"/>
                <w:lang w:val="en"/>
              </w:rPr>
            </w:pPr>
            <w:r w:rsidRPr="007F17D8">
              <w:rPr>
                <w:rFonts w:cs="Arial"/>
                <w:lang w:val="en"/>
              </w:rPr>
              <w:t>Industrial Technology Education</w:t>
            </w:r>
          </w:p>
        </w:tc>
        <w:tc>
          <w:tcPr>
            <w:tcW w:w="4675" w:type="dxa"/>
          </w:tcPr>
          <w:p w14:paraId="20B17FAB" w14:textId="77777777" w:rsidR="00DC6578" w:rsidRPr="007F17D8" w:rsidRDefault="00DC6578" w:rsidP="00DC6578">
            <w:pPr>
              <w:jc w:val="center"/>
              <w:rPr>
                <w:rFonts w:cs="Arial"/>
                <w:lang w:val="en"/>
              </w:rPr>
            </w:pPr>
            <w:r w:rsidRPr="007F17D8">
              <w:rPr>
                <w:rFonts w:cs="Arial"/>
                <w:lang w:val="en"/>
              </w:rPr>
              <w:t>44</w:t>
            </w:r>
          </w:p>
        </w:tc>
      </w:tr>
      <w:tr w:rsidR="00DC6578" w:rsidRPr="007F17D8" w14:paraId="3EB39988" w14:textId="77777777" w:rsidTr="00B40203">
        <w:trPr>
          <w:cantSplit/>
        </w:trPr>
        <w:tc>
          <w:tcPr>
            <w:tcW w:w="4675" w:type="dxa"/>
          </w:tcPr>
          <w:p w14:paraId="2352F149" w14:textId="77777777" w:rsidR="00DC6578" w:rsidRPr="007F17D8" w:rsidRDefault="00DC6578" w:rsidP="00DC6578">
            <w:pPr>
              <w:rPr>
                <w:rFonts w:cs="Arial"/>
                <w:lang w:val="en"/>
              </w:rPr>
            </w:pPr>
            <w:r w:rsidRPr="007F17D8">
              <w:rPr>
                <w:rFonts w:cs="Arial"/>
                <w:lang w:val="en"/>
              </w:rPr>
              <w:t>Mathematics</w:t>
            </w:r>
          </w:p>
        </w:tc>
        <w:tc>
          <w:tcPr>
            <w:tcW w:w="4675" w:type="dxa"/>
          </w:tcPr>
          <w:p w14:paraId="3FFF42D4" w14:textId="77777777" w:rsidR="00DC6578" w:rsidRPr="007F17D8" w:rsidRDefault="00DC6578" w:rsidP="00DC6578">
            <w:pPr>
              <w:jc w:val="center"/>
              <w:rPr>
                <w:rFonts w:cs="Arial"/>
                <w:lang w:val="en"/>
              </w:rPr>
            </w:pPr>
            <w:r w:rsidRPr="007F17D8">
              <w:rPr>
                <w:rFonts w:cs="Arial"/>
                <w:lang w:val="en"/>
              </w:rPr>
              <w:t>112</w:t>
            </w:r>
          </w:p>
        </w:tc>
      </w:tr>
      <w:tr w:rsidR="00DC6578" w:rsidRPr="007F17D8" w14:paraId="3D4A21B4" w14:textId="77777777" w:rsidTr="00B40203">
        <w:trPr>
          <w:cantSplit/>
        </w:trPr>
        <w:tc>
          <w:tcPr>
            <w:tcW w:w="4675" w:type="dxa"/>
          </w:tcPr>
          <w:p w14:paraId="0B15BA12" w14:textId="77777777" w:rsidR="00DC6578" w:rsidRPr="007F17D8" w:rsidRDefault="00DC6578" w:rsidP="00DC6578">
            <w:pPr>
              <w:rPr>
                <w:rFonts w:cs="Arial"/>
                <w:lang w:val="en"/>
              </w:rPr>
            </w:pPr>
            <w:r w:rsidRPr="007F17D8">
              <w:rPr>
                <w:rFonts w:cs="Arial"/>
                <w:lang w:val="en"/>
              </w:rPr>
              <w:t>Music</w:t>
            </w:r>
          </w:p>
        </w:tc>
        <w:tc>
          <w:tcPr>
            <w:tcW w:w="4675" w:type="dxa"/>
          </w:tcPr>
          <w:p w14:paraId="5B8FF8D6" w14:textId="77777777" w:rsidR="00DC6578" w:rsidRPr="007F17D8" w:rsidRDefault="00DC6578" w:rsidP="00DC6578">
            <w:pPr>
              <w:jc w:val="center"/>
              <w:rPr>
                <w:rFonts w:cs="Arial"/>
                <w:lang w:val="en"/>
              </w:rPr>
            </w:pPr>
            <w:r w:rsidRPr="007F17D8">
              <w:rPr>
                <w:rFonts w:cs="Arial"/>
                <w:lang w:val="en"/>
              </w:rPr>
              <w:t>15</w:t>
            </w:r>
          </w:p>
        </w:tc>
      </w:tr>
      <w:tr w:rsidR="00DC6578" w:rsidRPr="007F17D8" w14:paraId="7910A705" w14:textId="77777777" w:rsidTr="00B40203">
        <w:trPr>
          <w:cantSplit/>
        </w:trPr>
        <w:tc>
          <w:tcPr>
            <w:tcW w:w="4675" w:type="dxa"/>
          </w:tcPr>
          <w:p w14:paraId="5FFBC8CF" w14:textId="77777777" w:rsidR="00DC6578" w:rsidRPr="007F17D8" w:rsidRDefault="00DC6578" w:rsidP="00DC6578">
            <w:pPr>
              <w:rPr>
                <w:rFonts w:cs="Arial"/>
                <w:lang w:val="en"/>
              </w:rPr>
            </w:pPr>
            <w:r w:rsidRPr="007F17D8">
              <w:rPr>
                <w:rFonts w:cs="Arial"/>
                <w:lang w:val="en"/>
              </w:rPr>
              <w:t>Other</w:t>
            </w:r>
          </w:p>
        </w:tc>
        <w:tc>
          <w:tcPr>
            <w:tcW w:w="4675" w:type="dxa"/>
          </w:tcPr>
          <w:p w14:paraId="5953A5E8" w14:textId="77777777" w:rsidR="00DC6578" w:rsidRPr="007F17D8" w:rsidRDefault="00DC6578" w:rsidP="00DC6578">
            <w:pPr>
              <w:jc w:val="center"/>
              <w:rPr>
                <w:rFonts w:cs="Arial"/>
                <w:lang w:val="en"/>
              </w:rPr>
            </w:pPr>
            <w:r w:rsidRPr="007F17D8">
              <w:rPr>
                <w:rFonts w:cs="Arial"/>
                <w:lang w:val="en"/>
              </w:rPr>
              <w:t>53</w:t>
            </w:r>
          </w:p>
        </w:tc>
      </w:tr>
      <w:tr w:rsidR="00DC6578" w:rsidRPr="007F17D8" w14:paraId="29F80FC3" w14:textId="77777777" w:rsidTr="00B40203">
        <w:trPr>
          <w:cantSplit/>
        </w:trPr>
        <w:tc>
          <w:tcPr>
            <w:tcW w:w="4675" w:type="dxa"/>
          </w:tcPr>
          <w:p w14:paraId="0EE460AF" w14:textId="77777777" w:rsidR="00DC6578" w:rsidRPr="007F17D8" w:rsidRDefault="00DC6578" w:rsidP="00DC6578">
            <w:pPr>
              <w:rPr>
                <w:rFonts w:cs="Arial"/>
                <w:lang w:val="en"/>
              </w:rPr>
            </w:pPr>
            <w:r w:rsidRPr="007F17D8">
              <w:rPr>
                <w:rFonts w:cs="Arial"/>
                <w:lang w:val="en"/>
              </w:rPr>
              <w:t>Physical Education</w:t>
            </w:r>
          </w:p>
        </w:tc>
        <w:tc>
          <w:tcPr>
            <w:tcW w:w="4675" w:type="dxa"/>
          </w:tcPr>
          <w:p w14:paraId="6A5DC268" w14:textId="77777777" w:rsidR="00DC6578" w:rsidRPr="007F17D8" w:rsidRDefault="00DC6578" w:rsidP="00DC6578">
            <w:pPr>
              <w:jc w:val="center"/>
              <w:rPr>
                <w:rFonts w:cs="Arial"/>
                <w:lang w:val="en"/>
              </w:rPr>
            </w:pPr>
            <w:r w:rsidRPr="007F17D8">
              <w:rPr>
                <w:rFonts w:cs="Arial"/>
                <w:lang w:val="en"/>
              </w:rPr>
              <w:t>63</w:t>
            </w:r>
          </w:p>
        </w:tc>
      </w:tr>
      <w:tr w:rsidR="00DC6578" w:rsidRPr="007F17D8" w14:paraId="67517AE9" w14:textId="77777777" w:rsidTr="00B40203">
        <w:trPr>
          <w:cantSplit/>
        </w:trPr>
        <w:tc>
          <w:tcPr>
            <w:tcW w:w="4675" w:type="dxa"/>
          </w:tcPr>
          <w:p w14:paraId="2C81689C" w14:textId="77777777" w:rsidR="00DC6578" w:rsidRPr="007F17D8" w:rsidRDefault="00DC6578" w:rsidP="00DC6578">
            <w:pPr>
              <w:rPr>
                <w:rFonts w:cs="Arial"/>
                <w:lang w:val="en"/>
              </w:rPr>
            </w:pPr>
            <w:r w:rsidRPr="007F17D8">
              <w:rPr>
                <w:rFonts w:cs="Arial"/>
                <w:lang w:val="en"/>
              </w:rPr>
              <w:t>Reading</w:t>
            </w:r>
          </w:p>
        </w:tc>
        <w:tc>
          <w:tcPr>
            <w:tcW w:w="4675" w:type="dxa"/>
          </w:tcPr>
          <w:p w14:paraId="7B96E80F" w14:textId="77777777" w:rsidR="00DC6578" w:rsidRPr="007F17D8" w:rsidRDefault="00DC6578" w:rsidP="00DC6578">
            <w:pPr>
              <w:jc w:val="center"/>
              <w:rPr>
                <w:rFonts w:cs="Arial"/>
                <w:lang w:val="en"/>
              </w:rPr>
            </w:pPr>
            <w:r w:rsidRPr="007F17D8">
              <w:rPr>
                <w:rFonts w:cs="Arial"/>
                <w:lang w:val="en"/>
              </w:rPr>
              <w:t>6</w:t>
            </w:r>
          </w:p>
        </w:tc>
      </w:tr>
      <w:tr w:rsidR="00DC6578" w:rsidRPr="007F17D8" w14:paraId="6CFD8148" w14:textId="77777777" w:rsidTr="00B40203">
        <w:trPr>
          <w:cantSplit/>
        </w:trPr>
        <w:tc>
          <w:tcPr>
            <w:tcW w:w="4675" w:type="dxa"/>
          </w:tcPr>
          <w:p w14:paraId="3BE53967" w14:textId="77777777" w:rsidR="00DC6578" w:rsidRPr="007F17D8" w:rsidRDefault="00DC6578" w:rsidP="00DC6578">
            <w:pPr>
              <w:rPr>
                <w:rFonts w:cs="Arial"/>
                <w:lang w:val="en"/>
              </w:rPr>
            </w:pPr>
            <w:r w:rsidRPr="007F17D8">
              <w:rPr>
                <w:rFonts w:cs="Arial"/>
                <w:lang w:val="en"/>
              </w:rPr>
              <w:t>Science</w:t>
            </w:r>
          </w:p>
        </w:tc>
        <w:tc>
          <w:tcPr>
            <w:tcW w:w="4675" w:type="dxa"/>
          </w:tcPr>
          <w:p w14:paraId="63D7E873" w14:textId="77777777" w:rsidR="00DC6578" w:rsidRPr="007F17D8" w:rsidRDefault="00DC6578" w:rsidP="00DC6578">
            <w:pPr>
              <w:jc w:val="center"/>
              <w:rPr>
                <w:rFonts w:cs="Arial"/>
                <w:lang w:val="en"/>
              </w:rPr>
            </w:pPr>
            <w:r w:rsidRPr="007F17D8">
              <w:rPr>
                <w:rFonts w:cs="Arial"/>
                <w:lang w:val="en"/>
              </w:rPr>
              <w:t>115</w:t>
            </w:r>
          </w:p>
        </w:tc>
      </w:tr>
      <w:tr w:rsidR="00DC6578" w:rsidRPr="007F17D8" w14:paraId="1B685FF2" w14:textId="77777777" w:rsidTr="00B40203">
        <w:trPr>
          <w:cantSplit/>
        </w:trPr>
        <w:tc>
          <w:tcPr>
            <w:tcW w:w="4675" w:type="dxa"/>
          </w:tcPr>
          <w:p w14:paraId="54558A83" w14:textId="77777777" w:rsidR="00DC6578" w:rsidRPr="007F17D8" w:rsidRDefault="00DC6578" w:rsidP="00DC6578">
            <w:pPr>
              <w:rPr>
                <w:rFonts w:cs="Arial"/>
                <w:lang w:val="en"/>
              </w:rPr>
            </w:pPr>
            <w:r w:rsidRPr="007F17D8">
              <w:rPr>
                <w:rFonts w:cs="Arial"/>
                <w:lang w:val="en"/>
              </w:rPr>
              <w:t>Self-contained</w:t>
            </w:r>
          </w:p>
        </w:tc>
        <w:tc>
          <w:tcPr>
            <w:tcW w:w="4675" w:type="dxa"/>
          </w:tcPr>
          <w:p w14:paraId="70AF9808" w14:textId="77777777" w:rsidR="00DC6578" w:rsidRPr="007F17D8" w:rsidRDefault="00DC6578" w:rsidP="00DC6578">
            <w:pPr>
              <w:jc w:val="center"/>
              <w:rPr>
                <w:rFonts w:cs="Arial"/>
                <w:lang w:val="en"/>
              </w:rPr>
            </w:pPr>
            <w:r w:rsidRPr="007F17D8">
              <w:rPr>
                <w:rFonts w:cs="Arial"/>
                <w:lang w:val="en"/>
              </w:rPr>
              <w:t>51</w:t>
            </w:r>
          </w:p>
        </w:tc>
      </w:tr>
      <w:tr w:rsidR="00DC6578" w:rsidRPr="007F17D8" w14:paraId="7C1B58B6" w14:textId="77777777" w:rsidTr="00B40203">
        <w:trPr>
          <w:cantSplit/>
        </w:trPr>
        <w:tc>
          <w:tcPr>
            <w:tcW w:w="4675" w:type="dxa"/>
          </w:tcPr>
          <w:p w14:paraId="0E359644" w14:textId="77777777" w:rsidR="00DC6578" w:rsidRPr="007F17D8" w:rsidRDefault="00DC6578" w:rsidP="00DC6578">
            <w:pPr>
              <w:rPr>
                <w:rFonts w:cs="Arial"/>
                <w:lang w:val="en"/>
              </w:rPr>
            </w:pPr>
            <w:r w:rsidRPr="007F17D8">
              <w:rPr>
                <w:rFonts w:cs="Arial"/>
                <w:lang w:val="en"/>
              </w:rPr>
              <w:t>Social Science</w:t>
            </w:r>
          </w:p>
        </w:tc>
        <w:tc>
          <w:tcPr>
            <w:tcW w:w="4675" w:type="dxa"/>
          </w:tcPr>
          <w:p w14:paraId="38D26FE4" w14:textId="77777777" w:rsidR="00DC6578" w:rsidRPr="007F17D8" w:rsidRDefault="00DC6578" w:rsidP="00DC6578">
            <w:pPr>
              <w:jc w:val="center"/>
              <w:rPr>
                <w:rFonts w:cs="Arial"/>
                <w:lang w:val="en"/>
              </w:rPr>
            </w:pPr>
            <w:r w:rsidRPr="007F17D8">
              <w:rPr>
                <w:rFonts w:cs="Arial"/>
                <w:lang w:val="en"/>
              </w:rPr>
              <w:t>74</w:t>
            </w:r>
          </w:p>
        </w:tc>
      </w:tr>
      <w:tr w:rsidR="00DC6578" w:rsidRPr="007F17D8" w14:paraId="1350ECC8" w14:textId="77777777" w:rsidTr="00B40203">
        <w:trPr>
          <w:cantSplit/>
        </w:trPr>
        <w:tc>
          <w:tcPr>
            <w:tcW w:w="4675" w:type="dxa"/>
          </w:tcPr>
          <w:p w14:paraId="40274AFC" w14:textId="77777777" w:rsidR="00DC6578" w:rsidRPr="007F17D8" w:rsidRDefault="00DC6578" w:rsidP="00DC6578">
            <w:pPr>
              <w:rPr>
                <w:rFonts w:cs="Arial"/>
                <w:lang w:val="en"/>
              </w:rPr>
            </w:pPr>
            <w:r w:rsidRPr="007F17D8">
              <w:rPr>
                <w:rFonts w:cs="Arial"/>
                <w:lang w:val="en"/>
              </w:rPr>
              <w:t>Special Education</w:t>
            </w:r>
          </w:p>
        </w:tc>
        <w:tc>
          <w:tcPr>
            <w:tcW w:w="4675" w:type="dxa"/>
          </w:tcPr>
          <w:p w14:paraId="3E746B9B" w14:textId="77777777" w:rsidR="00DC6578" w:rsidRPr="007F17D8" w:rsidRDefault="00DC6578" w:rsidP="00DC6578">
            <w:pPr>
              <w:jc w:val="center"/>
              <w:rPr>
                <w:rFonts w:cs="Arial"/>
                <w:lang w:val="en"/>
              </w:rPr>
            </w:pPr>
            <w:r w:rsidRPr="007F17D8">
              <w:rPr>
                <w:rFonts w:cs="Arial"/>
                <w:lang w:val="en"/>
              </w:rPr>
              <w:t>578</w:t>
            </w:r>
          </w:p>
        </w:tc>
      </w:tr>
      <w:tr w:rsidR="00DC6578" w:rsidRPr="007F17D8" w14:paraId="0CB30A1C" w14:textId="77777777" w:rsidTr="00B40203">
        <w:trPr>
          <w:cantSplit/>
        </w:trPr>
        <w:tc>
          <w:tcPr>
            <w:tcW w:w="4675" w:type="dxa"/>
          </w:tcPr>
          <w:p w14:paraId="22987579" w14:textId="77777777" w:rsidR="00DC6578" w:rsidRPr="007F17D8" w:rsidRDefault="00DC6578" w:rsidP="00DC6578">
            <w:pPr>
              <w:rPr>
                <w:rFonts w:cs="Arial"/>
                <w:lang w:val="en"/>
              </w:rPr>
            </w:pPr>
            <w:r w:rsidRPr="007F17D8">
              <w:rPr>
                <w:rFonts w:cs="Arial"/>
                <w:lang w:val="en"/>
              </w:rPr>
              <w:t>Theatre</w:t>
            </w:r>
          </w:p>
        </w:tc>
        <w:tc>
          <w:tcPr>
            <w:tcW w:w="4675" w:type="dxa"/>
          </w:tcPr>
          <w:p w14:paraId="4DDF5B01" w14:textId="77777777" w:rsidR="00DC6578" w:rsidRPr="007F17D8" w:rsidRDefault="00DC6578" w:rsidP="00DC6578">
            <w:pPr>
              <w:jc w:val="center"/>
              <w:rPr>
                <w:rFonts w:cs="Arial"/>
                <w:lang w:val="en"/>
              </w:rPr>
            </w:pPr>
            <w:r w:rsidRPr="007F17D8">
              <w:rPr>
                <w:rFonts w:cs="Arial"/>
                <w:lang w:val="en"/>
              </w:rPr>
              <w:t>3</w:t>
            </w:r>
          </w:p>
        </w:tc>
      </w:tr>
      <w:tr w:rsidR="00DC6578" w:rsidRPr="007F17D8" w14:paraId="1123D9D5" w14:textId="77777777" w:rsidTr="00B40203">
        <w:trPr>
          <w:cantSplit/>
        </w:trPr>
        <w:tc>
          <w:tcPr>
            <w:tcW w:w="4675" w:type="dxa"/>
          </w:tcPr>
          <w:p w14:paraId="4B97985B" w14:textId="77777777" w:rsidR="00DC6578" w:rsidRPr="007F17D8" w:rsidRDefault="00DC6578" w:rsidP="00DC6578">
            <w:pPr>
              <w:rPr>
                <w:rFonts w:cs="Arial"/>
                <w:lang w:val="en"/>
              </w:rPr>
            </w:pPr>
            <w:r w:rsidRPr="007F17D8">
              <w:rPr>
                <w:rFonts w:cs="Arial"/>
                <w:lang w:val="en"/>
              </w:rPr>
              <w:t>World Languages</w:t>
            </w:r>
          </w:p>
        </w:tc>
        <w:tc>
          <w:tcPr>
            <w:tcW w:w="4675" w:type="dxa"/>
          </w:tcPr>
          <w:p w14:paraId="11BCC024" w14:textId="77777777" w:rsidR="00DC6578" w:rsidRPr="007F17D8" w:rsidRDefault="00DC6578" w:rsidP="00DC6578">
            <w:pPr>
              <w:jc w:val="center"/>
              <w:rPr>
                <w:rFonts w:cs="Arial"/>
                <w:lang w:val="en"/>
              </w:rPr>
            </w:pPr>
            <w:r w:rsidRPr="007F17D8">
              <w:rPr>
                <w:rFonts w:cs="Arial"/>
                <w:lang w:val="en"/>
              </w:rPr>
              <w:t>23</w:t>
            </w:r>
          </w:p>
        </w:tc>
      </w:tr>
      <w:tr w:rsidR="00DC6578" w:rsidRPr="007F17D8" w14:paraId="0A2AB9D3" w14:textId="77777777" w:rsidTr="00B40203">
        <w:trPr>
          <w:cantSplit/>
        </w:trPr>
        <w:tc>
          <w:tcPr>
            <w:tcW w:w="4675" w:type="dxa"/>
          </w:tcPr>
          <w:p w14:paraId="27686F10" w14:textId="77777777" w:rsidR="00DC6578" w:rsidRPr="007F17D8" w:rsidRDefault="00DC6578" w:rsidP="00DC6578">
            <w:pPr>
              <w:rPr>
                <w:rFonts w:cs="Arial"/>
                <w:lang w:val="en"/>
              </w:rPr>
            </w:pPr>
            <w:r w:rsidRPr="007F17D8">
              <w:rPr>
                <w:rFonts w:cs="Arial"/>
                <w:lang w:val="en"/>
              </w:rPr>
              <w:t>Total</w:t>
            </w:r>
          </w:p>
        </w:tc>
        <w:tc>
          <w:tcPr>
            <w:tcW w:w="4675" w:type="dxa"/>
          </w:tcPr>
          <w:p w14:paraId="6C797281" w14:textId="77777777" w:rsidR="00DC6578" w:rsidRPr="007F17D8" w:rsidRDefault="00DC6578" w:rsidP="00DC6578">
            <w:pPr>
              <w:jc w:val="center"/>
              <w:rPr>
                <w:rFonts w:cs="Arial"/>
                <w:lang w:val="en"/>
              </w:rPr>
            </w:pPr>
            <w:r w:rsidRPr="007F17D8">
              <w:rPr>
                <w:rFonts w:cs="Arial"/>
                <w:lang w:val="en"/>
              </w:rPr>
              <w:t>1,821</w:t>
            </w:r>
          </w:p>
        </w:tc>
      </w:tr>
    </w:tbl>
    <w:p w14:paraId="242789FA" w14:textId="77777777" w:rsidR="00DC6578" w:rsidRPr="007F17D8" w:rsidRDefault="00DC6578" w:rsidP="00DC6578">
      <w:pPr>
        <w:shd w:val="clear" w:color="auto" w:fill="FFFFFF"/>
        <w:spacing w:before="120" w:after="240"/>
        <w:rPr>
          <w:i/>
          <w:iCs/>
          <w:szCs w:val="23"/>
        </w:rPr>
      </w:pPr>
      <w:r w:rsidRPr="007F17D8">
        <w:rPr>
          <w:i/>
          <w:iCs/>
          <w:szCs w:val="23"/>
        </w:rPr>
        <w:t>Source: Assignment Monitoring of Certificated Staff in California by County Offices of Education 2015–17, A Report to the Legislature. California Commission on Teacher Credentialing. November 2018.</w:t>
      </w:r>
    </w:p>
    <w:p w14:paraId="1BE509C0" w14:textId="77777777" w:rsidR="00DC6578" w:rsidRPr="007F17D8" w:rsidRDefault="00DC6578" w:rsidP="00B166C6">
      <w:pPr>
        <w:pStyle w:val="Heading3"/>
      </w:pPr>
      <w:r w:rsidRPr="007F17D8">
        <w:t>Promoting Equitable Access to Teachers Program</w:t>
      </w:r>
    </w:p>
    <w:p w14:paraId="3CB3BAA1" w14:textId="13462EEB" w:rsidR="00DC6578" w:rsidRPr="007F17D8" w:rsidRDefault="00DC6578" w:rsidP="00DC6578">
      <w:pPr>
        <w:shd w:val="clear" w:color="auto" w:fill="FFFFFF"/>
        <w:spacing w:after="240"/>
        <w:rPr>
          <w:rFonts w:cs="Arial"/>
          <w:lang w:val="en"/>
        </w:rPr>
      </w:pPr>
      <w:r w:rsidRPr="007F17D8">
        <w:rPr>
          <w:rFonts w:cs="Arial"/>
          <w:lang w:val="en"/>
        </w:rPr>
        <w:t>The ESSA requires each LEA receiving ESSA funds to submit a plan to the state educational agency that describes how it will identify and address any disparities that result in low-income and minority students being taught at higher rates than other students by ineffective, inexperienced, or out-of-field teachers. In the 2018–19 school year, LEAs address</w:t>
      </w:r>
      <w:r w:rsidR="00D80549" w:rsidRPr="007F17D8">
        <w:rPr>
          <w:rFonts w:cs="Arial"/>
          <w:lang w:val="en"/>
        </w:rPr>
        <w:t>ed</w:t>
      </w:r>
      <w:r w:rsidRPr="007F17D8">
        <w:rPr>
          <w:rFonts w:cs="Arial"/>
          <w:lang w:val="en"/>
        </w:rPr>
        <w:t xml:space="preserve"> this requirement in the Local Control and Accountability Plan (LCAP) Federal Addendum.</w:t>
      </w:r>
    </w:p>
    <w:p w14:paraId="560B8EF3" w14:textId="77777777" w:rsidR="00DC6578" w:rsidRPr="007F17D8" w:rsidRDefault="00DC6578" w:rsidP="00DC6578">
      <w:pPr>
        <w:shd w:val="clear" w:color="auto" w:fill="FFFFFF"/>
        <w:spacing w:after="240"/>
        <w:rPr>
          <w:rFonts w:cs="Arial"/>
          <w:lang w:val="en"/>
        </w:rPr>
      </w:pPr>
      <w:r w:rsidRPr="007F17D8">
        <w:rPr>
          <w:rFonts w:cs="Arial"/>
          <w:lang w:val="en"/>
        </w:rPr>
        <w:t xml:space="preserve">The CDE has developed the Promoting Equitable Access to Teachers (PEAT) Program to assist LEAs in identifying and addressing local disparities or equity gaps. A key element of the PEAT Program is a suite of equity tools designed to guide LEAs as they collect and analyze the appropriate data, conduct data analyses to identify potential equity gaps, conduct a root cause analysis and consider various strategies to address disparities, and engage stakeholders in the process. These tools were developed to help LEAs successfully complete their LCAP Federal Addenda in 2018–19 and continue to address any equity gaps in the years ahead. The tools are available on the CDE Promoting Equitable Access to Teachers Program web page at </w:t>
      </w:r>
      <w:hyperlink r:id="rId11" w:tooltip="Promoting Equitable Access to Teachers Program" w:history="1">
        <w:r w:rsidRPr="007F17D8">
          <w:rPr>
            <w:rStyle w:val="Hyperlink"/>
            <w:rFonts w:cs="Arial"/>
            <w:lang w:val="en"/>
          </w:rPr>
          <w:t>https://www.cde.ca.gov/pd/ee/peat.asp</w:t>
        </w:r>
      </w:hyperlink>
      <w:r w:rsidRPr="007F17D8">
        <w:rPr>
          <w:rFonts w:cs="Arial"/>
          <w:lang w:val="en"/>
        </w:rPr>
        <w:t xml:space="preserve">. </w:t>
      </w:r>
    </w:p>
    <w:p w14:paraId="1477DFAA" w14:textId="77777777" w:rsidR="00DC6578" w:rsidRPr="007F17D8" w:rsidRDefault="00DC6578" w:rsidP="00DC6578">
      <w:pPr>
        <w:shd w:val="clear" w:color="auto" w:fill="FFFFFF"/>
        <w:spacing w:after="240"/>
        <w:rPr>
          <w:rFonts w:cs="Arial"/>
          <w:lang w:val="en"/>
        </w:rPr>
      </w:pPr>
      <w:r w:rsidRPr="007F17D8">
        <w:rPr>
          <w:rFonts w:cs="Arial"/>
          <w:lang w:val="en"/>
        </w:rPr>
        <w:lastRenderedPageBreak/>
        <w:t>Further, to meet ESSA data reporting requirements, the CDE, in collaboration with the CTC, is updating several elements of the educator data collection process. The CDE and CTC have entered into a data sharing MOU in order to modernize and digitize their current system for assignment monitoring statewide.</w:t>
      </w:r>
    </w:p>
    <w:p w14:paraId="55CC3900" w14:textId="77777777" w:rsidR="00DC6578" w:rsidRPr="007F17D8" w:rsidRDefault="00DC6578" w:rsidP="00DC6578">
      <w:pPr>
        <w:shd w:val="clear" w:color="auto" w:fill="FFFFFF"/>
        <w:spacing w:after="240"/>
        <w:rPr>
          <w:rFonts w:cs="Arial"/>
          <w:lang w:val="en"/>
        </w:rPr>
      </w:pPr>
      <w:r w:rsidRPr="007F17D8">
        <w:rPr>
          <w:rFonts w:cs="Arial"/>
          <w:lang w:val="en"/>
        </w:rPr>
        <w:t xml:space="preserve">The CTC is currently developing the new </w:t>
      </w:r>
      <w:proofErr w:type="spellStart"/>
      <w:r w:rsidRPr="007F17D8">
        <w:rPr>
          <w:rFonts w:cs="Arial"/>
          <w:lang w:val="en"/>
        </w:rPr>
        <w:t>CalSAAS</w:t>
      </w:r>
      <w:proofErr w:type="spellEnd"/>
      <w:r w:rsidRPr="007F17D8">
        <w:rPr>
          <w:rFonts w:cs="Arial"/>
          <w:lang w:val="en"/>
        </w:rPr>
        <w:t xml:space="preserve"> system that will use data from the CTC and CDE to identify potential </w:t>
      </w:r>
      <w:proofErr w:type="spellStart"/>
      <w:r w:rsidRPr="007F17D8">
        <w:rPr>
          <w:rFonts w:cs="Arial"/>
          <w:lang w:val="en"/>
        </w:rPr>
        <w:t>misassignments</w:t>
      </w:r>
      <w:proofErr w:type="spellEnd"/>
      <w:r w:rsidRPr="007F17D8">
        <w:rPr>
          <w:rFonts w:cs="Arial"/>
          <w:lang w:val="en"/>
        </w:rPr>
        <w:t xml:space="preserve"> and provide a communication platform for counties and school districts to address and resolve them. The </w:t>
      </w:r>
      <w:proofErr w:type="spellStart"/>
      <w:r w:rsidRPr="007F17D8">
        <w:rPr>
          <w:rFonts w:cs="Arial"/>
          <w:lang w:val="en"/>
        </w:rPr>
        <w:t>CalSAAS</w:t>
      </w:r>
      <w:proofErr w:type="spellEnd"/>
      <w:r w:rsidRPr="007F17D8">
        <w:rPr>
          <w:rFonts w:cs="Arial"/>
          <w:lang w:val="en"/>
        </w:rPr>
        <w:t xml:space="preserve"> will be fully operational by fall 2019. </w:t>
      </w:r>
    </w:p>
    <w:p w14:paraId="16B39057" w14:textId="06829CE1" w:rsidR="00DC6578" w:rsidRPr="007F17D8" w:rsidRDefault="00DC6578" w:rsidP="00DC6578">
      <w:pPr>
        <w:shd w:val="clear" w:color="auto" w:fill="FFFFFF"/>
        <w:spacing w:after="240"/>
        <w:rPr>
          <w:rFonts w:cs="Arial"/>
          <w:lang w:val="en"/>
        </w:rPr>
      </w:pPr>
      <w:r w:rsidRPr="007F17D8">
        <w:rPr>
          <w:rFonts w:cs="Arial"/>
          <w:lang w:val="en"/>
        </w:rPr>
        <w:t xml:space="preserve">In order to effectively </w:t>
      </w:r>
      <w:r w:rsidR="006C3D8D" w:rsidRPr="007F17D8">
        <w:rPr>
          <w:rFonts w:cs="Arial"/>
          <w:lang w:val="en"/>
        </w:rPr>
        <w:t xml:space="preserve">assess </w:t>
      </w:r>
      <w:r w:rsidRPr="007F17D8">
        <w:rPr>
          <w:rFonts w:cs="Arial"/>
          <w:lang w:val="en"/>
        </w:rPr>
        <w:t>which credential and authorization is required to teach a course based on the state course code name and description, CDE staff has updated the current set of state course codes collected in the CALPADS and added a number of attributes that further refine each course description.</w:t>
      </w:r>
    </w:p>
    <w:p w14:paraId="01B51D32" w14:textId="77777777" w:rsidR="00DC6578" w:rsidRPr="007F17D8" w:rsidRDefault="00DC6578" w:rsidP="00DC6578">
      <w:pPr>
        <w:shd w:val="clear" w:color="auto" w:fill="FFFFFF"/>
        <w:spacing w:after="240"/>
        <w:rPr>
          <w:rFonts w:cs="Arial"/>
          <w:lang w:val="en"/>
        </w:rPr>
      </w:pPr>
      <w:r w:rsidRPr="007F17D8">
        <w:rPr>
          <w:rFonts w:cs="Arial"/>
          <w:lang w:val="en"/>
        </w:rPr>
        <w:t xml:space="preserve">CDE and CTC staff have partnered to offer over 31 in-person trainings and several webinars to assist LEAs in transitioning to the changes in CALPADS, requirements in </w:t>
      </w:r>
      <w:proofErr w:type="spellStart"/>
      <w:r w:rsidRPr="007F17D8">
        <w:rPr>
          <w:rFonts w:cs="Arial"/>
          <w:lang w:val="en"/>
        </w:rPr>
        <w:t>CalSAAS</w:t>
      </w:r>
      <w:proofErr w:type="spellEnd"/>
      <w:r w:rsidRPr="007F17D8">
        <w:rPr>
          <w:rFonts w:cs="Arial"/>
          <w:lang w:val="en"/>
        </w:rPr>
        <w:t>, as well as completing the LCAP Federal Addendum. Staff has trained over 3,300 people through in-person trainings at COEs and over 1,900 participants via webinar. CDE and CTC staff continue to offer support for the field through office hours held each Monday for one hour. This hour is dedicated to informing the field of any changes or updates within the various programs and to take questions from LEAs.</w:t>
      </w:r>
    </w:p>
    <w:p w14:paraId="1C2DB480" w14:textId="77777777" w:rsidR="00DC6578" w:rsidRPr="007F17D8" w:rsidRDefault="00DC6578" w:rsidP="00B166C6">
      <w:pPr>
        <w:pStyle w:val="Heading3"/>
        <w:spacing w:before="360" w:after="120"/>
        <w:rPr>
          <w:lang w:val="en"/>
        </w:rPr>
      </w:pPr>
      <w:r w:rsidRPr="007F17D8">
        <w:rPr>
          <w:lang w:val="en"/>
        </w:rPr>
        <w:t>Table 6: Participants Trained on Changes in the California Longitudinal Pupil Achievement Data System, the California Statewide Assignment and Accountability System and the Promoting Equitable Access to Teachers Program</w:t>
      </w:r>
    </w:p>
    <w:p w14:paraId="207241DC" w14:textId="77777777" w:rsidR="00DC6578" w:rsidRPr="007F17D8" w:rsidRDefault="00DC6578" w:rsidP="00DC6578">
      <w:pPr>
        <w:shd w:val="clear" w:color="auto" w:fill="FFFFFF"/>
        <w:rPr>
          <w:rFonts w:cs="Arial"/>
          <w:b/>
          <w:lang w:val="en"/>
        </w:rPr>
      </w:pPr>
    </w:p>
    <w:tbl>
      <w:tblPr>
        <w:tblStyle w:val="TableGrid"/>
        <w:tblW w:w="0" w:type="auto"/>
        <w:tblLook w:val="04A0" w:firstRow="1" w:lastRow="0" w:firstColumn="1" w:lastColumn="0" w:noHBand="0" w:noVBand="1"/>
        <w:tblDescription w:val="This chart shows the number of participants that have been trained in the changes in CALPADS, CalSAAS and PEAT through in-person and webinar trainings."/>
      </w:tblPr>
      <w:tblGrid>
        <w:gridCol w:w="4675"/>
        <w:gridCol w:w="4675"/>
      </w:tblGrid>
      <w:tr w:rsidR="00DC6578" w:rsidRPr="007F17D8" w14:paraId="2D2DAAC4" w14:textId="77777777" w:rsidTr="00B40203">
        <w:trPr>
          <w:cantSplit/>
          <w:tblHeader/>
        </w:trPr>
        <w:tc>
          <w:tcPr>
            <w:tcW w:w="4675" w:type="dxa"/>
            <w:shd w:val="clear" w:color="auto" w:fill="D9D9D9" w:themeFill="background1" w:themeFillShade="D9"/>
          </w:tcPr>
          <w:p w14:paraId="5A55579B" w14:textId="77777777" w:rsidR="00DC6578" w:rsidRPr="007F17D8" w:rsidRDefault="00DC6578" w:rsidP="00DC6578">
            <w:pPr>
              <w:jc w:val="center"/>
              <w:rPr>
                <w:rFonts w:cs="Arial"/>
                <w:b/>
                <w:lang w:val="en"/>
              </w:rPr>
            </w:pPr>
            <w:r w:rsidRPr="007F17D8">
              <w:rPr>
                <w:rFonts w:cs="Arial"/>
                <w:b/>
                <w:lang w:val="en"/>
              </w:rPr>
              <w:t>Training Type</w:t>
            </w:r>
          </w:p>
        </w:tc>
        <w:tc>
          <w:tcPr>
            <w:tcW w:w="4675" w:type="dxa"/>
            <w:shd w:val="clear" w:color="auto" w:fill="D9D9D9" w:themeFill="background1" w:themeFillShade="D9"/>
          </w:tcPr>
          <w:p w14:paraId="170EC87A" w14:textId="77777777" w:rsidR="00DC6578" w:rsidRPr="007F17D8" w:rsidRDefault="00DC6578" w:rsidP="00DC6578">
            <w:pPr>
              <w:jc w:val="center"/>
              <w:rPr>
                <w:rFonts w:cs="Arial"/>
                <w:b/>
                <w:lang w:val="en"/>
              </w:rPr>
            </w:pPr>
            <w:r w:rsidRPr="007F17D8">
              <w:rPr>
                <w:rFonts w:cs="Arial"/>
                <w:b/>
                <w:lang w:val="en"/>
              </w:rPr>
              <w:t>Number of Participants</w:t>
            </w:r>
          </w:p>
        </w:tc>
      </w:tr>
      <w:tr w:rsidR="00DC6578" w:rsidRPr="007F17D8" w14:paraId="23E5F172" w14:textId="77777777" w:rsidTr="00B40203">
        <w:trPr>
          <w:cantSplit/>
        </w:trPr>
        <w:tc>
          <w:tcPr>
            <w:tcW w:w="4675" w:type="dxa"/>
          </w:tcPr>
          <w:p w14:paraId="4BFCEEC1" w14:textId="77777777" w:rsidR="00DC6578" w:rsidRPr="007F17D8" w:rsidRDefault="00DC6578" w:rsidP="00DC6578">
            <w:pPr>
              <w:rPr>
                <w:rFonts w:cs="Arial"/>
                <w:lang w:val="en"/>
              </w:rPr>
            </w:pPr>
            <w:r w:rsidRPr="007F17D8">
              <w:rPr>
                <w:rFonts w:cs="Arial"/>
                <w:lang w:val="en"/>
              </w:rPr>
              <w:t>In-person trainings</w:t>
            </w:r>
          </w:p>
        </w:tc>
        <w:tc>
          <w:tcPr>
            <w:tcW w:w="4675" w:type="dxa"/>
          </w:tcPr>
          <w:p w14:paraId="41603BE1" w14:textId="77777777" w:rsidR="00DC6578" w:rsidRPr="007F17D8" w:rsidRDefault="00DC6578" w:rsidP="00DC6578">
            <w:pPr>
              <w:jc w:val="center"/>
              <w:rPr>
                <w:rFonts w:cs="Arial"/>
                <w:lang w:val="en"/>
              </w:rPr>
            </w:pPr>
            <w:r w:rsidRPr="007F17D8">
              <w:rPr>
                <w:rFonts w:cs="Arial"/>
                <w:lang w:val="en"/>
              </w:rPr>
              <w:t>3,327</w:t>
            </w:r>
          </w:p>
        </w:tc>
      </w:tr>
      <w:tr w:rsidR="00DC6578" w:rsidRPr="007F17D8" w14:paraId="09E39589" w14:textId="77777777" w:rsidTr="00B40203">
        <w:trPr>
          <w:cantSplit/>
        </w:trPr>
        <w:tc>
          <w:tcPr>
            <w:tcW w:w="4675" w:type="dxa"/>
          </w:tcPr>
          <w:p w14:paraId="476C5990" w14:textId="77777777" w:rsidR="00DC6578" w:rsidRPr="007F17D8" w:rsidRDefault="00DC6578" w:rsidP="00DC6578">
            <w:pPr>
              <w:rPr>
                <w:rFonts w:cs="Arial"/>
                <w:lang w:val="en"/>
              </w:rPr>
            </w:pPr>
            <w:r w:rsidRPr="007F17D8">
              <w:rPr>
                <w:rFonts w:cs="Arial"/>
                <w:lang w:val="en"/>
              </w:rPr>
              <w:t>Webinar trainings</w:t>
            </w:r>
          </w:p>
        </w:tc>
        <w:tc>
          <w:tcPr>
            <w:tcW w:w="4675" w:type="dxa"/>
          </w:tcPr>
          <w:p w14:paraId="22B4B72A" w14:textId="77777777" w:rsidR="00DC6578" w:rsidRPr="007F17D8" w:rsidRDefault="00DC6578" w:rsidP="00DC6578">
            <w:pPr>
              <w:jc w:val="center"/>
              <w:rPr>
                <w:rFonts w:cs="Arial"/>
                <w:lang w:val="en"/>
              </w:rPr>
            </w:pPr>
            <w:r w:rsidRPr="007F17D8">
              <w:rPr>
                <w:rFonts w:cs="Arial"/>
                <w:lang w:val="en"/>
              </w:rPr>
              <w:t>1,927</w:t>
            </w:r>
          </w:p>
        </w:tc>
      </w:tr>
    </w:tbl>
    <w:p w14:paraId="2E3E9F19" w14:textId="6C1C0E15" w:rsidR="00B166C6" w:rsidRPr="007F17D8" w:rsidRDefault="00B166C6" w:rsidP="00B166C6">
      <w:pPr>
        <w:pStyle w:val="Heading2"/>
        <w:spacing w:before="480" w:after="0" w:line="360" w:lineRule="auto"/>
        <w:rPr>
          <w:sz w:val="36"/>
        </w:rPr>
      </w:pPr>
      <w:r w:rsidRPr="007F17D8">
        <w:rPr>
          <w:sz w:val="36"/>
        </w:rPr>
        <w:t>Attachment(s)</w:t>
      </w:r>
    </w:p>
    <w:p w14:paraId="7AEC62FC" w14:textId="26693C64" w:rsidR="00DC6578" w:rsidRPr="007F17D8" w:rsidRDefault="00DC6578" w:rsidP="00B166C6">
      <w:pPr>
        <w:pStyle w:val="ListParagraph"/>
        <w:numPr>
          <w:ilvl w:val="0"/>
          <w:numId w:val="13"/>
        </w:numPr>
        <w:rPr>
          <w:rFonts w:eastAsiaTheme="majorEastAsia"/>
        </w:rPr>
        <w:sectPr w:rsidR="00DC6578" w:rsidRPr="007F17D8" w:rsidSect="00DC6578">
          <w:pgSz w:w="12240" w:h="15840"/>
          <w:pgMar w:top="720" w:right="1440" w:bottom="1008" w:left="1440" w:header="720" w:footer="720" w:gutter="0"/>
          <w:cols w:space="720"/>
        </w:sectPr>
      </w:pPr>
      <w:r w:rsidRPr="007F17D8">
        <w:rPr>
          <w:rFonts w:eastAsiaTheme="majorEastAsia"/>
          <w:b/>
        </w:rPr>
        <w:t>Attachment 1:</w:t>
      </w:r>
      <w:r w:rsidRPr="007F17D8">
        <w:rPr>
          <w:rFonts w:eastAsiaTheme="majorEastAsia"/>
        </w:rPr>
        <w:t xml:space="preserve"> </w:t>
      </w:r>
      <w:r w:rsidRPr="007F17D8">
        <w:rPr>
          <w:lang w:val="en"/>
        </w:rPr>
        <w:t>2017–18 California Educator Equity Data</w:t>
      </w:r>
      <w:r w:rsidRPr="007F17D8">
        <w:rPr>
          <w:rFonts w:eastAsiaTheme="majorEastAsia"/>
        </w:rPr>
        <w:t xml:space="preserve"> (3 pages)</w:t>
      </w:r>
    </w:p>
    <w:p w14:paraId="599E62EB" w14:textId="08E51A97" w:rsidR="00DC6578" w:rsidRPr="007F17D8" w:rsidRDefault="00B166C6" w:rsidP="00B166C6">
      <w:pPr>
        <w:pStyle w:val="Heading1"/>
        <w:tabs>
          <w:tab w:val="center" w:pos="6840"/>
          <w:tab w:val="left" w:pos="11310"/>
        </w:tabs>
        <w:spacing w:before="0" w:after="240"/>
        <w:rPr>
          <w:rFonts w:ascii="Arial" w:hAnsi="Arial" w:cs="Arial"/>
          <w:b/>
          <w:bCs/>
          <w:color w:val="auto"/>
          <w:sz w:val="40"/>
          <w:szCs w:val="40"/>
        </w:rPr>
      </w:pPr>
      <w:r w:rsidRPr="007F17D8">
        <w:rPr>
          <w:rFonts w:ascii="Arial" w:hAnsi="Arial" w:cs="Arial"/>
          <w:b/>
          <w:color w:val="auto"/>
          <w:sz w:val="40"/>
          <w:szCs w:val="40"/>
          <w:lang w:val="en"/>
        </w:rPr>
        <w:lastRenderedPageBreak/>
        <w:tab/>
      </w:r>
      <w:r w:rsidR="00DC6578" w:rsidRPr="007F17D8">
        <w:rPr>
          <w:rFonts w:ascii="Arial" w:hAnsi="Arial" w:cs="Arial"/>
          <w:b/>
          <w:color w:val="auto"/>
          <w:sz w:val="40"/>
          <w:szCs w:val="40"/>
          <w:lang w:val="en"/>
        </w:rPr>
        <w:t>2017–18 California Educator Equity Data</w:t>
      </w:r>
    </w:p>
    <w:p w14:paraId="2C45B780" w14:textId="77777777" w:rsidR="00DC6578" w:rsidRPr="007F17D8" w:rsidRDefault="00DC6578" w:rsidP="00B166C6">
      <w:pPr>
        <w:pStyle w:val="Heading2"/>
        <w:spacing w:before="240"/>
        <w:jc w:val="center"/>
      </w:pPr>
      <w:r w:rsidRPr="007F17D8">
        <w:t>Table 1: 2017–18 Inexperienced Teachers by Minority Student Enrollment</w:t>
      </w:r>
    </w:p>
    <w:tbl>
      <w:tblPr>
        <w:tblStyle w:val="TableGrid"/>
        <w:tblW w:w="13405" w:type="dxa"/>
        <w:tblLayout w:type="fixed"/>
        <w:tblLook w:val="04A0" w:firstRow="1" w:lastRow="0" w:firstColumn="1" w:lastColumn="0" w:noHBand="0" w:noVBand="1"/>
        <w:tblDescription w:val="This chart shows the percentage of inexperienced teachers working with minority students by quartile."/>
      </w:tblPr>
      <w:tblGrid>
        <w:gridCol w:w="2155"/>
        <w:gridCol w:w="1260"/>
        <w:gridCol w:w="1710"/>
        <w:gridCol w:w="1710"/>
        <w:gridCol w:w="1530"/>
        <w:gridCol w:w="1350"/>
        <w:gridCol w:w="1890"/>
        <w:gridCol w:w="1800"/>
      </w:tblGrid>
      <w:tr w:rsidR="00DC6578" w:rsidRPr="007F17D8" w14:paraId="5AB545C5" w14:textId="77777777" w:rsidTr="00B40203">
        <w:trPr>
          <w:cantSplit/>
          <w:tblHeader/>
        </w:trPr>
        <w:tc>
          <w:tcPr>
            <w:tcW w:w="2155" w:type="dxa"/>
            <w:shd w:val="clear" w:color="auto" w:fill="D9D9D9" w:themeFill="background1" w:themeFillShade="D9"/>
          </w:tcPr>
          <w:p w14:paraId="099D7315" w14:textId="77777777" w:rsidR="00DC6578" w:rsidRPr="007F17D8" w:rsidRDefault="00DC6578" w:rsidP="00DC6578">
            <w:pPr>
              <w:tabs>
                <w:tab w:val="left" w:pos="616"/>
              </w:tabs>
              <w:rPr>
                <w:rFonts w:cs="Arial"/>
                <w:lang w:val="en"/>
              </w:rPr>
            </w:pPr>
            <w:r w:rsidRPr="007F17D8">
              <w:rPr>
                <w:rFonts w:cs="Arial"/>
                <w:lang w:val="en"/>
              </w:rPr>
              <w:t>Decile Rank for Title I Schools</w:t>
            </w:r>
          </w:p>
        </w:tc>
        <w:tc>
          <w:tcPr>
            <w:tcW w:w="1260" w:type="dxa"/>
            <w:shd w:val="clear" w:color="auto" w:fill="D9D9D9" w:themeFill="background1" w:themeFillShade="D9"/>
          </w:tcPr>
          <w:p w14:paraId="7854AE57" w14:textId="77777777" w:rsidR="00DC6578" w:rsidRPr="007F17D8" w:rsidRDefault="00DC6578" w:rsidP="00DC6578">
            <w:pPr>
              <w:rPr>
                <w:rFonts w:cs="Arial"/>
                <w:lang w:val="en"/>
              </w:rPr>
            </w:pPr>
            <w:r w:rsidRPr="007F17D8">
              <w:rPr>
                <w:rFonts w:cs="Arial"/>
                <w:lang w:val="en"/>
              </w:rPr>
              <w:t>Number of Schools</w:t>
            </w:r>
          </w:p>
        </w:tc>
        <w:tc>
          <w:tcPr>
            <w:tcW w:w="1710" w:type="dxa"/>
            <w:tcBorders>
              <w:bottom w:val="single" w:sz="4" w:space="0" w:color="auto"/>
            </w:tcBorders>
            <w:shd w:val="clear" w:color="auto" w:fill="D9D9D9" w:themeFill="background1" w:themeFillShade="D9"/>
          </w:tcPr>
          <w:p w14:paraId="63B124E8" w14:textId="77777777" w:rsidR="00DC6578" w:rsidRPr="007F17D8" w:rsidRDefault="00DC6578" w:rsidP="00DC6578">
            <w:pPr>
              <w:rPr>
                <w:rFonts w:cs="Arial"/>
                <w:lang w:val="en"/>
              </w:rPr>
            </w:pPr>
            <w:r w:rsidRPr="007F17D8">
              <w:rPr>
                <w:rFonts w:cs="Arial"/>
                <w:lang w:val="en"/>
              </w:rPr>
              <w:t>Total Student Enrollment</w:t>
            </w:r>
          </w:p>
        </w:tc>
        <w:tc>
          <w:tcPr>
            <w:tcW w:w="1710" w:type="dxa"/>
            <w:tcBorders>
              <w:bottom w:val="single" w:sz="4" w:space="0" w:color="auto"/>
            </w:tcBorders>
            <w:shd w:val="clear" w:color="auto" w:fill="D9D9D9" w:themeFill="background1" w:themeFillShade="D9"/>
          </w:tcPr>
          <w:p w14:paraId="1DE1C84D" w14:textId="77777777" w:rsidR="00DC6578" w:rsidRPr="007F17D8" w:rsidRDefault="00DC6578" w:rsidP="00DC6578">
            <w:pPr>
              <w:rPr>
                <w:rFonts w:cs="Arial"/>
                <w:lang w:val="en"/>
              </w:rPr>
            </w:pPr>
            <w:r w:rsidRPr="007F17D8">
              <w:rPr>
                <w:rFonts w:cs="Arial"/>
                <w:lang w:val="en"/>
              </w:rPr>
              <w:t>Minority Student Enrollment</w:t>
            </w:r>
          </w:p>
        </w:tc>
        <w:tc>
          <w:tcPr>
            <w:tcW w:w="1530" w:type="dxa"/>
            <w:tcBorders>
              <w:bottom w:val="single" w:sz="4" w:space="0" w:color="auto"/>
            </w:tcBorders>
            <w:shd w:val="clear" w:color="auto" w:fill="D9D9D9" w:themeFill="background1" w:themeFillShade="D9"/>
          </w:tcPr>
          <w:p w14:paraId="79CDFAA6" w14:textId="77777777" w:rsidR="00DC6578" w:rsidRPr="007F17D8" w:rsidRDefault="00DC6578" w:rsidP="00DC6578">
            <w:pPr>
              <w:rPr>
                <w:rFonts w:cs="Arial"/>
                <w:lang w:val="en"/>
              </w:rPr>
            </w:pPr>
            <w:r w:rsidRPr="007F17D8">
              <w:rPr>
                <w:rFonts w:cs="Arial"/>
                <w:lang w:val="en"/>
              </w:rPr>
              <w:t>Percent of Minority Student Enrollment</w:t>
            </w:r>
          </w:p>
        </w:tc>
        <w:tc>
          <w:tcPr>
            <w:tcW w:w="1350" w:type="dxa"/>
            <w:tcBorders>
              <w:bottom w:val="single" w:sz="4" w:space="0" w:color="auto"/>
            </w:tcBorders>
            <w:shd w:val="clear" w:color="auto" w:fill="D9D9D9" w:themeFill="background1" w:themeFillShade="D9"/>
          </w:tcPr>
          <w:p w14:paraId="6E15B9D9" w14:textId="77777777" w:rsidR="00DC6578" w:rsidRPr="007F17D8" w:rsidRDefault="00DC6578" w:rsidP="00DC6578">
            <w:pPr>
              <w:rPr>
                <w:rFonts w:cs="Arial"/>
                <w:lang w:val="en"/>
              </w:rPr>
            </w:pPr>
            <w:r w:rsidRPr="007F17D8">
              <w:rPr>
                <w:rFonts w:cs="Arial"/>
                <w:lang w:val="en"/>
              </w:rPr>
              <w:t>Total Teachers</w:t>
            </w:r>
          </w:p>
        </w:tc>
        <w:tc>
          <w:tcPr>
            <w:tcW w:w="1890" w:type="dxa"/>
            <w:tcBorders>
              <w:bottom w:val="single" w:sz="4" w:space="0" w:color="auto"/>
            </w:tcBorders>
            <w:shd w:val="clear" w:color="auto" w:fill="D9D9D9" w:themeFill="background1" w:themeFillShade="D9"/>
          </w:tcPr>
          <w:p w14:paraId="5287AA4C" w14:textId="77777777" w:rsidR="00DC6578" w:rsidRPr="007F17D8" w:rsidRDefault="00DC6578" w:rsidP="00DC6578">
            <w:pPr>
              <w:rPr>
                <w:rFonts w:cs="Arial"/>
                <w:lang w:val="en"/>
              </w:rPr>
            </w:pPr>
            <w:r w:rsidRPr="007F17D8">
              <w:rPr>
                <w:rFonts w:cs="Arial"/>
                <w:lang w:val="en"/>
              </w:rPr>
              <w:t>Number of Inexperienced Teachers</w:t>
            </w:r>
          </w:p>
        </w:tc>
        <w:tc>
          <w:tcPr>
            <w:tcW w:w="1800" w:type="dxa"/>
            <w:tcBorders>
              <w:bottom w:val="single" w:sz="4" w:space="0" w:color="auto"/>
            </w:tcBorders>
            <w:shd w:val="clear" w:color="auto" w:fill="D9D9D9" w:themeFill="background1" w:themeFillShade="D9"/>
          </w:tcPr>
          <w:p w14:paraId="399D182D" w14:textId="77777777" w:rsidR="00DC6578" w:rsidRPr="007F17D8" w:rsidRDefault="00DC6578" w:rsidP="00DC6578">
            <w:pPr>
              <w:rPr>
                <w:rFonts w:cs="Arial"/>
                <w:lang w:val="en"/>
              </w:rPr>
            </w:pPr>
            <w:r w:rsidRPr="007F17D8">
              <w:rPr>
                <w:rFonts w:cs="Arial"/>
                <w:lang w:val="en"/>
              </w:rPr>
              <w:t>Percentage of Inexperienced Teachers</w:t>
            </w:r>
          </w:p>
        </w:tc>
      </w:tr>
      <w:tr w:rsidR="00DC6578" w:rsidRPr="007F17D8" w14:paraId="64275635" w14:textId="77777777" w:rsidTr="00B40203">
        <w:trPr>
          <w:cantSplit/>
        </w:trPr>
        <w:tc>
          <w:tcPr>
            <w:tcW w:w="2155" w:type="dxa"/>
          </w:tcPr>
          <w:p w14:paraId="77428515" w14:textId="77777777" w:rsidR="00DC6578" w:rsidRPr="007F17D8" w:rsidRDefault="00DC6578" w:rsidP="00DC6578">
            <w:pPr>
              <w:rPr>
                <w:rFonts w:cs="Arial"/>
                <w:lang w:val="en"/>
              </w:rPr>
            </w:pPr>
            <w:r w:rsidRPr="007F17D8">
              <w:rPr>
                <w:rFonts w:cs="Arial"/>
                <w:lang w:val="en"/>
              </w:rPr>
              <w:t>Decile I</w:t>
            </w:r>
          </w:p>
        </w:tc>
        <w:tc>
          <w:tcPr>
            <w:tcW w:w="1260" w:type="dxa"/>
          </w:tcPr>
          <w:p w14:paraId="4DF873C2"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4F7DC081" w14:textId="77777777" w:rsidR="00DC6578" w:rsidRPr="007F17D8" w:rsidRDefault="00DC6578" w:rsidP="00DC6578">
            <w:pPr>
              <w:rPr>
                <w:rFonts w:cs="Arial"/>
                <w:color w:val="000000"/>
              </w:rPr>
            </w:pPr>
            <w:r w:rsidRPr="007F17D8">
              <w:rPr>
                <w:rFonts w:cs="Arial"/>
                <w:color w:val="000000"/>
              </w:rPr>
              <w:t>405,433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64EE557" w14:textId="77777777" w:rsidR="00DC6578" w:rsidRPr="007F17D8" w:rsidRDefault="00DC6578" w:rsidP="00DC6578">
            <w:pPr>
              <w:rPr>
                <w:rFonts w:cs="Arial"/>
                <w:color w:val="000000"/>
              </w:rPr>
            </w:pPr>
            <w:r w:rsidRPr="007F17D8">
              <w:rPr>
                <w:rFonts w:cs="Arial"/>
                <w:color w:val="000000"/>
              </w:rPr>
              <w:t>117,798</w:t>
            </w:r>
          </w:p>
        </w:tc>
        <w:tc>
          <w:tcPr>
            <w:tcW w:w="1530" w:type="dxa"/>
            <w:tcBorders>
              <w:top w:val="single" w:sz="4" w:space="0" w:color="auto"/>
              <w:left w:val="single" w:sz="4" w:space="0" w:color="auto"/>
              <w:bottom w:val="single" w:sz="4" w:space="0" w:color="auto"/>
              <w:right w:val="nil"/>
            </w:tcBorders>
            <w:shd w:val="clear" w:color="auto" w:fill="auto"/>
            <w:vAlign w:val="bottom"/>
          </w:tcPr>
          <w:p w14:paraId="3BC0F13B" w14:textId="77777777" w:rsidR="00DC6578" w:rsidRPr="007F17D8" w:rsidRDefault="00DC6578" w:rsidP="00DC6578">
            <w:pPr>
              <w:rPr>
                <w:rFonts w:cs="Arial"/>
                <w:bCs/>
                <w:iCs/>
                <w:color w:val="000000"/>
              </w:rPr>
            </w:pPr>
            <w:r w:rsidRPr="007F17D8">
              <w:rPr>
                <w:rFonts w:cs="Arial"/>
                <w:bCs/>
                <w:iCs/>
                <w:color w:val="000000"/>
              </w:rPr>
              <w:t>29.1%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73F327DE" w14:textId="77777777" w:rsidR="00DC6578" w:rsidRPr="007F17D8" w:rsidRDefault="00DC6578" w:rsidP="00DC6578">
            <w:pPr>
              <w:rPr>
                <w:rFonts w:cs="Arial"/>
                <w:color w:val="000000"/>
              </w:rPr>
            </w:pPr>
            <w:r w:rsidRPr="007F17D8">
              <w:rPr>
                <w:rFonts w:cs="Arial"/>
                <w:color w:val="000000"/>
              </w:rPr>
              <w:t>21,237</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24D5BC5" w14:textId="77777777" w:rsidR="00DC6578" w:rsidRPr="007F17D8" w:rsidRDefault="00DC6578" w:rsidP="00DC6578">
            <w:pPr>
              <w:rPr>
                <w:rFonts w:cs="Arial"/>
                <w:color w:val="000000"/>
              </w:rPr>
            </w:pPr>
            <w:r w:rsidRPr="007F17D8">
              <w:rPr>
                <w:rFonts w:cs="Arial"/>
                <w:color w:val="000000"/>
              </w:rPr>
              <w:t>2,218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7CC67299" w14:textId="77777777" w:rsidR="00DC6578" w:rsidRPr="007F17D8" w:rsidRDefault="00DC6578" w:rsidP="00DC6578">
            <w:pPr>
              <w:rPr>
                <w:rFonts w:cs="Arial"/>
                <w:bCs/>
                <w:iCs/>
                <w:color w:val="000000"/>
              </w:rPr>
            </w:pPr>
            <w:r w:rsidRPr="007F17D8">
              <w:rPr>
                <w:rFonts w:cs="Arial"/>
                <w:bCs/>
                <w:iCs/>
                <w:color w:val="000000"/>
              </w:rPr>
              <w:t>10.4%</w:t>
            </w:r>
          </w:p>
        </w:tc>
      </w:tr>
      <w:tr w:rsidR="00DC6578" w:rsidRPr="007F17D8" w14:paraId="0E888F70" w14:textId="77777777" w:rsidTr="00B40203">
        <w:trPr>
          <w:cantSplit/>
        </w:trPr>
        <w:tc>
          <w:tcPr>
            <w:tcW w:w="2155" w:type="dxa"/>
          </w:tcPr>
          <w:p w14:paraId="54232E8E" w14:textId="77777777" w:rsidR="00DC6578" w:rsidRPr="007F17D8" w:rsidRDefault="00DC6578" w:rsidP="00DC6578">
            <w:pPr>
              <w:rPr>
                <w:rFonts w:cs="Arial"/>
                <w:lang w:val="en"/>
              </w:rPr>
            </w:pPr>
            <w:r w:rsidRPr="007F17D8">
              <w:rPr>
                <w:rFonts w:cs="Arial"/>
                <w:lang w:val="en"/>
              </w:rPr>
              <w:t>Decile 2</w:t>
            </w:r>
          </w:p>
        </w:tc>
        <w:tc>
          <w:tcPr>
            <w:tcW w:w="1260" w:type="dxa"/>
          </w:tcPr>
          <w:p w14:paraId="64BDEEBA"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657C3A0C" w14:textId="77777777" w:rsidR="00DC6578" w:rsidRPr="007F17D8" w:rsidRDefault="00DC6578" w:rsidP="00DC6578">
            <w:pPr>
              <w:rPr>
                <w:rFonts w:cs="Arial"/>
                <w:color w:val="000000"/>
              </w:rPr>
            </w:pPr>
            <w:r w:rsidRPr="007F17D8">
              <w:rPr>
                <w:rFonts w:cs="Arial"/>
                <w:color w:val="000000"/>
              </w:rPr>
              <w:t>620,235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69CBCE73" w14:textId="77777777" w:rsidR="00DC6578" w:rsidRPr="007F17D8" w:rsidRDefault="00DC6578" w:rsidP="00DC6578">
            <w:pPr>
              <w:rPr>
                <w:rFonts w:cs="Arial"/>
                <w:color w:val="000000"/>
              </w:rPr>
            </w:pPr>
            <w:r w:rsidRPr="007F17D8">
              <w:rPr>
                <w:rFonts w:cs="Arial"/>
                <w:color w:val="000000"/>
              </w:rPr>
              <w:t>277,115</w:t>
            </w:r>
          </w:p>
        </w:tc>
        <w:tc>
          <w:tcPr>
            <w:tcW w:w="1530" w:type="dxa"/>
            <w:tcBorders>
              <w:top w:val="single" w:sz="4" w:space="0" w:color="auto"/>
              <w:left w:val="single" w:sz="4" w:space="0" w:color="auto"/>
              <w:bottom w:val="single" w:sz="4" w:space="0" w:color="auto"/>
              <w:right w:val="nil"/>
            </w:tcBorders>
            <w:shd w:val="clear" w:color="auto" w:fill="auto"/>
            <w:vAlign w:val="bottom"/>
          </w:tcPr>
          <w:p w14:paraId="4ABC07CA" w14:textId="77777777" w:rsidR="00DC6578" w:rsidRPr="007F17D8" w:rsidRDefault="00DC6578" w:rsidP="00DC6578">
            <w:pPr>
              <w:rPr>
                <w:rFonts w:cs="Arial"/>
                <w:bCs/>
                <w:iCs/>
                <w:color w:val="000000"/>
              </w:rPr>
            </w:pPr>
            <w:r w:rsidRPr="007F17D8">
              <w:rPr>
                <w:rFonts w:cs="Arial"/>
                <w:bCs/>
                <w:iCs/>
                <w:color w:val="000000"/>
              </w:rPr>
              <w:t>44.7%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A83AD72" w14:textId="77777777" w:rsidR="00DC6578" w:rsidRPr="007F17D8" w:rsidRDefault="00DC6578" w:rsidP="00DC6578">
            <w:pPr>
              <w:rPr>
                <w:rFonts w:cs="Arial"/>
                <w:color w:val="000000"/>
              </w:rPr>
            </w:pPr>
            <w:r w:rsidRPr="007F17D8">
              <w:rPr>
                <w:rFonts w:cs="Arial"/>
                <w:color w:val="000000"/>
              </w:rPr>
              <w:t>31,165</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8A1B8D2" w14:textId="77777777" w:rsidR="00DC6578" w:rsidRPr="007F17D8" w:rsidRDefault="00DC6578" w:rsidP="00DC6578">
            <w:pPr>
              <w:rPr>
                <w:rFonts w:cs="Arial"/>
                <w:color w:val="000000"/>
              </w:rPr>
            </w:pPr>
            <w:r w:rsidRPr="007F17D8">
              <w:rPr>
                <w:rFonts w:cs="Arial"/>
                <w:color w:val="000000"/>
              </w:rPr>
              <w:t>3,116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0F3C11EE" w14:textId="77777777" w:rsidR="00DC6578" w:rsidRPr="007F17D8" w:rsidRDefault="00DC6578" w:rsidP="00DC6578">
            <w:pPr>
              <w:rPr>
                <w:rFonts w:cs="Arial"/>
                <w:bCs/>
                <w:iCs/>
                <w:color w:val="000000"/>
              </w:rPr>
            </w:pPr>
            <w:r w:rsidRPr="007F17D8">
              <w:rPr>
                <w:rFonts w:cs="Arial"/>
                <w:bCs/>
                <w:iCs/>
                <w:color w:val="000000"/>
              </w:rPr>
              <w:t>10.0%</w:t>
            </w:r>
          </w:p>
        </w:tc>
      </w:tr>
      <w:tr w:rsidR="00DC6578" w:rsidRPr="007F17D8" w14:paraId="4B630247" w14:textId="77777777" w:rsidTr="00B40203">
        <w:trPr>
          <w:cantSplit/>
        </w:trPr>
        <w:tc>
          <w:tcPr>
            <w:tcW w:w="2155" w:type="dxa"/>
          </w:tcPr>
          <w:p w14:paraId="27F3631A" w14:textId="77777777" w:rsidR="00DC6578" w:rsidRPr="007F17D8" w:rsidRDefault="00DC6578" w:rsidP="00DC6578">
            <w:pPr>
              <w:rPr>
                <w:rFonts w:cs="Arial"/>
                <w:lang w:val="en"/>
              </w:rPr>
            </w:pPr>
            <w:r w:rsidRPr="007F17D8">
              <w:rPr>
                <w:rFonts w:cs="Arial"/>
                <w:lang w:val="en"/>
              </w:rPr>
              <w:t>Decile 3</w:t>
            </w:r>
          </w:p>
        </w:tc>
        <w:tc>
          <w:tcPr>
            <w:tcW w:w="1260" w:type="dxa"/>
          </w:tcPr>
          <w:p w14:paraId="3F2DA4C0"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55163E74" w14:textId="77777777" w:rsidR="00DC6578" w:rsidRPr="007F17D8" w:rsidRDefault="00DC6578" w:rsidP="00DC6578">
            <w:pPr>
              <w:rPr>
                <w:rFonts w:cs="Arial"/>
                <w:color w:val="000000"/>
              </w:rPr>
            </w:pPr>
            <w:r w:rsidRPr="007F17D8">
              <w:rPr>
                <w:rFonts w:cs="Arial"/>
                <w:color w:val="000000"/>
              </w:rPr>
              <w:t>666,529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166C6C6" w14:textId="77777777" w:rsidR="00DC6578" w:rsidRPr="007F17D8" w:rsidRDefault="00DC6578" w:rsidP="00DC6578">
            <w:pPr>
              <w:rPr>
                <w:rFonts w:cs="Arial"/>
                <w:color w:val="000000"/>
              </w:rPr>
            </w:pPr>
            <w:r w:rsidRPr="007F17D8">
              <w:rPr>
                <w:rFonts w:cs="Arial"/>
                <w:color w:val="000000"/>
              </w:rPr>
              <w:t>379,615</w:t>
            </w:r>
          </w:p>
        </w:tc>
        <w:tc>
          <w:tcPr>
            <w:tcW w:w="1530" w:type="dxa"/>
            <w:tcBorders>
              <w:top w:val="single" w:sz="4" w:space="0" w:color="auto"/>
              <w:left w:val="single" w:sz="4" w:space="0" w:color="auto"/>
              <w:bottom w:val="single" w:sz="4" w:space="0" w:color="auto"/>
              <w:right w:val="nil"/>
            </w:tcBorders>
            <w:shd w:val="clear" w:color="auto" w:fill="auto"/>
            <w:vAlign w:val="bottom"/>
          </w:tcPr>
          <w:p w14:paraId="6EE48393" w14:textId="77777777" w:rsidR="00DC6578" w:rsidRPr="007F17D8" w:rsidRDefault="00DC6578" w:rsidP="00DC6578">
            <w:pPr>
              <w:rPr>
                <w:rFonts w:cs="Arial"/>
                <w:bCs/>
                <w:iCs/>
                <w:color w:val="000000"/>
              </w:rPr>
            </w:pPr>
            <w:r w:rsidRPr="007F17D8">
              <w:rPr>
                <w:rFonts w:cs="Arial"/>
                <w:bCs/>
                <w:iCs/>
                <w:color w:val="000000"/>
              </w:rPr>
              <w:t>57.0%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F98A2F3" w14:textId="77777777" w:rsidR="00DC6578" w:rsidRPr="007F17D8" w:rsidRDefault="00DC6578" w:rsidP="00DC6578">
            <w:pPr>
              <w:rPr>
                <w:rFonts w:cs="Arial"/>
                <w:color w:val="000000"/>
              </w:rPr>
            </w:pPr>
            <w:r w:rsidRPr="007F17D8">
              <w:rPr>
                <w:rFonts w:cs="Arial"/>
                <w:color w:val="000000"/>
              </w:rPr>
              <w:t>34,174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DB02A8E" w14:textId="77777777" w:rsidR="00DC6578" w:rsidRPr="007F17D8" w:rsidRDefault="00DC6578" w:rsidP="00DC6578">
            <w:pPr>
              <w:rPr>
                <w:rFonts w:cs="Arial"/>
                <w:color w:val="000000"/>
              </w:rPr>
            </w:pPr>
            <w:r w:rsidRPr="007F17D8">
              <w:rPr>
                <w:rFonts w:cs="Arial"/>
                <w:color w:val="000000"/>
              </w:rPr>
              <w:t>3,739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5A5D611A" w14:textId="77777777" w:rsidR="00DC6578" w:rsidRPr="007F17D8" w:rsidRDefault="00DC6578" w:rsidP="00DC6578">
            <w:pPr>
              <w:rPr>
                <w:rFonts w:cs="Arial"/>
                <w:bCs/>
                <w:iCs/>
                <w:color w:val="000000"/>
              </w:rPr>
            </w:pPr>
            <w:r w:rsidRPr="007F17D8">
              <w:rPr>
                <w:rFonts w:cs="Arial"/>
                <w:bCs/>
                <w:iCs/>
                <w:color w:val="000000"/>
              </w:rPr>
              <w:t>10.9%</w:t>
            </w:r>
          </w:p>
        </w:tc>
      </w:tr>
      <w:tr w:rsidR="00DC6578" w:rsidRPr="007F17D8" w14:paraId="35182C3F" w14:textId="77777777" w:rsidTr="00B40203">
        <w:trPr>
          <w:cantSplit/>
        </w:trPr>
        <w:tc>
          <w:tcPr>
            <w:tcW w:w="2155" w:type="dxa"/>
          </w:tcPr>
          <w:p w14:paraId="305B43D9" w14:textId="77777777" w:rsidR="00DC6578" w:rsidRPr="007F17D8" w:rsidRDefault="00DC6578" w:rsidP="00DC6578">
            <w:pPr>
              <w:rPr>
                <w:rFonts w:cs="Arial"/>
                <w:lang w:val="en"/>
              </w:rPr>
            </w:pPr>
            <w:r w:rsidRPr="007F17D8">
              <w:rPr>
                <w:rFonts w:cs="Arial"/>
                <w:lang w:val="en"/>
              </w:rPr>
              <w:t>Decile 4</w:t>
            </w:r>
          </w:p>
        </w:tc>
        <w:tc>
          <w:tcPr>
            <w:tcW w:w="1260" w:type="dxa"/>
          </w:tcPr>
          <w:p w14:paraId="38469E72"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08394140" w14:textId="77777777" w:rsidR="00DC6578" w:rsidRPr="007F17D8" w:rsidRDefault="00DC6578" w:rsidP="00DC6578">
            <w:pPr>
              <w:rPr>
                <w:rFonts w:cs="Arial"/>
                <w:color w:val="000000"/>
              </w:rPr>
            </w:pPr>
            <w:r w:rsidRPr="007F17D8">
              <w:rPr>
                <w:rFonts w:cs="Arial"/>
                <w:color w:val="000000"/>
              </w:rPr>
              <w:t>652,294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1788F2D1" w14:textId="77777777" w:rsidR="00DC6578" w:rsidRPr="007F17D8" w:rsidRDefault="00DC6578" w:rsidP="00DC6578">
            <w:pPr>
              <w:rPr>
                <w:rFonts w:cs="Arial"/>
                <w:color w:val="000000"/>
              </w:rPr>
            </w:pPr>
            <w:r w:rsidRPr="007F17D8">
              <w:rPr>
                <w:rFonts w:cs="Arial"/>
                <w:color w:val="000000"/>
              </w:rPr>
              <w:t>447,887</w:t>
            </w:r>
          </w:p>
        </w:tc>
        <w:tc>
          <w:tcPr>
            <w:tcW w:w="1530" w:type="dxa"/>
            <w:tcBorders>
              <w:top w:val="single" w:sz="4" w:space="0" w:color="auto"/>
              <w:left w:val="single" w:sz="4" w:space="0" w:color="auto"/>
              <w:bottom w:val="single" w:sz="4" w:space="0" w:color="auto"/>
              <w:right w:val="nil"/>
            </w:tcBorders>
            <w:shd w:val="clear" w:color="auto" w:fill="auto"/>
            <w:vAlign w:val="bottom"/>
          </w:tcPr>
          <w:p w14:paraId="7BD80919" w14:textId="77777777" w:rsidR="00DC6578" w:rsidRPr="007F17D8" w:rsidRDefault="00DC6578" w:rsidP="00DC6578">
            <w:pPr>
              <w:rPr>
                <w:rFonts w:cs="Arial"/>
                <w:bCs/>
                <w:iCs/>
                <w:color w:val="000000"/>
              </w:rPr>
            </w:pPr>
            <w:r w:rsidRPr="007F17D8">
              <w:rPr>
                <w:rFonts w:cs="Arial"/>
                <w:bCs/>
                <w:iCs/>
                <w:color w:val="000000"/>
              </w:rPr>
              <w:t>68.7%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9E207BC" w14:textId="77777777" w:rsidR="00DC6578" w:rsidRPr="007F17D8" w:rsidRDefault="00DC6578" w:rsidP="00DC6578">
            <w:pPr>
              <w:rPr>
                <w:rFonts w:cs="Arial"/>
                <w:color w:val="000000"/>
              </w:rPr>
            </w:pPr>
            <w:r w:rsidRPr="007F17D8">
              <w:rPr>
                <w:rFonts w:cs="Arial"/>
                <w:color w:val="000000"/>
              </w:rPr>
              <w:t>32,112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F4F7051" w14:textId="77777777" w:rsidR="00DC6578" w:rsidRPr="007F17D8" w:rsidRDefault="00DC6578" w:rsidP="00DC6578">
            <w:pPr>
              <w:rPr>
                <w:rFonts w:cs="Arial"/>
                <w:color w:val="000000"/>
              </w:rPr>
            </w:pPr>
            <w:r w:rsidRPr="007F17D8">
              <w:rPr>
                <w:rFonts w:cs="Arial"/>
                <w:color w:val="000000"/>
              </w:rPr>
              <w:t>3,789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0594B609" w14:textId="77777777" w:rsidR="00DC6578" w:rsidRPr="007F17D8" w:rsidRDefault="00DC6578" w:rsidP="00DC6578">
            <w:pPr>
              <w:rPr>
                <w:rFonts w:cs="Arial"/>
                <w:bCs/>
                <w:iCs/>
                <w:color w:val="000000"/>
              </w:rPr>
            </w:pPr>
            <w:r w:rsidRPr="007F17D8">
              <w:rPr>
                <w:rFonts w:cs="Arial"/>
                <w:bCs/>
                <w:iCs/>
                <w:color w:val="000000"/>
              </w:rPr>
              <w:t>11.8%</w:t>
            </w:r>
          </w:p>
        </w:tc>
      </w:tr>
      <w:tr w:rsidR="00DC6578" w:rsidRPr="007F17D8" w14:paraId="2902559A" w14:textId="77777777" w:rsidTr="00B40203">
        <w:trPr>
          <w:cantSplit/>
        </w:trPr>
        <w:tc>
          <w:tcPr>
            <w:tcW w:w="2155" w:type="dxa"/>
          </w:tcPr>
          <w:p w14:paraId="7B663078" w14:textId="77777777" w:rsidR="00DC6578" w:rsidRPr="007F17D8" w:rsidRDefault="00DC6578" w:rsidP="00DC6578">
            <w:pPr>
              <w:rPr>
                <w:rFonts w:cs="Arial"/>
                <w:lang w:val="en"/>
              </w:rPr>
            </w:pPr>
            <w:r w:rsidRPr="007F17D8">
              <w:rPr>
                <w:rFonts w:cs="Arial"/>
                <w:lang w:val="en"/>
              </w:rPr>
              <w:t>Decile 5</w:t>
            </w:r>
          </w:p>
        </w:tc>
        <w:tc>
          <w:tcPr>
            <w:tcW w:w="1260" w:type="dxa"/>
          </w:tcPr>
          <w:p w14:paraId="1A5E65A8"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326E8D76" w14:textId="77777777" w:rsidR="00DC6578" w:rsidRPr="007F17D8" w:rsidRDefault="00DC6578" w:rsidP="00DC6578">
            <w:pPr>
              <w:rPr>
                <w:rFonts w:cs="Arial"/>
                <w:color w:val="000000"/>
              </w:rPr>
            </w:pPr>
            <w:r w:rsidRPr="007F17D8">
              <w:rPr>
                <w:rFonts w:cs="Arial"/>
                <w:color w:val="000000"/>
              </w:rPr>
              <w:t>664,148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635C0E2" w14:textId="77777777" w:rsidR="00DC6578" w:rsidRPr="007F17D8" w:rsidRDefault="00DC6578" w:rsidP="00DC6578">
            <w:pPr>
              <w:rPr>
                <w:rFonts w:cs="Arial"/>
                <w:color w:val="000000"/>
              </w:rPr>
            </w:pPr>
            <w:r w:rsidRPr="007F17D8">
              <w:rPr>
                <w:rFonts w:cs="Arial"/>
                <w:color w:val="000000"/>
              </w:rPr>
              <w:t>524,924</w:t>
            </w:r>
          </w:p>
        </w:tc>
        <w:tc>
          <w:tcPr>
            <w:tcW w:w="1530" w:type="dxa"/>
            <w:tcBorders>
              <w:top w:val="single" w:sz="4" w:space="0" w:color="auto"/>
              <w:left w:val="single" w:sz="4" w:space="0" w:color="auto"/>
              <w:bottom w:val="single" w:sz="4" w:space="0" w:color="auto"/>
              <w:right w:val="nil"/>
            </w:tcBorders>
            <w:shd w:val="clear" w:color="auto" w:fill="auto"/>
            <w:vAlign w:val="bottom"/>
          </w:tcPr>
          <w:p w14:paraId="67356FD9" w14:textId="77777777" w:rsidR="00DC6578" w:rsidRPr="007F17D8" w:rsidRDefault="00DC6578" w:rsidP="00DC6578">
            <w:pPr>
              <w:rPr>
                <w:rFonts w:cs="Arial"/>
                <w:bCs/>
                <w:iCs/>
                <w:color w:val="000000"/>
              </w:rPr>
            </w:pPr>
            <w:r w:rsidRPr="007F17D8">
              <w:rPr>
                <w:rFonts w:cs="Arial"/>
                <w:bCs/>
                <w:iCs/>
                <w:color w:val="000000"/>
              </w:rPr>
              <w:t>79.0%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810B832" w14:textId="77777777" w:rsidR="00DC6578" w:rsidRPr="007F17D8" w:rsidRDefault="00DC6578" w:rsidP="00DC6578">
            <w:pPr>
              <w:rPr>
                <w:rFonts w:cs="Arial"/>
                <w:color w:val="000000"/>
              </w:rPr>
            </w:pPr>
            <w:r w:rsidRPr="007F17D8">
              <w:rPr>
                <w:rFonts w:cs="Arial"/>
                <w:color w:val="000000"/>
              </w:rPr>
              <w:t>34,322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476F9E9" w14:textId="77777777" w:rsidR="00DC6578" w:rsidRPr="007F17D8" w:rsidRDefault="00DC6578" w:rsidP="00DC6578">
            <w:pPr>
              <w:rPr>
                <w:rFonts w:cs="Arial"/>
                <w:color w:val="000000"/>
              </w:rPr>
            </w:pPr>
            <w:r w:rsidRPr="007F17D8">
              <w:rPr>
                <w:rFonts w:cs="Arial"/>
                <w:color w:val="000000"/>
              </w:rPr>
              <w:t>4,403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635E0568" w14:textId="77777777" w:rsidR="00DC6578" w:rsidRPr="007F17D8" w:rsidRDefault="00DC6578" w:rsidP="00DC6578">
            <w:pPr>
              <w:rPr>
                <w:rFonts w:cs="Arial"/>
                <w:bCs/>
                <w:iCs/>
                <w:color w:val="000000"/>
              </w:rPr>
            </w:pPr>
            <w:r w:rsidRPr="007F17D8">
              <w:rPr>
                <w:rFonts w:cs="Arial"/>
                <w:bCs/>
                <w:iCs/>
                <w:color w:val="000000"/>
              </w:rPr>
              <w:t>12.8%</w:t>
            </w:r>
          </w:p>
        </w:tc>
      </w:tr>
      <w:tr w:rsidR="00DC6578" w:rsidRPr="007F17D8" w14:paraId="56595951" w14:textId="77777777" w:rsidTr="00B40203">
        <w:trPr>
          <w:cantSplit/>
        </w:trPr>
        <w:tc>
          <w:tcPr>
            <w:tcW w:w="2155" w:type="dxa"/>
          </w:tcPr>
          <w:p w14:paraId="599AC139" w14:textId="77777777" w:rsidR="00DC6578" w:rsidRPr="007F17D8" w:rsidRDefault="00DC6578" w:rsidP="00DC6578">
            <w:pPr>
              <w:rPr>
                <w:rFonts w:cs="Arial"/>
                <w:lang w:val="en"/>
              </w:rPr>
            </w:pPr>
            <w:r w:rsidRPr="007F17D8">
              <w:rPr>
                <w:rFonts w:cs="Arial"/>
                <w:lang w:val="en"/>
              </w:rPr>
              <w:t>Decile 6</w:t>
            </w:r>
          </w:p>
        </w:tc>
        <w:tc>
          <w:tcPr>
            <w:tcW w:w="1260" w:type="dxa"/>
          </w:tcPr>
          <w:p w14:paraId="20F37E1A" w14:textId="77777777" w:rsidR="00DC6578" w:rsidRPr="007F17D8" w:rsidRDefault="00DC6578" w:rsidP="00DC6578">
            <w:pPr>
              <w:rPr>
                <w:rFonts w:cs="Arial"/>
                <w:lang w:val="en"/>
              </w:rPr>
            </w:pPr>
            <w:r w:rsidRPr="007F17D8">
              <w:rPr>
                <w:rFonts w:cs="Arial"/>
                <w:lang w:val="en"/>
              </w:rPr>
              <w:t>1,009</w:t>
            </w:r>
          </w:p>
        </w:tc>
        <w:tc>
          <w:tcPr>
            <w:tcW w:w="1710" w:type="dxa"/>
            <w:tcBorders>
              <w:top w:val="single" w:sz="4" w:space="0" w:color="auto"/>
              <w:left w:val="nil"/>
              <w:bottom w:val="single" w:sz="4" w:space="0" w:color="auto"/>
              <w:right w:val="single" w:sz="4" w:space="0" w:color="auto"/>
            </w:tcBorders>
            <w:shd w:val="clear" w:color="auto" w:fill="auto"/>
            <w:vAlign w:val="bottom"/>
          </w:tcPr>
          <w:p w14:paraId="38396F7B" w14:textId="77777777" w:rsidR="00DC6578" w:rsidRPr="007F17D8" w:rsidRDefault="00DC6578" w:rsidP="00DC6578">
            <w:pPr>
              <w:rPr>
                <w:rFonts w:cs="Arial"/>
                <w:color w:val="000000"/>
              </w:rPr>
            </w:pPr>
            <w:r w:rsidRPr="007F17D8">
              <w:rPr>
                <w:rFonts w:cs="Arial"/>
                <w:color w:val="000000"/>
              </w:rPr>
              <w:t>671,954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0E7698D4" w14:textId="77777777" w:rsidR="00DC6578" w:rsidRPr="007F17D8" w:rsidRDefault="00DC6578" w:rsidP="00DC6578">
            <w:pPr>
              <w:rPr>
                <w:rFonts w:cs="Arial"/>
                <w:color w:val="000000"/>
              </w:rPr>
            </w:pPr>
            <w:r w:rsidRPr="007F17D8">
              <w:rPr>
                <w:rFonts w:cs="Arial"/>
                <w:color w:val="000000"/>
              </w:rPr>
              <w:t>585,122</w:t>
            </w:r>
          </w:p>
        </w:tc>
        <w:tc>
          <w:tcPr>
            <w:tcW w:w="1530" w:type="dxa"/>
            <w:tcBorders>
              <w:top w:val="single" w:sz="4" w:space="0" w:color="auto"/>
              <w:left w:val="single" w:sz="4" w:space="0" w:color="auto"/>
              <w:bottom w:val="single" w:sz="4" w:space="0" w:color="auto"/>
              <w:right w:val="nil"/>
            </w:tcBorders>
            <w:shd w:val="clear" w:color="auto" w:fill="auto"/>
            <w:vAlign w:val="bottom"/>
          </w:tcPr>
          <w:p w14:paraId="76D1BA01" w14:textId="77777777" w:rsidR="00DC6578" w:rsidRPr="007F17D8" w:rsidRDefault="00DC6578" w:rsidP="00DC6578">
            <w:pPr>
              <w:rPr>
                <w:rFonts w:cs="Arial"/>
                <w:bCs/>
                <w:iCs/>
                <w:color w:val="000000"/>
              </w:rPr>
            </w:pPr>
            <w:r w:rsidRPr="007F17D8">
              <w:rPr>
                <w:rFonts w:cs="Arial"/>
                <w:bCs/>
                <w:iCs/>
                <w:color w:val="000000"/>
              </w:rPr>
              <w:t>87.1%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6D9B305" w14:textId="77777777" w:rsidR="00DC6578" w:rsidRPr="007F17D8" w:rsidRDefault="00DC6578" w:rsidP="00DC6578">
            <w:pPr>
              <w:rPr>
                <w:rFonts w:cs="Arial"/>
                <w:color w:val="000000"/>
              </w:rPr>
            </w:pPr>
            <w:r w:rsidRPr="007F17D8">
              <w:rPr>
                <w:rFonts w:cs="Arial"/>
                <w:color w:val="000000"/>
              </w:rPr>
              <w:t>32,746</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8B5ADFE" w14:textId="77777777" w:rsidR="00DC6578" w:rsidRPr="007F17D8" w:rsidRDefault="00DC6578" w:rsidP="00DC6578">
            <w:pPr>
              <w:rPr>
                <w:rFonts w:cs="Arial"/>
                <w:color w:val="000000"/>
              </w:rPr>
            </w:pPr>
            <w:r w:rsidRPr="007F17D8">
              <w:rPr>
                <w:rFonts w:cs="Arial"/>
                <w:color w:val="000000"/>
              </w:rPr>
              <w:t>4,366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7CE0C7AE" w14:textId="77777777" w:rsidR="00DC6578" w:rsidRPr="007F17D8" w:rsidRDefault="00DC6578" w:rsidP="00DC6578">
            <w:pPr>
              <w:rPr>
                <w:rFonts w:cs="Arial"/>
                <w:bCs/>
                <w:iCs/>
                <w:color w:val="000000"/>
              </w:rPr>
            </w:pPr>
            <w:r w:rsidRPr="007F17D8">
              <w:rPr>
                <w:rFonts w:cs="Arial"/>
                <w:bCs/>
                <w:iCs/>
                <w:color w:val="000000"/>
              </w:rPr>
              <w:t>13.3%</w:t>
            </w:r>
          </w:p>
        </w:tc>
      </w:tr>
      <w:tr w:rsidR="00DC6578" w:rsidRPr="007F17D8" w14:paraId="71D8F3E7" w14:textId="77777777" w:rsidTr="00B40203">
        <w:trPr>
          <w:cantSplit/>
        </w:trPr>
        <w:tc>
          <w:tcPr>
            <w:tcW w:w="2155" w:type="dxa"/>
          </w:tcPr>
          <w:p w14:paraId="3CC4630D" w14:textId="77777777" w:rsidR="00DC6578" w:rsidRPr="007F17D8" w:rsidRDefault="00DC6578" w:rsidP="00DC6578">
            <w:pPr>
              <w:rPr>
                <w:rFonts w:cs="Arial"/>
                <w:lang w:val="en"/>
              </w:rPr>
            </w:pPr>
            <w:r w:rsidRPr="007F17D8">
              <w:rPr>
                <w:rFonts w:cs="Arial"/>
                <w:lang w:val="en"/>
              </w:rPr>
              <w:t>Decile 7</w:t>
            </w:r>
          </w:p>
        </w:tc>
        <w:tc>
          <w:tcPr>
            <w:tcW w:w="1260" w:type="dxa"/>
          </w:tcPr>
          <w:p w14:paraId="5518AF68"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2F0DFFC6" w14:textId="77777777" w:rsidR="00DC6578" w:rsidRPr="007F17D8" w:rsidRDefault="00DC6578" w:rsidP="00DC6578">
            <w:pPr>
              <w:rPr>
                <w:rFonts w:cs="Arial"/>
                <w:color w:val="000000"/>
              </w:rPr>
            </w:pPr>
            <w:r w:rsidRPr="007F17D8">
              <w:rPr>
                <w:rFonts w:cs="Arial"/>
                <w:color w:val="000000"/>
              </w:rPr>
              <w:t>640,334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71A2459" w14:textId="77777777" w:rsidR="00DC6578" w:rsidRPr="007F17D8" w:rsidRDefault="00DC6578" w:rsidP="00DC6578">
            <w:pPr>
              <w:rPr>
                <w:rFonts w:cs="Arial"/>
                <w:color w:val="000000"/>
              </w:rPr>
            </w:pPr>
            <w:r w:rsidRPr="007F17D8">
              <w:rPr>
                <w:rFonts w:cs="Arial"/>
                <w:color w:val="000000"/>
              </w:rPr>
              <w:t>593,397</w:t>
            </w:r>
          </w:p>
        </w:tc>
        <w:tc>
          <w:tcPr>
            <w:tcW w:w="1530" w:type="dxa"/>
            <w:tcBorders>
              <w:top w:val="single" w:sz="4" w:space="0" w:color="auto"/>
              <w:left w:val="single" w:sz="4" w:space="0" w:color="auto"/>
              <w:bottom w:val="single" w:sz="4" w:space="0" w:color="auto"/>
              <w:right w:val="nil"/>
            </w:tcBorders>
            <w:shd w:val="clear" w:color="auto" w:fill="auto"/>
            <w:vAlign w:val="bottom"/>
          </w:tcPr>
          <w:p w14:paraId="50F146DE" w14:textId="77777777" w:rsidR="00DC6578" w:rsidRPr="007F17D8" w:rsidRDefault="00DC6578" w:rsidP="00DC6578">
            <w:pPr>
              <w:rPr>
                <w:rFonts w:cs="Arial"/>
                <w:bCs/>
                <w:iCs/>
                <w:color w:val="000000"/>
              </w:rPr>
            </w:pPr>
            <w:r w:rsidRPr="007F17D8">
              <w:rPr>
                <w:rFonts w:cs="Arial"/>
                <w:bCs/>
                <w:iCs/>
                <w:color w:val="000000"/>
              </w:rPr>
              <w:t>92.7%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3389900" w14:textId="77777777" w:rsidR="00DC6578" w:rsidRPr="007F17D8" w:rsidRDefault="00DC6578" w:rsidP="00DC6578">
            <w:pPr>
              <w:rPr>
                <w:rFonts w:cs="Arial"/>
                <w:color w:val="000000"/>
              </w:rPr>
            </w:pPr>
            <w:r w:rsidRPr="007F17D8">
              <w:rPr>
                <w:rFonts w:cs="Arial"/>
                <w:color w:val="000000"/>
              </w:rPr>
              <w:t>31,314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D52737C" w14:textId="77777777" w:rsidR="00DC6578" w:rsidRPr="007F17D8" w:rsidRDefault="00DC6578" w:rsidP="00DC6578">
            <w:pPr>
              <w:rPr>
                <w:rFonts w:cs="Arial"/>
                <w:color w:val="000000"/>
              </w:rPr>
            </w:pPr>
            <w:r w:rsidRPr="007F17D8">
              <w:rPr>
                <w:rFonts w:cs="Arial"/>
                <w:color w:val="000000"/>
              </w:rPr>
              <w:t>4,144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1F2537C3" w14:textId="77777777" w:rsidR="00DC6578" w:rsidRPr="007F17D8" w:rsidRDefault="00DC6578" w:rsidP="00DC6578">
            <w:pPr>
              <w:rPr>
                <w:rFonts w:cs="Arial"/>
                <w:bCs/>
                <w:iCs/>
                <w:color w:val="000000"/>
              </w:rPr>
            </w:pPr>
            <w:r w:rsidRPr="007F17D8">
              <w:rPr>
                <w:rFonts w:cs="Arial"/>
                <w:bCs/>
                <w:iCs/>
                <w:color w:val="000000"/>
              </w:rPr>
              <w:t>13.2%</w:t>
            </w:r>
          </w:p>
        </w:tc>
      </w:tr>
      <w:tr w:rsidR="00DC6578" w:rsidRPr="007F17D8" w14:paraId="22F7E8F2" w14:textId="77777777" w:rsidTr="00B40203">
        <w:trPr>
          <w:cantSplit/>
        </w:trPr>
        <w:tc>
          <w:tcPr>
            <w:tcW w:w="2155" w:type="dxa"/>
          </w:tcPr>
          <w:p w14:paraId="2B11CA5F" w14:textId="77777777" w:rsidR="00DC6578" w:rsidRPr="007F17D8" w:rsidRDefault="00DC6578" w:rsidP="00DC6578">
            <w:pPr>
              <w:rPr>
                <w:rFonts w:cs="Arial"/>
                <w:lang w:val="en"/>
              </w:rPr>
            </w:pPr>
            <w:r w:rsidRPr="007F17D8">
              <w:rPr>
                <w:rFonts w:cs="Arial"/>
                <w:lang w:val="en"/>
              </w:rPr>
              <w:t>Decile 8</w:t>
            </w:r>
          </w:p>
        </w:tc>
        <w:tc>
          <w:tcPr>
            <w:tcW w:w="1260" w:type="dxa"/>
          </w:tcPr>
          <w:p w14:paraId="648D7640"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21FE69FE" w14:textId="77777777" w:rsidR="00DC6578" w:rsidRPr="007F17D8" w:rsidRDefault="00DC6578" w:rsidP="00DC6578">
            <w:pPr>
              <w:rPr>
                <w:rFonts w:cs="Arial"/>
                <w:color w:val="000000"/>
              </w:rPr>
            </w:pPr>
            <w:r w:rsidRPr="007F17D8">
              <w:rPr>
                <w:rFonts w:cs="Arial"/>
                <w:color w:val="000000"/>
              </w:rPr>
              <w:t>692,811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834E89A" w14:textId="77777777" w:rsidR="00DC6578" w:rsidRPr="007F17D8" w:rsidRDefault="00DC6578" w:rsidP="00DC6578">
            <w:pPr>
              <w:rPr>
                <w:rFonts w:cs="Arial"/>
                <w:color w:val="000000"/>
              </w:rPr>
            </w:pPr>
            <w:r w:rsidRPr="007F17D8">
              <w:rPr>
                <w:rFonts w:cs="Arial"/>
                <w:color w:val="000000"/>
              </w:rPr>
              <w:t>664,790</w:t>
            </w:r>
          </w:p>
        </w:tc>
        <w:tc>
          <w:tcPr>
            <w:tcW w:w="1530" w:type="dxa"/>
            <w:tcBorders>
              <w:top w:val="single" w:sz="4" w:space="0" w:color="auto"/>
              <w:left w:val="single" w:sz="4" w:space="0" w:color="auto"/>
              <w:bottom w:val="single" w:sz="4" w:space="0" w:color="auto"/>
              <w:right w:val="nil"/>
            </w:tcBorders>
            <w:shd w:val="clear" w:color="auto" w:fill="auto"/>
            <w:vAlign w:val="bottom"/>
          </w:tcPr>
          <w:p w14:paraId="60CC1FAE" w14:textId="77777777" w:rsidR="00DC6578" w:rsidRPr="007F17D8" w:rsidRDefault="00DC6578" w:rsidP="00DC6578">
            <w:pPr>
              <w:rPr>
                <w:rFonts w:cs="Arial"/>
                <w:bCs/>
                <w:iCs/>
                <w:color w:val="000000"/>
              </w:rPr>
            </w:pPr>
            <w:r w:rsidRPr="007F17D8">
              <w:rPr>
                <w:rFonts w:cs="Arial"/>
                <w:bCs/>
                <w:iCs/>
                <w:color w:val="000000"/>
              </w:rPr>
              <w:t>96.0%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1E837D8" w14:textId="77777777" w:rsidR="00DC6578" w:rsidRPr="007F17D8" w:rsidRDefault="00DC6578" w:rsidP="00DC6578">
            <w:pPr>
              <w:rPr>
                <w:rFonts w:cs="Arial"/>
                <w:color w:val="000000"/>
              </w:rPr>
            </w:pPr>
            <w:r w:rsidRPr="007F17D8">
              <w:rPr>
                <w:rFonts w:cs="Arial"/>
                <w:color w:val="000000"/>
              </w:rPr>
              <w:t>33,736</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4B326F3" w14:textId="77777777" w:rsidR="00DC6578" w:rsidRPr="007F17D8" w:rsidRDefault="00DC6578" w:rsidP="00DC6578">
            <w:pPr>
              <w:rPr>
                <w:rFonts w:cs="Arial"/>
                <w:color w:val="000000"/>
              </w:rPr>
            </w:pPr>
            <w:r w:rsidRPr="007F17D8">
              <w:rPr>
                <w:rFonts w:cs="Arial"/>
                <w:color w:val="000000"/>
              </w:rPr>
              <w:t>4,086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37E9E4B6" w14:textId="77777777" w:rsidR="00DC6578" w:rsidRPr="007F17D8" w:rsidRDefault="00DC6578" w:rsidP="00DC6578">
            <w:pPr>
              <w:rPr>
                <w:rFonts w:cs="Arial"/>
                <w:bCs/>
                <w:iCs/>
                <w:color w:val="000000"/>
              </w:rPr>
            </w:pPr>
            <w:r w:rsidRPr="007F17D8">
              <w:rPr>
                <w:rFonts w:cs="Arial"/>
                <w:bCs/>
                <w:iCs/>
                <w:color w:val="000000"/>
              </w:rPr>
              <w:t>12.1%</w:t>
            </w:r>
          </w:p>
        </w:tc>
      </w:tr>
      <w:tr w:rsidR="00DC6578" w:rsidRPr="007F17D8" w14:paraId="631A816B" w14:textId="77777777" w:rsidTr="00B40203">
        <w:trPr>
          <w:cantSplit/>
        </w:trPr>
        <w:tc>
          <w:tcPr>
            <w:tcW w:w="2155" w:type="dxa"/>
          </w:tcPr>
          <w:p w14:paraId="1BB042B0" w14:textId="77777777" w:rsidR="00DC6578" w:rsidRPr="007F17D8" w:rsidRDefault="00DC6578" w:rsidP="00DC6578">
            <w:pPr>
              <w:rPr>
                <w:rFonts w:cs="Arial"/>
                <w:lang w:val="en"/>
              </w:rPr>
            </w:pPr>
            <w:r w:rsidRPr="007F17D8">
              <w:rPr>
                <w:rFonts w:cs="Arial"/>
                <w:lang w:val="en"/>
              </w:rPr>
              <w:t>Decile 9</w:t>
            </w:r>
          </w:p>
        </w:tc>
        <w:tc>
          <w:tcPr>
            <w:tcW w:w="1260" w:type="dxa"/>
          </w:tcPr>
          <w:p w14:paraId="53FB2B4F"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65B95994" w14:textId="77777777" w:rsidR="00DC6578" w:rsidRPr="007F17D8" w:rsidRDefault="00DC6578" w:rsidP="00DC6578">
            <w:pPr>
              <w:rPr>
                <w:rFonts w:cs="Arial"/>
                <w:color w:val="000000"/>
              </w:rPr>
            </w:pPr>
            <w:r w:rsidRPr="007F17D8">
              <w:rPr>
                <w:rFonts w:cs="Arial"/>
                <w:color w:val="000000"/>
              </w:rPr>
              <w:t>646,907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12AE617A" w14:textId="77777777" w:rsidR="00DC6578" w:rsidRPr="007F17D8" w:rsidRDefault="00DC6578" w:rsidP="00DC6578">
            <w:pPr>
              <w:rPr>
                <w:rFonts w:cs="Arial"/>
                <w:color w:val="000000"/>
              </w:rPr>
            </w:pPr>
            <w:r w:rsidRPr="007F17D8">
              <w:rPr>
                <w:rFonts w:cs="Arial"/>
                <w:color w:val="000000"/>
              </w:rPr>
              <w:t>634,190</w:t>
            </w:r>
          </w:p>
        </w:tc>
        <w:tc>
          <w:tcPr>
            <w:tcW w:w="1530" w:type="dxa"/>
            <w:tcBorders>
              <w:top w:val="single" w:sz="4" w:space="0" w:color="auto"/>
              <w:left w:val="single" w:sz="4" w:space="0" w:color="auto"/>
              <w:bottom w:val="single" w:sz="4" w:space="0" w:color="auto"/>
              <w:right w:val="nil"/>
            </w:tcBorders>
            <w:shd w:val="clear" w:color="auto" w:fill="auto"/>
            <w:vAlign w:val="bottom"/>
          </w:tcPr>
          <w:p w14:paraId="46DE4F93" w14:textId="77777777" w:rsidR="00DC6578" w:rsidRPr="007F17D8" w:rsidRDefault="00DC6578" w:rsidP="00DC6578">
            <w:pPr>
              <w:rPr>
                <w:rFonts w:cs="Arial"/>
                <w:bCs/>
                <w:iCs/>
                <w:color w:val="000000"/>
              </w:rPr>
            </w:pPr>
            <w:r w:rsidRPr="007F17D8">
              <w:rPr>
                <w:rFonts w:cs="Arial"/>
                <w:bCs/>
                <w:iCs/>
                <w:color w:val="000000"/>
              </w:rPr>
              <w:t>98.0%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99F9477" w14:textId="77777777" w:rsidR="00DC6578" w:rsidRPr="007F17D8" w:rsidRDefault="00DC6578" w:rsidP="00DC6578">
            <w:pPr>
              <w:rPr>
                <w:rFonts w:cs="Arial"/>
                <w:color w:val="000000"/>
              </w:rPr>
            </w:pPr>
            <w:r w:rsidRPr="007F17D8">
              <w:rPr>
                <w:rFonts w:cs="Arial"/>
                <w:color w:val="000000"/>
              </w:rPr>
              <w:t>31,422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A0F7FCE" w14:textId="77777777" w:rsidR="00DC6578" w:rsidRPr="007F17D8" w:rsidRDefault="00DC6578" w:rsidP="00DC6578">
            <w:pPr>
              <w:rPr>
                <w:rFonts w:cs="Arial"/>
                <w:color w:val="000000"/>
              </w:rPr>
            </w:pPr>
            <w:r w:rsidRPr="007F17D8">
              <w:rPr>
                <w:rFonts w:cs="Arial"/>
                <w:color w:val="000000"/>
              </w:rPr>
              <w:t>4,296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1FA6F53A" w14:textId="77777777" w:rsidR="00DC6578" w:rsidRPr="007F17D8" w:rsidRDefault="00DC6578" w:rsidP="00DC6578">
            <w:pPr>
              <w:rPr>
                <w:rFonts w:cs="Arial"/>
                <w:bCs/>
                <w:iCs/>
                <w:color w:val="000000"/>
              </w:rPr>
            </w:pPr>
            <w:r w:rsidRPr="007F17D8">
              <w:rPr>
                <w:rFonts w:cs="Arial"/>
                <w:bCs/>
                <w:iCs/>
                <w:color w:val="000000"/>
              </w:rPr>
              <w:t>13.7%</w:t>
            </w:r>
          </w:p>
        </w:tc>
      </w:tr>
      <w:tr w:rsidR="00DC6578" w:rsidRPr="007F17D8" w14:paraId="1259E221" w14:textId="77777777" w:rsidTr="00B40203">
        <w:trPr>
          <w:cantSplit/>
        </w:trPr>
        <w:tc>
          <w:tcPr>
            <w:tcW w:w="2155" w:type="dxa"/>
          </w:tcPr>
          <w:p w14:paraId="0AE3CD6D" w14:textId="77777777" w:rsidR="00DC6578" w:rsidRPr="007F17D8" w:rsidRDefault="00DC6578" w:rsidP="00DC6578">
            <w:pPr>
              <w:rPr>
                <w:rFonts w:cs="Arial"/>
                <w:lang w:val="en"/>
              </w:rPr>
            </w:pPr>
            <w:r w:rsidRPr="007F17D8">
              <w:rPr>
                <w:rFonts w:cs="Arial"/>
                <w:lang w:val="en"/>
              </w:rPr>
              <w:t>Decile 10</w:t>
            </w:r>
          </w:p>
        </w:tc>
        <w:tc>
          <w:tcPr>
            <w:tcW w:w="1260" w:type="dxa"/>
          </w:tcPr>
          <w:p w14:paraId="604C831F"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724F22C3" w14:textId="77777777" w:rsidR="00DC6578" w:rsidRPr="007F17D8" w:rsidRDefault="00DC6578" w:rsidP="00DC6578">
            <w:pPr>
              <w:rPr>
                <w:rFonts w:cs="Arial"/>
                <w:color w:val="000000"/>
              </w:rPr>
            </w:pPr>
            <w:r w:rsidRPr="007F17D8">
              <w:rPr>
                <w:rFonts w:cs="Arial"/>
                <w:color w:val="000000"/>
              </w:rPr>
              <w:t>549,084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60F57F42" w14:textId="77777777" w:rsidR="00DC6578" w:rsidRPr="007F17D8" w:rsidRDefault="00DC6578" w:rsidP="00DC6578">
            <w:pPr>
              <w:rPr>
                <w:rFonts w:cs="Arial"/>
                <w:color w:val="000000"/>
              </w:rPr>
            </w:pPr>
            <w:r w:rsidRPr="007F17D8">
              <w:rPr>
                <w:rFonts w:cs="Arial"/>
                <w:color w:val="000000"/>
              </w:rPr>
              <w:t>545,999</w:t>
            </w:r>
          </w:p>
        </w:tc>
        <w:tc>
          <w:tcPr>
            <w:tcW w:w="1530" w:type="dxa"/>
            <w:tcBorders>
              <w:top w:val="single" w:sz="4" w:space="0" w:color="auto"/>
              <w:left w:val="single" w:sz="4" w:space="0" w:color="auto"/>
              <w:bottom w:val="single" w:sz="4" w:space="0" w:color="auto"/>
              <w:right w:val="nil"/>
            </w:tcBorders>
            <w:shd w:val="clear" w:color="auto" w:fill="auto"/>
            <w:vAlign w:val="bottom"/>
          </w:tcPr>
          <w:p w14:paraId="452000E3" w14:textId="77777777" w:rsidR="00DC6578" w:rsidRPr="007F17D8" w:rsidRDefault="00DC6578" w:rsidP="00DC6578">
            <w:pPr>
              <w:rPr>
                <w:rFonts w:cs="Arial"/>
                <w:bCs/>
                <w:iCs/>
                <w:color w:val="000000"/>
              </w:rPr>
            </w:pPr>
            <w:r w:rsidRPr="007F17D8">
              <w:rPr>
                <w:rFonts w:cs="Arial"/>
                <w:bCs/>
                <w:iCs/>
                <w:color w:val="000000"/>
              </w:rPr>
              <w:t>99.4%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77CECC3E" w14:textId="77777777" w:rsidR="00DC6578" w:rsidRPr="007F17D8" w:rsidRDefault="00DC6578" w:rsidP="00DC6578">
            <w:pPr>
              <w:rPr>
                <w:rFonts w:cs="Arial"/>
                <w:color w:val="000000"/>
              </w:rPr>
            </w:pPr>
            <w:r w:rsidRPr="007F17D8">
              <w:rPr>
                <w:rFonts w:cs="Arial"/>
                <w:color w:val="000000"/>
              </w:rPr>
              <w:t>26,534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537E672D" w14:textId="77777777" w:rsidR="00DC6578" w:rsidRPr="007F17D8" w:rsidRDefault="00DC6578" w:rsidP="00DC6578">
            <w:pPr>
              <w:rPr>
                <w:rFonts w:cs="Arial"/>
                <w:color w:val="000000"/>
              </w:rPr>
            </w:pPr>
            <w:r w:rsidRPr="007F17D8">
              <w:rPr>
                <w:rFonts w:cs="Arial"/>
                <w:color w:val="000000"/>
              </w:rPr>
              <w:t>4,042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3348FE8B" w14:textId="77777777" w:rsidR="00DC6578" w:rsidRPr="007F17D8" w:rsidRDefault="00DC6578" w:rsidP="00DC6578">
            <w:pPr>
              <w:rPr>
                <w:rFonts w:cs="Arial"/>
                <w:bCs/>
                <w:iCs/>
                <w:color w:val="000000"/>
              </w:rPr>
            </w:pPr>
            <w:r w:rsidRPr="007F17D8">
              <w:rPr>
                <w:rFonts w:cs="Arial"/>
                <w:bCs/>
                <w:iCs/>
                <w:color w:val="000000"/>
              </w:rPr>
              <w:t>15.2%</w:t>
            </w:r>
          </w:p>
        </w:tc>
      </w:tr>
      <w:tr w:rsidR="00DC6578" w:rsidRPr="007F17D8" w14:paraId="3212DE0D" w14:textId="77777777" w:rsidTr="00B40203">
        <w:trPr>
          <w:cantSplit/>
        </w:trPr>
        <w:tc>
          <w:tcPr>
            <w:tcW w:w="2155" w:type="dxa"/>
          </w:tcPr>
          <w:p w14:paraId="1D44D858" w14:textId="77777777" w:rsidR="00DC6578" w:rsidRPr="007F17D8" w:rsidRDefault="00DC6578" w:rsidP="00DC6578">
            <w:pPr>
              <w:rPr>
                <w:rFonts w:cs="Arial"/>
                <w:lang w:val="en"/>
              </w:rPr>
            </w:pPr>
            <w:r w:rsidRPr="007F17D8">
              <w:rPr>
                <w:rFonts w:cs="Arial"/>
                <w:lang w:val="en"/>
              </w:rPr>
              <w:t>Statewide Totals</w:t>
            </w:r>
          </w:p>
        </w:tc>
        <w:tc>
          <w:tcPr>
            <w:tcW w:w="1260" w:type="dxa"/>
          </w:tcPr>
          <w:p w14:paraId="752C5EF7" w14:textId="77777777" w:rsidR="00DC6578" w:rsidRPr="007F17D8" w:rsidRDefault="00DC6578" w:rsidP="00DC6578">
            <w:pPr>
              <w:rPr>
                <w:rFonts w:cs="Arial"/>
                <w:lang w:val="en"/>
              </w:rPr>
            </w:pPr>
            <w:r w:rsidRPr="007F17D8">
              <w:rPr>
                <w:rFonts w:cs="Arial"/>
                <w:lang w:val="en"/>
              </w:rPr>
              <w:t>10,081</w:t>
            </w:r>
          </w:p>
        </w:tc>
        <w:tc>
          <w:tcPr>
            <w:tcW w:w="1710" w:type="dxa"/>
            <w:tcBorders>
              <w:top w:val="single" w:sz="4" w:space="0" w:color="auto"/>
            </w:tcBorders>
          </w:tcPr>
          <w:p w14:paraId="42441002" w14:textId="77777777" w:rsidR="00DC6578" w:rsidRPr="007F17D8" w:rsidRDefault="00DC6578" w:rsidP="00DC6578">
            <w:pPr>
              <w:rPr>
                <w:rFonts w:cs="Arial"/>
                <w:lang w:val="en"/>
              </w:rPr>
            </w:pPr>
            <w:r w:rsidRPr="007F17D8">
              <w:rPr>
                <w:rFonts w:cs="Arial"/>
                <w:lang w:val="en"/>
              </w:rPr>
              <w:t>6,209,729</w:t>
            </w:r>
          </w:p>
        </w:tc>
        <w:tc>
          <w:tcPr>
            <w:tcW w:w="1710" w:type="dxa"/>
            <w:tcBorders>
              <w:top w:val="single" w:sz="4" w:space="0" w:color="auto"/>
            </w:tcBorders>
          </w:tcPr>
          <w:p w14:paraId="4826F451" w14:textId="77777777" w:rsidR="00DC6578" w:rsidRPr="007F17D8" w:rsidRDefault="00DC6578" w:rsidP="00DC6578">
            <w:pPr>
              <w:rPr>
                <w:rFonts w:cs="Arial"/>
                <w:lang w:val="en"/>
              </w:rPr>
            </w:pPr>
            <w:r w:rsidRPr="007F17D8">
              <w:rPr>
                <w:rFonts w:cs="Arial"/>
                <w:lang w:val="en"/>
              </w:rPr>
              <w:t>4,770,837</w:t>
            </w:r>
          </w:p>
        </w:tc>
        <w:tc>
          <w:tcPr>
            <w:tcW w:w="1530" w:type="dxa"/>
            <w:tcBorders>
              <w:top w:val="single" w:sz="4" w:space="0" w:color="auto"/>
            </w:tcBorders>
          </w:tcPr>
          <w:p w14:paraId="1977AE3B" w14:textId="77777777" w:rsidR="00DC6578" w:rsidRPr="007F17D8" w:rsidRDefault="00DC6578" w:rsidP="00DC6578">
            <w:pPr>
              <w:rPr>
                <w:rFonts w:cs="Arial"/>
                <w:lang w:val="en"/>
              </w:rPr>
            </w:pPr>
            <w:r w:rsidRPr="007F17D8">
              <w:rPr>
                <w:rFonts w:cs="Arial"/>
                <w:lang w:val="en"/>
              </w:rPr>
              <w:t>76.8%</w:t>
            </w:r>
          </w:p>
        </w:tc>
        <w:tc>
          <w:tcPr>
            <w:tcW w:w="1350" w:type="dxa"/>
            <w:tcBorders>
              <w:top w:val="single" w:sz="4" w:space="0" w:color="auto"/>
            </w:tcBorders>
          </w:tcPr>
          <w:p w14:paraId="1F63C901" w14:textId="77777777" w:rsidR="00DC6578" w:rsidRPr="007F17D8" w:rsidRDefault="00DC6578" w:rsidP="00DC6578">
            <w:pPr>
              <w:rPr>
                <w:rFonts w:cs="Arial"/>
                <w:lang w:val="en"/>
              </w:rPr>
            </w:pPr>
            <w:r w:rsidRPr="007F17D8">
              <w:rPr>
                <w:rFonts w:cs="Arial"/>
                <w:lang w:val="en"/>
              </w:rPr>
              <w:t>308,762</w:t>
            </w:r>
          </w:p>
        </w:tc>
        <w:tc>
          <w:tcPr>
            <w:tcW w:w="1890" w:type="dxa"/>
            <w:tcBorders>
              <w:top w:val="single" w:sz="4" w:space="0" w:color="auto"/>
            </w:tcBorders>
          </w:tcPr>
          <w:p w14:paraId="5222EE59" w14:textId="77777777" w:rsidR="00DC6578" w:rsidRPr="007F17D8" w:rsidRDefault="00DC6578" w:rsidP="00DC6578">
            <w:pPr>
              <w:rPr>
                <w:rFonts w:cs="Arial"/>
                <w:lang w:val="en"/>
              </w:rPr>
            </w:pPr>
            <w:r w:rsidRPr="007F17D8">
              <w:rPr>
                <w:rFonts w:cs="Arial"/>
                <w:lang w:val="en"/>
              </w:rPr>
              <w:t>38,199</w:t>
            </w:r>
          </w:p>
        </w:tc>
        <w:tc>
          <w:tcPr>
            <w:tcW w:w="1800" w:type="dxa"/>
            <w:tcBorders>
              <w:top w:val="single" w:sz="4" w:space="0" w:color="auto"/>
            </w:tcBorders>
          </w:tcPr>
          <w:p w14:paraId="211EB502" w14:textId="77777777" w:rsidR="00DC6578" w:rsidRPr="007F17D8" w:rsidRDefault="00DC6578" w:rsidP="00DC6578">
            <w:pPr>
              <w:rPr>
                <w:rFonts w:cs="Arial"/>
                <w:lang w:val="en"/>
              </w:rPr>
            </w:pPr>
            <w:r w:rsidRPr="007F17D8">
              <w:rPr>
                <w:rFonts w:cs="Arial"/>
                <w:lang w:val="en"/>
              </w:rPr>
              <w:t>12.4%</w:t>
            </w:r>
          </w:p>
        </w:tc>
      </w:tr>
    </w:tbl>
    <w:p w14:paraId="18DD67C6" w14:textId="77777777" w:rsidR="00DC6578" w:rsidRPr="007F17D8" w:rsidRDefault="00DC6578" w:rsidP="00B166C6">
      <w:pPr>
        <w:pStyle w:val="Heading2"/>
        <w:spacing w:before="240"/>
        <w:jc w:val="center"/>
      </w:pPr>
      <w:r w:rsidRPr="007F17D8">
        <w:t>Table 2: 2017–18 Inexperienced Teachers by Socioeconomically Disadvantaged Student Enrollment</w:t>
      </w:r>
    </w:p>
    <w:tbl>
      <w:tblPr>
        <w:tblStyle w:val="TableGrid"/>
        <w:tblW w:w="13405" w:type="dxa"/>
        <w:tblLayout w:type="fixed"/>
        <w:tblLook w:val="04A0" w:firstRow="1" w:lastRow="0" w:firstColumn="1" w:lastColumn="0" w:noHBand="0" w:noVBand="1"/>
        <w:tblDescription w:val="This chart shows the percentage of inexperienced teachers working with socioeconomically disadvantaged students by quartile."/>
      </w:tblPr>
      <w:tblGrid>
        <w:gridCol w:w="2155"/>
        <w:gridCol w:w="1260"/>
        <w:gridCol w:w="1710"/>
        <w:gridCol w:w="1710"/>
        <w:gridCol w:w="1530"/>
        <w:gridCol w:w="1350"/>
        <w:gridCol w:w="1890"/>
        <w:gridCol w:w="1800"/>
      </w:tblGrid>
      <w:tr w:rsidR="00DC6578" w:rsidRPr="007F17D8" w14:paraId="7574B309" w14:textId="77777777" w:rsidTr="00B40203">
        <w:trPr>
          <w:cantSplit/>
          <w:tblHeader/>
        </w:trPr>
        <w:tc>
          <w:tcPr>
            <w:tcW w:w="2155" w:type="dxa"/>
            <w:shd w:val="clear" w:color="auto" w:fill="D9D9D9" w:themeFill="background1" w:themeFillShade="D9"/>
          </w:tcPr>
          <w:p w14:paraId="00E2E29D" w14:textId="77777777" w:rsidR="00DC6578" w:rsidRPr="007F17D8" w:rsidRDefault="00DC6578" w:rsidP="00DC6578">
            <w:pPr>
              <w:tabs>
                <w:tab w:val="left" w:pos="616"/>
              </w:tabs>
              <w:rPr>
                <w:rFonts w:cs="Arial"/>
                <w:lang w:val="en"/>
              </w:rPr>
            </w:pPr>
            <w:r w:rsidRPr="007F17D8">
              <w:rPr>
                <w:rFonts w:cs="Arial"/>
                <w:lang w:val="en"/>
              </w:rPr>
              <w:t>Decile Rank for Title I Schools</w:t>
            </w:r>
          </w:p>
        </w:tc>
        <w:tc>
          <w:tcPr>
            <w:tcW w:w="1260" w:type="dxa"/>
            <w:shd w:val="clear" w:color="auto" w:fill="D9D9D9" w:themeFill="background1" w:themeFillShade="D9"/>
          </w:tcPr>
          <w:p w14:paraId="1B1C3FAF" w14:textId="77777777" w:rsidR="00DC6578" w:rsidRPr="007F17D8" w:rsidRDefault="00DC6578" w:rsidP="00DC6578">
            <w:pPr>
              <w:rPr>
                <w:rFonts w:cs="Arial"/>
                <w:lang w:val="en"/>
              </w:rPr>
            </w:pPr>
            <w:r w:rsidRPr="007F17D8">
              <w:rPr>
                <w:rFonts w:cs="Arial"/>
                <w:lang w:val="en"/>
              </w:rPr>
              <w:t>Number of Schools</w:t>
            </w:r>
          </w:p>
        </w:tc>
        <w:tc>
          <w:tcPr>
            <w:tcW w:w="1710" w:type="dxa"/>
            <w:shd w:val="clear" w:color="auto" w:fill="D9D9D9" w:themeFill="background1" w:themeFillShade="D9"/>
          </w:tcPr>
          <w:p w14:paraId="25C3DB38" w14:textId="77777777" w:rsidR="00DC6578" w:rsidRPr="007F17D8" w:rsidRDefault="00DC6578" w:rsidP="00DC6578">
            <w:pPr>
              <w:rPr>
                <w:rFonts w:cs="Arial"/>
                <w:lang w:val="en"/>
              </w:rPr>
            </w:pPr>
            <w:r w:rsidRPr="007F17D8">
              <w:rPr>
                <w:rFonts w:cs="Arial"/>
                <w:lang w:val="en"/>
              </w:rPr>
              <w:t>Total Student Enrollment</w:t>
            </w:r>
          </w:p>
        </w:tc>
        <w:tc>
          <w:tcPr>
            <w:tcW w:w="1710" w:type="dxa"/>
            <w:tcBorders>
              <w:bottom w:val="single" w:sz="4" w:space="0" w:color="auto"/>
            </w:tcBorders>
            <w:shd w:val="clear" w:color="auto" w:fill="D9D9D9" w:themeFill="background1" w:themeFillShade="D9"/>
          </w:tcPr>
          <w:p w14:paraId="65BDACA0" w14:textId="77777777" w:rsidR="00DC6578" w:rsidRPr="007F17D8" w:rsidRDefault="00DC6578" w:rsidP="00DC6578">
            <w:pPr>
              <w:rPr>
                <w:rFonts w:cs="Arial"/>
                <w:lang w:val="en"/>
              </w:rPr>
            </w:pPr>
            <w:r w:rsidRPr="007F17D8">
              <w:rPr>
                <w:rFonts w:cs="Arial"/>
                <w:lang w:val="en"/>
              </w:rPr>
              <w:t>Socioeconomically Disadvantaged (SED) Enrollment</w:t>
            </w:r>
          </w:p>
        </w:tc>
        <w:tc>
          <w:tcPr>
            <w:tcW w:w="1530" w:type="dxa"/>
            <w:tcBorders>
              <w:bottom w:val="single" w:sz="4" w:space="0" w:color="auto"/>
            </w:tcBorders>
            <w:shd w:val="clear" w:color="auto" w:fill="D9D9D9" w:themeFill="background1" w:themeFillShade="D9"/>
          </w:tcPr>
          <w:p w14:paraId="38945DF0" w14:textId="77777777" w:rsidR="00DC6578" w:rsidRPr="007F17D8" w:rsidRDefault="00DC6578" w:rsidP="00DC6578">
            <w:pPr>
              <w:rPr>
                <w:rFonts w:cs="Arial"/>
                <w:lang w:val="en"/>
              </w:rPr>
            </w:pPr>
            <w:r w:rsidRPr="007F17D8">
              <w:rPr>
                <w:rFonts w:cs="Arial"/>
                <w:lang w:val="en"/>
              </w:rPr>
              <w:t>Percent of SED Student Enrollment</w:t>
            </w:r>
          </w:p>
        </w:tc>
        <w:tc>
          <w:tcPr>
            <w:tcW w:w="1350" w:type="dxa"/>
            <w:shd w:val="clear" w:color="auto" w:fill="D9D9D9" w:themeFill="background1" w:themeFillShade="D9"/>
          </w:tcPr>
          <w:p w14:paraId="2EE4A03F" w14:textId="77777777" w:rsidR="00DC6578" w:rsidRPr="007F17D8" w:rsidRDefault="00DC6578" w:rsidP="00DC6578">
            <w:pPr>
              <w:rPr>
                <w:rFonts w:cs="Arial"/>
                <w:lang w:val="en"/>
              </w:rPr>
            </w:pPr>
            <w:r w:rsidRPr="007F17D8">
              <w:rPr>
                <w:rFonts w:cs="Arial"/>
                <w:lang w:val="en"/>
              </w:rPr>
              <w:t>Total Teachers</w:t>
            </w:r>
          </w:p>
        </w:tc>
        <w:tc>
          <w:tcPr>
            <w:tcW w:w="1890" w:type="dxa"/>
            <w:tcBorders>
              <w:bottom w:val="single" w:sz="4" w:space="0" w:color="auto"/>
            </w:tcBorders>
            <w:shd w:val="clear" w:color="auto" w:fill="D9D9D9" w:themeFill="background1" w:themeFillShade="D9"/>
          </w:tcPr>
          <w:p w14:paraId="13E4657C" w14:textId="77777777" w:rsidR="00DC6578" w:rsidRPr="007F17D8" w:rsidRDefault="00DC6578" w:rsidP="00DC6578">
            <w:pPr>
              <w:rPr>
                <w:rFonts w:cs="Arial"/>
                <w:lang w:val="en"/>
              </w:rPr>
            </w:pPr>
            <w:r w:rsidRPr="007F17D8">
              <w:rPr>
                <w:rFonts w:cs="Arial"/>
                <w:lang w:val="en"/>
              </w:rPr>
              <w:t>Number of Inexperienced Teachers</w:t>
            </w:r>
          </w:p>
          <w:p w14:paraId="3C15FC4C" w14:textId="77777777" w:rsidR="00DC6578" w:rsidRPr="007F17D8" w:rsidRDefault="00DC6578" w:rsidP="00DC6578">
            <w:pPr>
              <w:rPr>
                <w:rFonts w:cs="Arial"/>
                <w:lang w:val="en"/>
              </w:rPr>
            </w:pPr>
          </w:p>
        </w:tc>
        <w:tc>
          <w:tcPr>
            <w:tcW w:w="1800" w:type="dxa"/>
            <w:tcBorders>
              <w:bottom w:val="single" w:sz="4" w:space="0" w:color="auto"/>
            </w:tcBorders>
            <w:shd w:val="clear" w:color="auto" w:fill="D9D9D9" w:themeFill="background1" w:themeFillShade="D9"/>
          </w:tcPr>
          <w:p w14:paraId="327CB691" w14:textId="77777777" w:rsidR="00DC6578" w:rsidRPr="007F17D8" w:rsidRDefault="00DC6578" w:rsidP="00DC6578">
            <w:pPr>
              <w:rPr>
                <w:rFonts w:cs="Arial"/>
                <w:lang w:val="en"/>
              </w:rPr>
            </w:pPr>
            <w:r w:rsidRPr="007F17D8">
              <w:rPr>
                <w:rFonts w:cs="Arial"/>
                <w:lang w:val="en"/>
              </w:rPr>
              <w:t>Percentage of Inexperienced Teachers</w:t>
            </w:r>
          </w:p>
        </w:tc>
      </w:tr>
      <w:tr w:rsidR="00DC6578" w:rsidRPr="007F17D8" w14:paraId="0AD62362" w14:textId="77777777" w:rsidTr="00B40203">
        <w:trPr>
          <w:cantSplit/>
        </w:trPr>
        <w:tc>
          <w:tcPr>
            <w:tcW w:w="2155" w:type="dxa"/>
          </w:tcPr>
          <w:p w14:paraId="190562B9" w14:textId="77777777" w:rsidR="00DC6578" w:rsidRPr="007F17D8" w:rsidRDefault="00DC6578" w:rsidP="00DC6578">
            <w:pPr>
              <w:rPr>
                <w:rFonts w:cs="Arial"/>
                <w:lang w:val="en"/>
              </w:rPr>
            </w:pPr>
            <w:r w:rsidRPr="007F17D8">
              <w:rPr>
                <w:rFonts w:cs="Arial"/>
                <w:lang w:val="en"/>
              </w:rPr>
              <w:t>Decile I</w:t>
            </w:r>
          </w:p>
        </w:tc>
        <w:tc>
          <w:tcPr>
            <w:tcW w:w="1260" w:type="dxa"/>
          </w:tcPr>
          <w:p w14:paraId="7EA90FD2"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36D0E978" w14:textId="77777777" w:rsidR="00DC6578" w:rsidRPr="007F17D8" w:rsidRDefault="00DC6578" w:rsidP="00DC6578">
            <w:pPr>
              <w:rPr>
                <w:rFonts w:cs="Arial"/>
                <w:color w:val="000000"/>
              </w:rPr>
            </w:pPr>
            <w:r w:rsidRPr="007F17D8">
              <w:rPr>
                <w:rFonts w:cs="Arial"/>
                <w:color w:val="000000"/>
              </w:rPr>
              <w:t>405,433</w:t>
            </w:r>
          </w:p>
        </w:tc>
        <w:tc>
          <w:tcPr>
            <w:tcW w:w="1710" w:type="dxa"/>
            <w:tcBorders>
              <w:top w:val="single" w:sz="4" w:space="0" w:color="auto"/>
              <w:left w:val="nil"/>
              <w:bottom w:val="single" w:sz="4" w:space="0" w:color="auto"/>
              <w:right w:val="single" w:sz="4" w:space="0" w:color="auto"/>
            </w:tcBorders>
            <w:shd w:val="clear" w:color="auto" w:fill="auto"/>
            <w:vAlign w:val="bottom"/>
          </w:tcPr>
          <w:p w14:paraId="079975F1" w14:textId="77777777" w:rsidR="00DC6578" w:rsidRPr="007F17D8" w:rsidRDefault="00DC6578" w:rsidP="00DC6578">
            <w:pPr>
              <w:rPr>
                <w:rFonts w:cs="Arial"/>
                <w:color w:val="000000"/>
              </w:rPr>
            </w:pPr>
            <w:r w:rsidRPr="007F17D8">
              <w:rPr>
                <w:rFonts w:cs="Arial"/>
                <w:color w:val="000000"/>
              </w:rPr>
              <w:t>87,225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54E4DC2" w14:textId="77777777" w:rsidR="00DC6578" w:rsidRPr="007F17D8" w:rsidRDefault="00DC6578" w:rsidP="00DC6578">
            <w:pPr>
              <w:rPr>
                <w:rFonts w:cs="Arial"/>
                <w:bCs/>
                <w:iCs/>
                <w:color w:val="000000"/>
              </w:rPr>
            </w:pPr>
            <w:r w:rsidRPr="007F17D8">
              <w:rPr>
                <w:rFonts w:cs="Arial"/>
                <w:bCs/>
                <w:iCs/>
                <w:color w:val="000000"/>
              </w:rPr>
              <w:t>12.3%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809CF96" w14:textId="77777777" w:rsidR="00DC6578" w:rsidRPr="007F17D8" w:rsidRDefault="00DC6578" w:rsidP="00DC6578">
            <w:pPr>
              <w:rPr>
                <w:rFonts w:cs="Arial"/>
                <w:color w:val="000000"/>
              </w:rPr>
            </w:pPr>
            <w:r w:rsidRPr="007F17D8">
              <w:rPr>
                <w:rFonts w:cs="Arial"/>
                <w:color w:val="000000"/>
              </w:rPr>
              <w:t>21,237</w:t>
            </w:r>
          </w:p>
        </w:tc>
        <w:tc>
          <w:tcPr>
            <w:tcW w:w="1890" w:type="dxa"/>
            <w:tcBorders>
              <w:top w:val="single" w:sz="4" w:space="0" w:color="auto"/>
              <w:left w:val="nil"/>
              <w:bottom w:val="single" w:sz="4" w:space="0" w:color="auto"/>
              <w:right w:val="single" w:sz="4" w:space="0" w:color="auto"/>
            </w:tcBorders>
            <w:shd w:val="clear" w:color="auto" w:fill="auto"/>
            <w:vAlign w:val="bottom"/>
          </w:tcPr>
          <w:p w14:paraId="3B6D8B9A" w14:textId="77777777" w:rsidR="00DC6578" w:rsidRPr="007F17D8" w:rsidRDefault="00DC6578" w:rsidP="00DC6578">
            <w:pPr>
              <w:rPr>
                <w:rFonts w:cs="Arial"/>
                <w:color w:val="000000"/>
              </w:rPr>
            </w:pPr>
            <w:r w:rsidRPr="007F17D8">
              <w:rPr>
                <w:rFonts w:cs="Arial"/>
                <w:color w:val="000000"/>
              </w:rPr>
              <w:t>3,016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7491722D" w14:textId="77777777" w:rsidR="00DC6578" w:rsidRPr="007F17D8" w:rsidRDefault="00DC6578" w:rsidP="00DC6578">
            <w:pPr>
              <w:rPr>
                <w:rFonts w:cs="Arial"/>
                <w:bCs/>
                <w:iCs/>
                <w:color w:val="000000"/>
              </w:rPr>
            </w:pPr>
            <w:r w:rsidRPr="007F17D8">
              <w:rPr>
                <w:rFonts w:cs="Arial"/>
                <w:bCs/>
                <w:iCs/>
                <w:color w:val="000000"/>
              </w:rPr>
              <w:t>8.8%</w:t>
            </w:r>
          </w:p>
        </w:tc>
      </w:tr>
      <w:tr w:rsidR="00DC6578" w:rsidRPr="007F17D8" w14:paraId="375AD885" w14:textId="77777777" w:rsidTr="00B40203">
        <w:trPr>
          <w:cantSplit/>
        </w:trPr>
        <w:tc>
          <w:tcPr>
            <w:tcW w:w="2155" w:type="dxa"/>
          </w:tcPr>
          <w:p w14:paraId="541823F8" w14:textId="77777777" w:rsidR="00DC6578" w:rsidRPr="007F17D8" w:rsidRDefault="00DC6578" w:rsidP="00DC6578">
            <w:pPr>
              <w:rPr>
                <w:rFonts w:cs="Arial"/>
                <w:lang w:val="en"/>
              </w:rPr>
            </w:pPr>
            <w:r w:rsidRPr="007F17D8">
              <w:rPr>
                <w:rFonts w:cs="Arial"/>
                <w:lang w:val="en"/>
              </w:rPr>
              <w:t>Decile 2</w:t>
            </w:r>
          </w:p>
        </w:tc>
        <w:tc>
          <w:tcPr>
            <w:tcW w:w="1260" w:type="dxa"/>
          </w:tcPr>
          <w:p w14:paraId="3D28B1DE"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5D3C6425" w14:textId="77777777" w:rsidR="00DC6578" w:rsidRPr="007F17D8" w:rsidRDefault="00DC6578" w:rsidP="00DC6578">
            <w:pPr>
              <w:rPr>
                <w:rFonts w:cs="Arial"/>
                <w:color w:val="000000"/>
              </w:rPr>
            </w:pPr>
            <w:r w:rsidRPr="007F17D8">
              <w:rPr>
                <w:rFonts w:cs="Arial"/>
                <w:color w:val="000000"/>
              </w:rPr>
              <w:t>620,235</w:t>
            </w:r>
          </w:p>
        </w:tc>
        <w:tc>
          <w:tcPr>
            <w:tcW w:w="1710" w:type="dxa"/>
            <w:tcBorders>
              <w:top w:val="single" w:sz="4" w:space="0" w:color="auto"/>
              <w:left w:val="nil"/>
              <w:bottom w:val="single" w:sz="4" w:space="0" w:color="auto"/>
              <w:right w:val="single" w:sz="4" w:space="0" w:color="auto"/>
            </w:tcBorders>
            <w:shd w:val="clear" w:color="auto" w:fill="auto"/>
            <w:vAlign w:val="bottom"/>
          </w:tcPr>
          <w:p w14:paraId="70DAB8C1" w14:textId="77777777" w:rsidR="00DC6578" w:rsidRPr="007F17D8" w:rsidRDefault="00DC6578" w:rsidP="00DC6578">
            <w:pPr>
              <w:rPr>
                <w:rFonts w:cs="Arial"/>
                <w:color w:val="000000"/>
              </w:rPr>
            </w:pPr>
            <w:r w:rsidRPr="007F17D8">
              <w:rPr>
                <w:rFonts w:cs="Arial"/>
                <w:color w:val="000000"/>
              </w:rPr>
              <w:t>212,542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1EEB1BD" w14:textId="77777777" w:rsidR="00DC6578" w:rsidRPr="007F17D8" w:rsidRDefault="00DC6578" w:rsidP="00DC6578">
            <w:pPr>
              <w:rPr>
                <w:rFonts w:cs="Arial"/>
                <w:bCs/>
                <w:iCs/>
                <w:color w:val="000000"/>
              </w:rPr>
            </w:pPr>
            <w:r w:rsidRPr="007F17D8">
              <w:rPr>
                <w:rFonts w:cs="Arial"/>
                <w:bCs/>
                <w:iCs/>
                <w:color w:val="000000"/>
              </w:rPr>
              <w:t>28.5%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D254940" w14:textId="77777777" w:rsidR="00DC6578" w:rsidRPr="007F17D8" w:rsidRDefault="00DC6578" w:rsidP="00DC6578">
            <w:pPr>
              <w:rPr>
                <w:rFonts w:cs="Arial"/>
                <w:color w:val="000000"/>
              </w:rPr>
            </w:pPr>
            <w:r w:rsidRPr="007F17D8">
              <w:rPr>
                <w:rFonts w:cs="Arial"/>
                <w:color w:val="000000"/>
              </w:rPr>
              <w:t>31,165</w:t>
            </w:r>
          </w:p>
        </w:tc>
        <w:tc>
          <w:tcPr>
            <w:tcW w:w="1890" w:type="dxa"/>
            <w:tcBorders>
              <w:top w:val="single" w:sz="4" w:space="0" w:color="auto"/>
              <w:left w:val="nil"/>
              <w:bottom w:val="single" w:sz="4" w:space="0" w:color="auto"/>
              <w:right w:val="single" w:sz="4" w:space="0" w:color="auto"/>
            </w:tcBorders>
            <w:shd w:val="clear" w:color="auto" w:fill="auto"/>
            <w:vAlign w:val="bottom"/>
          </w:tcPr>
          <w:p w14:paraId="6A77C875" w14:textId="77777777" w:rsidR="00DC6578" w:rsidRPr="007F17D8" w:rsidRDefault="00DC6578" w:rsidP="00DC6578">
            <w:pPr>
              <w:rPr>
                <w:rFonts w:cs="Arial"/>
                <w:color w:val="000000"/>
              </w:rPr>
            </w:pPr>
            <w:r w:rsidRPr="007F17D8">
              <w:rPr>
                <w:rFonts w:cs="Arial"/>
                <w:color w:val="000000"/>
              </w:rPr>
              <w:t>3,654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105210CA" w14:textId="77777777" w:rsidR="00DC6578" w:rsidRPr="007F17D8" w:rsidRDefault="00DC6578" w:rsidP="00DC6578">
            <w:pPr>
              <w:rPr>
                <w:rFonts w:cs="Arial"/>
                <w:bCs/>
                <w:iCs/>
                <w:color w:val="000000"/>
              </w:rPr>
            </w:pPr>
            <w:r w:rsidRPr="007F17D8">
              <w:rPr>
                <w:rFonts w:cs="Arial"/>
                <w:bCs/>
                <w:iCs/>
                <w:color w:val="000000"/>
              </w:rPr>
              <w:t>10.3%</w:t>
            </w:r>
          </w:p>
        </w:tc>
      </w:tr>
      <w:tr w:rsidR="00DC6578" w:rsidRPr="007F17D8" w14:paraId="1F15E9A6" w14:textId="77777777" w:rsidTr="00B40203">
        <w:trPr>
          <w:cantSplit/>
        </w:trPr>
        <w:tc>
          <w:tcPr>
            <w:tcW w:w="2155" w:type="dxa"/>
          </w:tcPr>
          <w:p w14:paraId="33313691" w14:textId="77777777" w:rsidR="00DC6578" w:rsidRPr="007F17D8" w:rsidRDefault="00DC6578" w:rsidP="00DC6578">
            <w:pPr>
              <w:rPr>
                <w:rFonts w:cs="Arial"/>
                <w:lang w:val="en"/>
              </w:rPr>
            </w:pPr>
            <w:r w:rsidRPr="007F17D8">
              <w:rPr>
                <w:rFonts w:cs="Arial"/>
                <w:lang w:val="en"/>
              </w:rPr>
              <w:t>Decile 3</w:t>
            </w:r>
          </w:p>
        </w:tc>
        <w:tc>
          <w:tcPr>
            <w:tcW w:w="1260" w:type="dxa"/>
          </w:tcPr>
          <w:p w14:paraId="020720C3"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66808246" w14:textId="77777777" w:rsidR="00DC6578" w:rsidRPr="007F17D8" w:rsidRDefault="00DC6578" w:rsidP="00DC6578">
            <w:pPr>
              <w:rPr>
                <w:rFonts w:cs="Arial"/>
                <w:color w:val="000000"/>
              </w:rPr>
            </w:pPr>
            <w:r w:rsidRPr="007F17D8">
              <w:rPr>
                <w:rFonts w:cs="Arial"/>
                <w:color w:val="000000"/>
              </w:rPr>
              <w:t>666,529</w:t>
            </w:r>
          </w:p>
        </w:tc>
        <w:tc>
          <w:tcPr>
            <w:tcW w:w="1710" w:type="dxa"/>
            <w:tcBorders>
              <w:top w:val="single" w:sz="4" w:space="0" w:color="auto"/>
              <w:left w:val="nil"/>
              <w:bottom w:val="single" w:sz="4" w:space="0" w:color="auto"/>
              <w:right w:val="single" w:sz="4" w:space="0" w:color="auto"/>
            </w:tcBorders>
            <w:shd w:val="clear" w:color="auto" w:fill="auto"/>
            <w:vAlign w:val="bottom"/>
          </w:tcPr>
          <w:p w14:paraId="6B12A26D" w14:textId="77777777" w:rsidR="00DC6578" w:rsidRPr="007F17D8" w:rsidRDefault="00DC6578" w:rsidP="00DC6578">
            <w:pPr>
              <w:rPr>
                <w:rFonts w:cs="Arial"/>
                <w:color w:val="000000"/>
              </w:rPr>
            </w:pPr>
            <w:r w:rsidRPr="007F17D8">
              <w:rPr>
                <w:rFonts w:cs="Arial"/>
                <w:color w:val="000000"/>
              </w:rPr>
              <w:t>287,409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4EE2F20" w14:textId="77777777" w:rsidR="00DC6578" w:rsidRPr="007F17D8" w:rsidRDefault="00DC6578" w:rsidP="00DC6578">
            <w:pPr>
              <w:rPr>
                <w:rFonts w:cs="Arial"/>
                <w:bCs/>
                <w:iCs/>
                <w:color w:val="000000"/>
              </w:rPr>
            </w:pPr>
            <w:r w:rsidRPr="007F17D8">
              <w:rPr>
                <w:rFonts w:cs="Arial"/>
                <w:bCs/>
                <w:iCs/>
                <w:color w:val="000000"/>
              </w:rPr>
              <w:t>42.5%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092BE76" w14:textId="77777777" w:rsidR="00DC6578" w:rsidRPr="007F17D8" w:rsidRDefault="00DC6578" w:rsidP="00DC6578">
            <w:pPr>
              <w:rPr>
                <w:rFonts w:cs="Arial"/>
                <w:color w:val="000000"/>
              </w:rPr>
            </w:pPr>
            <w:r w:rsidRPr="007F17D8">
              <w:rPr>
                <w:rFonts w:cs="Arial"/>
                <w:color w:val="000000"/>
              </w:rPr>
              <w:t>34,174</w:t>
            </w:r>
          </w:p>
        </w:tc>
        <w:tc>
          <w:tcPr>
            <w:tcW w:w="1890" w:type="dxa"/>
            <w:tcBorders>
              <w:top w:val="single" w:sz="4" w:space="0" w:color="auto"/>
              <w:left w:val="nil"/>
              <w:bottom w:val="single" w:sz="4" w:space="0" w:color="auto"/>
              <w:right w:val="single" w:sz="4" w:space="0" w:color="auto"/>
            </w:tcBorders>
            <w:shd w:val="clear" w:color="auto" w:fill="auto"/>
            <w:vAlign w:val="bottom"/>
          </w:tcPr>
          <w:p w14:paraId="18A1748F" w14:textId="77777777" w:rsidR="00DC6578" w:rsidRPr="007F17D8" w:rsidRDefault="00DC6578" w:rsidP="00DC6578">
            <w:pPr>
              <w:rPr>
                <w:rFonts w:cs="Arial"/>
                <w:color w:val="000000"/>
              </w:rPr>
            </w:pPr>
            <w:r w:rsidRPr="007F17D8">
              <w:rPr>
                <w:rFonts w:cs="Arial"/>
                <w:color w:val="000000"/>
              </w:rPr>
              <w:t>3,949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05015491" w14:textId="77777777" w:rsidR="00DC6578" w:rsidRPr="007F17D8" w:rsidRDefault="00DC6578" w:rsidP="00DC6578">
            <w:pPr>
              <w:rPr>
                <w:rFonts w:cs="Arial"/>
                <w:bCs/>
                <w:iCs/>
                <w:color w:val="000000"/>
              </w:rPr>
            </w:pPr>
            <w:r w:rsidRPr="007F17D8">
              <w:rPr>
                <w:rFonts w:cs="Arial"/>
                <w:bCs/>
                <w:iCs/>
                <w:color w:val="000000"/>
              </w:rPr>
              <w:t>11.1%</w:t>
            </w:r>
          </w:p>
        </w:tc>
      </w:tr>
      <w:tr w:rsidR="00DC6578" w:rsidRPr="007F17D8" w14:paraId="5E2FF61E" w14:textId="77777777" w:rsidTr="00B40203">
        <w:trPr>
          <w:cantSplit/>
        </w:trPr>
        <w:tc>
          <w:tcPr>
            <w:tcW w:w="2155" w:type="dxa"/>
          </w:tcPr>
          <w:p w14:paraId="26B15285" w14:textId="77777777" w:rsidR="00DC6578" w:rsidRPr="007F17D8" w:rsidRDefault="00DC6578" w:rsidP="00DC6578">
            <w:pPr>
              <w:rPr>
                <w:rFonts w:cs="Arial"/>
                <w:lang w:val="en"/>
              </w:rPr>
            </w:pPr>
            <w:r w:rsidRPr="007F17D8">
              <w:rPr>
                <w:rFonts w:cs="Arial"/>
                <w:lang w:val="en"/>
              </w:rPr>
              <w:t>Decile 4</w:t>
            </w:r>
          </w:p>
        </w:tc>
        <w:tc>
          <w:tcPr>
            <w:tcW w:w="1260" w:type="dxa"/>
          </w:tcPr>
          <w:p w14:paraId="7BB785E7"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4A98DF59" w14:textId="77777777" w:rsidR="00DC6578" w:rsidRPr="007F17D8" w:rsidRDefault="00DC6578" w:rsidP="00DC6578">
            <w:pPr>
              <w:rPr>
                <w:rFonts w:cs="Arial"/>
                <w:color w:val="000000"/>
              </w:rPr>
            </w:pPr>
            <w:r w:rsidRPr="007F17D8">
              <w:rPr>
                <w:rFonts w:cs="Arial"/>
                <w:color w:val="000000"/>
              </w:rPr>
              <w:t>652,294</w:t>
            </w:r>
          </w:p>
        </w:tc>
        <w:tc>
          <w:tcPr>
            <w:tcW w:w="1710" w:type="dxa"/>
            <w:tcBorders>
              <w:top w:val="single" w:sz="4" w:space="0" w:color="auto"/>
              <w:left w:val="nil"/>
              <w:bottom w:val="single" w:sz="4" w:space="0" w:color="auto"/>
              <w:right w:val="single" w:sz="4" w:space="0" w:color="auto"/>
            </w:tcBorders>
            <w:shd w:val="clear" w:color="auto" w:fill="auto"/>
            <w:vAlign w:val="bottom"/>
          </w:tcPr>
          <w:p w14:paraId="65BD3544" w14:textId="77777777" w:rsidR="00DC6578" w:rsidRPr="007F17D8" w:rsidRDefault="00DC6578" w:rsidP="00DC6578">
            <w:pPr>
              <w:rPr>
                <w:rFonts w:cs="Arial"/>
                <w:color w:val="000000"/>
              </w:rPr>
            </w:pPr>
            <w:r w:rsidRPr="007F17D8">
              <w:rPr>
                <w:rFonts w:cs="Arial"/>
                <w:color w:val="000000"/>
              </w:rPr>
              <w:t>350,446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6B16D09" w14:textId="77777777" w:rsidR="00DC6578" w:rsidRPr="007F17D8" w:rsidRDefault="00DC6578" w:rsidP="00DC6578">
            <w:pPr>
              <w:rPr>
                <w:rFonts w:cs="Arial"/>
                <w:bCs/>
                <w:iCs/>
                <w:color w:val="000000"/>
              </w:rPr>
            </w:pPr>
            <w:r w:rsidRPr="007F17D8">
              <w:rPr>
                <w:rFonts w:cs="Arial"/>
                <w:bCs/>
                <w:iCs/>
                <w:color w:val="000000"/>
              </w:rPr>
              <w:t>55.6%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7FB0CB5B" w14:textId="77777777" w:rsidR="00DC6578" w:rsidRPr="007F17D8" w:rsidRDefault="00DC6578" w:rsidP="00DC6578">
            <w:pPr>
              <w:rPr>
                <w:rFonts w:cs="Arial"/>
                <w:color w:val="000000"/>
              </w:rPr>
            </w:pPr>
            <w:r w:rsidRPr="007F17D8">
              <w:rPr>
                <w:rFonts w:cs="Arial"/>
                <w:color w:val="000000"/>
              </w:rPr>
              <w:t>32,112</w:t>
            </w:r>
          </w:p>
        </w:tc>
        <w:tc>
          <w:tcPr>
            <w:tcW w:w="1890" w:type="dxa"/>
            <w:tcBorders>
              <w:top w:val="single" w:sz="4" w:space="0" w:color="auto"/>
              <w:left w:val="nil"/>
              <w:bottom w:val="single" w:sz="4" w:space="0" w:color="auto"/>
              <w:right w:val="single" w:sz="4" w:space="0" w:color="auto"/>
            </w:tcBorders>
            <w:shd w:val="clear" w:color="auto" w:fill="auto"/>
            <w:vAlign w:val="bottom"/>
          </w:tcPr>
          <w:p w14:paraId="3C766123" w14:textId="77777777" w:rsidR="00DC6578" w:rsidRPr="007F17D8" w:rsidRDefault="00DC6578" w:rsidP="00DC6578">
            <w:pPr>
              <w:rPr>
                <w:rFonts w:cs="Arial"/>
                <w:color w:val="000000"/>
              </w:rPr>
            </w:pPr>
            <w:r w:rsidRPr="007F17D8">
              <w:rPr>
                <w:rFonts w:cs="Arial"/>
                <w:color w:val="000000"/>
              </w:rPr>
              <w:t>4,012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247957F4" w14:textId="77777777" w:rsidR="00DC6578" w:rsidRPr="007F17D8" w:rsidRDefault="00DC6578" w:rsidP="00DC6578">
            <w:pPr>
              <w:rPr>
                <w:rFonts w:cs="Arial"/>
                <w:bCs/>
                <w:iCs/>
                <w:color w:val="000000"/>
              </w:rPr>
            </w:pPr>
            <w:r w:rsidRPr="007F17D8">
              <w:rPr>
                <w:rFonts w:cs="Arial"/>
                <w:bCs/>
                <w:iCs/>
                <w:color w:val="000000"/>
              </w:rPr>
              <w:t>12.5%</w:t>
            </w:r>
          </w:p>
        </w:tc>
      </w:tr>
      <w:tr w:rsidR="00DC6578" w:rsidRPr="007F17D8" w14:paraId="02572F97" w14:textId="77777777" w:rsidTr="00B40203">
        <w:trPr>
          <w:cantSplit/>
        </w:trPr>
        <w:tc>
          <w:tcPr>
            <w:tcW w:w="2155" w:type="dxa"/>
          </w:tcPr>
          <w:p w14:paraId="7101CBDD" w14:textId="77777777" w:rsidR="00DC6578" w:rsidRPr="007F17D8" w:rsidRDefault="00DC6578" w:rsidP="00DC6578">
            <w:pPr>
              <w:rPr>
                <w:rFonts w:cs="Arial"/>
                <w:lang w:val="en"/>
              </w:rPr>
            </w:pPr>
            <w:r w:rsidRPr="007F17D8">
              <w:rPr>
                <w:rFonts w:cs="Arial"/>
                <w:lang w:val="en"/>
              </w:rPr>
              <w:lastRenderedPageBreak/>
              <w:t>Decile 5</w:t>
            </w:r>
          </w:p>
        </w:tc>
        <w:tc>
          <w:tcPr>
            <w:tcW w:w="1260" w:type="dxa"/>
          </w:tcPr>
          <w:p w14:paraId="6CF6DDDC"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55AA356F" w14:textId="77777777" w:rsidR="00DC6578" w:rsidRPr="007F17D8" w:rsidRDefault="00DC6578" w:rsidP="00DC6578">
            <w:pPr>
              <w:rPr>
                <w:rFonts w:cs="Arial"/>
                <w:color w:val="000000"/>
              </w:rPr>
            </w:pPr>
            <w:r w:rsidRPr="007F17D8">
              <w:rPr>
                <w:rFonts w:cs="Arial"/>
                <w:color w:val="000000"/>
              </w:rPr>
              <w:t>664,148</w:t>
            </w:r>
          </w:p>
        </w:tc>
        <w:tc>
          <w:tcPr>
            <w:tcW w:w="1710" w:type="dxa"/>
            <w:tcBorders>
              <w:top w:val="single" w:sz="4" w:space="0" w:color="auto"/>
              <w:left w:val="nil"/>
              <w:bottom w:val="single" w:sz="4" w:space="0" w:color="auto"/>
              <w:right w:val="single" w:sz="4" w:space="0" w:color="auto"/>
            </w:tcBorders>
            <w:shd w:val="clear" w:color="auto" w:fill="auto"/>
            <w:vAlign w:val="bottom"/>
          </w:tcPr>
          <w:p w14:paraId="7DD0CE8B" w14:textId="77777777" w:rsidR="00DC6578" w:rsidRPr="007F17D8" w:rsidRDefault="00DC6578" w:rsidP="00DC6578">
            <w:pPr>
              <w:rPr>
                <w:rFonts w:cs="Arial"/>
                <w:color w:val="000000"/>
              </w:rPr>
            </w:pPr>
            <w:r w:rsidRPr="007F17D8">
              <w:rPr>
                <w:rFonts w:cs="Arial"/>
                <w:color w:val="000000"/>
              </w:rPr>
              <w:t>406,463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E90A7ED" w14:textId="77777777" w:rsidR="00DC6578" w:rsidRPr="007F17D8" w:rsidRDefault="00DC6578" w:rsidP="00DC6578">
            <w:pPr>
              <w:rPr>
                <w:rFonts w:cs="Arial"/>
                <w:bCs/>
                <w:iCs/>
                <w:color w:val="000000"/>
              </w:rPr>
            </w:pPr>
            <w:r w:rsidRPr="007F17D8">
              <w:rPr>
                <w:rFonts w:cs="Arial"/>
                <w:bCs/>
                <w:iCs/>
                <w:color w:val="000000"/>
              </w:rPr>
              <w:t>67.1%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E870BA3" w14:textId="77777777" w:rsidR="00DC6578" w:rsidRPr="007F17D8" w:rsidRDefault="00DC6578" w:rsidP="00DC6578">
            <w:pPr>
              <w:rPr>
                <w:rFonts w:cs="Arial"/>
                <w:color w:val="000000"/>
              </w:rPr>
            </w:pPr>
            <w:r w:rsidRPr="007F17D8">
              <w:rPr>
                <w:rFonts w:cs="Arial"/>
                <w:color w:val="000000"/>
              </w:rPr>
              <w:t>34,322</w:t>
            </w:r>
          </w:p>
        </w:tc>
        <w:tc>
          <w:tcPr>
            <w:tcW w:w="1890" w:type="dxa"/>
            <w:tcBorders>
              <w:top w:val="single" w:sz="4" w:space="0" w:color="auto"/>
              <w:left w:val="nil"/>
              <w:bottom w:val="single" w:sz="4" w:space="0" w:color="auto"/>
              <w:right w:val="single" w:sz="4" w:space="0" w:color="auto"/>
            </w:tcBorders>
            <w:shd w:val="clear" w:color="auto" w:fill="auto"/>
            <w:vAlign w:val="bottom"/>
          </w:tcPr>
          <w:p w14:paraId="3DD62C34" w14:textId="77777777" w:rsidR="00DC6578" w:rsidRPr="007F17D8" w:rsidRDefault="00DC6578" w:rsidP="00DC6578">
            <w:pPr>
              <w:rPr>
                <w:rFonts w:cs="Arial"/>
                <w:color w:val="000000"/>
              </w:rPr>
            </w:pPr>
            <w:r w:rsidRPr="007F17D8">
              <w:rPr>
                <w:rFonts w:cs="Arial"/>
                <w:color w:val="000000"/>
              </w:rPr>
              <w:t>4,015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5C6AA560" w14:textId="77777777" w:rsidR="00DC6578" w:rsidRPr="007F17D8" w:rsidRDefault="00DC6578" w:rsidP="00DC6578">
            <w:pPr>
              <w:rPr>
                <w:rFonts w:cs="Arial"/>
                <w:bCs/>
                <w:iCs/>
                <w:color w:val="000000"/>
              </w:rPr>
            </w:pPr>
            <w:r w:rsidRPr="007F17D8">
              <w:rPr>
                <w:rFonts w:cs="Arial"/>
                <w:bCs/>
                <w:iCs/>
                <w:color w:val="000000"/>
              </w:rPr>
              <w:t>13.0%</w:t>
            </w:r>
          </w:p>
        </w:tc>
      </w:tr>
      <w:tr w:rsidR="00DC6578" w:rsidRPr="007F17D8" w14:paraId="175FFF9C" w14:textId="77777777" w:rsidTr="00B40203">
        <w:trPr>
          <w:cantSplit/>
        </w:trPr>
        <w:tc>
          <w:tcPr>
            <w:tcW w:w="2155" w:type="dxa"/>
          </w:tcPr>
          <w:p w14:paraId="65C973EB" w14:textId="77777777" w:rsidR="00DC6578" w:rsidRPr="007F17D8" w:rsidRDefault="00DC6578" w:rsidP="00DC6578">
            <w:pPr>
              <w:rPr>
                <w:rFonts w:cs="Arial"/>
                <w:lang w:val="en"/>
              </w:rPr>
            </w:pPr>
            <w:r w:rsidRPr="007F17D8">
              <w:rPr>
                <w:rFonts w:cs="Arial"/>
                <w:lang w:val="en"/>
              </w:rPr>
              <w:t>Decile 6</w:t>
            </w:r>
          </w:p>
        </w:tc>
        <w:tc>
          <w:tcPr>
            <w:tcW w:w="1260" w:type="dxa"/>
          </w:tcPr>
          <w:p w14:paraId="7C70E3D3" w14:textId="77777777" w:rsidR="00DC6578" w:rsidRPr="007F17D8" w:rsidRDefault="00DC6578" w:rsidP="00DC6578">
            <w:pPr>
              <w:rPr>
                <w:rFonts w:cs="Arial"/>
                <w:lang w:val="en"/>
              </w:rPr>
            </w:pPr>
            <w:r w:rsidRPr="007F17D8">
              <w:rPr>
                <w:rFonts w:cs="Arial"/>
                <w:lang w:val="en"/>
              </w:rPr>
              <w:t>1,009</w:t>
            </w:r>
          </w:p>
        </w:tc>
        <w:tc>
          <w:tcPr>
            <w:tcW w:w="1710" w:type="dxa"/>
            <w:tcBorders>
              <w:top w:val="single" w:sz="4" w:space="0" w:color="auto"/>
              <w:left w:val="nil"/>
              <w:bottom w:val="single" w:sz="4" w:space="0" w:color="auto"/>
              <w:right w:val="single" w:sz="4" w:space="0" w:color="auto"/>
            </w:tcBorders>
            <w:shd w:val="clear" w:color="auto" w:fill="auto"/>
            <w:vAlign w:val="bottom"/>
          </w:tcPr>
          <w:p w14:paraId="11E10440" w14:textId="77777777" w:rsidR="00DC6578" w:rsidRPr="007F17D8" w:rsidRDefault="00DC6578" w:rsidP="00DC6578">
            <w:pPr>
              <w:rPr>
                <w:rFonts w:cs="Arial"/>
                <w:color w:val="000000"/>
              </w:rPr>
            </w:pPr>
            <w:r w:rsidRPr="007F17D8">
              <w:rPr>
                <w:rFonts w:cs="Arial"/>
                <w:color w:val="000000"/>
              </w:rPr>
              <w:t>671,954</w:t>
            </w:r>
          </w:p>
        </w:tc>
        <w:tc>
          <w:tcPr>
            <w:tcW w:w="1710" w:type="dxa"/>
            <w:tcBorders>
              <w:top w:val="single" w:sz="4" w:space="0" w:color="auto"/>
              <w:left w:val="nil"/>
              <w:bottom w:val="single" w:sz="4" w:space="0" w:color="auto"/>
              <w:right w:val="single" w:sz="4" w:space="0" w:color="auto"/>
            </w:tcBorders>
            <w:shd w:val="clear" w:color="auto" w:fill="auto"/>
            <w:vAlign w:val="bottom"/>
          </w:tcPr>
          <w:p w14:paraId="006CC2A0" w14:textId="77777777" w:rsidR="00DC6578" w:rsidRPr="007F17D8" w:rsidRDefault="00DC6578" w:rsidP="00DC6578">
            <w:pPr>
              <w:rPr>
                <w:rFonts w:cs="Arial"/>
                <w:color w:val="000000"/>
              </w:rPr>
            </w:pPr>
            <w:r w:rsidRPr="007F17D8">
              <w:rPr>
                <w:rFonts w:cs="Arial"/>
                <w:color w:val="000000"/>
              </w:rPr>
              <w:t>452,591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7733084" w14:textId="77777777" w:rsidR="00DC6578" w:rsidRPr="007F17D8" w:rsidRDefault="00DC6578" w:rsidP="00DC6578">
            <w:pPr>
              <w:rPr>
                <w:rFonts w:cs="Arial"/>
                <w:bCs/>
                <w:iCs/>
                <w:color w:val="000000"/>
              </w:rPr>
            </w:pPr>
            <w:r w:rsidRPr="007F17D8">
              <w:rPr>
                <w:rFonts w:cs="Arial"/>
                <w:bCs/>
                <w:iCs/>
                <w:color w:val="000000"/>
              </w:rPr>
              <w:t>76.2%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919213A" w14:textId="77777777" w:rsidR="00DC6578" w:rsidRPr="007F17D8" w:rsidRDefault="00DC6578" w:rsidP="00DC6578">
            <w:pPr>
              <w:rPr>
                <w:rFonts w:cs="Arial"/>
                <w:color w:val="000000"/>
              </w:rPr>
            </w:pPr>
            <w:r w:rsidRPr="007F17D8">
              <w:rPr>
                <w:rFonts w:cs="Arial"/>
                <w:color w:val="000000"/>
              </w:rPr>
              <w:t>32,746</w:t>
            </w:r>
          </w:p>
        </w:tc>
        <w:tc>
          <w:tcPr>
            <w:tcW w:w="1890" w:type="dxa"/>
            <w:tcBorders>
              <w:top w:val="single" w:sz="4" w:space="0" w:color="auto"/>
              <w:left w:val="nil"/>
              <w:bottom w:val="single" w:sz="4" w:space="0" w:color="auto"/>
              <w:right w:val="single" w:sz="4" w:space="0" w:color="auto"/>
            </w:tcBorders>
            <w:shd w:val="clear" w:color="auto" w:fill="auto"/>
            <w:vAlign w:val="bottom"/>
          </w:tcPr>
          <w:p w14:paraId="641C9B3D" w14:textId="77777777" w:rsidR="00DC6578" w:rsidRPr="007F17D8" w:rsidRDefault="00DC6578" w:rsidP="00DC6578">
            <w:pPr>
              <w:rPr>
                <w:rFonts w:cs="Arial"/>
                <w:color w:val="000000"/>
              </w:rPr>
            </w:pPr>
            <w:r w:rsidRPr="007F17D8">
              <w:rPr>
                <w:rFonts w:cs="Arial"/>
                <w:color w:val="000000"/>
              </w:rPr>
              <w:t>3,797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387C65F3" w14:textId="77777777" w:rsidR="00DC6578" w:rsidRPr="007F17D8" w:rsidRDefault="00DC6578" w:rsidP="00DC6578">
            <w:pPr>
              <w:rPr>
                <w:rFonts w:cs="Arial"/>
                <w:bCs/>
                <w:iCs/>
                <w:color w:val="000000"/>
              </w:rPr>
            </w:pPr>
            <w:r w:rsidRPr="007F17D8">
              <w:rPr>
                <w:rFonts w:cs="Arial"/>
                <w:bCs/>
                <w:iCs/>
                <w:color w:val="000000"/>
              </w:rPr>
              <w:t>13.1%</w:t>
            </w:r>
          </w:p>
        </w:tc>
      </w:tr>
      <w:tr w:rsidR="00DC6578" w:rsidRPr="007F17D8" w14:paraId="1FF8AC57" w14:textId="77777777" w:rsidTr="00B40203">
        <w:trPr>
          <w:cantSplit/>
        </w:trPr>
        <w:tc>
          <w:tcPr>
            <w:tcW w:w="2155" w:type="dxa"/>
          </w:tcPr>
          <w:p w14:paraId="58DDBF77" w14:textId="77777777" w:rsidR="00DC6578" w:rsidRPr="007F17D8" w:rsidRDefault="00DC6578" w:rsidP="00DC6578">
            <w:pPr>
              <w:rPr>
                <w:rFonts w:cs="Arial"/>
                <w:lang w:val="en"/>
              </w:rPr>
            </w:pPr>
            <w:r w:rsidRPr="007F17D8">
              <w:rPr>
                <w:rFonts w:cs="Arial"/>
                <w:lang w:val="en"/>
              </w:rPr>
              <w:t>Decile 7</w:t>
            </w:r>
          </w:p>
        </w:tc>
        <w:tc>
          <w:tcPr>
            <w:tcW w:w="1260" w:type="dxa"/>
          </w:tcPr>
          <w:p w14:paraId="4E07101F"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00025194" w14:textId="77777777" w:rsidR="00DC6578" w:rsidRPr="007F17D8" w:rsidRDefault="00DC6578" w:rsidP="00DC6578">
            <w:pPr>
              <w:rPr>
                <w:rFonts w:cs="Arial"/>
                <w:color w:val="000000"/>
              </w:rPr>
            </w:pPr>
            <w:r w:rsidRPr="007F17D8">
              <w:rPr>
                <w:rFonts w:cs="Arial"/>
                <w:color w:val="000000"/>
              </w:rPr>
              <w:t>640,334</w:t>
            </w:r>
          </w:p>
        </w:tc>
        <w:tc>
          <w:tcPr>
            <w:tcW w:w="1710" w:type="dxa"/>
            <w:tcBorders>
              <w:top w:val="single" w:sz="4" w:space="0" w:color="auto"/>
              <w:left w:val="nil"/>
              <w:bottom w:val="single" w:sz="4" w:space="0" w:color="auto"/>
              <w:right w:val="single" w:sz="4" w:space="0" w:color="auto"/>
            </w:tcBorders>
            <w:shd w:val="clear" w:color="auto" w:fill="auto"/>
            <w:vAlign w:val="bottom"/>
          </w:tcPr>
          <w:p w14:paraId="740045D9" w14:textId="77777777" w:rsidR="00DC6578" w:rsidRPr="007F17D8" w:rsidRDefault="00DC6578" w:rsidP="00DC6578">
            <w:pPr>
              <w:rPr>
                <w:rFonts w:cs="Arial"/>
                <w:color w:val="000000"/>
              </w:rPr>
            </w:pPr>
            <w:r w:rsidRPr="007F17D8">
              <w:rPr>
                <w:rFonts w:cs="Arial"/>
                <w:color w:val="000000"/>
              </w:rPr>
              <w:t>475,265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98480AE" w14:textId="77777777" w:rsidR="00DC6578" w:rsidRPr="007F17D8" w:rsidRDefault="00DC6578" w:rsidP="00DC6578">
            <w:pPr>
              <w:rPr>
                <w:rFonts w:cs="Arial"/>
                <w:bCs/>
                <w:iCs/>
                <w:color w:val="000000"/>
              </w:rPr>
            </w:pPr>
            <w:r w:rsidRPr="007F17D8">
              <w:rPr>
                <w:rFonts w:cs="Arial"/>
                <w:bCs/>
                <w:iCs/>
                <w:color w:val="000000"/>
              </w:rPr>
              <w:t>83.3%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7B497BBC" w14:textId="77777777" w:rsidR="00DC6578" w:rsidRPr="007F17D8" w:rsidRDefault="00DC6578" w:rsidP="00DC6578">
            <w:pPr>
              <w:rPr>
                <w:rFonts w:cs="Arial"/>
                <w:color w:val="000000"/>
              </w:rPr>
            </w:pPr>
            <w:r w:rsidRPr="007F17D8">
              <w:rPr>
                <w:rFonts w:cs="Arial"/>
                <w:color w:val="000000"/>
              </w:rPr>
              <w:t>31,314</w:t>
            </w:r>
          </w:p>
        </w:tc>
        <w:tc>
          <w:tcPr>
            <w:tcW w:w="1890" w:type="dxa"/>
            <w:tcBorders>
              <w:top w:val="single" w:sz="4" w:space="0" w:color="auto"/>
              <w:left w:val="nil"/>
              <w:bottom w:val="single" w:sz="4" w:space="0" w:color="auto"/>
              <w:right w:val="single" w:sz="4" w:space="0" w:color="auto"/>
            </w:tcBorders>
            <w:shd w:val="clear" w:color="auto" w:fill="auto"/>
            <w:vAlign w:val="bottom"/>
          </w:tcPr>
          <w:p w14:paraId="4D1CC40C" w14:textId="77777777" w:rsidR="00DC6578" w:rsidRPr="007F17D8" w:rsidRDefault="00DC6578" w:rsidP="00DC6578">
            <w:pPr>
              <w:rPr>
                <w:rFonts w:cs="Arial"/>
                <w:color w:val="000000"/>
              </w:rPr>
            </w:pPr>
            <w:r w:rsidRPr="007F17D8">
              <w:rPr>
                <w:rFonts w:cs="Arial"/>
                <w:color w:val="000000"/>
              </w:rPr>
              <w:t>3,840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6399D7CD" w14:textId="77777777" w:rsidR="00DC6578" w:rsidRPr="007F17D8" w:rsidRDefault="00DC6578" w:rsidP="00DC6578">
            <w:pPr>
              <w:rPr>
                <w:rFonts w:cs="Arial"/>
                <w:bCs/>
                <w:iCs/>
                <w:color w:val="000000"/>
              </w:rPr>
            </w:pPr>
            <w:r w:rsidRPr="007F17D8">
              <w:rPr>
                <w:rFonts w:cs="Arial"/>
                <w:bCs/>
                <w:iCs/>
                <w:color w:val="000000"/>
              </w:rPr>
              <w:t>13.7%</w:t>
            </w:r>
          </w:p>
        </w:tc>
      </w:tr>
      <w:tr w:rsidR="00DC6578" w:rsidRPr="007F17D8" w14:paraId="5DB9128E" w14:textId="77777777" w:rsidTr="00B40203">
        <w:trPr>
          <w:cantSplit/>
        </w:trPr>
        <w:tc>
          <w:tcPr>
            <w:tcW w:w="2155" w:type="dxa"/>
          </w:tcPr>
          <w:p w14:paraId="21F8496B" w14:textId="77777777" w:rsidR="00DC6578" w:rsidRPr="007F17D8" w:rsidRDefault="00DC6578" w:rsidP="00DC6578">
            <w:pPr>
              <w:rPr>
                <w:rFonts w:cs="Arial"/>
                <w:lang w:val="en"/>
              </w:rPr>
            </w:pPr>
            <w:r w:rsidRPr="007F17D8">
              <w:rPr>
                <w:rFonts w:cs="Arial"/>
                <w:lang w:val="en"/>
              </w:rPr>
              <w:t>Decile 8</w:t>
            </w:r>
          </w:p>
        </w:tc>
        <w:tc>
          <w:tcPr>
            <w:tcW w:w="1260" w:type="dxa"/>
          </w:tcPr>
          <w:p w14:paraId="4D25501B"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2B7F0B87" w14:textId="77777777" w:rsidR="00DC6578" w:rsidRPr="007F17D8" w:rsidRDefault="00DC6578" w:rsidP="00DC6578">
            <w:pPr>
              <w:rPr>
                <w:rFonts w:cs="Arial"/>
                <w:color w:val="000000"/>
              </w:rPr>
            </w:pPr>
            <w:r w:rsidRPr="007F17D8">
              <w:rPr>
                <w:rFonts w:cs="Arial"/>
                <w:color w:val="000000"/>
              </w:rPr>
              <w:t>692,811</w:t>
            </w:r>
          </w:p>
        </w:tc>
        <w:tc>
          <w:tcPr>
            <w:tcW w:w="1710" w:type="dxa"/>
            <w:tcBorders>
              <w:top w:val="single" w:sz="4" w:space="0" w:color="auto"/>
              <w:left w:val="nil"/>
              <w:bottom w:val="single" w:sz="4" w:space="0" w:color="auto"/>
              <w:right w:val="single" w:sz="4" w:space="0" w:color="auto"/>
            </w:tcBorders>
            <w:shd w:val="clear" w:color="auto" w:fill="auto"/>
            <w:vAlign w:val="bottom"/>
          </w:tcPr>
          <w:p w14:paraId="43EA0D37" w14:textId="77777777" w:rsidR="00DC6578" w:rsidRPr="007F17D8" w:rsidRDefault="00DC6578" w:rsidP="00DC6578">
            <w:pPr>
              <w:rPr>
                <w:rFonts w:cs="Arial"/>
                <w:color w:val="000000"/>
              </w:rPr>
            </w:pPr>
            <w:r w:rsidRPr="007F17D8">
              <w:rPr>
                <w:rFonts w:cs="Arial"/>
                <w:color w:val="000000"/>
              </w:rPr>
              <w:t>524,971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509C24A" w14:textId="77777777" w:rsidR="00DC6578" w:rsidRPr="007F17D8" w:rsidRDefault="00DC6578" w:rsidP="00DC6578">
            <w:pPr>
              <w:rPr>
                <w:rFonts w:cs="Arial"/>
                <w:bCs/>
                <w:iCs/>
                <w:color w:val="000000"/>
              </w:rPr>
            </w:pPr>
            <w:r w:rsidRPr="007F17D8">
              <w:rPr>
                <w:rFonts w:cs="Arial"/>
                <w:bCs/>
                <w:iCs/>
                <w:color w:val="000000"/>
              </w:rPr>
              <w:t>88.6%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26F330C" w14:textId="77777777" w:rsidR="00DC6578" w:rsidRPr="007F17D8" w:rsidRDefault="00DC6578" w:rsidP="00DC6578">
            <w:pPr>
              <w:rPr>
                <w:rFonts w:cs="Arial"/>
                <w:color w:val="000000"/>
              </w:rPr>
            </w:pPr>
            <w:r w:rsidRPr="007F17D8">
              <w:rPr>
                <w:rFonts w:cs="Arial"/>
                <w:color w:val="000000"/>
              </w:rPr>
              <w:t>33,736</w:t>
            </w:r>
          </w:p>
        </w:tc>
        <w:tc>
          <w:tcPr>
            <w:tcW w:w="1890" w:type="dxa"/>
            <w:tcBorders>
              <w:top w:val="single" w:sz="4" w:space="0" w:color="auto"/>
              <w:left w:val="nil"/>
              <w:bottom w:val="single" w:sz="4" w:space="0" w:color="auto"/>
              <w:right w:val="single" w:sz="4" w:space="0" w:color="auto"/>
            </w:tcBorders>
            <w:shd w:val="clear" w:color="auto" w:fill="auto"/>
            <w:vAlign w:val="bottom"/>
          </w:tcPr>
          <w:p w14:paraId="5F064CF7" w14:textId="77777777" w:rsidR="00DC6578" w:rsidRPr="007F17D8" w:rsidRDefault="00DC6578" w:rsidP="00DC6578">
            <w:pPr>
              <w:rPr>
                <w:rFonts w:cs="Arial"/>
                <w:color w:val="000000"/>
              </w:rPr>
            </w:pPr>
            <w:r w:rsidRPr="007F17D8">
              <w:rPr>
                <w:rFonts w:cs="Arial"/>
                <w:color w:val="000000"/>
              </w:rPr>
              <w:t>4,112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0FC3985E" w14:textId="77777777" w:rsidR="00DC6578" w:rsidRPr="007F17D8" w:rsidRDefault="00DC6578" w:rsidP="00DC6578">
            <w:pPr>
              <w:rPr>
                <w:rFonts w:cs="Arial"/>
                <w:bCs/>
                <w:iCs/>
                <w:color w:val="000000"/>
              </w:rPr>
            </w:pPr>
            <w:r w:rsidRPr="007F17D8">
              <w:rPr>
                <w:rFonts w:cs="Arial"/>
                <w:bCs/>
                <w:iCs/>
                <w:color w:val="000000"/>
              </w:rPr>
              <w:t>14.0%</w:t>
            </w:r>
          </w:p>
        </w:tc>
      </w:tr>
      <w:tr w:rsidR="00DC6578" w:rsidRPr="007F17D8" w14:paraId="6642CAD0" w14:textId="77777777" w:rsidTr="00B40203">
        <w:trPr>
          <w:cantSplit/>
        </w:trPr>
        <w:tc>
          <w:tcPr>
            <w:tcW w:w="2155" w:type="dxa"/>
          </w:tcPr>
          <w:p w14:paraId="2009CB92" w14:textId="77777777" w:rsidR="00DC6578" w:rsidRPr="007F17D8" w:rsidRDefault="00DC6578" w:rsidP="00DC6578">
            <w:pPr>
              <w:rPr>
                <w:rFonts w:cs="Arial"/>
                <w:lang w:val="en"/>
              </w:rPr>
            </w:pPr>
            <w:r w:rsidRPr="007F17D8">
              <w:rPr>
                <w:rFonts w:cs="Arial"/>
                <w:lang w:val="en"/>
              </w:rPr>
              <w:t>Decile 9</w:t>
            </w:r>
          </w:p>
        </w:tc>
        <w:tc>
          <w:tcPr>
            <w:tcW w:w="1260" w:type="dxa"/>
          </w:tcPr>
          <w:p w14:paraId="32D36ECA"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744E118C" w14:textId="77777777" w:rsidR="00DC6578" w:rsidRPr="007F17D8" w:rsidRDefault="00DC6578" w:rsidP="00DC6578">
            <w:pPr>
              <w:rPr>
                <w:rFonts w:cs="Arial"/>
                <w:color w:val="000000"/>
              </w:rPr>
            </w:pPr>
            <w:r w:rsidRPr="007F17D8">
              <w:rPr>
                <w:rFonts w:cs="Arial"/>
                <w:color w:val="000000"/>
              </w:rPr>
              <w:t>646,907</w:t>
            </w:r>
          </w:p>
        </w:tc>
        <w:tc>
          <w:tcPr>
            <w:tcW w:w="1710" w:type="dxa"/>
            <w:tcBorders>
              <w:top w:val="single" w:sz="4" w:space="0" w:color="auto"/>
              <w:left w:val="nil"/>
              <w:bottom w:val="single" w:sz="4" w:space="0" w:color="auto"/>
              <w:right w:val="single" w:sz="4" w:space="0" w:color="auto"/>
            </w:tcBorders>
            <w:shd w:val="clear" w:color="auto" w:fill="auto"/>
            <w:vAlign w:val="bottom"/>
          </w:tcPr>
          <w:p w14:paraId="720423B7" w14:textId="77777777" w:rsidR="00DC6578" w:rsidRPr="007F17D8" w:rsidRDefault="00DC6578" w:rsidP="00DC6578">
            <w:pPr>
              <w:rPr>
                <w:rFonts w:cs="Arial"/>
                <w:color w:val="000000"/>
              </w:rPr>
            </w:pPr>
            <w:r w:rsidRPr="007F17D8">
              <w:rPr>
                <w:rFonts w:cs="Arial"/>
                <w:color w:val="000000"/>
              </w:rPr>
              <w:t>576,613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3DB0710" w14:textId="77777777" w:rsidR="00DC6578" w:rsidRPr="007F17D8" w:rsidRDefault="00DC6578" w:rsidP="00DC6578">
            <w:pPr>
              <w:rPr>
                <w:rFonts w:cs="Arial"/>
                <w:bCs/>
                <w:iCs/>
                <w:color w:val="000000"/>
              </w:rPr>
            </w:pPr>
            <w:r w:rsidRPr="007F17D8">
              <w:rPr>
                <w:rFonts w:cs="Arial"/>
                <w:bCs/>
                <w:iCs/>
                <w:color w:val="000000"/>
              </w:rPr>
              <w:t>93.1%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4AAB3BA" w14:textId="77777777" w:rsidR="00DC6578" w:rsidRPr="007F17D8" w:rsidRDefault="00DC6578" w:rsidP="00DC6578">
            <w:pPr>
              <w:rPr>
                <w:rFonts w:cs="Arial"/>
                <w:color w:val="000000"/>
              </w:rPr>
            </w:pPr>
            <w:r w:rsidRPr="007F17D8">
              <w:rPr>
                <w:rFonts w:cs="Arial"/>
                <w:color w:val="000000"/>
              </w:rPr>
              <w:t>31,422</w:t>
            </w:r>
          </w:p>
        </w:tc>
        <w:tc>
          <w:tcPr>
            <w:tcW w:w="1890" w:type="dxa"/>
            <w:tcBorders>
              <w:top w:val="single" w:sz="4" w:space="0" w:color="auto"/>
              <w:left w:val="nil"/>
              <w:bottom w:val="single" w:sz="4" w:space="0" w:color="auto"/>
              <w:right w:val="single" w:sz="4" w:space="0" w:color="auto"/>
            </w:tcBorders>
            <w:shd w:val="clear" w:color="auto" w:fill="auto"/>
            <w:vAlign w:val="bottom"/>
          </w:tcPr>
          <w:p w14:paraId="43BDA1EA" w14:textId="77777777" w:rsidR="00DC6578" w:rsidRPr="007F17D8" w:rsidRDefault="00DC6578" w:rsidP="00DC6578">
            <w:pPr>
              <w:rPr>
                <w:rFonts w:cs="Arial"/>
                <w:color w:val="000000"/>
              </w:rPr>
            </w:pPr>
            <w:r w:rsidRPr="007F17D8">
              <w:rPr>
                <w:rFonts w:cs="Arial"/>
                <w:color w:val="000000"/>
              </w:rPr>
              <w:t>3,973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5CF96273" w14:textId="77777777" w:rsidR="00DC6578" w:rsidRPr="007F17D8" w:rsidRDefault="00DC6578" w:rsidP="00DC6578">
            <w:pPr>
              <w:rPr>
                <w:rFonts w:cs="Arial"/>
                <w:bCs/>
                <w:iCs/>
                <w:color w:val="000000"/>
              </w:rPr>
            </w:pPr>
            <w:r w:rsidRPr="007F17D8">
              <w:rPr>
                <w:rFonts w:cs="Arial"/>
                <w:bCs/>
                <w:iCs/>
                <w:color w:val="000000"/>
              </w:rPr>
              <w:t>13.0%</w:t>
            </w:r>
          </w:p>
        </w:tc>
      </w:tr>
      <w:tr w:rsidR="00DC6578" w:rsidRPr="007F17D8" w14:paraId="7DE8EC66" w14:textId="77777777" w:rsidTr="00B40203">
        <w:trPr>
          <w:cantSplit/>
        </w:trPr>
        <w:tc>
          <w:tcPr>
            <w:tcW w:w="2155" w:type="dxa"/>
          </w:tcPr>
          <w:p w14:paraId="2B6B8320" w14:textId="77777777" w:rsidR="00DC6578" w:rsidRPr="007F17D8" w:rsidRDefault="00DC6578" w:rsidP="00DC6578">
            <w:pPr>
              <w:rPr>
                <w:rFonts w:cs="Arial"/>
                <w:lang w:val="en"/>
              </w:rPr>
            </w:pPr>
            <w:r w:rsidRPr="007F17D8">
              <w:rPr>
                <w:rFonts w:cs="Arial"/>
                <w:lang w:val="en"/>
              </w:rPr>
              <w:t>Decile 10</w:t>
            </w:r>
          </w:p>
        </w:tc>
        <w:tc>
          <w:tcPr>
            <w:tcW w:w="1260" w:type="dxa"/>
          </w:tcPr>
          <w:p w14:paraId="56923C3D"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431DD34A" w14:textId="77777777" w:rsidR="00DC6578" w:rsidRPr="007F17D8" w:rsidRDefault="00DC6578" w:rsidP="00DC6578">
            <w:pPr>
              <w:rPr>
                <w:rFonts w:cs="Arial"/>
                <w:color w:val="000000"/>
              </w:rPr>
            </w:pPr>
            <w:r w:rsidRPr="007F17D8">
              <w:rPr>
                <w:rFonts w:cs="Arial"/>
                <w:color w:val="000000"/>
              </w:rPr>
              <w:t>549,084</w:t>
            </w:r>
          </w:p>
        </w:tc>
        <w:tc>
          <w:tcPr>
            <w:tcW w:w="1710" w:type="dxa"/>
            <w:tcBorders>
              <w:top w:val="single" w:sz="4" w:space="0" w:color="auto"/>
              <w:left w:val="nil"/>
              <w:bottom w:val="single" w:sz="4" w:space="0" w:color="auto"/>
              <w:right w:val="single" w:sz="4" w:space="0" w:color="auto"/>
            </w:tcBorders>
            <w:shd w:val="clear" w:color="auto" w:fill="auto"/>
            <w:vAlign w:val="bottom"/>
          </w:tcPr>
          <w:p w14:paraId="6A3FA3A2" w14:textId="77777777" w:rsidR="00DC6578" w:rsidRPr="007F17D8" w:rsidRDefault="00DC6578" w:rsidP="00DC6578">
            <w:pPr>
              <w:rPr>
                <w:rFonts w:cs="Arial"/>
                <w:color w:val="000000"/>
              </w:rPr>
            </w:pPr>
            <w:r w:rsidRPr="007F17D8">
              <w:rPr>
                <w:rFonts w:cs="Arial"/>
                <w:color w:val="000000"/>
              </w:rPr>
              <w:t>449,510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6757151" w14:textId="77777777" w:rsidR="00DC6578" w:rsidRPr="007F17D8" w:rsidRDefault="00DC6578" w:rsidP="00DC6578">
            <w:pPr>
              <w:rPr>
                <w:rFonts w:cs="Arial"/>
                <w:bCs/>
                <w:iCs/>
                <w:color w:val="000000"/>
              </w:rPr>
            </w:pPr>
            <w:r w:rsidRPr="007F17D8">
              <w:rPr>
                <w:rFonts w:cs="Arial"/>
                <w:bCs/>
                <w:iCs/>
                <w:color w:val="000000"/>
              </w:rPr>
              <w:t>96.9%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28906BF" w14:textId="77777777" w:rsidR="00DC6578" w:rsidRPr="007F17D8" w:rsidRDefault="00DC6578" w:rsidP="00DC6578">
            <w:pPr>
              <w:rPr>
                <w:rFonts w:cs="Arial"/>
                <w:color w:val="000000"/>
              </w:rPr>
            </w:pPr>
            <w:r w:rsidRPr="007F17D8">
              <w:rPr>
                <w:rFonts w:cs="Arial"/>
                <w:color w:val="000000"/>
              </w:rPr>
              <w:t>26,534</w:t>
            </w:r>
          </w:p>
        </w:tc>
        <w:tc>
          <w:tcPr>
            <w:tcW w:w="1890" w:type="dxa"/>
            <w:tcBorders>
              <w:top w:val="single" w:sz="4" w:space="0" w:color="auto"/>
              <w:left w:val="nil"/>
              <w:bottom w:val="single" w:sz="4" w:space="0" w:color="auto"/>
              <w:right w:val="single" w:sz="4" w:space="0" w:color="auto"/>
            </w:tcBorders>
            <w:shd w:val="clear" w:color="auto" w:fill="auto"/>
            <w:vAlign w:val="bottom"/>
          </w:tcPr>
          <w:p w14:paraId="5DD48A74" w14:textId="77777777" w:rsidR="00DC6578" w:rsidRPr="007F17D8" w:rsidRDefault="00DC6578" w:rsidP="00DC6578">
            <w:pPr>
              <w:rPr>
                <w:rFonts w:cs="Arial"/>
                <w:color w:val="000000"/>
              </w:rPr>
            </w:pPr>
            <w:r w:rsidRPr="007F17D8">
              <w:rPr>
                <w:rFonts w:cs="Arial"/>
                <w:color w:val="000000"/>
              </w:rPr>
              <w:t>3,831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3DD05F68" w14:textId="77777777" w:rsidR="00DC6578" w:rsidRPr="007F17D8" w:rsidRDefault="00DC6578" w:rsidP="00DC6578">
            <w:pPr>
              <w:rPr>
                <w:rFonts w:cs="Arial"/>
                <w:bCs/>
                <w:iCs/>
                <w:color w:val="000000"/>
              </w:rPr>
            </w:pPr>
            <w:r w:rsidRPr="007F17D8">
              <w:rPr>
                <w:rFonts w:cs="Arial"/>
                <w:bCs/>
                <w:iCs/>
                <w:color w:val="000000"/>
              </w:rPr>
              <w:t>16.1%</w:t>
            </w:r>
          </w:p>
        </w:tc>
      </w:tr>
      <w:tr w:rsidR="00DC6578" w:rsidRPr="007F17D8" w14:paraId="6D2DA622" w14:textId="77777777" w:rsidTr="00B40203">
        <w:trPr>
          <w:cantSplit/>
        </w:trPr>
        <w:tc>
          <w:tcPr>
            <w:tcW w:w="2155" w:type="dxa"/>
          </w:tcPr>
          <w:p w14:paraId="6BC1FA2A" w14:textId="77777777" w:rsidR="00DC6578" w:rsidRPr="007F17D8" w:rsidRDefault="00DC6578" w:rsidP="00DC6578">
            <w:pPr>
              <w:rPr>
                <w:rFonts w:cs="Arial"/>
                <w:lang w:val="en"/>
              </w:rPr>
            </w:pPr>
            <w:r w:rsidRPr="007F17D8">
              <w:rPr>
                <w:rFonts w:cs="Arial"/>
                <w:lang w:val="en"/>
              </w:rPr>
              <w:t>Statewide Totals</w:t>
            </w:r>
          </w:p>
        </w:tc>
        <w:tc>
          <w:tcPr>
            <w:tcW w:w="1260" w:type="dxa"/>
          </w:tcPr>
          <w:p w14:paraId="0BA719DE" w14:textId="77777777" w:rsidR="00DC6578" w:rsidRPr="007F17D8" w:rsidRDefault="00DC6578" w:rsidP="00DC6578">
            <w:pPr>
              <w:rPr>
                <w:rFonts w:cs="Arial"/>
                <w:lang w:val="en"/>
              </w:rPr>
            </w:pPr>
            <w:r w:rsidRPr="007F17D8">
              <w:rPr>
                <w:rFonts w:cs="Arial"/>
                <w:lang w:val="en"/>
              </w:rPr>
              <w:t>10,081</w:t>
            </w:r>
          </w:p>
        </w:tc>
        <w:tc>
          <w:tcPr>
            <w:tcW w:w="1710" w:type="dxa"/>
          </w:tcPr>
          <w:p w14:paraId="24980FD3" w14:textId="77777777" w:rsidR="00DC6578" w:rsidRPr="007F17D8" w:rsidRDefault="00DC6578" w:rsidP="00DC6578">
            <w:pPr>
              <w:rPr>
                <w:rFonts w:cs="Arial"/>
                <w:lang w:val="en"/>
              </w:rPr>
            </w:pPr>
            <w:r w:rsidRPr="007F17D8">
              <w:rPr>
                <w:rFonts w:cs="Arial"/>
                <w:lang w:val="en"/>
              </w:rPr>
              <w:t>6,209,729</w:t>
            </w:r>
          </w:p>
        </w:tc>
        <w:tc>
          <w:tcPr>
            <w:tcW w:w="1710" w:type="dxa"/>
            <w:tcBorders>
              <w:top w:val="single" w:sz="4" w:space="0" w:color="auto"/>
            </w:tcBorders>
          </w:tcPr>
          <w:p w14:paraId="78A3D1A3" w14:textId="77777777" w:rsidR="00DC6578" w:rsidRPr="007F17D8" w:rsidRDefault="00DC6578" w:rsidP="00DC6578">
            <w:pPr>
              <w:rPr>
                <w:rFonts w:cs="Arial"/>
                <w:lang w:val="en"/>
              </w:rPr>
            </w:pPr>
            <w:r w:rsidRPr="007F17D8">
              <w:rPr>
                <w:rFonts w:cs="Arial"/>
                <w:lang w:val="en"/>
              </w:rPr>
              <w:t>3,823,035</w:t>
            </w:r>
          </w:p>
        </w:tc>
        <w:tc>
          <w:tcPr>
            <w:tcW w:w="1530" w:type="dxa"/>
            <w:tcBorders>
              <w:top w:val="single" w:sz="4" w:space="0" w:color="auto"/>
            </w:tcBorders>
          </w:tcPr>
          <w:p w14:paraId="3FAE5F10" w14:textId="77777777" w:rsidR="00DC6578" w:rsidRPr="007F17D8" w:rsidRDefault="00DC6578" w:rsidP="00DC6578">
            <w:pPr>
              <w:rPr>
                <w:rFonts w:cs="Arial"/>
                <w:lang w:val="en"/>
              </w:rPr>
            </w:pPr>
            <w:r w:rsidRPr="007F17D8">
              <w:rPr>
                <w:rFonts w:cs="Arial"/>
                <w:lang w:val="en"/>
              </w:rPr>
              <w:t>61.6%</w:t>
            </w:r>
          </w:p>
        </w:tc>
        <w:tc>
          <w:tcPr>
            <w:tcW w:w="1350" w:type="dxa"/>
          </w:tcPr>
          <w:p w14:paraId="1F81C49A" w14:textId="77777777" w:rsidR="00DC6578" w:rsidRPr="007F17D8" w:rsidRDefault="00DC6578" w:rsidP="00DC6578">
            <w:pPr>
              <w:rPr>
                <w:rFonts w:cs="Arial"/>
                <w:lang w:val="en"/>
              </w:rPr>
            </w:pPr>
            <w:r w:rsidRPr="007F17D8">
              <w:rPr>
                <w:rFonts w:cs="Arial"/>
                <w:lang w:val="en"/>
              </w:rPr>
              <w:t>308,762</w:t>
            </w:r>
          </w:p>
        </w:tc>
        <w:tc>
          <w:tcPr>
            <w:tcW w:w="1890" w:type="dxa"/>
            <w:tcBorders>
              <w:top w:val="single" w:sz="4" w:space="0" w:color="auto"/>
            </w:tcBorders>
          </w:tcPr>
          <w:p w14:paraId="50600EFA" w14:textId="77777777" w:rsidR="00DC6578" w:rsidRPr="007F17D8" w:rsidRDefault="00DC6578" w:rsidP="00DC6578">
            <w:pPr>
              <w:rPr>
                <w:rFonts w:cs="Arial"/>
                <w:lang w:val="en"/>
              </w:rPr>
            </w:pPr>
            <w:r w:rsidRPr="007F17D8">
              <w:rPr>
                <w:rFonts w:cs="Arial"/>
                <w:lang w:val="en"/>
              </w:rPr>
              <w:t>38,199</w:t>
            </w:r>
          </w:p>
        </w:tc>
        <w:tc>
          <w:tcPr>
            <w:tcW w:w="1800" w:type="dxa"/>
            <w:tcBorders>
              <w:top w:val="single" w:sz="4" w:space="0" w:color="auto"/>
            </w:tcBorders>
          </w:tcPr>
          <w:p w14:paraId="102B6E28" w14:textId="77777777" w:rsidR="00DC6578" w:rsidRPr="007F17D8" w:rsidRDefault="00DC6578" w:rsidP="00DC6578">
            <w:pPr>
              <w:rPr>
                <w:rFonts w:cs="Arial"/>
                <w:lang w:val="en"/>
              </w:rPr>
            </w:pPr>
            <w:r w:rsidRPr="007F17D8">
              <w:rPr>
                <w:rFonts w:cs="Arial"/>
                <w:lang w:val="en"/>
              </w:rPr>
              <w:t>12.4%</w:t>
            </w:r>
          </w:p>
        </w:tc>
      </w:tr>
    </w:tbl>
    <w:p w14:paraId="0B4B49A3" w14:textId="77777777" w:rsidR="00DC6578" w:rsidRPr="007F17D8" w:rsidRDefault="00DC6578" w:rsidP="000D21A4">
      <w:pPr>
        <w:pStyle w:val="ListParagraph"/>
        <w:rPr>
          <w:rFonts w:cs="Arial"/>
          <w:b/>
          <w:bCs/>
        </w:rPr>
      </w:pPr>
    </w:p>
    <w:p w14:paraId="62549940" w14:textId="77777777" w:rsidR="00DC6578" w:rsidRPr="007F17D8" w:rsidRDefault="00DC6578" w:rsidP="00B166C6">
      <w:pPr>
        <w:pStyle w:val="Heading2"/>
        <w:jc w:val="center"/>
        <w:rPr>
          <w:lang w:val="en"/>
        </w:rPr>
      </w:pPr>
      <w:r w:rsidRPr="007F17D8">
        <w:t>Table 3. 2017–18 Out-of-Field Teachers by Minority Student Enrollment</w:t>
      </w:r>
    </w:p>
    <w:tbl>
      <w:tblPr>
        <w:tblStyle w:val="TableGrid"/>
        <w:tblW w:w="13405" w:type="dxa"/>
        <w:tblLayout w:type="fixed"/>
        <w:tblLook w:val="04A0" w:firstRow="1" w:lastRow="0" w:firstColumn="1" w:lastColumn="0" w:noHBand="0" w:noVBand="1"/>
        <w:tblDescription w:val="This chart shows the percentage of out-of-field teachers working with minority students by quartile."/>
      </w:tblPr>
      <w:tblGrid>
        <w:gridCol w:w="2065"/>
        <w:gridCol w:w="1350"/>
        <w:gridCol w:w="1710"/>
        <w:gridCol w:w="1710"/>
        <w:gridCol w:w="1530"/>
        <w:gridCol w:w="1350"/>
        <w:gridCol w:w="1890"/>
        <w:gridCol w:w="1800"/>
      </w:tblGrid>
      <w:tr w:rsidR="00DC6578" w:rsidRPr="007F17D8" w14:paraId="076E8C6B" w14:textId="77777777" w:rsidTr="00B40203">
        <w:trPr>
          <w:cantSplit/>
          <w:tblHeader/>
        </w:trPr>
        <w:tc>
          <w:tcPr>
            <w:tcW w:w="2065" w:type="dxa"/>
            <w:shd w:val="clear" w:color="auto" w:fill="D9D9D9" w:themeFill="background1" w:themeFillShade="D9"/>
          </w:tcPr>
          <w:p w14:paraId="62881E70" w14:textId="77777777" w:rsidR="00DC6578" w:rsidRPr="007F17D8" w:rsidRDefault="00DC6578" w:rsidP="00DC6578">
            <w:pPr>
              <w:tabs>
                <w:tab w:val="left" w:pos="616"/>
              </w:tabs>
              <w:rPr>
                <w:rFonts w:cs="Arial"/>
                <w:lang w:val="en"/>
              </w:rPr>
            </w:pPr>
            <w:r w:rsidRPr="007F17D8">
              <w:rPr>
                <w:rFonts w:cs="Arial"/>
                <w:lang w:val="en"/>
              </w:rPr>
              <w:t>Decile Rank for Title I Schools</w:t>
            </w:r>
          </w:p>
        </w:tc>
        <w:tc>
          <w:tcPr>
            <w:tcW w:w="1350" w:type="dxa"/>
            <w:shd w:val="clear" w:color="auto" w:fill="D9D9D9" w:themeFill="background1" w:themeFillShade="D9"/>
          </w:tcPr>
          <w:p w14:paraId="1B04A800" w14:textId="77777777" w:rsidR="00DC6578" w:rsidRPr="007F17D8" w:rsidRDefault="00DC6578" w:rsidP="00DC6578">
            <w:pPr>
              <w:rPr>
                <w:rFonts w:cs="Arial"/>
                <w:lang w:val="en"/>
              </w:rPr>
            </w:pPr>
            <w:r w:rsidRPr="007F17D8">
              <w:rPr>
                <w:rFonts w:cs="Arial"/>
                <w:lang w:val="en"/>
              </w:rPr>
              <w:t>Number of Schools</w:t>
            </w:r>
          </w:p>
        </w:tc>
        <w:tc>
          <w:tcPr>
            <w:tcW w:w="1710" w:type="dxa"/>
            <w:shd w:val="clear" w:color="auto" w:fill="D9D9D9" w:themeFill="background1" w:themeFillShade="D9"/>
          </w:tcPr>
          <w:p w14:paraId="1CADBE67" w14:textId="77777777" w:rsidR="00DC6578" w:rsidRPr="007F17D8" w:rsidRDefault="00DC6578" w:rsidP="00DC6578">
            <w:pPr>
              <w:rPr>
                <w:rFonts w:cs="Arial"/>
                <w:lang w:val="en"/>
              </w:rPr>
            </w:pPr>
            <w:r w:rsidRPr="007F17D8">
              <w:rPr>
                <w:rFonts w:cs="Arial"/>
                <w:lang w:val="en"/>
              </w:rPr>
              <w:t>Total Student Enrollment</w:t>
            </w:r>
          </w:p>
        </w:tc>
        <w:tc>
          <w:tcPr>
            <w:tcW w:w="1710" w:type="dxa"/>
            <w:shd w:val="clear" w:color="auto" w:fill="D9D9D9" w:themeFill="background1" w:themeFillShade="D9"/>
          </w:tcPr>
          <w:p w14:paraId="506E23F3" w14:textId="77777777" w:rsidR="00DC6578" w:rsidRPr="007F17D8" w:rsidRDefault="00DC6578" w:rsidP="00DC6578">
            <w:pPr>
              <w:rPr>
                <w:rFonts w:cs="Arial"/>
                <w:lang w:val="en"/>
              </w:rPr>
            </w:pPr>
            <w:r w:rsidRPr="007F17D8">
              <w:rPr>
                <w:rFonts w:cs="Arial"/>
                <w:lang w:val="en"/>
              </w:rPr>
              <w:t>Minority Student Enrollment</w:t>
            </w:r>
          </w:p>
        </w:tc>
        <w:tc>
          <w:tcPr>
            <w:tcW w:w="1530" w:type="dxa"/>
            <w:shd w:val="clear" w:color="auto" w:fill="D9D9D9" w:themeFill="background1" w:themeFillShade="D9"/>
          </w:tcPr>
          <w:p w14:paraId="2C65F366" w14:textId="77777777" w:rsidR="00DC6578" w:rsidRPr="007F17D8" w:rsidRDefault="00DC6578" w:rsidP="00DC6578">
            <w:pPr>
              <w:rPr>
                <w:rFonts w:cs="Arial"/>
                <w:lang w:val="en"/>
              </w:rPr>
            </w:pPr>
            <w:r w:rsidRPr="007F17D8">
              <w:rPr>
                <w:rFonts w:cs="Arial"/>
                <w:lang w:val="en"/>
              </w:rPr>
              <w:t>Percent of Minority Student Enrollment</w:t>
            </w:r>
          </w:p>
        </w:tc>
        <w:tc>
          <w:tcPr>
            <w:tcW w:w="1350" w:type="dxa"/>
            <w:shd w:val="clear" w:color="auto" w:fill="D9D9D9" w:themeFill="background1" w:themeFillShade="D9"/>
          </w:tcPr>
          <w:p w14:paraId="5E376CE4" w14:textId="77777777" w:rsidR="00DC6578" w:rsidRPr="007F17D8" w:rsidRDefault="00DC6578" w:rsidP="00DC6578">
            <w:pPr>
              <w:rPr>
                <w:rFonts w:cs="Arial"/>
                <w:lang w:val="en"/>
              </w:rPr>
            </w:pPr>
            <w:r w:rsidRPr="007F17D8">
              <w:rPr>
                <w:rFonts w:cs="Arial"/>
                <w:lang w:val="en"/>
              </w:rPr>
              <w:t>Total Teachers</w:t>
            </w:r>
          </w:p>
        </w:tc>
        <w:tc>
          <w:tcPr>
            <w:tcW w:w="1890" w:type="dxa"/>
            <w:tcBorders>
              <w:bottom w:val="single" w:sz="4" w:space="0" w:color="auto"/>
            </w:tcBorders>
            <w:shd w:val="clear" w:color="auto" w:fill="D9D9D9" w:themeFill="background1" w:themeFillShade="D9"/>
          </w:tcPr>
          <w:p w14:paraId="0F5942B2" w14:textId="77777777" w:rsidR="00DC6578" w:rsidRPr="007F17D8" w:rsidRDefault="00DC6578" w:rsidP="00DC6578">
            <w:pPr>
              <w:rPr>
                <w:rFonts w:cs="Arial"/>
                <w:lang w:val="en"/>
              </w:rPr>
            </w:pPr>
            <w:r w:rsidRPr="007F17D8">
              <w:rPr>
                <w:rFonts w:cs="Arial"/>
                <w:lang w:val="en"/>
              </w:rPr>
              <w:t xml:space="preserve">Number of Out-of-Field </w:t>
            </w:r>
          </w:p>
          <w:p w14:paraId="6E604E4C" w14:textId="77777777" w:rsidR="00DC6578" w:rsidRPr="007F17D8" w:rsidRDefault="00DC6578" w:rsidP="00DC6578">
            <w:pPr>
              <w:rPr>
                <w:rFonts w:cs="Arial"/>
                <w:lang w:val="en"/>
              </w:rPr>
            </w:pPr>
            <w:r w:rsidRPr="007F17D8">
              <w:rPr>
                <w:rFonts w:cs="Arial"/>
                <w:lang w:val="en"/>
              </w:rPr>
              <w:t>Teachers</w:t>
            </w:r>
          </w:p>
        </w:tc>
        <w:tc>
          <w:tcPr>
            <w:tcW w:w="1800" w:type="dxa"/>
            <w:tcBorders>
              <w:bottom w:val="single" w:sz="4" w:space="0" w:color="auto"/>
            </w:tcBorders>
            <w:shd w:val="clear" w:color="auto" w:fill="D9D9D9" w:themeFill="background1" w:themeFillShade="D9"/>
          </w:tcPr>
          <w:p w14:paraId="7FA8BD2E" w14:textId="77777777" w:rsidR="00DC6578" w:rsidRPr="007F17D8" w:rsidRDefault="00DC6578" w:rsidP="00DC6578">
            <w:pPr>
              <w:rPr>
                <w:rFonts w:cs="Arial"/>
                <w:lang w:val="en"/>
              </w:rPr>
            </w:pPr>
            <w:r w:rsidRPr="007F17D8">
              <w:rPr>
                <w:rFonts w:cs="Arial"/>
                <w:lang w:val="en"/>
              </w:rPr>
              <w:t>Percentage of Out-of-Field Teachers</w:t>
            </w:r>
          </w:p>
        </w:tc>
      </w:tr>
      <w:tr w:rsidR="00DC6578" w:rsidRPr="007F17D8" w14:paraId="611B7C39" w14:textId="77777777" w:rsidTr="00B40203">
        <w:trPr>
          <w:cantSplit/>
        </w:trPr>
        <w:tc>
          <w:tcPr>
            <w:tcW w:w="2065" w:type="dxa"/>
          </w:tcPr>
          <w:p w14:paraId="370D9E58" w14:textId="77777777" w:rsidR="00DC6578" w:rsidRPr="007F17D8" w:rsidRDefault="00DC6578" w:rsidP="00DC6578">
            <w:pPr>
              <w:rPr>
                <w:rFonts w:cs="Arial"/>
                <w:lang w:val="en"/>
              </w:rPr>
            </w:pPr>
            <w:r w:rsidRPr="007F17D8">
              <w:rPr>
                <w:rFonts w:cs="Arial"/>
                <w:lang w:val="en"/>
              </w:rPr>
              <w:t>Decile I</w:t>
            </w:r>
          </w:p>
        </w:tc>
        <w:tc>
          <w:tcPr>
            <w:tcW w:w="1350" w:type="dxa"/>
          </w:tcPr>
          <w:p w14:paraId="208055A9"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7662F701" w14:textId="77777777" w:rsidR="00DC6578" w:rsidRPr="007F17D8" w:rsidRDefault="00DC6578" w:rsidP="00DC6578">
            <w:pPr>
              <w:rPr>
                <w:rFonts w:cs="Arial"/>
                <w:color w:val="000000"/>
              </w:rPr>
            </w:pPr>
            <w:r w:rsidRPr="007F17D8">
              <w:rPr>
                <w:rFonts w:cs="Arial"/>
                <w:color w:val="000000"/>
              </w:rPr>
              <w:t>405,433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DAACD8F" w14:textId="77777777" w:rsidR="00DC6578" w:rsidRPr="007F17D8" w:rsidRDefault="00DC6578" w:rsidP="00DC6578">
            <w:pPr>
              <w:rPr>
                <w:rFonts w:cs="Arial"/>
                <w:color w:val="000000"/>
              </w:rPr>
            </w:pPr>
            <w:r w:rsidRPr="007F17D8">
              <w:rPr>
                <w:rFonts w:cs="Arial"/>
                <w:color w:val="000000"/>
              </w:rPr>
              <w:t>117,798</w:t>
            </w:r>
          </w:p>
        </w:tc>
        <w:tc>
          <w:tcPr>
            <w:tcW w:w="1530" w:type="dxa"/>
            <w:tcBorders>
              <w:top w:val="single" w:sz="4" w:space="0" w:color="auto"/>
              <w:left w:val="single" w:sz="4" w:space="0" w:color="auto"/>
              <w:bottom w:val="single" w:sz="4" w:space="0" w:color="auto"/>
              <w:right w:val="nil"/>
            </w:tcBorders>
            <w:shd w:val="clear" w:color="auto" w:fill="auto"/>
            <w:vAlign w:val="bottom"/>
          </w:tcPr>
          <w:p w14:paraId="2C9CCBE1" w14:textId="77777777" w:rsidR="00DC6578" w:rsidRPr="007F17D8" w:rsidRDefault="00DC6578" w:rsidP="00DC6578">
            <w:pPr>
              <w:rPr>
                <w:rFonts w:cs="Arial"/>
                <w:bCs/>
                <w:iCs/>
                <w:color w:val="000000"/>
              </w:rPr>
            </w:pPr>
            <w:r w:rsidRPr="007F17D8">
              <w:rPr>
                <w:rFonts w:cs="Arial"/>
                <w:bCs/>
                <w:iCs/>
                <w:color w:val="000000"/>
              </w:rPr>
              <w:t>29.1%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64643EB" w14:textId="77777777" w:rsidR="00DC6578" w:rsidRPr="007F17D8" w:rsidRDefault="00DC6578" w:rsidP="00DC6578">
            <w:pPr>
              <w:rPr>
                <w:rFonts w:cs="Arial"/>
                <w:color w:val="000000"/>
              </w:rPr>
            </w:pPr>
            <w:r w:rsidRPr="007F17D8">
              <w:rPr>
                <w:rFonts w:cs="Arial"/>
                <w:color w:val="000000"/>
              </w:rPr>
              <w:t>21,237</w:t>
            </w:r>
          </w:p>
        </w:tc>
        <w:tc>
          <w:tcPr>
            <w:tcW w:w="1890" w:type="dxa"/>
            <w:tcBorders>
              <w:top w:val="single" w:sz="4" w:space="0" w:color="auto"/>
              <w:left w:val="nil"/>
              <w:bottom w:val="single" w:sz="4" w:space="0" w:color="auto"/>
              <w:right w:val="single" w:sz="4" w:space="0" w:color="auto"/>
            </w:tcBorders>
            <w:shd w:val="clear" w:color="auto" w:fill="auto"/>
            <w:vAlign w:val="bottom"/>
          </w:tcPr>
          <w:p w14:paraId="20A8454C" w14:textId="77777777" w:rsidR="00DC6578" w:rsidRPr="007F17D8" w:rsidRDefault="00DC6578" w:rsidP="00DC6578">
            <w:pPr>
              <w:rPr>
                <w:rFonts w:cs="Arial"/>
                <w:color w:val="000000"/>
              </w:rPr>
            </w:pPr>
            <w:r w:rsidRPr="007F17D8">
              <w:rPr>
                <w:rFonts w:cs="Arial"/>
                <w:color w:val="000000"/>
              </w:rPr>
              <w:t>134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72772D8D" w14:textId="77777777" w:rsidR="00DC6578" w:rsidRPr="007F17D8" w:rsidRDefault="00DC6578" w:rsidP="00DC6578">
            <w:pPr>
              <w:rPr>
                <w:rFonts w:cs="Arial"/>
                <w:bCs/>
                <w:iCs/>
                <w:color w:val="000000"/>
              </w:rPr>
            </w:pPr>
            <w:r w:rsidRPr="007F17D8">
              <w:rPr>
                <w:rFonts w:cs="Arial"/>
                <w:bCs/>
                <w:iCs/>
                <w:color w:val="000000"/>
              </w:rPr>
              <w:t>0.6%</w:t>
            </w:r>
          </w:p>
        </w:tc>
      </w:tr>
      <w:tr w:rsidR="00DC6578" w:rsidRPr="007F17D8" w14:paraId="3CC3E05E" w14:textId="77777777" w:rsidTr="00B40203">
        <w:trPr>
          <w:cantSplit/>
        </w:trPr>
        <w:tc>
          <w:tcPr>
            <w:tcW w:w="2065" w:type="dxa"/>
          </w:tcPr>
          <w:p w14:paraId="7679763D" w14:textId="77777777" w:rsidR="00DC6578" w:rsidRPr="007F17D8" w:rsidRDefault="00DC6578" w:rsidP="00DC6578">
            <w:pPr>
              <w:rPr>
                <w:rFonts w:cs="Arial"/>
                <w:lang w:val="en"/>
              </w:rPr>
            </w:pPr>
            <w:r w:rsidRPr="007F17D8">
              <w:rPr>
                <w:rFonts w:cs="Arial"/>
                <w:lang w:val="en"/>
              </w:rPr>
              <w:t>Decile 2</w:t>
            </w:r>
          </w:p>
        </w:tc>
        <w:tc>
          <w:tcPr>
            <w:tcW w:w="1350" w:type="dxa"/>
          </w:tcPr>
          <w:p w14:paraId="2CB9F2B4"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74A0B6A2" w14:textId="77777777" w:rsidR="00DC6578" w:rsidRPr="007F17D8" w:rsidRDefault="00DC6578" w:rsidP="00DC6578">
            <w:pPr>
              <w:rPr>
                <w:rFonts w:cs="Arial"/>
                <w:color w:val="000000"/>
              </w:rPr>
            </w:pPr>
            <w:r w:rsidRPr="007F17D8">
              <w:rPr>
                <w:rFonts w:cs="Arial"/>
                <w:color w:val="000000"/>
              </w:rPr>
              <w:t>620,235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48B5D7C" w14:textId="77777777" w:rsidR="00DC6578" w:rsidRPr="007F17D8" w:rsidRDefault="00DC6578" w:rsidP="00DC6578">
            <w:pPr>
              <w:rPr>
                <w:rFonts w:cs="Arial"/>
                <w:color w:val="000000"/>
              </w:rPr>
            </w:pPr>
            <w:r w:rsidRPr="007F17D8">
              <w:rPr>
                <w:rFonts w:cs="Arial"/>
                <w:color w:val="000000"/>
              </w:rPr>
              <w:t>277,115</w:t>
            </w:r>
          </w:p>
        </w:tc>
        <w:tc>
          <w:tcPr>
            <w:tcW w:w="1530" w:type="dxa"/>
            <w:tcBorders>
              <w:top w:val="single" w:sz="4" w:space="0" w:color="auto"/>
              <w:left w:val="single" w:sz="4" w:space="0" w:color="auto"/>
              <w:bottom w:val="single" w:sz="4" w:space="0" w:color="auto"/>
              <w:right w:val="nil"/>
            </w:tcBorders>
            <w:shd w:val="clear" w:color="auto" w:fill="auto"/>
            <w:vAlign w:val="bottom"/>
          </w:tcPr>
          <w:p w14:paraId="018E48F9" w14:textId="77777777" w:rsidR="00DC6578" w:rsidRPr="007F17D8" w:rsidRDefault="00DC6578" w:rsidP="00DC6578">
            <w:pPr>
              <w:rPr>
                <w:rFonts w:cs="Arial"/>
                <w:bCs/>
                <w:iCs/>
                <w:color w:val="000000"/>
              </w:rPr>
            </w:pPr>
            <w:r w:rsidRPr="007F17D8">
              <w:rPr>
                <w:rFonts w:cs="Arial"/>
                <w:bCs/>
                <w:iCs/>
                <w:color w:val="000000"/>
              </w:rPr>
              <w:t>44.7%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A9233A6" w14:textId="77777777" w:rsidR="00DC6578" w:rsidRPr="007F17D8" w:rsidRDefault="00DC6578" w:rsidP="00DC6578">
            <w:pPr>
              <w:rPr>
                <w:rFonts w:cs="Arial"/>
                <w:color w:val="000000"/>
              </w:rPr>
            </w:pPr>
            <w:r w:rsidRPr="007F17D8">
              <w:rPr>
                <w:rFonts w:cs="Arial"/>
                <w:color w:val="000000"/>
              </w:rPr>
              <w:t>31,165</w:t>
            </w:r>
          </w:p>
        </w:tc>
        <w:tc>
          <w:tcPr>
            <w:tcW w:w="1890" w:type="dxa"/>
            <w:tcBorders>
              <w:top w:val="single" w:sz="4" w:space="0" w:color="auto"/>
              <w:left w:val="nil"/>
              <w:bottom w:val="single" w:sz="4" w:space="0" w:color="auto"/>
              <w:right w:val="single" w:sz="4" w:space="0" w:color="auto"/>
            </w:tcBorders>
            <w:shd w:val="clear" w:color="auto" w:fill="auto"/>
            <w:vAlign w:val="bottom"/>
          </w:tcPr>
          <w:p w14:paraId="65D4542D" w14:textId="77777777" w:rsidR="00DC6578" w:rsidRPr="007F17D8" w:rsidRDefault="00DC6578" w:rsidP="00DC6578">
            <w:pPr>
              <w:rPr>
                <w:rFonts w:cs="Arial"/>
                <w:color w:val="000000"/>
              </w:rPr>
            </w:pPr>
            <w:r w:rsidRPr="007F17D8">
              <w:rPr>
                <w:rFonts w:cs="Arial"/>
                <w:color w:val="000000"/>
              </w:rPr>
              <w:t>169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1DAE24BB" w14:textId="77777777" w:rsidR="00DC6578" w:rsidRPr="007F17D8" w:rsidRDefault="00DC6578" w:rsidP="00DC6578">
            <w:pPr>
              <w:rPr>
                <w:rFonts w:cs="Arial"/>
                <w:bCs/>
                <w:iCs/>
                <w:color w:val="000000"/>
              </w:rPr>
            </w:pPr>
            <w:r w:rsidRPr="007F17D8">
              <w:rPr>
                <w:rFonts w:cs="Arial"/>
                <w:bCs/>
                <w:iCs/>
                <w:color w:val="000000"/>
              </w:rPr>
              <w:t>0.5%</w:t>
            </w:r>
          </w:p>
        </w:tc>
      </w:tr>
      <w:tr w:rsidR="00DC6578" w:rsidRPr="007F17D8" w14:paraId="4F2C0D39" w14:textId="77777777" w:rsidTr="00B40203">
        <w:trPr>
          <w:cantSplit/>
        </w:trPr>
        <w:tc>
          <w:tcPr>
            <w:tcW w:w="2065" w:type="dxa"/>
          </w:tcPr>
          <w:p w14:paraId="41834619" w14:textId="77777777" w:rsidR="00DC6578" w:rsidRPr="007F17D8" w:rsidRDefault="00DC6578" w:rsidP="00DC6578">
            <w:pPr>
              <w:rPr>
                <w:rFonts w:cs="Arial"/>
                <w:lang w:val="en"/>
              </w:rPr>
            </w:pPr>
            <w:r w:rsidRPr="007F17D8">
              <w:rPr>
                <w:rFonts w:cs="Arial"/>
                <w:lang w:val="en"/>
              </w:rPr>
              <w:t>Decile 3</w:t>
            </w:r>
          </w:p>
        </w:tc>
        <w:tc>
          <w:tcPr>
            <w:tcW w:w="1350" w:type="dxa"/>
          </w:tcPr>
          <w:p w14:paraId="6424FFA7"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7A7089F3" w14:textId="77777777" w:rsidR="00DC6578" w:rsidRPr="007F17D8" w:rsidRDefault="00DC6578" w:rsidP="00DC6578">
            <w:pPr>
              <w:rPr>
                <w:rFonts w:cs="Arial"/>
                <w:color w:val="000000"/>
              </w:rPr>
            </w:pPr>
            <w:r w:rsidRPr="007F17D8">
              <w:rPr>
                <w:rFonts w:cs="Arial"/>
                <w:color w:val="000000"/>
              </w:rPr>
              <w:t>666,529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A6918C7" w14:textId="77777777" w:rsidR="00DC6578" w:rsidRPr="007F17D8" w:rsidRDefault="00DC6578" w:rsidP="00DC6578">
            <w:pPr>
              <w:rPr>
                <w:rFonts w:cs="Arial"/>
                <w:color w:val="000000"/>
              </w:rPr>
            </w:pPr>
            <w:r w:rsidRPr="007F17D8">
              <w:rPr>
                <w:rFonts w:cs="Arial"/>
                <w:color w:val="000000"/>
              </w:rPr>
              <w:t>379,615</w:t>
            </w:r>
          </w:p>
        </w:tc>
        <w:tc>
          <w:tcPr>
            <w:tcW w:w="1530" w:type="dxa"/>
            <w:tcBorders>
              <w:top w:val="single" w:sz="4" w:space="0" w:color="auto"/>
              <w:left w:val="single" w:sz="4" w:space="0" w:color="auto"/>
              <w:bottom w:val="single" w:sz="4" w:space="0" w:color="auto"/>
              <w:right w:val="nil"/>
            </w:tcBorders>
            <w:shd w:val="clear" w:color="auto" w:fill="auto"/>
            <w:vAlign w:val="bottom"/>
          </w:tcPr>
          <w:p w14:paraId="3CE85A8B" w14:textId="77777777" w:rsidR="00DC6578" w:rsidRPr="007F17D8" w:rsidRDefault="00DC6578" w:rsidP="00DC6578">
            <w:pPr>
              <w:rPr>
                <w:rFonts w:cs="Arial"/>
                <w:bCs/>
                <w:iCs/>
                <w:color w:val="000000"/>
              </w:rPr>
            </w:pPr>
            <w:r w:rsidRPr="007F17D8">
              <w:rPr>
                <w:rFonts w:cs="Arial"/>
                <w:bCs/>
                <w:iCs/>
                <w:color w:val="000000"/>
              </w:rPr>
              <w:t>57.0%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8E64E94" w14:textId="77777777" w:rsidR="00DC6578" w:rsidRPr="007F17D8" w:rsidRDefault="00DC6578" w:rsidP="00DC6578">
            <w:pPr>
              <w:rPr>
                <w:rFonts w:cs="Arial"/>
                <w:color w:val="000000"/>
              </w:rPr>
            </w:pPr>
            <w:r w:rsidRPr="007F17D8">
              <w:rPr>
                <w:rFonts w:cs="Arial"/>
                <w:color w:val="000000"/>
              </w:rPr>
              <w:t>34,174</w:t>
            </w:r>
          </w:p>
        </w:tc>
        <w:tc>
          <w:tcPr>
            <w:tcW w:w="1890" w:type="dxa"/>
            <w:tcBorders>
              <w:top w:val="single" w:sz="4" w:space="0" w:color="auto"/>
              <w:left w:val="nil"/>
              <w:bottom w:val="single" w:sz="4" w:space="0" w:color="auto"/>
              <w:right w:val="single" w:sz="4" w:space="0" w:color="auto"/>
            </w:tcBorders>
            <w:shd w:val="clear" w:color="auto" w:fill="auto"/>
            <w:vAlign w:val="bottom"/>
          </w:tcPr>
          <w:p w14:paraId="76615390" w14:textId="77777777" w:rsidR="00DC6578" w:rsidRPr="007F17D8" w:rsidRDefault="00DC6578" w:rsidP="00DC6578">
            <w:pPr>
              <w:rPr>
                <w:rFonts w:cs="Arial"/>
                <w:color w:val="000000"/>
              </w:rPr>
            </w:pPr>
            <w:r w:rsidRPr="007F17D8">
              <w:rPr>
                <w:rFonts w:cs="Arial"/>
                <w:color w:val="000000"/>
              </w:rPr>
              <w:t>221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0ECFA650" w14:textId="77777777" w:rsidR="00DC6578" w:rsidRPr="007F17D8" w:rsidRDefault="00DC6578" w:rsidP="00DC6578">
            <w:pPr>
              <w:rPr>
                <w:rFonts w:cs="Arial"/>
                <w:bCs/>
                <w:iCs/>
                <w:color w:val="000000"/>
              </w:rPr>
            </w:pPr>
            <w:r w:rsidRPr="007F17D8">
              <w:rPr>
                <w:rFonts w:cs="Arial"/>
                <w:bCs/>
                <w:iCs/>
                <w:color w:val="000000"/>
              </w:rPr>
              <w:t>0.6%</w:t>
            </w:r>
          </w:p>
        </w:tc>
      </w:tr>
      <w:tr w:rsidR="00DC6578" w:rsidRPr="007F17D8" w14:paraId="03536F9D" w14:textId="77777777" w:rsidTr="00B40203">
        <w:trPr>
          <w:cantSplit/>
        </w:trPr>
        <w:tc>
          <w:tcPr>
            <w:tcW w:w="2065" w:type="dxa"/>
          </w:tcPr>
          <w:p w14:paraId="68042C74" w14:textId="77777777" w:rsidR="00DC6578" w:rsidRPr="007F17D8" w:rsidRDefault="00DC6578" w:rsidP="00DC6578">
            <w:pPr>
              <w:rPr>
                <w:rFonts w:cs="Arial"/>
                <w:lang w:val="en"/>
              </w:rPr>
            </w:pPr>
            <w:r w:rsidRPr="007F17D8">
              <w:rPr>
                <w:rFonts w:cs="Arial"/>
                <w:lang w:val="en"/>
              </w:rPr>
              <w:t>Decile 4</w:t>
            </w:r>
          </w:p>
        </w:tc>
        <w:tc>
          <w:tcPr>
            <w:tcW w:w="1350" w:type="dxa"/>
          </w:tcPr>
          <w:p w14:paraId="032A5BCD"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0B106C0B" w14:textId="77777777" w:rsidR="00DC6578" w:rsidRPr="007F17D8" w:rsidRDefault="00DC6578" w:rsidP="00DC6578">
            <w:pPr>
              <w:rPr>
                <w:rFonts w:cs="Arial"/>
                <w:color w:val="000000"/>
              </w:rPr>
            </w:pPr>
            <w:r w:rsidRPr="007F17D8">
              <w:rPr>
                <w:rFonts w:cs="Arial"/>
                <w:color w:val="000000"/>
              </w:rPr>
              <w:t>652,294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100D87B1" w14:textId="77777777" w:rsidR="00DC6578" w:rsidRPr="007F17D8" w:rsidRDefault="00DC6578" w:rsidP="00DC6578">
            <w:pPr>
              <w:rPr>
                <w:rFonts w:cs="Arial"/>
                <w:color w:val="000000"/>
              </w:rPr>
            </w:pPr>
            <w:r w:rsidRPr="007F17D8">
              <w:rPr>
                <w:rFonts w:cs="Arial"/>
                <w:color w:val="000000"/>
              </w:rPr>
              <w:t>447,887</w:t>
            </w:r>
          </w:p>
        </w:tc>
        <w:tc>
          <w:tcPr>
            <w:tcW w:w="1530" w:type="dxa"/>
            <w:tcBorders>
              <w:top w:val="single" w:sz="4" w:space="0" w:color="auto"/>
              <w:left w:val="single" w:sz="4" w:space="0" w:color="auto"/>
              <w:bottom w:val="single" w:sz="4" w:space="0" w:color="auto"/>
              <w:right w:val="nil"/>
            </w:tcBorders>
            <w:shd w:val="clear" w:color="auto" w:fill="auto"/>
            <w:vAlign w:val="bottom"/>
          </w:tcPr>
          <w:p w14:paraId="721B436A" w14:textId="77777777" w:rsidR="00DC6578" w:rsidRPr="007F17D8" w:rsidRDefault="00DC6578" w:rsidP="00DC6578">
            <w:pPr>
              <w:rPr>
                <w:rFonts w:cs="Arial"/>
                <w:bCs/>
                <w:iCs/>
                <w:color w:val="000000"/>
              </w:rPr>
            </w:pPr>
            <w:r w:rsidRPr="007F17D8">
              <w:rPr>
                <w:rFonts w:cs="Arial"/>
                <w:bCs/>
                <w:iCs/>
                <w:color w:val="000000"/>
              </w:rPr>
              <w:t>68.7%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AF63E52" w14:textId="77777777" w:rsidR="00DC6578" w:rsidRPr="007F17D8" w:rsidRDefault="00DC6578" w:rsidP="00DC6578">
            <w:pPr>
              <w:rPr>
                <w:rFonts w:cs="Arial"/>
                <w:color w:val="000000"/>
              </w:rPr>
            </w:pPr>
            <w:r w:rsidRPr="007F17D8">
              <w:rPr>
                <w:rFonts w:cs="Arial"/>
                <w:color w:val="000000"/>
              </w:rPr>
              <w:t>32,112</w:t>
            </w:r>
          </w:p>
        </w:tc>
        <w:tc>
          <w:tcPr>
            <w:tcW w:w="1890" w:type="dxa"/>
            <w:tcBorders>
              <w:top w:val="single" w:sz="4" w:space="0" w:color="auto"/>
              <w:left w:val="nil"/>
              <w:bottom w:val="single" w:sz="4" w:space="0" w:color="auto"/>
              <w:right w:val="single" w:sz="4" w:space="0" w:color="auto"/>
            </w:tcBorders>
            <w:shd w:val="clear" w:color="auto" w:fill="auto"/>
            <w:vAlign w:val="bottom"/>
          </w:tcPr>
          <w:p w14:paraId="73C194F2" w14:textId="77777777" w:rsidR="00DC6578" w:rsidRPr="007F17D8" w:rsidRDefault="00DC6578" w:rsidP="00DC6578">
            <w:pPr>
              <w:rPr>
                <w:rFonts w:cs="Arial"/>
                <w:color w:val="000000"/>
              </w:rPr>
            </w:pPr>
            <w:r w:rsidRPr="007F17D8">
              <w:rPr>
                <w:rFonts w:cs="Arial"/>
                <w:color w:val="000000"/>
              </w:rPr>
              <w:t>210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647BFADA" w14:textId="77777777" w:rsidR="00DC6578" w:rsidRPr="007F17D8" w:rsidRDefault="00DC6578" w:rsidP="00DC6578">
            <w:pPr>
              <w:rPr>
                <w:rFonts w:cs="Arial"/>
                <w:bCs/>
                <w:iCs/>
                <w:color w:val="000000"/>
              </w:rPr>
            </w:pPr>
            <w:r w:rsidRPr="007F17D8">
              <w:rPr>
                <w:rFonts w:cs="Arial"/>
                <w:bCs/>
                <w:iCs/>
                <w:color w:val="000000"/>
              </w:rPr>
              <w:t>0.7%</w:t>
            </w:r>
          </w:p>
        </w:tc>
      </w:tr>
      <w:tr w:rsidR="00DC6578" w:rsidRPr="007F17D8" w14:paraId="5A209792" w14:textId="77777777" w:rsidTr="00B40203">
        <w:trPr>
          <w:cantSplit/>
        </w:trPr>
        <w:tc>
          <w:tcPr>
            <w:tcW w:w="2065" w:type="dxa"/>
          </w:tcPr>
          <w:p w14:paraId="32ED9B86" w14:textId="77777777" w:rsidR="00DC6578" w:rsidRPr="007F17D8" w:rsidRDefault="00DC6578" w:rsidP="00DC6578">
            <w:pPr>
              <w:rPr>
                <w:rFonts w:cs="Arial"/>
                <w:lang w:val="en"/>
              </w:rPr>
            </w:pPr>
            <w:r w:rsidRPr="007F17D8">
              <w:rPr>
                <w:rFonts w:cs="Arial"/>
                <w:lang w:val="en"/>
              </w:rPr>
              <w:t>Decile 5</w:t>
            </w:r>
          </w:p>
        </w:tc>
        <w:tc>
          <w:tcPr>
            <w:tcW w:w="1350" w:type="dxa"/>
          </w:tcPr>
          <w:p w14:paraId="60743414"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64FED049" w14:textId="77777777" w:rsidR="00DC6578" w:rsidRPr="007F17D8" w:rsidRDefault="00DC6578" w:rsidP="00DC6578">
            <w:pPr>
              <w:rPr>
                <w:rFonts w:cs="Arial"/>
                <w:color w:val="000000"/>
              </w:rPr>
            </w:pPr>
            <w:r w:rsidRPr="007F17D8">
              <w:rPr>
                <w:rFonts w:cs="Arial"/>
                <w:color w:val="000000"/>
              </w:rPr>
              <w:t>664,148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1E896560" w14:textId="77777777" w:rsidR="00DC6578" w:rsidRPr="007F17D8" w:rsidRDefault="00DC6578" w:rsidP="00DC6578">
            <w:pPr>
              <w:rPr>
                <w:rFonts w:cs="Arial"/>
                <w:color w:val="000000"/>
              </w:rPr>
            </w:pPr>
            <w:r w:rsidRPr="007F17D8">
              <w:rPr>
                <w:rFonts w:cs="Arial"/>
                <w:color w:val="000000"/>
              </w:rPr>
              <w:t>524,924</w:t>
            </w:r>
          </w:p>
        </w:tc>
        <w:tc>
          <w:tcPr>
            <w:tcW w:w="1530" w:type="dxa"/>
            <w:tcBorders>
              <w:top w:val="single" w:sz="4" w:space="0" w:color="auto"/>
              <w:left w:val="single" w:sz="4" w:space="0" w:color="auto"/>
              <w:bottom w:val="single" w:sz="4" w:space="0" w:color="auto"/>
              <w:right w:val="nil"/>
            </w:tcBorders>
            <w:shd w:val="clear" w:color="auto" w:fill="auto"/>
            <w:vAlign w:val="bottom"/>
          </w:tcPr>
          <w:p w14:paraId="1802DA16" w14:textId="77777777" w:rsidR="00DC6578" w:rsidRPr="007F17D8" w:rsidRDefault="00DC6578" w:rsidP="00DC6578">
            <w:pPr>
              <w:rPr>
                <w:rFonts w:cs="Arial"/>
                <w:bCs/>
                <w:iCs/>
                <w:color w:val="000000"/>
              </w:rPr>
            </w:pPr>
            <w:r w:rsidRPr="007F17D8">
              <w:rPr>
                <w:rFonts w:cs="Arial"/>
                <w:bCs/>
                <w:iCs/>
                <w:color w:val="000000"/>
              </w:rPr>
              <w:t>79.0%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0753909" w14:textId="77777777" w:rsidR="00DC6578" w:rsidRPr="007F17D8" w:rsidRDefault="00DC6578" w:rsidP="00DC6578">
            <w:pPr>
              <w:rPr>
                <w:rFonts w:cs="Arial"/>
                <w:color w:val="000000"/>
              </w:rPr>
            </w:pPr>
            <w:r w:rsidRPr="007F17D8">
              <w:rPr>
                <w:rFonts w:cs="Arial"/>
                <w:color w:val="000000"/>
              </w:rPr>
              <w:t>34,322</w:t>
            </w:r>
          </w:p>
        </w:tc>
        <w:tc>
          <w:tcPr>
            <w:tcW w:w="1890" w:type="dxa"/>
            <w:tcBorders>
              <w:top w:val="single" w:sz="4" w:space="0" w:color="auto"/>
              <w:left w:val="nil"/>
              <w:bottom w:val="single" w:sz="4" w:space="0" w:color="auto"/>
              <w:right w:val="single" w:sz="4" w:space="0" w:color="auto"/>
            </w:tcBorders>
            <w:shd w:val="clear" w:color="auto" w:fill="auto"/>
            <w:vAlign w:val="bottom"/>
          </w:tcPr>
          <w:p w14:paraId="6C19ED34" w14:textId="77777777" w:rsidR="00DC6578" w:rsidRPr="007F17D8" w:rsidRDefault="00DC6578" w:rsidP="00DC6578">
            <w:pPr>
              <w:rPr>
                <w:rFonts w:cs="Arial"/>
                <w:color w:val="000000"/>
              </w:rPr>
            </w:pPr>
            <w:r w:rsidRPr="007F17D8">
              <w:rPr>
                <w:rFonts w:cs="Arial"/>
                <w:color w:val="000000"/>
              </w:rPr>
              <w:t>238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39ADC30D" w14:textId="77777777" w:rsidR="00DC6578" w:rsidRPr="007F17D8" w:rsidRDefault="00DC6578" w:rsidP="00DC6578">
            <w:pPr>
              <w:rPr>
                <w:rFonts w:cs="Arial"/>
                <w:bCs/>
                <w:iCs/>
                <w:color w:val="000000"/>
              </w:rPr>
            </w:pPr>
            <w:r w:rsidRPr="007F17D8">
              <w:rPr>
                <w:rFonts w:cs="Arial"/>
                <w:bCs/>
                <w:iCs/>
                <w:color w:val="000000"/>
              </w:rPr>
              <w:t>0.7%</w:t>
            </w:r>
          </w:p>
        </w:tc>
      </w:tr>
      <w:tr w:rsidR="00DC6578" w:rsidRPr="007F17D8" w14:paraId="71948653" w14:textId="77777777" w:rsidTr="00B40203">
        <w:trPr>
          <w:cantSplit/>
        </w:trPr>
        <w:tc>
          <w:tcPr>
            <w:tcW w:w="2065" w:type="dxa"/>
          </w:tcPr>
          <w:p w14:paraId="2F63B1AE" w14:textId="77777777" w:rsidR="00DC6578" w:rsidRPr="007F17D8" w:rsidRDefault="00DC6578" w:rsidP="00DC6578">
            <w:pPr>
              <w:rPr>
                <w:rFonts w:cs="Arial"/>
                <w:lang w:val="en"/>
              </w:rPr>
            </w:pPr>
            <w:r w:rsidRPr="007F17D8">
              <w:rPr>
                <w:rFonts w:cs="Arial"/>
                <w:lang w:val="en"/>
              </w:rPr>
              <w:t>Decile 6</w:t>
            </w:r>
          </w:p>
        </w:tc>
        <w:tc>
          <w:tcPr>
            <w:tcW w:w="1350" w:type="dxa"/>
          </w:tcPr>
          <w:p w14:paraId="1EA41A6F" w14:textId="77777777" w:rsidR="00DC6578" w:rsidRPr="007F17D8" w:rsidRDefault="00DC6578" w:rsidP="00DC6578">
            <w:pPr>
              <w:rPr>
                <w:rFonts w:cs="Arial"/>
                <w:lang w:val="en"/>
              </w:rPr>
            </w:pPr>
            <w:r w:rsidRPr="007F17D8">
              <w:rPr>
                <w:rFonts w:cs="Arial"/>
                <w:lang w:val="en"/>
              </w:rPr>
              <w:t>1,009</w:t>
            </w:r>
          </w:p>
        </w:tc>
        <w:tc>
          <w:tcPr>
            <w:tcW w:w="1710" w:type="dxa"/>
            <w:tcBorders>
              <w:top w:val="single" w:sz="4" w:space="0" w:color="auto"/>
              <w:left w:val="nil"/>
              <w:bottom w:val="single" w:sz="4" w:space="0" w:color="auto"/>
              <w:right w:val="single" w:sz="4" w:space="0" w:color="auto"/>
            </w:tcBorders>
            <w:shd w:val="clear" w:color="auto" w:fill="auto"/>
            <w:vAlign w:val="bottom"/>
          </w:tcPr>
          <w:p w14:paraId="1896CCF9" w14:textId="77777777" w:rsidR="00DC6578" w:rsidRPr="007F17D8" w:rsidRDefault="00DC6578" w:rsidP="00DC6578">
            <w:pPr>
              <w:rPr>
                <w:rFonts w:cs="Arial"/>
                <w:color w:val="000000"/>
              </w:rPr>
            </w:pPr>
            <w:r w:rsidRPr="007F17D8">
              <w:rPr>
                <w:rFonts w:cs="Arial"/>
                <w:color w:val="000000"/>
              </w:rPr>
              <w:t>671,954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6C422C38" w14:textId="77777777" w:rsidR="00DC6578" w:rsidRPr="007F17D8" w:rsidRDefault="00DC6578" w:rsidP="00DC6578">
            <w:pPr>
              <w:rPr>
                <w:rFonts w:cs="Arial"/>
                <w:color w:val="000000"/>
              </w:rPr>
            </w:pPr>
            <w:r w:rsidRPr="007F17D8">
              <w:rPr>
                <w:rFonts w:cs="Arial"/>
                <w:color w:val="000000"/>
              </w:rPr>
              <w:t>585,122</w:t>
            </w:r>
          </w:p>
        </w:tc>
        <w:tc>
          <w:tcPr>
            <w:tcW w:w="1530" w:type="dxa"/>
            <w:tcBorders>
              <w:top w:val="single" w:sz="4" w:space="0" w:color="auto"/>
              <w:left w:val="single" w:sz="4" w:space="0" w:color="auto"/>
              <w:bottom w:val="single" w:sz="4" w:space="0" w:color="auto"/>
              <w:right w:val="nil"/>
            </w:tcBorders>
            <w:shd w:val="clear" w:color="auto" w:fill="auto"/>
            <w:vAlign w:val="bottom"/>
          </w:tcPr>
          <w:p w14:paraId="41A75049" w14:textId="77777777" w:rsidR="00DC6578" w:rsidRPr="007F17D8" w:rsidRDefault="00DC6578" w:rsidP="00DC6578">
            <w:pPr>
              <w:rPr>
                <w:rFonts w:cs="Arial"/>
                <w:bCs/>
                <w:iCs/>
                <w:color w:val="000000"/>
              </w:rPr>
            </w:pPr>
            <w:r w:rsidRPr="007F17D8">
              <w:rPr>
                <w:rFonts w:cs="Arial"/>
                <w:bCs/>
                <w:iCs/>
                <w:color w:val="000000"/>
              </w:rPr>
              <w:t>87.1%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ABFE8BF" w14:textId="77777777" w:rsidR="00DC6578" w:rsidRPr="007F17D8" w:rsidRDefault="00DC6578" w:rsidP="00DC6578">
            <w:pPr>
              <w:rPr>
                <w:rFonts w:cs="Arial"/>
                <w:color w:val="000000"/>
              </w:rPr>
            </w:pPr>
            <w:r w:rsidRPr="007F17D8">
              <w:rPr>
                <w:rFonts w:cs="Arial"/>
                <w:color w:val="000000"/>
              </w:rPr>
              <w:t>32,746</w:t>
            </w:r>
          </w:p>
        </w:tc>
        <w:tc>
          <w:tcPr>
            <w:tcW w:w="1890" w:type="dxa"/>
            <w:tcBorders>
              <w:top w:val="single" w:sz="4" w:space="0" w:color="auto"/>
              <w:left w:val="nil"/>
              <w:bottom w:val="single" w:sz="4" w:space="0" w:color="auto"/>
              <w:right w:val="single" w:sz="4" w:space="0" w:color="auto"/>
            </w:tcBorders>
            <w:shd w:val="clear" w:color="auto" w:fill="auto"/>
            <w:vAlign w:val="bottom"/>
          </w:tcPr>
          <w:p w14:paraId="3F50B443" w14:textId="77777777" w:rsidR="00DC6578" w:rsidRPr="007F17D8" w:rsidRDefault="00DC6578" w:rsidP="00DC6578">
            <w:pPr>
              <w:rPr>
                <w:rFonts w:cs="Arial"/>
                <w:color w:val="000000"/>
              </w:rPr>
            </w:pPr>
            <w:r w:rsidRPr="007F17D8">
              <w:rPr>
                <w:rFonts w:cs="Arial"/>
                <w:color w:val="000000"/>
              </w:rPr>
              <w:t>252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1620561E" w14:textId="77777777" w:rsidR="00DC6578" w:rsidRPr="007F17D8" w:rsidRDefault="00DC6578" w:rsidP="00DC6578">
            <w:pPr>
              <w:rPr>
                <w:rFonts w:cs="Arial"/>
                <w:bCs/>
                <w:iCs/>
                <w:color w:val="000000"/>
              </w:rPr>
            </w:pPr>
            <w:r w:rsidRPr="007F17D8">
              <w:rPr>
                <w:rFonts w:cs="Arial"/>
                <w:bCs/>
                <w:iCs/>
                <w:color w:val="000000"/>
              </w:rPr>
              <w:t>0.8%</w:t>
            </w:r>
          </w:p>
        </w:tc>
      </w:tr>
      <w:tr w:rsidR="00DC6578" w:rsidRPr="007F17D8" w14:paraId="1EB3BF24" w14:textId="77777777" w:rsidTr="00B40203">
        <w:trPr>
          <w:cantSplit/>
        </w:trPr>
        <w:tc>
          <w:tcPr>
            <w:tcW w:w="2065" w:type="dxa"/>
          </w:tcPr>
          <w:p w14:paraId="69F21EA7" w14:textId="77777777" w:rsidR="00DC6578" w:rsidRPr="007F17D8" w:rsidRDefault="00DC6578" w:rsidP="00DC6578">
            <w:pPr>
              <w:rPr>
                <w:rFonts w:cs="Arial"/>
                <w:lang w:val="en"/>
              </w:rPr>
            </w:pPr>
            <w:r w:rsidRPr="007F17D8">
              <w:rPr>
                <w:rFonts w:cs="Arial"/>
                <w:lang w:val="en"/>
              </w:rPr>
              <w:t>Decile 7</w:t>
            </w:r>
          </w:p>
        </w:tc>
        <w:tc>
          <w:tcPr>
            <w:tcW w:w="1350" w:type="dxa"/>
          </w:tcPr>
          <w:p w14:paraId="088EDA4B"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6B5918C1" w14:textId="77777777" w:rsidR="00DC6578" w:rsidRPr="007F17D8" w:rsidRDefault="00DC6578" w:rsidP="00DC6578">
            <w:pPr>
              <w:rPr>
                <w:rFonts w:cs="Arial"/>
                <w:color w:val="000000"/>
              </w:rPr>
            </w:pPr>
            <w:r w:rsidRPr="007F17D8">
              <w:rPr>
                <w:rFonts w:cs="Arial"/>
                <w:color w:val="000000"/>
              </w:rPr>
              <w:t>640,334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4179614" w14:textId="77777777" w:rsidR="00DC6578" w:rsidRPr="007F17D8" w:rsidRDefault="00DC6578" w:rsidP="00DC6578">
            <w:pPr>
              <w:rPr>
                <w:rFonts w:cs="Arial"/>
                <w:color w:val="000000"/>
              </w:rPr>
            </w:pPr>
            <w:r w:rsidRPr="007F17D8">
              <w:rPr>
                <w:rFonts w:cs="Arial"/>
                <w:color w:val="000000"/>
              </w:rPr>
              <w:t>593,397</w:t>
            </w:r>
          </w:p>
        </w:tc>
        <w:tc>
          <w:tcPr>
            <w:tcW w:w="1530" w:type="dxa"/>
            <w:tcBorders>
              <w:top w:val="single" w:sz="4" w:space="0" w:color="auto"/>
              <w:left w:val="single" w:sz="4" w:space="0" w:color="auto"/>
              <w:bottom w:val="single" w:sz="4" w:space="0" w:color="auto"/>
              <w:right w:val="nil"/>
            </w:tcBorders>
            <w:shd w:val="clear" w:color="auto" w:fill="auto"/>
            <w:vAlign w:val="bottom"/>
          </w:tcPr>
          <w:p w14:paraId="27E561BF" w14:textId="77777777" w:rsidR="00DC6578" w:rsidRPr="007F17D8" w:rsidRDefault="00DC6578" w:rsidP="00DC6578">
            <w:pPr>
              <w:rPr>
                <w:rFonts w:cs="Arial"/>
                <w:bCs/>
                <w:iCs/>
                <w:color w:val="000000"/>
              </w:rPr>
            </w:pPr>
            <w:r w:rsidRPr="007F17D8">
              <w:rPr>
                <w:rFonts w:cs="Arial"/>
                <w:bCs/>
                <w:iCs/>
                <w:color w:val="000000"/>
              </w:rPr>
              <w:t>92.7%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5E3A61E" w14:textId="77777777" w:rsidR="00DC6578" w:rsidRPr="007F17D8" w:rsidRDefault="00DC6578" w:rsidP="00DC6578">
            <w:pPr>
              <w:rPr>
                <w:rFonts w:cs="Arial"/>
                <w:color w:val="000000"/>
              </w:rPr>
            </w:pPr>
            <w:r w:rsidRPr="007F17D8">
              <w:rPr>
                <w:rFonts w:cs="Arial"/>
                <w:color w:val="000000"/>
              </w:rPr>
              <w:t>31,314</w:t>
            </w:r>
          </w:p>
        </w:tc>
        <w:tc>
          <w:tcPr>
            <w:tcW w:w="1890" w:type="dxa"/>
            <w:tcBorders>
              <w:top w:val="single" w:sz="4" w:space="0" w:color="auto"/>
              <w:left w:val="nil"/>
              <w:bottom w:val="single" w:sz="4" w:space="0" w:color="auto"/>
              <w:right w:val="single" w:sz="4" w:space="0" w:color="auto"/>
            </w:tcBorders>
            <w:shd w:val="clear" w:color="auto" w:fill="auto"/>
            <w:vAlign w:val="bottom"/>
          </w:tcPr>
          <w:p w14:paraId="29689C8D" w14:textId="77777777" w:rsidR="00DC6578" w:rsidRPr="007F17D8" w:rsidRDefault="00DC6578" w:rsidP="00DC6578">
            <w:pPr>
              <w:rPr>
                <w:rFonts w:cs="Arial"/>
                <w:color w:val="000000"/>
              </w:rPr>
            </w:pPr>
            <w:r w:rsidRPr="007F17D8">
              <w:rPr>
                <w:rFonts w:cs="Arial"/>
                <w:color w:val="000000"/>
              </w:rPr>
              <w:t>222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2D4A83EC" w14:textId="77777777" w:rsidR="00DC6578" w:rsidRPr="007F17D8" w:rsidRDefault="00DC6578" w:rsidP="00DC6578">
            <w:pPr>
              <w:rPr>
                <w:rFonts w:cs="Arial"/>
                <w:bCs/>
                <w:iCs/>
                <w:color w:val="000000"/>
              </w:rPr>
            </w:pPr>
            <w:r w:rsidRPr="007F17D8">
              <w:rPr>
                <w:rFonts w:cs="Arial"/>
                <w:bCs/>
                <w:iCs/>
                <w:color w:val="000000"/>
              </w:rPr>
              <w:t>0.7%</w:t>
            </w:r>
          </w:p>
        </w:tc>
      </w:tr>
      <w:tr w:rsidR="00DC6578" w:rsidRPr="007F17D8" w14:paraId="60BEF394" w14:textId="77777777" w:rsidTr="00B40203">
        <w:trPr>
          <w:cantSplit/>
        </w:trPr>
        <w:tc>
          <w:tcPr>
            <w:tcW w:w="2065" w:type="dxa"/>
          </w:tcPr>
          <w:p w14:paraId="70B889B6" w14:textId="77777777" w:rsidR="00DC6578" w:rsidRPr="007F17D8" w:rsidRDefault="00DC6578" w:rsidP="00DC6578">
            <w:pPr>
              <w:rPr>
                <w:rFonts w:cs="Arial"/>
                <w:lang w:val="en"/>
              </w:rPr>
            </w:pPr>
            <w:r w:rsidRPr="007F17D8">
              <w:rPr>
                <w:rFonts w:cs="Arial"/>
                <w:lang w:val="en"/>
              </w:rPr>
              <w:t>Decile 8</w:t>
            </w:r>
          </w:p>
        </w:tc>
        <w:tc>
          <w:tcPr>
            <w:tcW w:w="1350" w:type="dxa"/>
          </w:tcPr>
          <w:p w14:paraId="72880FD0"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68D392C6" w14:textId="77777777" w:rsidR="00DC6578" w:rsidRPr="007F17D8" w:rsidRDefault="00DC6578" w:rsidP="00DC6578">
            <w:pPr>
              <w:rPr>
                <w:rFonts w:cs="Arial"/>
                <w:color w:val="000000"/>
              </w:rPr>
            </w:pPr>
            <w:r w:rsidRPr="007F17D8">
              <w:rPr>
                <w:rFonts w:cs="Arial"/>
                <w:color w:val="000000"/>
              </w:rPr>
              <w:t>692,811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17B2ABA5" w14:textId="77777777" w:rsidR="00DC6578" w:rsidRPr="007F17D8" w:rsidRDefault="00DC6578" w:rsidP="00DC6578">
            <w:pPr>
              <w:rPr>
                <w:rFonts w:cs="Arial"/>
                <w:color w:val="000000"/>
              </w:rPr>
            </w:pPr>
            <w:r w:rsidRPr="007F17D8">
              <w:rPr>
                <w:rFonts w:cs="Arial"/>
                <w:color w:val="000000"/>
              </w:rPr>
              <w:t>664,790</w:t>
            </w:r>
          </w:p>
        </w:tc>
        <w:tc>
          <w:tcPr>
            <w:tcW w:w="1530" w:type="dxa"/>
            <w:tcBorders>
              <w:top w:val="single" w:sz="4" w:space="0" w:color="auto"/>
              <w:left w:val="single" w:sz="4" w:space="0" w:color="auto"/>
              <w:bottom w:val="single" w:sz="4" w:space="0" w:color="auto"/>
              <w:right w:val="nil"/>
            </w:tcBorders>
            <w:shd w:val="clear" w:color="auto" w:fill="auto"/>
            <w:vAlign w:val="bottom"/>
          </w:tcPr>
          <w:p w14:paraId="3C6F9A21" w14:textId="77777777" w:rsidR="00DC6578" w:rsidRPr="007F17D8" w:rsidRDefault="00DC6578" w:rsidP="00DC6578">
            <w:pPr>
              <w:rPr>
                <w:rFonts w:cs="Arial"/>
                <w:bCs/>
                <w:iCs/>
                <w:color w:val="000000"/>
              </w:rPr>
            </w:pPr>
            <w:r w:rsidRPr="007F17D8">
              <w:rPr>
                <w:rFonts w:cs="Arial"/>
                <w:bCs/>
                <w:iCs/>
                <w:color w:val="000000"/>
              </w:rPr>
              <w:t>96.0%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078BEE1" w14:textId="77777777" w:rsidR="00DC6578" w:rsidRPr="007F17D8" w:rsidRDefault="00DC6578" w:rsidP="00DC6578">
            <w:pPr>
              <w:rPr>
                <w:rFonts w:cs="Arial"/>
                <w:color w:val="000000"/>
              </w:rPr>
            </w:pPr>
            <w:r w:rsidRPr="007F17D8">
              <w:rPr>
                <w:rFonts w:cs="Arial"/>
                <w:color w:val="000000"/>
              </w:rPr>
              <w:t>33,736</w:t>
            </w:r>
          </w:p>
        </w:tc>
        <w:tc>
          <w:tcPr>
            <w:tcW w:w="1890" w:type="dxa"/>
            <w:tcBorders>
              <w:top w:val="single" w:sz="4" w:space="0" w:color="auto"/>
              <w:left w:val="nil"/>
              <w:bottom w:val="single" w:sz="4" w:space="0" w:color="auto"/>
              <w:right w:val="single" w:sz="4" w:space="0" w:color="auto"/>
            </w:tcBorders>
            <w:shd w:val="clear" w:color="auto" w:fill="auto"/>
            <w:vAlign w:val="bottom"/>
          </w:tcPr>
          <w:p w14:paraId="533F7DE0" w14:textId="77777777" w:rsidR="00DC6578" w:rsidRPr="007F17D8" w:rsidRDefault="00DC6578" w:rsidP="00DC6578">
            <w:pPr>
              <w:rPr>
                <w:rFonts w:cs="Arial"/>
                <w:color w:val="000000"/>
              </w:rPr>
            </w:pPr>
            <w:r w:rsidRPr="007F17D8">
              <w:rPr>
                <w:rFonts w:cs="Arial"/>
                <w:color w:val="000000"/>
              </w:rPr>
              <w:t>212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45CCE6CC" w14:textId="77777777" w:rsidR="00DC6578" w:rsidRPr="007F17D8" w:rsidRDefault="00DC6578" w:rsidP="00DC6578">
            <w:pPr>
              <w:rPr>
                <w:rFonts w:cs="Arial"/>
                <w:bCs/>
                <w:iCs/>
                <w:color w:val="000000"/>
              </w:rPr>
            </w:pPr>
            <w:r w:rsidRPr="007F17D8">
              <w:rPr>
                <w:rFonts w:cs="Arial"/>
                <w:bCs/>
                <w:iCs/>
                <w:color w:val="000000"/>
              </w:rPr>
              <w:t>0.6%</w:t>
            </w:r>
          </w:p>
        </w:tc>
      </w:tr>
      <w:tr w:rsidR="00DC6578" w:rsidRPr="007F17D8" w14:paraId="367FA3CA" w14:textId="77777777" w:rsidTr="00B40203">
        <w:trPr>
          <w:cantSplit/>
        </w:trPr>
        <w:tc>
          <w:tcPr>
            <w:tcW w:w="2065" w:type="dxa"/>
          </w:tcPr>
          <w:p w14:paraId="18935BF2" w14:textId="77777777" w:rsidR="00DC6578" w:rsidRPr="007F17D8" w:rsidRDefault="00DC6578" w:rsidP="00DC6578">
            <w:pPr>
              <w:rPr>
                <w:rFonts w:cs="Arial"/>
                <w:lang w:val="en"/>
              </w:rPr>
            </w:pPr>
            <w:r w:rsidRPr="007F17D8">
              <w:rPr>
                <w:rFonts w:cs="Arial"/>
                <w:lang w:val="en"/>
              </w:rPr>
              <w:t>Decile 9</w:t>
            </w:r>
          </w:p>
        </w:tc>
        <w:tc>
          <w:tcPr>
            <w:tcW w:w="1350" w:type="dxa"/>
          </w:tcPr>
          <w:p w14:paraId="683B0AF5"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3C20541D" w14:textId="77777777" w:rsidR="00DC6578" w:rsidRPr="007F17D8" w:rsidRDefault="00DC6578" w:rsidP="00DC6578">
            <w:pPr>
              <w:rPr>
                <w:rFonts w:cs="Arial"/>
                <w:color w:val="000000"/>
              </w:rPr>
            </w:pPr>
            <w:r w:rsidRPr="007F17D8">
              <w:rPr>
                <w:rFonts w:cs="Arial"/>
                <w:color w:val="000000"/>
              </w:rPr>
              <w:t>646,907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F47A0B8" w14:textId="77777777" w:rsidR="00DC6578" w:rsidRPr="007F17D8" w:rsidRDefault="00DC6578" w:rsidP="00DC6578">
            <w:pPr>
              <w:rPr>
                <w:rFonts w:cs="Arial"/>
                <w:color w:val="000000"/>
              </w:rPr>
            </w:pPr>
            <w:r w:rsidRPr="007F17D8">
              <w:rPr>
                <w:rFonts w:cs="Arial"/>
                <w:color w:val="000000"/>
              </w:rPr>
              <w:t>634,190</w:t>
            </w:r>
          </w:p>
        </w:tc>
        <w:tc>
          <w:tcPr>
            <w:tcW w:w="1530" w:type="dxa"/>
            <w:tcBorders>
              <w:top w:val="single" w:sz="4" w:space="0" w:color="auto"/>
              <w:left w:val="single" w:sz="4" w:space="0" w:color="auto"/>
              <w:bottom w:val="single" w:sz="4" w:space="0" w:color="auto"/>
              <w:right w:val="nil"/>
            </w:tcBorders>
            <w:shd w:val="clear" w:color="auto" w:fill="auto"/>
            <w:vAlign w:val="bottom"/>
          </w:tcPr>
          <w:p w14:paraId="39ED97EC" w14:textId="77777777" w:rsidR="00DC6578" w:rsidRPr="007F17D8" w:rsidRDefault="00DC6578" w:rsidP="00DC6578">
            <w:pPr>
              <w:rPr>
                <w:rFonts w:cs="Arial"/>
                <w:bCs/>
                <w:iCs/>
                <w:color w:val="000000"/>
              </w:rPr>
            </w:pPr>
            <w:r w:rsidRPr="007F17D8">
              <w:rPr>
                <w:rFonts w:cs="Arial"/>
                <w:bCs/>
                <w:iCs/>
                <w:color w:val="000000"/>
              </w:rPr>
              <w:t>98.0%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AEA13D8" w14:textId="77777777" w:rsidR="00DC6578" w:rsidRPr="007F17D8" w:rsidRDefault="00DC6578" w:rsidP="00DC6578">
            <w:pPr>
              <w:rPr>
                <w:rFonts w:cs="Arial"/>
                <w:color w:val="000000"/>
              </w:rPr>
            </w:pPr>
            <w:r w:rsidRPr="007F17D8">
              <w:rPr>
                <w:rFonts w:cs="Arial"/>
                <w:color w:val="000000"/>
              </w:rPr>
              <w:t>31,422</w:t>
            </w:r>
          </w:p>
        </w:tc>
        <w:tc>
          <w:tcPr>
            <w:tcW w:w="1890" w:type="dxa"/>
            <w:tcBorders>
              <w:top w:val="single" w:sz="4" w:space="0" w:color="auto"/>
              <w:left w:val="nil"/>
              <w:bottom w:val="single" w:sz="4" w:space="0" w:color="auto"/>
              <w:right w:val="single" w:sz="4" w:space="0" w:color="auto"/>
            </w:tcBorders>
            <w:shd w:val="clear" w:color="auto" w:fill="auto"/>
            <w:vAlign w:val="bottom"/>
          </w:tcPr>
          <w:p w14:paraId="310840E0" w14:textId="77777777" w:rsidR="00DC6578" w:rsidRPr="007F17D8" w:rsidRDefault="00DC6578" w:rsidP="00DC6578">
            <w:pPr>
              <w:rPr>
                <w:rFonts w:cs="Arial"/>
                <w:color w:val="000000"/>
              </w:rPr>
            </w:pPr>
            <w:r w:rsidRPr="007F17D8">
              <w:rPr>
                <w:rFonts w:cs="Arial"/>
                <w:color w:val="000000"/>
              </w:rPr>
              <w:t>207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24ADB183" w14:textId="77777777" w:rsidR="00DC6578" w:rsidRPr="007F17D8" w:rsidRDefault="00DC6578" w:rsidP="00DC6578">
            <w:pPr>
              <w:rPr>
                <w:rFonts w:cs="Arial"/>
                <w:bCs/>
                <w:iCs/>
                <w:color w:val="000000"/>
              </w:rPr>
            </w:pPr>
            <w:r w:rsidRPr="007F17D8">
              <w:rPr>
                <w:rFonts w:cs="Arial"/>
                <w:bCs/>
                <w:iCs/>
                <w:color w:val="000000"/>
              </w:rPr>
              <w:t>0.7%</w:t>
            </w:r>
          </w:p>
        </w:tc>
      </w:tr>
      <w:tr w:rsidR="00DC6578" w:rsidRPr="007F17D8" w14:paraId="0AC74B33" w14:textId="77777777" w:rsidTr="00B40203">
        <w:trPr>
          <w:cantSplit/>
        </w:trPr>
        <w:tc>
          <w:tcPr>
            <w:tcW w:w="2065" w:type="dxa"/>
          </w:tcPr>
          <w:p w14:paraId="59BB54DF" w14:textId="77777777" w:rsidR="00DC6578" w:rsidRPr="007F17D8" w:rsidRDefault="00DC6578" w:rsidP="00DC6578">
            <w:pPr>
              <w:rPr>
                <w:rFonts w:cs="Arial"/>
                <w:lang w:val="en"/>
              </w:rPr>
            </w:pPr>
            <w:r w:rsidRPr="007F17D8">
              <w:rPr>
                <w:rFonts w:cs="Arial"/>
                <w:lang w:val="en"/>
              </w:rPr>
              <w:t>Decile 10</w:t>
            </w:r>
          </w:p>
        </w:tc>
        <w:tc>
          <w:tcPr>
            <w:tcW w:w="1350" w:type="dxa"/>
          </w:tcPr>
          <w:p w14:paraId="02B3DCB6" w14:textId="77777777" w:rsidR="00DC6578" w:rsidRPr="007F17D8" w:rsidRDefault="00DC6578" w:rsidP="00DC6578">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4926E298" w14:textId="77777777" w:rsidR="00DC6578" w:rsidRPr="007F17D8" w:rsidRDefault="00DC6578" w:rsidP="00DC6578">
            <w:pPr>
              <w:rPr>
                <w:rFonts w:cs="Arial"/>
                <w:color w:val="000000"/>
              </w:rPr>
            </w:pPr>
            <w:r w:rsidRPr="007F17D8">
              <w:rPr>
                <w:rFonts w:cs="Arial"/>
                <w:color w:val="000000"/>
              </w:rPr>
              <w:t>549,084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3CFCF10" w14:textId="77777777" w:rsidR="00DC6578" w:rsidRPr="007F17D8" w:rsidRDefault="00DC6578" w:rsidP="00DC6578">
            <w:pPr>
              <w:rPr>
                <w:rFonts w:cs="Arial"/>
                <w:color w:val="000000"/>
              </w:rPr>
            </w:pPr>
            <w:r w:rsidRPr="007F17D8">
              <w:rPr>
                <w:rFonts w:cs="Arial"/>
                <w:color w:val="000000"/>
              </w:rPr>
              <w:t>545,999</w:t>
            </w:r>
          </w:p>
        </w:tc>
        <w:tc>
          <w:tcPr>
            <w:tcW w:w="1530" w:type="dxa"/>
            <w:tcBorders>
              <w:top w:val="single" w:sz="4" w:space="0" w:color="auto"/>
              <w:left w:val="single" w:sz="4" w:space="0" w:color="auto"/>
              <w:bottom w:val="single" w:sz="4" w:space="0" w:color="auto"/>
              <w:right w:val="nil"/>
            </w:tcBorders>
            <w:shd w:val="clear" w:color="auto" w:fill="auto"/>
            <w:vAlign w:val="bottom"/>
          </w:tcPr>
          <w:p w14:paraId="06479499" w14:textId="77777777" w:rsidR="00DC6578" w:rsidRPr="007F17D8" w:rsidRDefault="00DC6578" w:rsidP="00DC6578">
            <w:pPr>
              <w:rPr>
                <w:rFonts w:cs="Arial"/>
                <w:bCs/>
                <w:iCs/>
                <w:color w:val="000000"/>
              </w:rPr>
            </w:pPr>
            <w:r w:rsidRPr="007F17D8">
              <w:rPr>
                <w:rFonts w:cs="Arial"/>
                <w:bCs/>
                <w:iCs/>
                <w:color w:val="000000"/>
              </w:rPr>
              <w:t>99.4%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31C67C2" w14:textId="77777777" w:rsidR="00DC6578" w:rsidRPr="007F17D8" w:rsidRDefault="00DC6578" w:rsidP="00DC6578">
            <w:pPr>
              <w:rPr>
                <w:rFonts w:cs="Arial"/>
                <w:color w:val="000000"/>
              </w:rPr>
            </w:pPr>
            <w:r w:rsidRPr="007F17D8">
              <w:rPr>
                <w:rFonts w:cs="Arial"/>
                <w:color w:val="000000"/>
              </w:rPr>
              <w:t>26,534</w:t>
            </w:r>
          </w:p>
        </w:tc>
        <w:tc>
          <w:tcPr>
            <w:tcW w:w="1890" w:type="dxa"/>
            <w:tcBorders>
              <w:top w:val="single" w:sz="4" w:space="0" w:color="auto"/>
              <w:left w:val="nil"/>
              <w:bottom w:val="single" w:sz="4" w:space="0" w:color="auto"/>
              <w:right w:val="single" w:sz="4" w:space="0" w:color="auto"/>
            </w:tcBorders>
            <w:shd w:val="clear" w:color="auto" w:fill="auto"/>
            <w:vAlign w:val="bottom"/>
          </w:tcPr>
          <w:p w14:paraId="73C53D76" w14:textId="77777777" w:rsidR="00DC6578" w:rsidRPr="007F17D8" w:rsidRDefault="00DC6578" w:rsidP="00DC6578">
            <w:pPr>
              <w:rPr>
                <w:rFonts w:cs="Arial"/>
                <w:color w:val="000000"/>
              </w:rPr>
            </w:pPr>
            <w:r w:rsidRPr="007F17D8">
              <w:rPr>
                <w:rFonts w:cs="Arial"/>
                <w:color w:val="000000"/>
              </w:rPr>
              <w:t>213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70D3DCB7" w14:textId="77777777" w:rsidR="00DC6578" w:rsidRPr="007F17D8" w:rsidRDefault="00DC6578" w:rsidP="00DC6578">
            <w:pPr>
              <w:rPr>
                <w:rFonts w:cs="Arial"/>
                <w:bCs/>
                <w:iCs/>
                <w:color w:val="000000"/>
              </w:rPr>
            </w:pPr>
            <w:r w:rsidRPr="007F17D8">
              <w:rPr>
                <w:rFonts w:cs="Arial"/>
                <w:bCs/>
                <w:iCs/>
                <w:color w:val="000000"/>
              </w:rPr>
              <w:t>0.8%</w:t>
            </w:r>
          </w:p>
        </w:tc>
      </w:tr>
      <w:tr w:rsidR="00DC6578" w:rsidRPr="007F17D8" w14:paraId="79B58A37" w14:textId="77777777" w:rsidTr="00B40203">
        <w:trPr>
          <w:cantSplit/>
        </w:trPr>
        <w:tc>
          <w:tcPr>
            <w:tcW w:w="2065" w:type="dxa"/>
          </w:tcPr>
          <w:p w14:paraId="1A9C9A9A" w14:textId="77777777" w:rsidR="00DC6578" w:rsidRPr="007F17D8" w:rsidRDefault="00DC6578" w:rsidP="00DC6578">
            <w:pPr>
              <w:rPr>
                <w:rFonts w:cs="Arial"/>
                <w:lang w:val="en"/>
              </w:rPr>
            </w:pPr>
            <w:r w:rsidRPr="007F17D8">
              <w:rPr>
                <w:rFonts w:cs="Arial"/>
                <w:lang w:val="en"/>
              </w:rPr>
              <w:t>Statewide Totals</w:t>
            </w:r>
          </w:p>
        </w:tc>
        <w:tc>
          <w:tcPr>
            <w:tcW w:w="1350" w:type="dxa"/>
          </w:tcPr>
          <w:p w14:paraId="04E3CCD5" w14:textId="77777777" w:rsidR="00DC6578" w:rsidRPr="007F17D8" w:rsidRDefault="00DC6578" w:rsidP="00DC6578">
            <w:pPr>
              <w:rPr>
                <w:rFonts w:cs="Arial"/>
                <w:lang w:val="en"/>
              </w:rPr>
            </w:pPr>
            <w:r w:rsidRPr="007F17D8">
              <w:rPr>
                <w:rFonts w:cs="Arial"/>
                <w:lang w:val="en"/>
              </w:rPr>
              <w:t>10,081</w:t>
            </w:r>
          </w:p>
        </w:tc>
        <w:tc>
          <w:tcPr>
            <w:tcW w:w="1710" w:type="dxa"/>
            <w:tcBorders>
              <w:top w:val="single" w:sz="4" w:space="0" w:color="auto"/>
              <w:left w:val="nil"/>
              <w:bottom w:val="single" w:sz="4" w:space="0" w:color="auto"/>
              <w:right w:val="single" w:sz="4" w:space="0" w:color="auto"/>
            </w:tcBorders>
            <w:shd w:val="clear" w:color="auto" w:fill="auto"/>
            <w:vAlign w:val="bottom"/>
          </w:tcPr>
          <w:p w14:paraId="3235B469" w14:textId="77777777" w:rsidR="00DC6578" w:rsidRPr="007F17D8" w:rsidRDefault="00DC6578" w:rsidP="00DC6578">
            <w:pPr>
              <w:rPr>
                <w:rFonts w:cs="Arial"/>
                <w:color w:val="000000"/>
              </w:rPr>
            </w:pPr>
            <w:r w:rsidRPr="007F17D8">
              <w:rPr>
                <w:rFonts w:cs="Arial"/>
                <w:color w:val="000000"/>
              </w:rPr>
              <w:t>6,209,729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157005A" w14:textId="77777777" w:rsidR="00DC6578" w:rsidRPr="007F17D8" w:rsidRDefault="00DC6578" w:rsidP="00DC6578">
            <w:pPr>
              <w:rPr>
                <w:rFonts w:cs="Arial"/>
                <w:color w:val="000000"/>
              </w:rPr>
            </w:pPr>
            <w:r w:rsidRPr="007F17D8">
              <w:rPr>
                <w:rFonts w:cs="Arial"/>
                <w:color w:val="000000"/>
              </w:rPr>
              <w:t>4,770,837</w:t>
            </w:r>
          </w:p>
        </w:tc>
        <w:tc>
          <w:tcPr>
            <w:tcW w:w="1530" w:type="dxa"/>
            <w:tcBorders>
              <w:top w:val="single" w:sz="4" w:space="0" w:color="auto"/>
              <w:left w:val="single" w:sz="4" w:space="0" w:color="auto"/>
              <w:bottom w:val="single" w:sz="4" w:space="0" w:color="auto"/>
              <w:right w:val="nil"/>
            </w:tcBorders>
            <w:shd w:val="clear" w:color="auto" w:fill="auto"/>
            <w:vAlign w:val="bottom"/>
          </w:tcPr>
          <w:p w14:paraId="11B55F3B" w14:textId="77777777" w:rsidR="00DC6578" w:rsidRPr="007F17D8" w:rsidRDefault="00DC6578" w:rsidP="00DC6578">
            <w:pPr>
              <w:rPr>
                <w:rFonts w:cs="Arial"/>
                <w:bCs/>
                <w:iCs/>
                <w:color w:val="000000"/>
              </w:rPr>
            </w:pPr>
            <w:r w:rsidRPr="007F17D8">
              <w:rPr>
                <w:rFonts w:cs="Arial"/>
                <w:bCs/>
                <w:iCs/>
                <w:color w:val="000000"/>
              </w:rPr>
              <w:t>76.8%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76130870" w14:textId="77777777" w:rsidR="00DC6578" w:rsidRPr="007F17D8" w:rsidRDefault="00DC6578" w:rsidP="00DC6578">
            <w:pPr>
              <w:rPr>
                <w:rFonts w:cs="Arial"/>
                <w:color w:val="000000"/>
              </w:rPr>
            </w:pPr>
            <w:r w:rsidRPr="007F17D8">
              <w:rPr>
                <w:rFonts w:cs="Arial"/>
                <w:color w:val="000000"/>
              </w:rPr>
              <w:t>308,762</w:t>
            </w:r>
          </w:p>
        </w:tc>
        <w:tc>
          <w:tcPr>
            <w:tcW w:w="1890" w:type="dxa"/>
            <w:tcBorders>
              <w:top w:val="single" w:sz="4" w:space="0" w:color="auto"/>
              <w:left w:val="nil"/>
              <w:bottom w:val="single" w:sz="4" w:space="0" w:color="auto"/>
              <w:right w:val="nil"/>
            </w:tcBorders>
            <w:shd w:val="clear" w:color="auto" w:fill="auto"/>
            <w:vAlign w:val="bottom"/>
          </w:tcPr>
          <w:p w14:paraId="53379EC2" w14:textId="77777777" w:rsidR="00DC6578" w:rsidRPr="007F17D8" w:rsidRDefault="00DC6578" w:rsidP="00DC6578">
            <w:pPr>
              <w:rPr>
                <w:rFonts w:cs="Arial"/>
                <w:color w:val="000000"/>
              </w:rPr>
            </w:pPr>
            <w:r w:rsidRPr="007F17D8">
              <w:rPr>
                <w:rFonts w:cs="Arial"/>
                <w:color w:val="000000"/>
              </w:rPr>
              <w:t>2,078</w:t>
            </w:r>
          </w:p>
        </w:tc>
        <w:tc>
          <w:tcPr>
            <w:tcW w:w="1800" w:type="dxa"/>
            <w:tcBorders>
              <w:top w:val="single" w:sz="4" w:space="0" w:color="auto"/>
            </w:tcBorders>
          </w:tcPr>
          <w:p w14:paraId="17D24BE0" w14:textId="77777777" w:rsidR="00DC6578" w:rsidRPr="007F17D8" w:rsidRDefault="00DC6578" w:rsidP="00DC6578">
            <w:pPr>
              <w:rPr>
                <w:rFonts w:cs="Arial"/>
                <w:lang w:val="en"/>
              </w:rPr>
            </w:pPr>
            <w:r w:rsidRPr="007F17D8">
              <w:rPr>
                <w:rFonts w:cs="Arial"/>
                <w:lang w:val="en"/>
              </w:rPr>
              <w:t>0.7%</w:t>
            </w:r>
          </w:p>
        </w:tc>
      </w:tr>
    </w:tbl>
    <w:p w14:paraId="448468E0" w14:textId="77777777" w:rsidR="00741AFC" w:rsidRPr="007F17D8" w:rsidRDefault="00741AFC" w:rsidP="00741AFC">
      <w:pPr>
        <w:kinsoku w:val="0"/>
        <w:overflowPunct w:val="0"/>
        <w:spacing w:after="240"/>
        <w:textAlignment w:val="baseline"/>
        <w:rPr>
          <w:rFonts w:eastAsiaTheme="minorEastAsia" w:cs="Arial"/>
          <w:kern w:val="24"/>
        </w:rPr>
      </w:pPr>
    </w:p>
    <w:p w14:paraId="26B82DD2" w14:textId="77777777" w:rsidR="000D21A4" w:rsidRPr="007F17D8" w:rsidRDefault="000D21A4" w:rsidP="00B166C6">
      <w:pPr>
        <w:pStyle w:val="Heading2"/>
        <w:jc w:val="center"/>
        <w:rPr>
          <w:lang w:val="en"/>
        </w:rPr>
      </w:pPr>
      <w:r w:rsidRPr="007F17D8">
        <w:t>Table 4. 2017–18 Out-of-Field Teachers by Socioeconomically Disadvantaged Student Enrollment</w:t>
      </w:r>
    </w:p>
    <w:tbl>
      <w:tblPr>
        <w:tblStyle w:val="TableGrid"/>
        <w:tblW w:w="13405" w:type="dxa"/>
        <w:tblLayout w:type="fixed"/>
        <w:tblLook w:val="04A0" w:firstRow="1" w:lastRow="0" w:firstColumn="1" w:lastColumn="0" w:noHBand="0" w:noVBand="1"/>
        <w:tblDescription w:val="This chart shows the percentage of out-of-field teachers working with socioeconomically disadvantaged students by quartile."/>
      </w:tblPr>
      <w:tblGrid>
        <w:gridCol w:w="2065"/>
        <w:gridCol w:w="1350"/>
        <w:gridCol w:w="1710"/>
        <w:gridCol w:w="1710"/>
        <w:gridCol w:w="1530"/>
        <w:gridCol w:w="1350"/>
        <w:gridCol w:w="1890"/>
        <w:gridCol w:w="1800"/>
      </w:tblGrid>
      <w:tr w:rsidR="000D21A4" w:rsidRPr="007F17D8" w14:paraId="5EFBA886" w14:textId="77777777" w:rsidTr="00B40203">
        <w:trPr>
          <w:cantSplit/>
          <w:tblHeader/>
        </w:trPr>
        <w:tc>
          <w:tcPr>
            <w:tcW w:w="2065" w:type="dxa"/>
            <w:shd w:val="clear" w:color="auto" w:fill="D9D9D9" w:themeFill="background1" w:themeFillShade="D9"/>
          </w:tcPr>
          <w:p w14:paraId="02C29FF8" w14:textId="77777777" w:rsidR="000D21A4" w:rsidRPr="007F17D8" w:rsidRDefault="000D21A4" w:rsidP="00701E42">
            <w:pPr>
              <w:tabs>
                <w:tab w:val="left" w:pos="616"/>
              </w:tabs>
              <w:rPr>
                <w:rFonts w:cs="Arial"/>
                <w:lang w:val="en"/>
              </w:rPr>
            </w:pPr>
            <w:r w:rsidRPr="007F17D8">
              <w:rPr>
                <w:rFonts w:cs="Arial"/>
                <w:lang w:val="en"/>
              </w:rPr>
              <w:t>Decile Rank for Title I Schools</w:t>
            </w:r>
          </w:p>
        </w:tc>
        <w:tc>
          <w:tcPr>
            <w:tcW w:w="1350" w:type="dxa"/>
            <w:shd w:val="clear" w:color="auto" w:fill="D9D9D9" w:themeFill="background1" w:themeFillShade="D9"/>
          </w:tcPr>
          <w:p w14:paraId="7F7F95ED" w14:textId="77777777" w:rsidR="000D21A4" w:rsidRPr="007F17D8" w:rsidRDefault="000D21A4" w:rsidP="00701E42">
            <w:pPr>
              <w:rPr>
                <w:rFonts w:cs="Arial"/>
                <w:lang w:val="en"/>
              </w:rPr>
            </w:pPr>
            <w:r w:rsidRPr="007F17D8">
              <w:rPr>
                <w:rFonts w:cs="Arial"/>
                <w:lang w:val="en"/>
              </w:rPr>
              <w:t>Number of Schools</w:t>
            </w:r>
          </w:p>
        </w:tc>
        <w:tc>
          <w:tcPr>
            <w:tcW w:w="1710" w:type="dxa"/>
            <w:shd w:val="clear" w:color="auto" w:fill="D9D9D9" w:themeFill="background1" w:themeFillShade="D9"/>
          </w:tcPr>
          <w:p w14:paraId="5CA7A513" w14:textId="77777777" w:rsidR="000D21A4" w:rsidRPr="007F17D8" w:rsidRDefault="000D21A4" w:rsidP="00701E42">
            <w:pPr>
              <w:rPr>
                <w:rFonts w:cs="Arial"/>
                <w:lang w:val="en"/>
              </w:rPr>
            </w:pPr>
            <w:r w:rsidRPr="007F17D8">
              <w:rPr>
                <w:rFonts w:cs="Arial"/>
                <w:lang w:val="en"/>
              </w:rPr>
              <w:t>Total Student Enrollment</w:t>
            </w:r>
          </w:p>
        </w:tc>
        <w:tc>
          <w:tcPr>
            <w:tcW w:w="1710" w:type="dxa"/>
            <w:shd w:val="clear" w:color="auto" w:fill="D9D9D9" w:themeFill="background1" w:themeFillShade="D9"/>
          </w:tcPr>
          <w:p w14:paraId="2674C41D" w14:textId="77777777" w:rsidR="000D21A4" w:rsidRPr="007F17D8" w:rsidRDefault="000D21A4" w:rsidP="00701E42">
            <w:pPr>
              <w:rPr>
                <w:rFonts w:cs="Arial"/>
                <w:lang w:val="en"/>
              </w:rPr>
            </w:pPr>
            <w:r w:rsidRPr="007F17D8">
              <w:rPr>
                <w:rFonts w:cs="Arial"/>
                <w:lang w:val="en"/>
              </w:rPr>
              <w:t>SED Student Enrollment</w:t>
            </w:r>
          </w:p>
        </w:tc>
        <w:tc>
          <w:tcPr>
            <w:tcW w:w="1530" w:type="dxa"/>
            <w:shd w:val="clear" w:color="auto" w:fill="D9D9D9" w:themeFill="background1" w:themeFillShade="D9"/>
          </w:tcPr>
          <w:p w14:paraId="689449D3" w14:textId="77777777" w:rsidR="000D21A4" w:rsidRPr="007F17D8" w:rsidRDefault="000D21A4" w:rsidP="00701E42">
            <w:pPr>
              <w:rPr>
                <w:rFonts w:cs="Arial"/>
                <w:lang w:val="en"/>
              </w:rPr>
            </w:pPr>
            <w:r w:rsidRPr="007F17D8">
              <w:rPr>
                <w:rFonts w:cs="Arial"/>
                <w:lang w:val="en"/>
              </w:rPr>
              <w:t>Percent of SED Student Enrollment</w:t>
            </w:r>
          </w:p>
        </w:tc>
        <w:tc>
          <w:tcPr>
            <w:tcW w:w="1350" w:type="dxa"/>
            <w:shd w:val="clear" w:color="auto" w:fill="D9D9D9" w:themeFill="background1" w:themeFillShade="D9"/>
          </w:tcPr>
          <w:p w14:paraId="1BE113D3" w14:textId="77777777" w:rsidR="000D21A4" w:rsidRPr="007F17D8" w:rsidRDefault="000D21A4" w:rsidP="00701E42">
            <w:pPr>
              <w:rPr>
                <w:rFonts w:cs="Arial"/>
                <w:lang w:val="en"/>
              </w:rPr>
            </w:pPr>
            <w:r w:rsidRPr="007F17D8">
              <w:rPr>
                <w:rFonts w:cs="Arial"/>
                <w:lang w:val="en"/>
              </w:rPr>
              <w:t>Total Teachers</w:t>
            </w:r>
          </w:p>
        </w:tc>
        <w:tc>
          <w:tcPr>
            <w:tcW w:w="1890" w:type="dxa"/>
            <w:tcBorders>
              <w:bottom w:val="single" w:sz="4" w:space="0" w:color="auto"/>
            </w:tcBorders>
            <w:shd w:val="clear" w:color="auto" w:fill="D9D9D9" w:themeFill="background1" w:themeFillShade="D9"/>
          </w:tcPr>
          <w:p w14:paraId="24C235E8" w14:textId="77777777" w:rsidR="000D21A4" w:rsidRPr="007F17D8" w:rsidRDefault="000D21A4" w:rsidP="00701E42">
            <w:pPr>
              <w:rPr>
                <w:rFonts w:cs="Arial"/>
                <w:lang w:val="en"/>
              </w:rPr>
            </w:pPr>
            <w:r w:rsidRPr="007F17D8">
              <w:rPr>
                <w:rFonts w:cs="Arial"/>
                <w:lang w:val="en"/>
              </w:rPr>
              <w:t xml:space="preserve">Number of Out-of-Field </w:t>
            </w:r>
          </w:p>
          <w:p w14:paraId="499ADE39" w14:textId="77777777" w:rsidR="000D21A4" w:rsidRPr="007F17D8" w:rsidRDefault="000D21A4" w:rsidP="00701E42">
            <w:pPr>
              <w:rPr>
                <w:rFonts w:cs="Arial"/>
                <w:lang w:val="en"/>
              </w:rPr>
            </w:pPr>
            <w:r w:rsidRPr="007F17D8">
              <w:rPr>
                <w:rFonts w:cs="Arial"/>
                <w:lang w:val="en"/>
              </w:rPr>
              <w:t>Teachers</w:t>
            </w:r>
          </w:p>
        </w:tc>
        <w:tc>
          <w:tcPr>
            <w:tcW w:w="1800" w:type="dxa"/>
            <w:tcBorders>
              <w:bottom w:val="single" w:sz="4" w:space="0" w:color="auto"/>
            </w:tcBorders>
            <w:shd w:val="clear" w:color="auto" w:fill="D9D9D9" w:themeFill="background1" w:themeFillShade="D9"/>
          </w:tcPr>
          <w:p w14:paraId="554BFB7C" w14:textId="77777777" w:rsidR="000D21A4" w:rsidRPr="007F17D8" w:rsidRDefault="000D21A4" w:rsidP="00701E42">
            <w:pPr>
              <w:rPr>
                <w:rFonts w:cs="Arial"/>
                <w:lang w:val="en"/>
              </w:rPr>
            </w:pPr>
            <w:r w:rsidRPr="007F17D8">
              <w:rPr>
                <w:rFonts w:cs="Arial"/>
                <w:lang w:val="en"/>
              </w:rPr>
              <w:t>Percentage of Out-of-Field Teachers</w:t>
            </w:r>
          </w:p>
        </w:tc>
      </w:tr>
      <w:tr w:rsidR="000D21A4" w:rsidRPr="007F17D8" w14:paraId="11BA602E" w14:textId="77777777" w:rsidTr="00B40203">
        <w:trPr>
          <w:cantSplit/>
        </w:trPr>
        <w:tc>
          <w:tcPr>
            <w:tcW w:w="2065" w:type="dxa"/>
          </w:tcPr>
          <w:p w14:paraId="777D0CC5" w14:textId="77777777" w:rsidR="000D21A4" w:rsidRPr="007F17D8" w:rsidRDefault="000D21A4" w:rsidP="00701E42">
            <w:pPr>
              <w:rPr>
                <w:rFonts w:cs="Arial"/>
                <w:lang w:val="en"/>
              </w:rPr>
            </w:pPr>
            <w:r w:rsidRPr="007F17D8">
              <w:rPr>
                <w:rFonts w:cs="Arial"/>
                <w:lang w:val="en"/>
              </w:rPr>
              <w:t>Decile I</w:t>
            </w:r>
          </w:p>
        </w:tc>
        <w:tc>
          <w:tcPr>
            <w:tcW w:w="1350" w:type="dxa"/>
          </w:tcPr>
          <w:p w14:paraId="135FD795" w14:textId="77777777" w:rsidR="000D21A4" w:rsidRPr="007F17D8" w:rsidRDefault="000D21A4" w:rsidP="00701E42">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5EDE25E6" w14:textId="77777777" w:rsidR="000D21A4" w:rsidRPr="007F17D8" w:rsidRDefault="000D21A4" w:rsidP="00701E42">
            <w:pPr>
              <w:rPr>
                <w:rFonts w:cs="Arial"/>
                <w:color w:val="000000"/>
              </w:rPr>
            </w:pPr>
            <w:r w:rsidRPr="007F17D8">
              <w:rPr>
                <w:rFonts w:cs="Arial"/>
                <w:color w:val="000000"/>
              </w:rPr>
              <w:t>405,433</w:t>
            </w:r>
          </w:p>
        </w:tc>
        <w:tc>
          <w:tcPr>
            <w:tcW w:w="1710" w:type="dxa"/>
            <w:tcBorders>
              <w:top w:val="single" w:sz="4" w:space="0" w:color="auto"/>
              <w:left w:val="nil"/>
              <w:bottom w:val="single" w:sz="4" w:space="0" w:color="auto"/>
              <w:right w:val="single" w:sz="4" w:space="0" w:color="auto"/>
            </w:tcBorders>
            <w:shd w:val="clear" w:color="auto" w:fill="auto"/>
            <w:vAlign w:val="bottom"/>
          </w:tcPr>
          <w:p w14:paraId="0B60E04B" w14:textId="77777777" w:rsidR="000D21A4" w:rsidRPr="007F17D8" w:rsidRDefault="000D21A4" w:rsidP="00701E42">
            <w:pPr>
              <w:rPr>
                <w:rFonts w:cs="Arial"/>
                <w:color w:val="000000"/>
              </w:rPr>
            </w:pPr>
            <w:r w:rsidRPr="007F17D8">
              <w:rPr>
                <w:rFonts w:cs="Arial"/>
                <w:color w:val="000000"/>
              </w:rPr>
              <w:t>87,225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E895AC4" w14:textId="77777777" w:rsidR="000D21A4" w:rsidRPr="007F17D8" w:rsidRDefault="000D21A4" w:rsidP="00701E42">
            <w:pPr>
              <w:rPr>
                <w:rFonts w:cs="Arial"/>
                <w:bCs/>
                <w:iCs/>
                <w:color w:val="000000"/>
              </w:rPr>
            </w:pPr>
            <w:r w:rsidRPr="007F17D8">
              <w:rPr>
                <w:rFonts w:cs="Arial"/>
                <w:bCs/>
                <w:iCs/>
                <w:color w:val="000000"/>
              </w:rPr>
              <w:t>12.3%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66BC98D" w14:textId="77777777" w:rsidR="000D21A4" w:rsidRPr="007F17D8" w:rsidRDefault="000D21A4" w:rsidP="00701E42">
            <w:pPr>
              <w:rPr>
                <w:rFonts w:cs="Arial"/>
                <w:color w:val="000000"/>
              </w:rPr>
            </w:pPr>
            <w:r w:rsidRPr="007F17D8">
              <w:rPr>
                <w:rFonts w:cs="Arial"/>
                <w:color w:val="000000"/>
              </w:rPr>
              <w:t>21,237</w:t>
            </w:r>
          </w:p>
        </w:tc>
        <w:tc>
          <w:tcPr>
            <w:tcW w:w="1890" w:type="dxa"/>
            <w:tcBorders>
              <w:top w:val="single" w:sz="4" w:space="0" w:color="auto"/>
              <w:left w:val="nil"/>
              <w:bottom w:val="single" w:sz="4" w:space="0" w:color="auto"/>
              <w:right w:val="single" w:sz="4" w:space="0" w:color="auto"/>
            </w:tcBorders>
            <w:shd w:val="clear" w:color="auto" w:fill="auto"/>
            <w:vAlign w:val="bottom"/>
          </w:tcPr>
          <w:p w14:paraId="401FF07A" w14:textId="77777777" w:rsidR="000D21A4" w:rsidRPr="007F17D8" w:rsidRDefault="000D21A4" w:rsidP="00701E42">
            <w:pPr>
              <w:rPr>
                <w:rFonts w:cs="Arial"/>
                <w:color w:val="000000"/>
              </w:rPr>
            </w:pPr>
            <w:r w:rsidRPr="007F17D8">
              <w:rPr>
                <w:rFonts w:cs="Arial"/>
                <w:color w:val="000000"/>
              </w:rPr>
              <w:t>178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24595263" w14:textId="77777777" w:rsidR="000D21A4" w:rsidRPr="007F17D8" w:rsidRDefault="000D21A4" w:rsidP="00701E42">
            <w:pPr>
              <w:rPr>
                <w:rFonts w:cs="Arial"/>
                <w:bCs/>
                <w:iCs/>
                <w:color w:val="000000"/>
              </w:rPr>
            </w:pPr>
            <w:r w:rsidRPr="007F17D8">
              <w:rPr>
                <w:rFonts w:cs="Arial"/>
                <w:bCs/>
                <w:iCs/>
                <w:color w:val="000000"/>
              </w:rPr>
              <w:t>0.5%</w:t>
            </w:r>
          </w:p>
        </w:tc>
      </w:tr>
      <w:tr w:rsidR="000D21A4" w:rsidRPr="007F17D8" w14:paraId="2511BD54" w14:textId="77777777" w:rsidTr="00B40203">
        <w:trPr>
          <w:cantSplit/>
        </w:trPr>
        <w:tc>
          <w:tcPr>
            <w:tcW w:w="2065" w:type="dxa"/>
          </w:tcPr>
          <w:p w14:paraId="360891BD" w14:textId="77777777" w:rsidR="000D21A4" w:rsidRPr="007F17D8" w:rsidRDefault="000D21A4" w:rsidP="00701E42">
            <w:pPr>
              <w:rPr>
                <w:rFonts w:cs="Arial"/>
                <w:lang w:val="en"/>
              </w:rPr>
            </w:pPr>
            <w:r w:rsidRPr="007F17D8">
              <w:rPr>
                <w:rFonts w:cs="Arial"/>
                <w:lang w:val="en"/>
              </w:rPr>
              <w:t>Decile 2</w:t>
            </w:r>
          </w:p>
        </w:tc>
        <w:tc>
          <w:tcPr>
            <w:tcW w:w="1350" w:type="dxa"/>
          </w:tcPr>
          <w:p w14:paraId="01CBCF03" w14:textId="77777777" w:rsidR="000D21A4" w:rsidRPr="007F17D8" w:rsidRDefault="000D21A4" w:rsidP="00701E42">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02D16748" w14:textId="77777777" w:rsidR="000D21A4" w:rsidRPr="007F17D8" w:rsidRDefault="000D21A4" w:rsidP="00701E42">
            <w:pPr>
              <w:rPr>
                <w:rFonts w:cs="Arial"/>
                <w:color w:val="000000"/>
              </w:rPr>
            </w:pPr>
            <w:r w:rsidRPr="007F17D8">
              <w:rPr>
                <w:rFonts w:cs="Arial"/>
                <w:color w:val="000000"/>
              </w:rPr>
              <w:t>620,235</w:t>
            </w:r>
          </w:p>
        </w:tc>
        <w:tc>
          <w:tcPr>
            <w:tcW w:w="1710" w:type="dxa"/>
            <w:tcBorders>
              <w:top w:val="single" w:sz="4" w:space="0" w:color="auto"/>
              <w:left w:val="nil"/>
              <w:bottom w:val="single" w:sz="4" w:space="0" w:color="auto"/>
              <w:right w:val="single" w:sz="4" w:space="0" w:color="auto"/>
            </w:tcBorders>
            <w:shd w:val="clear" w:color="auto" w:fill="auto"/>
            <w:vAlign w:val="bottom"/>
          </w:tcPr>
          <w:p w14:paraId="3673E9AF" w14:textId="77777777" w:rsidR="000D21A4" w:rsidRPr="007F17D8" w:rsidRDefault="000D21A4" w:rsidP="00701E42">
            <w:pPr>
              <w:rPr>
                <w:rFonts w:cs="Arial"/>
                <w:color w:val="000000"/>
              </w:rPr>
            </w:pPr>
            <w:r w:rsidRPr="007F17D8">
              <w:rPr>
                <w:rFonts w:cs="Arial"/>
                <w:color w:val="000000"/>
              </w:rPr>
              <w:t>212,542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7D8B5B7" w14:textId="77777777" w:rsidR="000D21A4" w:rsidRPr="007F17D8" w:rsidRDefault="000D21A4" w:rsidP="00701E42">
            <w:pPr>
              <w:rPr>
                <w:rFonts w:cs="Arial"/>
                <w:bCs/>
                <w:iCs/>
                <w:color w:val="000000"/>
              </w:rPr>
            </w:pPr>
            <w:r w:rsidRPr="007F17D8">
              <w:rPr>
                <w:rFonts w:cs="Arial"/>
                <w:bCs/>
                <w:iCs/>
                <w:color w:val="000000"/>
              </w:rPr>
              <w:t>28.5%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FBFE2D4" w14:textId="77777777" w:rsidR="000D21A4" w:rsidRPr="007F17D8" w:rsidRDefault="000D21A4" w:rsidP="00701E42">
            <w:pPr>
              <w:rPr>
                <w:rFonts w:cs="Arial"/>
                <w:color w:val="000000"/>
              </w:rPr>
            </w:pPr>
            <w:r w:rsidRPr="007F17D8">
              <w:rPr>
                <w:rFonts w:cs="Arial"/>
                <w:color w:val="000000"/>
              </w:rPr>
              <w:t>31,165</w:t>
            </w:r>
          </w:p>
        </w:tc>
        <w:tc>
          <w:tcPr>
            <w:tcW w:w="1890" w:type="dxa"/>
            <w:tcBorders>
              <w:top w:val="single" w:sz="4" w:space="0" w:color="auto"/>
              <w:left w:val="nil"/>
              <w:bottom w:val="single" w:sz="4" w:space="0" w:color="auto"/>
              <w:right w:val="single" w:sz="4" w:space="0" w:color="auto"/>
            </w:tcBorders>
            <w:shd w:val="clear" w:color="auto" w:fill="auto"/>
            <w:vAlign w:val="bottom"/>
          </w:tcPr>
          <w:p w14:paraId="2F6DC572" w14:textId="77777777" w:rsidR="000D21A4" w:rsidRPr="007F17D8" w:rsidRDefault="000D21A4" w:rsidP="00701E42">
            <w:pPr>
              <w:rPr>
                <w:rFonts w:cs="Arial"/>
                <w:color w:val="000000"/>
              </w:rPr>
            </w:pPr>
            <w:r w:rsidRPr="007F17D8">
              <w:rPr>
                <w:rFonts w:cs="Arial"/>
                <w:color w:val="000000"/>
              </w:rPr>
              <w:t>204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213C6595" w14:textId="77777777" w:rsidR="000D21A4" w:rsidRPr="007F17D8" w:rsidRDefault="000D21A4" w:rsidP="00701E42">
            <w:pPr>
              <w:rPr>
                <w:rFonts w:cs="Arial"/>
                <w:bCs/>
                <w:iCs/>
                <w:color w:val="000000"/>
              </w:rPr>
            </w:pPr>
            <w:r w:rsidRPr="007F17D8">
              <w:rPr>
                <w:rFonts w:cs="Arial"/>
                <w:bCs/>
                <w:iCs/>
                <w:color w:val="000000"/>
              </w:rPr>
              <w:t>0.6%</w:t>
            </w:r>
          </w:p>
        </w:tc>
      </w:tr>
      <w:tr w:rsidR="000D21A4" w:rsidRPr="007F17D8" w14:paraId="4EC8154B" w14:textId="77777777" w:rsidTr="00B40203">
        <w:trPr>
          <w:cantSplit/>
        </w:trPr>
        <w:tc>
          <w:tcPr>
            <w:tcW w:w="2065" w:type="dxa"/>
          </w:tcPr>
          <w:p w14:paraId="3498FBD5" w14:textId="77777777" w:rsidR="000D21A4" w:rsidRPr="007F17D8" w:rsidRDefault="000D21A4" w:rsidP="00701E42">
            <w:pPr>
              <w:rPr>
                <w:rFonts w:cs="Arial"/>
                <w:lang w:val="en"/>
              </w:rPr>
            </w:pPr>
            <w:r w:rsidRPr="007F17D8">
              <w:rPr>
                <w:rFonts w:cs="Arial"/>
                <w:lang w:val="en"/>
              </w:rPr>
              <w:t>Decile 3</w:t>
            </w:r>
          </w:p>
        </w:tc>
        <w:tc>
          <w:tcPr>
            <w:tcW w:w="1350" w:type="dxa"/>
          </w:tcPr>
          <w:p w14:paraId="6C01FCAF" w14:textId="77777777" w:rsidR="000D21A4" w:rsidRPr="007F17D8" w:rsidRDefault="000D21A4" w:rsidP="00701E42">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2347AB67" w14:textId="77777777" w:rsidR="000D21A4" w:rsidRPr="007F17D8" w:rsidRDefault="000D21A4" w:rsidP="00701E42">
            <w:pPr>
              <w:rPr>
                <w:rFonts w:cs="Arial"/>
                <w:color w:val="000000"/>
              </w:rPr>
            </w:pPr>
            <w:r w:rsidRPr="007F17D8">
              <w:rPr>
                <w:rFonts w:cs="Arial"/>
                <w:color w:val="000000"/>
              </w:rPr>
              <w:t>666,529</w:t>
            </w:r>
          </w:p>
        </w:tc>
        <w:tc>
          <w:tcPr>
            <w:tcW w:w="1710" w:type="dxa"/>
            <w:tcBorders>
              <w:top w:val="single" w:sz="4" w:space="0" w:color="auto"/>
              <w:left w:val="nil"/>
              <w:bottom w:val="single" w:sz="4" w:space="0" w:color="auto"/>
              <w:right w:val="single" w:sz="4" w:space="0" w:color="auto"/>
            </w:tcBorders>
            <w:shd w:val="clear" w:color="auto" w:fill="auto"/>
            <w:vAlign w:val="bottom"/>
          </w:tcPr>
          <w:p w14:paraId="0F876291" w14:textId="77777777" w:rsidR="000D21A4" w:rsidRPr="007F17D8" w:rsidRDefault="000D21A4" w:rsidP="00701E42">
            <w:pPr>
              <w:rPr>
                <w:rFonts w:cs="Arial"/>
                <w:color w:val="000000"/>
              </w:rPr>
            </w:pPr>
            <w:r w:rsidRPr="007F17D8">
              <w:rPr>
                <w:rFonts w:cs="Arial"/>
                <w:color w:val="000000"/>
              </w:rPr>
              <w:t>287,409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7DD077A" w14:textId="77777777" w:rsidR="000D21A4" w:rsidRPr="007F17D8" w:rsidRDefault="000D21A4" w:rsidP="00701E42">
            <w:pPr>
              <w:rPr>
                <w:rFonts w:cs="Arial"/>
                <w:bCs/>
                <w:iCs/>
                <w:color w:val="000000"/>
              </w:rPr>
            </w:pPr>
            <w:r w:rsidRPr="007F17D8">
              <w:rPr>
                <w:rFonts w:cs="Arial"/>
                <w:bCs/>
                <w:iCs/>
                <w:color w:val="000000"/>
              </w:rPr>
              <w:t>42.5%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574B301" w14:textId="77777777" w:rsidR="000D21A4" w:rsidRPr="007F17D8" w:rsidRDefault="000D21A4" w:rsidP="00701E42">
            <w:pPr>
              <w:rPr>
                <w:rFonts w:cs="Arial"/>
                <w:color w:val="000000"/>
              </w:rPr>
            </w:pPr>
            <w:r w:rsidRPr="007F17D8">
              <w:rPr>
                <w:rFonts w:cs="Arial"/>
                <w:color w:val="000000"/>
              </w:rPr>
              <w:t>34,174</w:t>
            </w:r>
          </w:p>
        </w:tc>
        <w:tc>
          <w:tcPr>
            <w:tcW w:w="1890" w:type="dxa"/>
            <w:tcBorders>
              <w:top w:val="single" w:sz="4" w:space="0" w:color="auto"/>
              <w:left w:val="nil"/>
              <w:bottom w:val="single" w:sz="4" w:space="0" w:color="auto"/>
              <w:right w:val="single" w:sz="4" w:space="0" w:color="auto"/>
            </w:tcBorders>
            <w:shd w:val="clear" w:color="auto" w:fill="auto"/>
            <w:vAlign w:val="bottom"/>
          </w:tcPr>
          <w:p w14:paraId="7904057A" w14:textId="77777777" w:rsidR="000D21A4" w:rsidRPr="007F17D8" w:rsidRDefault="000D21A4" w:rsidP="00701E42">
            <w:pPr>
              <w:rPr>
                <w:rFonts w:cs="Arial"/>
                <w:color w:val="000000"/>
              </w:rPr>
            </w:pPr>
            <w:r w:rsidRPr="007F17D8">
              <w:rPr>
                <w:rFonts w:cs="Arial"/>
                <w:color w:val="000000"/>
              </w:rPr>
              <w:t>271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2A530A8A" w14:textId="77777777" w:rsidR="000D21A4" w:rsidRPr="007F17D8" w:rsidRDefault="000D21A4" w:rsidP="00701E42">
            <w:pPr>
              <w:rPr>
                <w:rFonts w:cs="Arial"/>
                <w:bCs/>
                <w:iCs/>
                <w:color w:val="000000"/>
              </w:rPr>
            </w:pPr>
            <w:r w:rsidRPr="007F17D8">
              <w:rPr>
                <w:rFonts w:cs="Arial"/>
                <w:bCs/>
                <w:iCs/>
                <w:color w:val="000000"/>
              </w:rPr>
              <w:t>0.8%</w:t>
            </w:r>
          </w:p>
        </w:tc>
      </w:tr>
      <w:tr w:rsidR="000D21A4" w:rsidRPr="007F17D8" w14:paraId="66E2CBFA" w14:textId="77777777" w:rsidTr="00B40203">
        <w:trPr>
          <w:cantSplit/>
        </w:trPr>
        <w:tc>
          <w:tcPr>
            <w:tcW w:w="2065" w:type="dxa"/>
          </w:tcPr>
          <w:p w14:paraId="6CE5AAD2" w14:textId="77777777" w:rsidR="000D21A4" w:rsidRPr="007F17D8" w:rsidRDefault="000D21A4" w:rsidP="00701E42">
            <w:pPr>
              <w:rPr>
                <w:rFonts w:cs="Arial"/>
                <w:lang w:val="en"/>
              </w:rPr>
            </w:pPr>
            <w:r w:rsidRPr="007F17D8">
              <w:rPr>
                <w:rFonts w:cs="Arial"/>
                <w:lang w:val="en"/>
              </w:rPr>
              <w:t>Decile 4</w:t>
            </w:r>
          </w:p>
        </w:tc>
        <w:tc>
          <w:tcPr>
            <w:tcW w:w="1350" w:type="dxa"/>
          </w:tcPr>
          <w:p w14:paraId="41D72C8E" w14:textId="77777777" w:rsidR="000D21A4" w:rsidRPr="007F17D8" w:rsidRDefault="000D21A4" w:rsidP="00701E42">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76D51D92" w14:textId="77777777" w:rsidR="000D21A4" w:rsidRPr="007F17D8" w:rsidRDefault="000D21A4" w:rsidP="00701E42">
            <w:pPr>
              <w:rPr>
                <w:rFonts w:cs="Arial"/>
                <w:color w:val="000000"/>
              </w:rPr>
            </w:pPr>
            <w:r w:rsidRPr="007F17D8">
              <w:rPr>
                <w:rFonts w:cs="Arial"/>
                <w:color w:val="000000"/>
              </w:rPr>
              <w:t>652,294</w:t>
            </w:r>
          </w:p>
        </w:tc>
        <w:tc>
          <w:tcPr>
            <w:tcW w:w="1710" w:type="dxa"/>
            <w:tcBorders>
              <w:top w:val="single" w:sz="4" w:space="0" w:color="auto"/>
              <w:left w:val="nil"/>
              <w:bottom w:val="single" w:sz="4" w:space="0" w:color="auto"/>
              <w:right w:val="single" w:sz="4" w:space="0" w:color="auto"/>
            </w:tcBorders>
            <w:shd w:val="clear" w:color="auto" w:fill="auto"/>
            <w:vAlign w:val="bottom"/>
          </w:tcPr>
          <w:p w14:paraId="68DC7002" w14:textId="77777777" w:rsidR="000D21A4" w:rsidRPr="007F17D8" w:rsidRDefault="000D21A4" w:rsidP="00701E42">
            <w:pPr>
              <w:rPr>
                <w:rFonts w:cs="Arial"/>
                <w:color w:val="000000"/>
              </w:rPr>
            </w:pPr>
            <w:r w:rsidRPr="007F17D8">
              <w:rPr>
                <w:rFonts w:cs="Arial"/>
                <w:color w:val="000000"/>
              </w:rPr>
              <w:t>350,446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BC1F43C" w14:textId="77777777" w:rsidR="000D21A4" w:rsidRPr="007F17D8" w:rsidRDefault="000D21A4" w:rsidP="00701E42">
            <w:pPr>
              <w:rPr>
                <w:rFonts w:cs="Arial"/>
                <w:bCs/>
                <w:iCs/>
                <w:color w:val="000000"/>
              </w:rPr>
            </w:pPr>
            <w:r w:rsidRPr="007F17D8">
              <w:rPr>
                <w:rFonts w:cs="Arial"/>
                <w:bCs/>
                <w:iCs/>
                <w:color w:val="000000"/>
              </w:rPr>
              <w:t>55.6%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AC39723" w14:textId="77777777" w:rsidR="000D21A4" w:rsidRPr="007F17D8" w:rsidRDefault="000D21A4" w:rsidP="00701E42">
            <w:pPr>
              <w:rPr>
                <w:rFonts w:cs="Arial"/>
                <w:color w:val="000000"/>
              </w:rPr>
            </w:pPr>
            <w:r w:rsidRPr="007F17D8">
              <w:rPr>
                <w:rFonts w:cs="Arial"/>
                <w:color w:val="000000"/>
              </w:rPr>
              <w:t>32,112</w:t>
            </w:r>
          </w:p>
        </w:tc>
        <w:tc>
          <w:tcPr>
            <w:tcW w:w="1890" w:type="dxa"/>
            <w:tcBorders>
              <w:top w:val="single" w:sz="4" w:space="0" w:color="auto"/>
              <w:left w:val="nil"/>
              <w:bottom w:val="single" w:sz="4" w:space="0" w:color="auto"/>
              <w:right w:val="single" w:sz="4" w:space="0" w:color="auto"/>
            </w:tcBorders>
            <w:shd w:val="clear" w:color="auto" w:fill="auto"/>
            <w:vAlign w:val="bottom"/>
          </w:tcPr>
          <w:p w14:paraId="0C89DE94" w14:textId="77777777" w:rsidR="000D21A4" w:rsidRPr="007F17D8" w:rsidRDefault="000D21A4" w:rsidP="00701E42">
            <w:pPr>
              <w:rPr>
                <w:rFonts w:cs="Arial"/>
                <w:color w:val="000000"/>
              </w:rPr>
            </w:pPr>
            <w:r w:rsidRPr="007F17D8">
              <w:rPr>
                <w:rFonts w:cs="Arial"/>
                <w:color w:val="000000"/>
              </w:rPr>
              <w:t>245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202C8479" w14:textId="77777777" w:rsidR="000D21A4" w:rsidRPr="007F17D8" w:rsidRDefault="000D21A4" w:rsidP="00701E42">
            <w:pPr>
              <w:rPr>
                <w:rFonts w:cs="Arial"/>
                <w:bCs/>
                <w:iCs/>
                <w:color w:val="000000"/>
              </w:rPr>
            </w:pPr>
            <w:r w:rsidRPr="007F17D8">
              <w:rPr>
                <w:rFonts w:cs="Arial"/>
                <w:bCs/>
                <w:iCs/>
                <w:color w:val="000000"/>
              </w:rPr>
              <w:t>0.8%</w:t>
            </w:r>
          </w:p>
        </w:tc>
      </w:tr>
      <w:tr w:rsidR="000D21A4" w:rsidRPr="007F17D8" w14:paraId="47B07FC8" w14:textId="77777777" w:rsidTr="00B40203">
        <w:trPr>
          <w:cantSplit/>
        </w:trPr>
        <w:tc>
          <w:tcPr>
            <w:tcW w:w="2065" w:type="dxa"/>
          </w:tcPr>
          <w:p w14:paraId="25B8349A" w14:textId="77777777" w:rsidR="000D21A4" w:rsidRPr="007F17D8" w:rsidRDefault="000D21A4" w:rsidP="00701E42">
            <w:pPr>
              <w:rPr>
                <w:rFonts w:cs="Arial"/>
                <w:lang w:val="en"/>
              </w:rPr>
            </w:pPr>
            <w:r w:rsidRPr="007F17D8">
              <w:rPr>
                <w:rFonts w:cs="Arial"/>
                <w:lang w:val="en"/>
              </w:rPr>
              <w:t>Decile 5</w:t>
            </w:r>
          </w:p>
        </w:tc>
        <w:tc>
          <w:tcPr>
            <w:tcW w:w="1350" w:type="dxa"/>
          </w:tcPr>
          <w:p w14:paraId="26C6B850" w14:textId="77777777" w:rsidR="000D21A4" w:rsidRPr="007F17D8" w:rsidRDefault="000D21A4" w:rsidP="00701E42">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309989AA" w14:textId="77777777" w:rsidR="000D21A4" w:rsidRPr="007F17D8" w:rsidRDefault="000D21A4" w:rsidP="00701E42">
            <w:pPr>
              <w:rPr>
                <w:rFonts w:cs="Arial"/>
                <w:color w:val="000000"/>
              </w:rPr>
            </w:pPr>
            <w:r w:rsidRPr="007F17D8">
              <w:rPr>
                <w:rFonts w:cs="Arial"/>
                <w:color w:val="000000"/>
              </w:rPr>
              <w:t>664,148</w:t>
            </w:r>
          </w:p>
        </w:tc>
        <w:tc>
          <w:tcPr>
            <w:tcW w:w="1710" w:type="dxa"/>
            <w:tcBorders>
              <w:top w:val="single" w:sz="4" w:space="0" w:color="auto"/>
              <w:left w:val="nil"/>
              <w:bottom w:val="single" w:sz="4" w:space="0" w:color="auto"/>
              <w:right w:val="single" w:sz="4" w:space="0" w:color="auto"/>
            </w:tcBorders>
            <w:shd w:val="clear" w:color="auto" w:fill="auto"/>
            <w:vAlign w:val="bottom"/>
          </w:tcPr>
          <w:p w14:paraId="0D4305DE" w14:textId="77777777" w:rsidR="000D21A4" w:rsidRPr="007F17D8" w:rsidRDefault="000D21A4" w:rsidP="00701E42">
            <w:pPr>
              <w:rPr>
                <w:rFonts w:cs="Arial"/>
                <w:color w:val="000000"/>
              </w:rPr>
            </w:pPr>
            <w:r w:rsidRPr="007F17D8">
              <w:rPr>
                <w:rFonts w:cs="Arial"/>
                <w:color w:val="000000"/>
              </w:rPr>
              <w:t>406,463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F44D795" w14:textId="77777777" w:rsidR="000D21A4" w:rsidRPr="007F17D8" w:rsidRDefault="000D21A4" w:rsidP="00701E42">
            <w:pPr>
              <w:rPr>
                <w:rFonts w:cs="Arial"/>
                <w:bCs/>
                <w:iCs/>
                <w:color w:val="000000"/>
              </w:rPr>
            </w:pPr>
            <w:r w:rsidRPr="007F17D8">
              <w:rPr>
                <w:rFonts w:cs="Arial"/>
                <w:bCs/>
                <w:iCs/>
                <w:color w:val="000000"/>
              </w:rPr>
              <w:t>67.1%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F0F6956" w14:textId="77777777" w:rsidR="000D21A4" w:rsidRPr="007F17D8" w:rsidRDefault="000D21A4" w:rsidP="00701E42">
            <w:pPr>
              <w:rPr>
                <w:rFonts w:cs="Arial"/>
                <w:color w:val="000000"/>
              </w:rPr>
            </w:pPr>
            <w:r w:rsidRPr="007F17D8">
              <w:rPr>
                <w:rFonts w:cs="Arial"/>
                <w:color w:val="000000"/>
              </w:rPr>
              <w:t>34,322</w:t>
            </w:r>
          </w:p>
        </w:tc>
        <w:tc>
          <w:tcPr>
            <w:tcW w:w="1890" w:type="dxa"/>
            <w:tcBorders>
              <w:top w:val="single" w:sz="4" w:space="0" w:color="auto"/>
              <w:left w:val="nil"/>
              <w:bottom w:val="single" w:sz="4" w:space="0" w:color="auto"/>
              <w:right w:val="single" w:sz="4" w:space="0" w:color="auto"/>
            </w:tcBorders>
            <w:shd w:val="clear" w:color="auto" w:fill="auto"/>
            <w:vAlign w:val="bottom"/>
          </w:tcPr>
          <w:p w14:paraId="3D48EBE6" w14:textId="77777777" w:rsidR="000D21A4" w:rsidRPr="007F17D8" w:rsidRDefault="000D21A4" w:rsidP="00701E42">
            <w:pPr>
              <w:rPr>
                <w:rFonts w:cs="Arial"/>
                <w:color w:val="000000"/>
              </w:rPr>
            </w:pPr>
            <w:r w:rsidRPr="007F17D8">
              <w:rPr>
                <w:rFonts w:cs="Arial"/>
                <w:color w:val="000000"/>
              </w:rPr>
              <w:t>227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318EA083" w14:textId="77777777" w:rsidR="000D21A4" w:rsidRPr="007F17D8" w:rsidRDefault="000D21A4" w:rsidP="00701E42">
            <w:pPr>
              <w:rPr>
                <w:rFonts w:cs="Arial"/>
                <w:bCs/>
                <w:iCs/>
                <w:color w:val="000000"/>
              </w:rPr>
            </w:pPr>
            <w:r w:rsidRPr="007F17D8">
              <w:rPr>
                <w:rFonts w:cs="Arial"/>
                <w:bCs/>
                <w:iCs/>
                <w:color w:val="000000"/>
              </w:rPr>
              <w:t>0.7%</w:t>
            </w:r>
          </w:p>
        </w:tc>
      </w:tr>
      <w:tr w:rsidR="000D21A4" w:rsidRPr="007F17D8" w14:paraId="1A0BCDF7" w14:textId="77777777" w:rsidTr="00B40203">
        <w:trPr>
          <w:cantSplit/>
        </w:trPr>
        <w:tc>
          <w:tcPr>
            <w:tcW w:w="2065" w:type="dxa"/>
          </w:tcPr>
          <w:p w14:paraId="5922EC5A" w14:textId="77777777" w:rsidR="000D21A4" w:rsidRPr="007F17D8" w:rsidRDefault="000D21A4" w:rsidP="00701E42">
            <w:pPr>
              <w:rPr>
                <w:rFonts w:cs="Arial"/>
                <w:lang w:val="en"/>
              </w:rPr>
            </w:pPr>
            <w:r w:rsidRPr="007F17D8">
              <w:rPr>
                <w:rFonts w:cs="Arial"/>
                <w:lang w:val="en"/>
              </w:rPr>
              <w:t>Decile 6</w:t>
            </w:r>
          </w:p>
        </w:tc>
        <w:tc>
          <w:tcPr>
            <w:tcW w:w="1350" w:type="dxa"/>
          </w:tcPr>
          <w:p w14:paraId="2BD22A96" w14:textId="77777777" w:rsidR="000D21A4" w:rsidRPr="007F17D8" w:rsidRDefault="000D21A4" w:rsidP="00701E42">
            <w:pPr>
              <w:rPr>
                <w:rFonts w:cs="Arial"/>
                <w:lang w:val="en"/>
              </w:rPr>
            </w:pPr>
            <w:r w:rsidRPr="007F17D8">
              <w:rPr>
                <w:rFonts w:cs="Arial"/>
                <w:lang w:val="en"/>
              </w:rPr>
              <w:t>1,009</w:t>
            </w:r>
          </w:p>
        </w:tc>
        <w:tc>
          <w:tcPr>
            <w:tcW w:w="1710" w:type="dxa"/>
            <w:tcBorders>
              <w:top w:val="single" w:sz="4" w:space="0" w:color="auto"/>
              <w:left w:val="nil"/>
              <w:bottom w:val="single" w:sz="4" w:space="0" w:color="auto"/>
              <w:right w:val="single" w:sz="4" w:space="0" w:color="auto"/>
            </w:tcBorders>
            <w:shd w:val="clear" w:color="auto" w:fill="auto"/>
            <w:vAlign w:val="bottom"/>
          </w:tcPr>
          <w:p w14:paraId="38B899EE" w14:textId="77777777" w:rsidR="000D21A4" w:rsidRPr="007F17D8" w:rsidRDefault="000D21A4" w:rsidP="00701E42">
            <w:pPr>
              <w:rPr>
                <w:rFonts w:cs="Arial"/>
                <w:color w:val="000000"/>
              </w:rPr>
            </w:pPr>
            <w:r w:rsidRPr="007F17D8">
              <w:rPr>
                <w:rFonts w:cs="Arial"/>
                <w:color w:val="000000"/>
              </w:rPr>
              <w:t>671,954</w:t>
            </w:r>
          </w:p>
        </w:tc>
        <w:tc>
          <w:tcPr>
            <w:tcW w:w="1710" w:type="dxa"/>
            <w:tcBorders>
              <w:top w:val="single" w:sz="4" w:space="0" w:color="auto"/>
              <w:left w:val="nil"/>
              <w:bottom w:val="single" w:sz="4" w:space="0" w:color="auto"/>
              <w:right w:val="single" w:sz="4" w:space="0" w:color="auto"/>
            </w:tcBorders>
            <w:shd w:val="clear" w:color="auto" w:fill="auto"/>
            <w:vAlign w:val="bottom"/>
          </w:tcPr>
          <w:p w14:paraId="1CF60658" w14:textId="77777777" w:rsidR="000D21A4" w:rsidRPr="007F17D8" w:rsidRDefault="000D21A4" w:rsidP="00701E42">
            <w:pPr>
              <w:rPr>
                <w:rFonts w:cs="Arial"/>
                <w:color w:val="000000"/>
              </w:rPr>
            </w:pPr>
            <w:r w:rsidRPr="007F17D8">
              <w:rPr>
                <w:rFonts w:cs="Arial"/>
                <w:color w:val="000000"/>
              </w:rPr>
              <w:t>452,591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55E315E" w14:textId="77777777" w:rsidR="000D21A4" w:rsidRPr="007F17D8" w:rsidRDefault="000D21A4" w:rsidP="00701E42">
            <w:pPr>
              <w:rPr>
                <w:rFonts w:cs="Arial"/>
                <w:bCs/>
                <w:iCs/>
                <w:color w:val="000000"/>
              </w:rPr>
            </w:pPr>
            <w:r w:rsidRPr="007F17D8">
              <w:rPr>
                <w:rFonts w:cs="Arial"/>
                <w:bCs/>
                <w:iCs/>
                <w:color w:val="000000"/>
              </w:rPr>
              <w:t>76.2%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9989CFF" w14:textId="77777777" w:rsidR="000D21A4" w:rsidRPr="007F17D8" w:rsidRDefault="000D21A4" w:rsidP="00701E42">
            <w:pPr>
              <w:rPr>
                <w:rFonts w:cs="Arial"/>
                <w:color w:val="000000"/>
              </w:rPr>
            </w:pPr>
            <w:r w:rsidRPr="007F17D8">
              <w:rPr>
                <w:rFonts w:cs="Arial"/>
                <w:color w:val="000000"/>
              </w:rPr>
              <w:t>32,746</w:t>
            </w:r>
          </w:p>
        </w:tc>
        <w:tc>
          <w:tcPr>
            <w:tcW w:w="1890" w:type="dxa"/>
            <w:tcBorders>
              <w:top w:val="single" w:sz="4" w:space="0" w:color="auto"/>
              <w:left w:val="nil"/>
              <w:bottom w:val="single" w:sz="4" w:space="0" w:color="auto"/>
              <w:right w:val="single" w:sz="4" w:space="0" w:color="auto"/>
            </w:tcBorders>
            <w:shd w:val="clear" w:color="auto" w:fill="auto"/>
            <w:vAlign w:val="bottom"/>
          </w:tcPr>
          <w:p w14:paraId="5ECB9ECD" w14:textId="77777777" w:rsidR="000D21A4" w:rsidRPr="007F17D8" w:rsidRDefault="000D21A4" w:rsidP="00701E42">
            <w:pPr>
              <w:rPr>
                <w:rFonts w:cs="Arial"/>
                <w:color w:val="000000"/>
              </w:rPr>
            </w:pPr>
            <w:r w:rsidRPr="007F17D8">
              <w:rPr>
                <w:rFonts w:cs="Arial"/>
                <w:color w:val="000000"/>
              </w:rPr>
              <w:t>196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44981935" w14:textId="77777777" w:rsidR="000D21A4" w:rsidRPr="007F17D8" w:rsidRDefault="000D21A4" w:rsidP="00701E42">
            <w:pPr>
              <w:rPr>
                <w:rFonts w:cs="Arial"/>
                <w:bCs/>
                <w:iCs/>
                <w:color w:val="000000"/>
              </w:rPr>
            </w:pPr>
            <w:r w:rsidRPr="007F17D8">
              <w:rPr>
                <w:rFonts w:cs="Arial"/>
                <w:bCs/>
                <w:iCs/>
                <w:color w:val="000000"/>
              </w:rPr>
              <w:t>0.7%</w:t>
            </w:r>
          </w:p>
        </w:tc>
      </w:tr>
      <w:tr w:rsidR="000D21A4" w:rsidRPr="007F17D8" w14:paraId="29063B29" w14:textId="77777777" w:rsidTr="00B40203">
        <w:trPr>
          <w:cantSplit/>
        </w:trPr>
        <w:tc>
          <w:tcPr>
            <w:tcW w:w="2065" w:type="dxa"/>
          </w:tcPr>
          <w:p w14:paraId="51E929B0" w14:textId="77777777" w:rsidR="000D21A4" w:rsidRPr="007F17D8" w:rsidRDefault="000D21A4" w:rsidP="00701E42">
            <w:pPr>
              <w:rPr>
                <w:rFonts w:cs="Arial"/>
                <w:lang w:val="en"/>
              </w:rPr>
            </w:pPr>
            <w:r w:rsidRPr="007F17D8">
              <w:rPr>
                <w:rFonts w:cs="Arial"/>
                <w:lang w:val="en"/>
              </w:rPr>
              <w:t>Decile 7</w:t>
            </w:r>
          </w:p>
        </w:tc>
        <w:tc>
          <w:tcPr>
            <w:tcW w:w="1350" w:type="dxa"/>
          </w:tcPr>
          <w:p w14:paraId="78F11E2D" w14:textId="77777777" w:rsidR="000D21A4" w:rsidRPr="007F17D8" w:rsidRDefault="000D21A4" w:rsidP="00701E42">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551F8B00" w14:textId="77777777" w:rsidR="000D21A4" w:rsidRPr="007F17D8" w:rsidRDefault="000D21A4" w:rsidP="00701E42">
            <w:pPr>
              <w:rPr>
                <w:rFonts w:cs="Arial"/>
                <w:color w:val="000000"/>
              </w:rPr>
            </w:pPr>
            <w:r w:rsidRPr="007F17D8">
              <w:rPr>
                <w:rFonts w:cs="Arial"/>
                <w:color w:val="000000"/>
              </w:rPr>
              <w:t>640,334</w:t>
            </w:r>
          </w:p>
        </w:tc>
        <w:tc>
          <w:tcPr>
            <w:tcW w:w="1710" w:type="dxa"/>
            <w:tcBorders>
              <w:top w:val="single" w:sz="4" w:space="0" w:color="auto"/>
              <w:left w:val="nil"/>
              <w:bottom w:val="single" w:sz="4" w:space="0" w:color="auto"/>
              <w:right w:val="single" w:sz="4" w:space="0" w:color="auto"/>
            </w:tcBorders>
            <w:shd w:val="clear" w:color="auto" w:fill="auto"/>
            <w:vAlign w:val="bottom"/>
          </w:tcPr>
          <w:p w14:paraId="36245325" w14:textId="77777777" w:rsidR="000D21A4" w:rsidRPr="007F17D8" w:rsidRDefault="000D21A4" w:rsidP="00701E42">
            <w:pPr>
              <w:rPr>
                <w:rFonts w:cs="Arial"/>
                <w:color w:val="000000"/>
              </w:rPr>
            </w:pPr>
            <w:r w:rsidRPr="007F17D8">
              <w:rPr>
                <w:rFonts w:cs="Arial"/>
                <w:color w:val="000000"/>
              </w:rPr>
              <w:t>475,265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A968B9C" w14:textId="77777777" w:rsidR="000D21A4" w:rsidRPr="007F17D8" w:rsidRDefault="000D21A4" w:rsidP="00701E42">
            <w:pPr>
              <w:rPr>
                <w:rFonts w:cs="Arial"/>
                <w:bCs/>
                <w:iCs/>
                <w:color w:val="000000"/>
              </w:rPr>
            </w:pPr>
            <w:r w:rsidRPr="007F17D8">
              <w:rPr>
                <w:rFonts w:cs="Arial"/>
                <w:bCs/>
                <w:iCs/>
                <w:color w:val="000000"/>
              </w:rPr>
              <w:t>83.3%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C7698FD" w14:textId="77777777" w:rsidR="000D21A4" w:rsidRPr="007F17D8" w:rsidRDefault="000D21A4" w:rsidP="00701E42">
            <w:pPr>
              <w:rPr>
                <w:rFonts w:cs="Arial"/>
                <w:color w:val="000000"/>
              </w:rPr>
            </w:pPr>
            <w:r w:rsidRPr="007F17D8">
              <w:rPr>
                <w:rFonts w:cs="Arial"/>
                <w:color w:val="000000"/>
              </w:rPr>
              <w:t>31,314</w:t>
            </w:r>
          </w:p>
        </w:tc>
        <w:tc>
          <w:tcPr>
            <w:tcW w:w="1890" w:type="dxa"/>
            <w:tcBorders>
              <w:top w:val="single" w:sz="4" w:space="0" w:color="auto"/>
              <w:left w:val="nil"/>
              <w:bottom w:val="single" w:sz="4" w:space="0" w:color="auto"/>
              <w:right w:val="single" w:sz="4" w:space="0" w:color="auto"/>
            </w:tcBorders>
            <w:shd w:val="clear" w:color="auto" w:fill="auto"/>
            <w:vAlign w:val="bottom"/>
          </w:tcPr>
          <w:p w14:paraId="1CD82064" w14:textId="77777777" w:rsidR="000D21A4" w:rsidRPr="007F17D8" w:rsidRDefault="000D21A4" w:rsidP="00701E42">
            <w:pPr>
              <w:rPr>
                <w:rFonts w:cs="Arial"/>
                <w:color w:val="000000"/>
              </w:rPr>
            </w:pPr>
            <w:r w:rsidRPr="007F17D8">
              <w:rPr>
                <w:rFonts w:cs="Arial"/>
                <w:color w:val="000000"/>
              </w:rPr>
              <w:t>205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2A5F672F" w14:textId="77777777" w:rsidR="000D21A4" w:rsidRPr="007F17D8" w:rsidRDefault="000D21A4" w:rsidP="00701E42">
            <w:pPr>
              <w:rPr>
                <w:rFonts w:cs="Arial"/>
                <w:bCs/>
                <w:iCs/>
                <w:color w:val="000000"/>
              </w:rPr>
            </w:pPr>
            <w:r w:rsidRPr="007F17D8">
              <w:rPr>
                <w:rFonts w:cs="Arial"/>
                <w:bCs/>
                <w:iCs/>
                <w:color w:val="000000"/>
              </w:rPr>
              <w:t>0.7%</w:t>
            </w:r>
          </w:p>
        </w:tc>
      </w:tr>
      <w:tr w:rsidR="000D21A4" w:rsidRPr="007F17D8" w14:paraId="21600A3F" w14:textId="77777777" w:rsidTr="00B40203">
        <w:trPr>
          <w:cantSplit/>
        </w:trPr>
        <w:tc>
          <w:tcPr>
            <w:tcW w:w="2065" w:type="dxa"/>
          </w:tcPr>
          <w:p w14:paraId="6F185980" w14:textId="77777777" w:rsidR="000D21A4" w:rsidRPr="007F17D8" w:rsidRDefault="000D21A4" w:rsidP="00701E42">
            <w:pPr>
              <w:rPr>
                <w:rFonts w:cs="Arial"/>
                <w:lang w:val="en"/>
              </w:rPr>
            </w:pPr>
            <w:r w:rsidRPr="007F17D8">
              <w:rPr>
                <w:rFonts w:cs="Arial"/>
                <w:lang w:val="en"/>
              </w:rPr>
              <w:t>Decile 8</w:t>
            </w:r>
          </w:p>
        </w:tc>
        <w:tc>
          <w:tcPr>
            <w:tcW w:w="1350" w:type="dxa"/>
          </w:tcPr>
          <w:p w14:paraId="142E79E4" w14:textId="77777777" w:rsidR="000D21A4" w:rsidRPr="007F17D8" w:rsidRDefault="000D21A4" w:rsidP="00701E42">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5606D301" w14:textId="77777777" w:rsidR="000D21A4" w:rsidRPr="007F17D8" w:rsidRDefault="000D21A4" w:rsidP="00701E42">
            <w:pPr>
              <w:rPr>
                <w:rFonts w:cs="Arial"/>
                <w:color w:val="000000"/>
              </w:rPr>
            </w:pPr>
            <w:r w:rsidRPr="007F17D8">
              <w:rPr>
                <w:rFonts w:cs="Arial"/>
                <w:color w:val="000000"/>
              </w:rPr>
              <w:t>692,811</w:t>
            </w:r>
          </w:p>
        </w:tc>
        <w:tc>
          <w:tcPr>
            <w:tcW w:w="1710" w:type="dxa"/>
            <w:tcBorders>
              <w:top w:val="single" w:sz="4" w:space="0" w:color="auto"/>
              <w:left w:val="nil"/>
              <w:bottom w:val="single" w:sz="4" w:space="0" w:color="auto"/>
              <w:right w:val="single" w:sz="4" w:space="0" w:color="auto"/>
            </w:tcBorders>
            <w:shd w:val="clear" w:color="auto" w:fill="auto"/>
            <w:vAlign w:val="bottom"/>
          </w:tcPr>
          <w:p w14:paraId="5ED9A986" w14:textId="77777777" w:rsidR="000D21A4" w:rsidRPr="007F17D8" w:rsidRDefault="000D21A4" w:rsidP="00701E42">
            <w:pPr>
              <w:rPr>
                <w:rFonts w:cs="Arial"/>
                <w:color w:val="000000"/>
              </w:rPr>
            </w:pPr>
            <w:r w:rsidRPr="007F17D8">
              <w:rPr>
                <w:rFonts w:cs="Arial"/>
                <w:color w:val="000000"/>
              </w:rPr>
              <w:t>524,971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F49638D" w14:textId="77777777" w:rsidR="000D21A4" w:rsidRPr="007F17D8" w:rsidRDefault="000D21A4" w:rsidP="00701E42">
            <w:pPr>
              <w:rPr>
                <w:rFonts w:cs="Arial"/>
                <w:bCs/>
                <w:iCs/>
                <w:color w:val="000000"/>
              </w:rPr>
            </w:pPr>
            <w:r w:rsidRPr="007F17D8">
              <w:rPr>
                <w:rFonts w:cs="Arial"/>
                <w:bCs/>
                <w:iCs/>
                <w:color w:val="000000"/>
              </w:rPr>
              <w:t>88.6%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D7D0B51" w14:textId="77777777" w:rsidR="000D21A4" w:rsidRPr="007F17D8" w:rsidRDefault="000D21A4" w:rsidP="00701E42">
            <w:pPr>
              <w:rPr>
                <w:rFonts w:cs="Arial"/>
                <w:color w:val="000000"/>
              </w:rPr>
            </w:pPr>
            <w:r w:rsidRPr="007F17D8">
              <w:rPr>
                <w:rFonts w:cs="Arial"/>
                <w:color w:val="000000"/>
              </w:rPr>
              <w:t>33,736</w:t>
            </w:r>
          </w:p>
        </w:tc>
        <w:tc>
          <w:tcPr>
            <w:tcW w:w="1890" w:type="dxa"/>
            <w:tcBorders>
              <w:top w:val="single" w:sz="4" w:space="0" w:color="auto"/>
              <w:left w:val="nil"/>
              <w:bottom w:val="single" w:sz="4" w:space="0" w:color="auto"/>
              <w:right w:val="single" w:sz="4" w:space="0" w:color="auto"/>
            </w:tcBorders>
            <w:shd w:val="clear" w:color="auto" w:fill="auto"/>
            <w:vAlign w:val="bottom"/>
          </w:tcPr>
          <w:p w14:paraId="6127D5E6" w14:textId="77777777" w:rsidR="000D21A4" w:rsidRPr="007F17D8" w:rsidRDefault="000D21A4" w:rsidP="00701E42">
            <w:pPr>
              <w:rPr>
                <w:rFonts w:cs="Arial"/>
                <w:color w:val="000000"/>
              </w:rPr>
            </w:pPr>
            <w:r w:rsidRPr="007F17D8">
              <w:rPr>
                <w:rFonts w:cs="Arial"/>
                <w:color w:val="000000"/>
              </w:rPr>
              <w:t>185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5045D097" w14:textId="77777777" w:rsidR="000D21A4" w:rsidRPr="007F17D8" w:rsidRDefault="000D21A4" w:rsidP="00701E42">
            <w:pPr>
              <w:rPr>
                <w:rFonts w:cs="Arial"/>
                <w:bCs/>
                <w:iCs/>
                <w:color w:val="000000"/>
              </w:rPr>
            </w:pPr>
            <w:r w:rsidRPr="007F17D8">
              <w:rPr>
                <w:rFonts w:cs="Arial"/>
                <w:bCs/>
                <w:iCs/>
                <w:color w:val="000000"/>
              </w:rPr>
              <w:t>0.6%</w:t>
            </w:r>
          </w:p>
        </w:tc>
      </w:tr>
      <w:tr w:rsidR="000D21A4" w:rsidRPr="007F17D8" w14:paraId="417412C3" w14:textId="77777777" w:rsidTr="00B40203">
        <w:trPr>
          <w:cantSplit/>
        </w:trPr>
        <w:tc>
          <w:tcPr>
            <w:tcW w:w="2065" w:type="dxa"/>
          </w:tcPr>
          <w:p w14:paraId="7C75E11C" w14:textId="77777777" w:rsidR="000D21A4" w:rsidRPr="007F17D8" w:rsidRDefault="000D21A4" w:rsidP="00701E42">
            <w:pPr>
              <w:rPr>
                <w:rFonts w:cs="Arial"/>
                <w:lang w:val="en"/>
              </w:rPr>
            </w:pPr>
            <w:r w:rsidRPr="007F17D8">
              <w:rPr>
                <w:rFonts w:cs="Arial"/>
                <w:lang w:val="en"/>
              </w:rPr>
              <w:t>Decile 9</w:t>
            </w:r>
          </w:p>
        </w:tc>
        <w:tc>
          <w:tcPr>
            <w:tcW w:w="1350" w:type="dxa"/>
          </w:tcPr>
          <w:p w14:paraId="5149E149" w14:textId="77777777" w:rsidR="000D21A4" w:rsidRPr="007F17D8" w:rsidRDefault="000D21A4" w:rsidP="00701E42">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1A549FF0" w14:textId="77777777" w:rsidR="000D21A4" w:rsidRPr="007F17D8" w:rsidRDefault="000D21A4" w:rsidP="00701E42">
            <w:pPr>
              <w:rPr>
                <w:rFonts w:cs="Arial"/>
                <w:color w:val="000000"/>
              </w:rPr>
            </w:pPr>
            <w:r w:rsidRPr="007F17D8">
              <w:rPr>
                <w:rFonts w:cs="Arial"/>
                <w:color w:val="000000"/>
              </w:rPr>
              <w:t>646,907</w:t>
            </w:r>
          </w:p>
        </w:tc>
        <w:tc>
          <w:tcPr>
            <w:tcW w:w="1710" w:type="dxa"/>
            <w:tcBorders>
              <w:top w:val="single" w:sz="4" w:space="0" w:color="auto"/>
              <w:left w:val="nil"/>
              <w:bottom w:val="single" w:sz="4" w:space="0" w:color="auto"/>
              <w:right w:val="single" w:sz="4" w:space="0" w:color="auto"/>
            </w:tcBorders>
            <w:shd w:val="clear" w:color="auto" w:fill="auto"/>
            <w:vAlign w:val="bottom"/>
          </w:tcPr>
          <w:p w14:paraId="3B887BAD" w14:textId="77777777" w:rsidR="000D21A4" w:rsidRPr="007F17D8" w:rsidRDefault="000D21A4" w:rsidP="00701E42">
            <w:pPr>
              <w:rPr>
                <w:rFonts w:cs="Arial"/>
                <w:color w:val="000000"/>
              </w:rPr>
            </w:pPr>
            <w:r w:rsidRPr="007F17D8">
              <w:rPr>
                <w:rFonts w:cs="Arial"/>
                <w:color w:val="000000"/>
              </w:rPr>
              <w:t>576,613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DFD6C3E" w14:textId="77777777" w:rsidR="000D21A4" w:rsidRPr="007F17D8" w:rsidRDefault="000D21A4" w:rsidP="00701E42">
            <w:pPr>
              <w:rPr>
                <w:rFonts w:cs="Arial"/>
                <w:bCs/>
                <w:iCs/>
                <w:color w:val="000000"/>
              </w:rPr>
            </w:pPr>
            <w:r w:rsidRPr="007F17D8">
              <w:rPr>
                <w:rFonts w:cs="Arial"/>
                <w:bCs/>
                <w:iCs/>
                <w:color w:val="000000"/>
              </w:rPr>
              <w:t>93.1%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7E2E82E7" w14:textId="77777777" w:rsidR="000D21A4" w:rsidRPr="007F17D8" w:rsidRDefault="000D21A4" w:rsidP="00701E42">
            <w:pPr>
              <w:rPr>
                <w:rFonts w:cs="Arial"/>
                <w:color w:val="000000"/>
              </w:rPr>
            </w:pPr>
            <w:r w:rsidRPr="007F17D8">
              <w:rPr>
                <w:rFonts w:cs="Arial"/>
                <w:color w:val="000000"/>
              </w:rPr>
              <w:t>31,422</w:t>
            </w:r>
          </w:p>
        </w:tc>
        <w:tc>
          <w:tcPr>
            <w:tcW w:w="1890" w:type="dxa"/>
            <w:tcBorders>
              <w:top w:val="single" w:sz="4" w:space="0" w:color="auto"/>
              <w:left w:val="nil"/>
              <w:bottom w:val="single" w:sz="4" w:space="0" w:color="auto"/>
              <w:right w:val="single" w:sz="4" w:space="0" w:color="auto"/>
            </w:tcBorders>
            <w:shd w:val="clear" w:color="auto" w:fill="auto"/>
            <w:vAlign w:val="bottom"/>
          </w:tcPr>
          <w:p w14:paraId="5960C5D6" w14:textId="77777777" w:rsidR="000D21A4" w:rsidRPr="007F17D8" w:rsidRDefault="000D21A4" w:rsidP="00701E42">
            <w:pPr>
              <w:rPr>
                <w:rFonts w:cs="Arial"/>
                <w:color w:val="000000"/>
              </w:rPr>
            </w:pPr>
            <w:r w:rsidRPr="007F17D8">
              <w:rPr>
                <w:rFonts w:cs="Arial"/>
                <w:color w:val="000000"/>
              </w:rPr>
              <w:t>187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70928E90" w14:textId="77777777" w:rsidR="000D21A4" w:rsidRPr="007F17D8" w:rsidRDefault="000D21A4" w:rsidP="00701E42">
            <w:pPr>
              <w:rPr>
                <w:rFonts w:cs="Arial"/>
                <w:bCs/>
                <w:iCs/>
                <w:color w:val="000000"/>
              </w:rPr>
            </w:pPr>
            <w:r w:rsidRPr="007F17D8">
              <w:rPr>
                <w:rFonts w:cs="Arial"/>
                <w:bCs/>
                <w:iCs/>
                <w:color w:val="000000"/>
              </w:rPr>
              <w:t>0.6%</w:t>
            </w:r>
          </w:p>
        </w:tc>
      </w:tr>
      <w:tr w:rsidR="000D21A4" w:rsidRPr="007F17D8" w14:paraId="014F1006" w14:textId="77777777" w:rsidTr="00B40203">
        <w:trPr>
          <w:cantSplit/>
        </w:trPr>
        <w:tc>
          <w:tcPr>
            <w:tcW w:w="2065" w:type="dxa"/>
          </w:tcPr>
          <w:p w14:paraId="1D00A4C6" w14:textId="77777777" w:rsidR="000D21A4" w:rsidRPr="007F17D8" w:rsidRDefault="000D21A4" w:rsidP="00701E42">
            <w:pPr>
              <w:rPr>
                <w:rFonts w:cs="Arial"/>
                <w:lang w:val="en"/>
              </w:rPr>
            </w:pPr>
            <w:r w:rsidRPr="007F17D8">
              <w:rPr>
                <w:rFonts w:cs="Arial"/>
                <w:lang w:val="en"/>
              </w:rPr>
              <w:t>Decile 10</w:t>
            </w:r>
          </w:p>
        </w:tc>
        <w:tc>
          <w:tcPr>
            <w:tcW w:w="1350" w:type="dxa"/>
          </w:tcPr>
          <w:p w14:paraId="3CBE02EB" w14:textId="77777777" w:rsidR="000D21A4" w:rsidRPr="007F17D8" w:rsidRDefault="000D21A4" w:rsidP="00701E42">
            <w:pPr>
              <w:rPr>
                <w:rFonts w:cs="Arial"/>
                <w:lang w:val="en"/>
              </w:rPr>
            </w:pPr>
            <w:r w:rsidRPr="007F17D8">
              <w:rPr>
                <w:rFonts w:cs="Arial"/>
                <w:lang w:val="en"/>
              </w:rPr>
              <w:t>1,008</w:t>
            </w:r>
          </w:p>
        </w:tc>
        <w:tc>
          <w:tcPr>
            <w:tcW w:w="1710" w:type="dxa"/>
            <w:tcBorders>
              <w:top w:val="single" w:sz="4" w:space="0" w:color="auto"/>
              <w:left w:val="nil"/>
              <w:bottom w:val="single" w:sz="4" w:space="0" w:color="auto"/>
              <w:right w:val="single" w:sz="4" w:space="0" w:color="auto"/>
            </w:tcBorders>
            <w:shd w:val="clear" w:color="auto" w:fill="auto"/>
            <w:vAlign w:val="bottom"/>
          </w:tcPr>
          <w:p w14:paraId="6082B3AE" w14:textId="77777777" w:rsidR="000D21A4" w:rsidRPr="007F17D8" w:rsidRDefault="000D21A4" w:rsidP="00701E42">
            <w:pPr>
              <w:rPr>
                <w:rFonts w:cs="Arial"/>
                <w:color w:val="000000"/>
              </w:rPr>
            </w:pPr>
            <w:r w:rsidRPr="007F17D8">
              <w:rPr>
                <w:rFonts w:cs="Arial"/>
                <w:color w:val="000000"/>
              </w:rPr>
              <w:t>549,084</w:t>
            </w:r>
          </w:p>
        </w:tc>
        <w:tc>
          <w:tcPr>
            <w:tcW w:w="1710" w:type="dxa"/>
            <w:tcBorders>
              <w:top w:val="single" w:sz="4" w:space="0" w:color="auto"/>
              <w:left w:val="nil"/>
              <w:bottom w:val="single" w:sz="4" w:space="0" w:color="auto"/>
              <w:right w:val="single" w:sz="4" w:space="0" w:color="auto"/>
            </w:tcBorders>
            <w:shd w:val="clear" w:color="auto" w:fill="auto"/>
            <w:vAlign w:val="bottom"/>
          </w:tcPr>
          <w:p w14:paraId="113410E7" w14:textId="77777777" w:rsidR="000D21A4" w:rsidRPr="007F17D8" w:rsidRDefault="000D21A4" w:rsidP="00701E42">
            <w:pPr>
              <w:rPr>
                <w:rFonts w:cs="Arial"/>
                <w:color w:val="000000"/>
              </w:rPr>
            </w:pPr>
            <w:r w:rsidRPr="007F17D8">
              <w:rPr>
                <w:rFonts w:cs="Arial"/>
                <w:color w:val="000000"/>
              </w:rPr>
              <w:t>449,510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579169B" w14:textId="77777777" w:rsidR="000D21A4" w:rsidRPr="007F17D8" w:rsidRDefault="000D21A4" w:rsidP="00701E42">
            <w:pPr>
              <w:rPr>
                <w:rFonts w:cs="Arial"/>
                <w:bCs/>
                <w:iCs/>
                <w:color w:val="000000"/>
              </w:rPr>
            </w:pPr>
            <w:r w:rsidRPr="007F17D8">
              <w:rPr>
                <w:rFonts w:cs="Arial"/>
                <w:bCs/>
                <w:iCs/>
                <w:color w:val="000000"/>
              </w:rPr>
              <w:t>96.9%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616503FC" w14:textId="77777777" w:rsidR="000D21A4" w:rsidRPr="007F17D8" w:rsidRDefault="000D21A4" w:rsidP="00701E42">
            <w:pPr>
              <w:rPr>
                <w:rFonts w:cs="Arial"/>
                <w:color w:val="000000"/>
              </w:rPr>
            </w:pPr>
            <w:r w:rsidRPr="007F17D8">
              <w:rPr>
                <w:rFonts w:cs="Arial"/>
                <w:color w:val="000000"/>
              </w:rPr>
              <w:t>26,534</w:t>
            </w:r>
          </w:p>
        </w:tc>
        <w:tc>
          <w:tcPr>
            <w:tcW w:w="1890" w:type="dxa"/>
            <w:tcBorders>
              <w:top w:val="single" w:sz="4" w:space="0" w:color="auto"/>
              <w:left w:val="nil"/>
              <w:bottom w:val="single" w:sz="4" w:space="0" w:color="auto"/>
              <w:right w:val="single" w:sz="4" w:space="0" w:color="auto"/>
            </w:tcBorders>
            <w:shd w:val="clear" w:color="auto" w:fill="auto"/>
            <w:vAlign w:val="bottom"/>
          </w:tcPr>
          <w:p w14:paraId="7B56C5EA" w14:textId="77777777" w:rsidR="000D21A4" w:rsidRPr="007F17D8" w:rsidRDefault="000D21A4" w:rsidP="00701E42">
            <w:pPr>
              <w:rPr>
                <w:rFonts w:cs="Arial"/>
                <w:color w:val="000000"/>
              </w:rPr>
            </w:pPr>
            <w:r w:rsidRPr="007F17D8">
              <w:rPr>
                <w:rFonts w:cs="Arial"/>
                <w:color w:val="000000"/>
              </w:rPr>
              <w:t>180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4AF3AD60" w14:textId="77777777" w:rsidR="000D21A4" w:rsidRPr="007F17D8" w:rsidRDefault="000D21A4" w:rsidP="00701E42">
            <w:pPr>
              <w:rPr>
                <w:rFonts w:cs="Arial"/>
                <w:bCs/>
                <w:iCs/>
                <w:color w:val="000000"/>
              </w:rPr>
            </w:pPr>
            <w:r w:rsidRPr="007F17D8">
              <w:rPr>
                <w:rFonts w:cs="Arial"/>
                <w:bCs/>
                <w:iCs/>
                <w:color w:val="000000"/>
              </w:rPr>
              <w:t>0.8%</w:t>
            </w:r>
          </w:p>
        </w:tc>
      </w:tr>
      <w:tr w:rsidR="000D21A4" w:rsidRPr="00CD4D6C" w14:paraId="27E3BA89" w14:textId="77777777" w:rsidTr="00B40203">
        <w:trPr>
          <w:cantSplit/>
        </w:trPr>
        <w:tc>
          <w:tcPr>
            <w:tcW w:w="2065" w:type="dxa"/>
          </w:tcPr>
          <w:p w14:paraId="512668FB" w14:textId="77777777" w:rsidR="000D21A4" w:rsidRPr="007F17D8" w:rsidRDefault="000D21A4" w:rsidP="00701E42">
            <w:pPr>
              <w:rPr>
                <w:rFonts w:cs="Arial"/>
                <w:lang w:val="en"/>
              </w:rPr>
            </w:pPr>
            <w:r w:rsidRPr="007F17D8">
              <w:rPr>
                <w:rFonts w:cs="Arial"/>
                <w:lang w:val="en"/>
              </w:rPr>
              <w:t>Statewide Totals</w:t>
            </w:r>
          </w:p>
        </w:tc>
        <w:tc>
          <w:tcPr>
            <w:tcW w:w="1350" w:type="dxa"/>
          </w:tcPr>
          <w:p w14:paraId="499644DE" w14:textId="77777777" w:rsidR="000D21A4" w:rsidRPr="007F17D8" w:rsidRDefault="000D21A4" w:rsidP="00701E42">
            <w:pPr>
              <w:rPr>
                <w:rFonts w:cs="Arial"/>
                <w:lang w:val="en"/>
              </w:rPr>
            </w:pPr>
            <w:r w:rsidRPr="007F17D8">
              <w:rPr>
                <w:rFonts w:cs="Arial"/>
                <w:lang w:val="en"/>
              </w:rPr>
              <w:t>10,081</w:t>
            </w:r>
          </w:p>
        </w:tc>
        <w:tc>
          <w:tcPr>
            <w:tcW w:w="1710" w:type="dxa"/>
          </w:tcPr>
          <w:p w14:paraId="24DCDC3B" w14:textId="77777777" w:rsidR="000D21A4" w:rsidRPr="007F17D8" w:rsidRDefault="000D21A4" w:rsidP="00701E42">
            <w:pPr>
              <w:rPr>
                <w:rFonts w:cs="Arial"/>
                <w:lang w:val="en"/>
              </w:rPr>
            </w:pPr>
            <w:r w:rsidRPr="007F17D8">
              <w:rPr>
                <w:rFonts w:cs="Arial"/>
                <w:lang w:val="en"/>
              </w:rPr>
              <w:t>6,209,729</w:t>
            </w:r>
          </w:p>
        </w:tc>
        <w:tc>
          <w:tcPr>
            <w:tcW w:w="1710" w:type="dxa"/>
          </w:tcPr>
          <w:p w14:paraId="47F98645" w14:textId="77777777" w:rsidR="000D21A4" w:rsidRPr="007F17D8" w:rsidRDefault="000D21A4" w:rsidP="00701E42">
            <w:pPr>
              <w:rPr>
                <w:rFonts w:cs="Arial"/>
                <w:lang w:val="en"/>
              </w:rPr>
            </w:pPr>
            <w:r w:rsidRPr="007F17D8">
              <w:rPr>
                <w:rFonts w:cs="Arial"/>
                <w:lang w:val="en"/>
              </w:rPr>
              <w:t>8,823,035</w:t>
            </w:r>
          </w:p>
        </w:tc>
        <w:tc>
          <w:tcPr>
            <w:tcW w:w="1530" w:type="dxa"/>
          </w:tcPr>
          <w:p w14:paraId="4AA0DFCE" w14:textId="77777777" w:rsidR="000D21A4" w:rsidRPr="007F17D8" w:rsidRDefault="000D21A4" w:rsidP="00701E42">
            <w:pPr>
              <w:rPr>
                <w:rFonts w:cs="Arial"/>
                <w:lang w:val="en"/>
              </w:rPr>
            </w:pPr>
            <w:r w:rsidRPr="007F17D8">
              <w:rPr>
                <w:rFonts w:cs="Arial"/>
                <w:lang w:val="en"/>
              </w:rPr>
              <w:t>61.6%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8B6BA67" w14:textId="77777777" w:rsidR="000D21A4" w:rsidRPr="007F17D8" w:rsidRDefault="000D21A4" w:rsidP="00701E42">
            <w:pPr>
              <w:rPr>
                <w:rFonts w:cs="Arial"/>
                <w:color w:val="000000"/>
              </w:rPr>
            </w:pPr>
            <w:r w:rsidRPr="007F17D8">
              <w:rPr>
                <w:rFonts w:cs="Arial"/>
                <w:color w:val="000000"/>
              </w:rPr>
              <w:t>308,762</w:t>
            </w:r>
          </w:p>
        </w:tc>
        <w:tc>
          <w:tcPr>
            <w:tcW w:w="1890" w:type="dxa"/>
            <w:tcBorders>
              <w:top w:val="single" w:sz="4" w:space="0" w:color="auto"/>
            </w:tcBorders>
          </w:tcPr>
          <w:p w14:paraId="3519CFB8" w14:textId="77777777" w:rsidR="000D21A4" w:rsidRPr="007F17D8" w:rsidRDefault="000D21A4" w:rsidP="00701E42">
            <w:pPr>
              <w:rPr>
                <w:rFonts w:cs="Arial"/>
                <w:lang w:val="en"/>
              </w:rPr>
            </w:pPr>
            <w:r w:rsidRPr="007F17D8">
              <w:rPr>
                <w:rFonts w:cs="Arial"/>
                <w:lang w:val="en"/>
              </w:rPr>
              <w:t>2,078</w:t>
            </w:r>
          </w:p>
        </w:tc>
        <w:tc>
          <w:tcPr>
            <w:tcW w:w="1800" w:type="dxa"/>
            <w:tcBorders>
              <w:top w:val="single" w:sz="4" w:space="0" w:color="auto"/>
              <w:left w:val="nil"/>
              <w:bottom w:val="single" w:sz="4" w:space="0" w:color="auto"/>
              <w:right w:val="single" w:sz="4" w:space="0" w:color="auto"/>
            </w:tcBorders>
            <w:shd w:val="clear" w:color="auto" w:fill="auto"/>
            <w:vAlign w:val="center"/>
          </w:tcPr>
          <w:p w14:paraId="3A429891" w14:textId="77777777" w:rsidR="000D21A4" w:rsidRPr="00CF64C3" w:rsidRDefault="000D21A4" w:rsidP="00701E42">
            <w:pPr>
              <w:rPr>
                <w:rFonts w:cs="Arial"/>
                <w:bCs/>
                <w:iCs/>
              </w:rPr>
            </w:pPr>
            <w:r w:rsidRPr="007F17D8">
              <w:rPr>
                <w:rFonts w:cs="Arial"/>
                <w:bCs/>
                <w:iCs/>
              </w:rPr>
              <w:t>0.7%</w:t>
            </w:r>
          </w:p>
        </w:tc>
      </w:tr>
    </w:tbl>
    <w:p w14:paraId="6677D4A9" w14:textId="77777777" w:rsidR="000D21A4" w:rsidRPr="00CD4D6C" w:rsidRDefault="000D21A4" w:rsidP="00741AFC">
      <w:pPr>
        <w:kinsoku w:val="0"/>
        <w:overflowPunct w:val="0"/>
        <w:spacing w:after="240"/>
        <w:textAlignment w:val="baseline"/>
        <w:rPr>
          <w:rFonts w:eastAsiaTheme="minorEastAsia" w:cs="Arial"/>
          <w:kern w:val="24"/>
        </w:rPr>
      </w:pPr>
    </w:p>
    <w:sectPr w:rsidR="000D21A4" w:rsidRPr="00CD4D6C" w:rsidSect="00DC6578">
      <w:headerReference w:type="default" r:id="rId12"/>
      <w:pgSz w:w="15840" w:h="12240" w:orient="landscape"/>
      <w:pgMar w:top="1440" w:right="72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51E64" w14:textId="77777777" w:rsidR="0003518B" w:rsidRDefault="0003518B" w:rsidP="00DC6578">
      <w:r>
        <w:separator/>
      </w:r>
    </w:p>
  </w:endnote>
  <w:endnote w:type="continuationSeparator" w:id="0">
    <w:p w14:paraId="0D118A20" w14:textId="77777777" w:rsidR="0003518B" w:rsidRDefault="0003518B" w:rsidP="00DC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3B710" w14:textId="77777777" w:rsidR="0003518B" w:rsidRDefault="0003518B" w:rsidP="00DC6578">
      <w:r>
        <w:separator/>
      </w:r>
    </w:p>
  </w:footnote>
  <w:footnote w:type="continuationSeparator" w:id="0">
    <w:p w14:paraId="3FD73874" w14:textId="77777777" w:rsidR="0003518B" w:rsidRDefault="0003518B" w:rsidP="00DC6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20C68" w14:textId="34784B08" w:rsidR="00A54666" w:rsidRDefault="00A54666" w:rsidP="00B166C6">
    <w:pPr>
      <w:jc w:val="right"/>
    </w:pPr>
    <w:r>
      <w:t>memo-eab-eeed-aug19item01</w:t>
    </w:r>
  </w:p>
  <w:p w14:paraId="4B32B2AB" w14:textId="1CB117C6" w:rsidR="00A54666" w:rsidRPr="009F2947" w:rsidRDefault="00A54666" w:rsidP="00DC6578">
    <w:pPr>
      <w:pStyle w:val="Heading1"/>
      <w:spacing w:before="0" w:after="480"/>
      <w:jc w:val="right"/>
      <w:rPr>
        <w:rFonts w:ascii="Arial" w:hAnsi="Arial" w:cs="Arial"/>
        <w:color w:val="auto"/>
        <w:sz w:val="24"/>
        <w:szCs w:val="24"/>
      </w:rPr>
    </w:pPr>
    <w:r>
      <w:rPr>
        <w:rFonts w:ascii="Arial" w:hAnsi="Arial" w:cs="Arial"/>
        <w:color w:val="auto"/>
        <w:sz w:val="24"/>
        <w:szCs w:val="24"/>
      </w:rPr>
      <w:t xml:space="preserve">Page </w:t>
    </w:r>
    <w:r w:rsidRPr="00DC6578">
      <w:rPr>
        <w:rFonts w:ascii="Arial" w:hAnsi="Arial" w:cs="Arial"/>
        <w:color w:val="auto"/>
        <w:sz w:val="24"/>
        <w:szCs w:val="24"/>
      </w:rPr>
      <w:fldChar w:fldCharType="begin"/>
    </w:r>
    <w:r w:rsidRPr="00DC6578">
      <w:rPr>
        <w:rFonts w:ascii="Arial" w:hAnsi="Arial" w:cs="Arial"/>
        <w:color w:val="auto"/>
        <w:sz w:val="24"/>
        <w:szCs w:val="24"/>
      </w:rPr>
      <w:instrText xml:space="preserve"> PAGE   \* MERGEFORMAT </w:instrText>
    </w:r>
    <w:r w:rsidRPr="00DC6578">
      <w:rPr>
        <w:rFonts w:ascii="Arial" w:hAnsi="Arial" w:cs="Arial"/>
        <w:color w:val="auto"/>
        <w:sz w:val="24"/>
        <w:szCs w:val="24"/>
      </w:rPr>
      <w:fldChar w:fldCharType="separate"/>
    </w:r>
    <w:r>
      <w:rPr>
        <w:rFonts w:ascii="Arial" w:hAnsi="Arial" w:cs="Arial"/>
        <w:noProof/>
        <w:color w:val="auto"/>
        <w:sz w:val="24"/>
        <w:szCs w:val="24"/>
      </w:rPr>
      <w:t>2</w:t>
    </w:r>
    <w:r w:rsidRPr="00DC6578">
      <w:rPr>
        <w:rFonts w:ascii="Arial" w:hAnsi="Arial" w:cs="Arial"/>
        <w:noProof/>
        <w:color w:val="auto"/>
        <w:sz w:val="24"/>
        <w:szCs w:val="24"/>
      </w:rPr>
      <w:fldChar w:fldCharType="end"/>
    </w:r>
    <w:r>
      <w:rPr>
        <w:rFonts w:ascii="Arial" w:hAnsi="Arial" w:cs="Arial"/>
        <w:color w:val="auto"/>
        <w:sz w:val="24"/>
        <w:szCs w:val="24"/>
      </w:rPr>
      <w:t xml:space="preserve"> of 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4121F" w14:textId="77777777" w:rsidR="00A54666" w:rsidRDefault="00A54666" w:rsidP="00DC6578">
    <w:pPr>
      <w:pStyle w:val="Header"/>
      <w:jc w:val="right"/>
    </w:pPr>
    <w:r>
      <w:t>memo-eab-eeed-aug19item01</w:t>
    </w:r>
  </w:p>
  <w:p w14:paraId="7B081A2E" w14:textId="77777777" w:rsidR="00A54666" w:rsidRDefault="00A54666" w:rsidP="00DC6578">
    <w:pPr>
      <w:pStyle w:val="Header"/>
      <w:jc w:val="right"/>
    </w:pPr>
    <w:r>
      <w:t>Attachment 1</w:t>
    </w:r>
  </w:p>
  <w:p w14:paraId="00E15EB6" w14:textId="77777777" w:rsidR="00A54666" w:rsidRDefault="00A54666" w:rsidP="00DC6578">
    <w:pPr>
      <w:pStyle w:val="Header"/>
      <w:spacing w:after="480"/>
      <w:jc w:val="right"/>
    </w:pPr>
    <w:r>
      <w:t xml:space="preserve">Page </w:t>
    </w:r>
    <w:r>
      <w:fldChar w:fldCharType="begin"/>
    </w:r>
    <w:r>
      <w:instrText xml:space="preserve"> PAGE   \* MERGEFORMAT </w:instrText>
    </w:r>
    <w:r>
      <w:fldChar w:fldCharType="separate"/>
    </w:r>
    <w:r>
      <w:rPr>
        <w:noProof/>
      </w:rPr>
      <w:t>3</w:t>
    </w:r>
    <w:r>
      <w:rPr>
        <w:noProof/>
      </w:rPr>
      <w:fldChar w:fldCharType="end"/>
    </w:r>
    <w:r>
      <w:rPr>
        <w:noProof/>
      </w:rPr>
      <w:t xml:space="preserve"> of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5C8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800A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8633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202E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2ED2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FE58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6B3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E696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4C8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D0E9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56076"/>
    <w:multiLevelType w:val="hybridMultilevel"/>
    <w:tmpl w:val="AF50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179C1"/>
    <w:multiLevelType w:val="hybridMultilevel"/>
    <w:tmpl w:val="4EF4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85D7B"/>
    <w:multiLevelType w:val="hybridMultilevel"/>
    <w:tmpl w:val="EEA2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3518B"/>
    <w:rsid w:val="00053B2A"/>
    <w:rsid w:val="00057A96"/>
    <w:rsid w:val="000758EF"/>
    <w:rsid w:val="00076047"/>
    <w:rsid w:val="00077927"/>
    <w:rsid w:val="000C139F"/>
    <w:rsid w:val="000D21A4"/>
    <w:rsid w:val="00156829"/>
    <w:rsid w:val="0016173B"/>
    <w:rsid w:val="001648E9"/>
    <w:rsid w:val="00184DEF"/>
    <w:rsid w:val="001D4A5B"/>
    <w:rsid w:val="00203BAF"/>
    <w:rsid w:val="002408E4"/>
    <w:rsid w:val="0029286A"/>
    <w:rsid w:val="002F3235"/>
    <w:rsid w:val="00321D49"/>
    <w:rsid w:val="00322C00"/>
    <w:rsid w:val="00325EAA"/>
    <w:rsid w:val="0033616F"/>
    <w:rsid w:val="00364C1F"/>
    <w:rsid w:val="003E3B94"/>
    <w:rsid w:val="00474A2F"/>
    <w:rsid w:val="004E121C"/>
    <w:rsid w:val="0051479B"/>
    <w:rsid w:val="0054334A"/>
    <w:rsid w:val="00597CBE"/>
    <w:rsid w:val="005B1325"/>
    <w:rsid w:val="005D600A"/>
    <w:rsid w:val="006332BB"/>
    <w:rsid w:val="00636BF0"/>
    <w:rsid w:val="00660F07"/>
    <w:rsid w:val="00681207"/>
    <w:rsid w:val="00695949"/>
    <w:rsid w:val="006C3D8D"/>
    <w:rsid w:val="00701E42"/>
    <w:rsid w:val="00720004"/>
    <w:rsid w:val="00741AFC"/>
    <w:rsid w:val="007A2653"/>
    <w:rsid w:val="007D5493"/>
    <w:rsid w:val="007E50D9"/>
    <w:rsid w:val="007F17D8"/>
    <w:rsid w:val="008213F2"/>
    <w:rsid w:val="008946D2"/>
    <w:rsid w:val="008B1135"/>
    <w:rsid w:val="008D2B05"/>
    <w:rsid w:val="008E648A"/>
    <w:rsid w:val="008F6CA0"/>
    <w:rsid w:val="009211D3"/>
    <w:rsid w:val="00963290"/>
    <w:rsid w:val="00982A10"/>
    <w:rsid w:val="009F2947"/>
    <w:rsid w:val="00A11875"/>
    <w:rsid w:val="00A35C73"/>
    <w:rsid w:val="00A54666"/>
    <w:rsid w:val="00AB4C92"/>
    <w:rsid w:val="00AD3905"/>
    <w:rsid w:val="00B0410B"/>
    <w:rsid w:val="00B166C6"/>
    <w:rsid w:val="00B40203"/>
    <w:rsid w:val="00B605CA"/>
    <w:rsid w:val="00B958C8"/>
    <w:rsid w:val="00B96CE4"/>
    <w:rsid w:val="00BC3667"/>
    <w:rsid w:val="00BC376B"/>
    <w:rsid w:val="00BD5CF5"/>
    <w:rsid w:val="00BF7F32"/>
    <w:rsid w:val="00C420BB"/>
    <w:rsid w:val="00C4763A"/>
    <w:rsid w:val="00C61F78"/>
    <w:rsid w:val="00C87574"/>
    <w:rsid w:val="00CC5474"/>
    <w:rsid w:val="00CE1D60"/>
    <w:rsid w:val="00D13988"/>
    <w:rsid w:val="00D569B3"/>
    <w:rsid w:val="00D80549"/>
    <w:rsid w:val="00D81E7D"/>
    <w:rsid w:val="00DC5FAA"/>
    <w:rsid w:val="00DC6578"/>
    <w:rsid w:val="00E113DA"/>
    <w:rsid w:val="00E32FDC"/>
    <w:rsid w:val="00E47E71"/>
    <w:rsid w:val="00E96176"/>
    <w:rsid w:val="00EC3FF1"/>
    <w:rsid w:val="00F06887"/>
    <w:rsid w:val="00F37CA7"/>
    <w:rsid w:val="00F74A4E"/>
    <w:rsid w:val="00FA3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FC20B"/>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6C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166C6"/>
    <w:pPr>
      <w:kinsoku w:val="0"/>
      <w:overflowPunct w:val="0"/>
      <w:spacing w:before="480" w:after="240"/>
      <w:textAlignment w:val="baseline"/>
      <w:outlineLvl w:val="2"/>
    </w:pPr>
    <w:rPr>
      <w:rFonts w:eastAsiaTheme="minorEastAsia" w:cs="Arial"/>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DC6578"/>
    <w:rPr>
      <w:rFonts w:cs="Times New Roman"/>
      <w:color w:val="0000FF"/>
      <w:u w:val="single"/>
    </w:rPr>
  </w:style>
  <w:style w:type="paragraph" w:styleId="ListParagraph">
    <w:name w:val="List Paragraph"/>
    <w:basedOn w:val="Normal"/>
    <w:uiPriority w:val="34"/>
    <w:qFormat/>
    <w:rsid w:val="00DC6578"/>
    <w:pPr>
      <w:ind w:left="720"/>
      <w:contextualSpacing/>
    </w:pPr>
  </w:style>
  <w:style w:type="table" w:styleId="TableGrid">
    <w:name w:val="Table Grid"/>
    <w:basedOn w:val="TableNormal"/>
    <w:uiPriority w:val="39"/>
    <w:rsid w:val="00DC6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657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578"/>
    <w:pPr>
      <w:tabs>
        <w:tab w:val="center" w:pos="4680"/>
        <w:tab w:val="right" w:pos="9360"/>
      </w:tabs>
    </w:pPr>
  </w:style>
  <w:style w:type="character" w:customStyle="1" w:styleId="HeaderChar">
    <w:name w:val="Header Char"/>
    <w:basedOn w:val="DefaultParagraphFont"/>
    <w:link w:val="Header"/>
    <w:uiPriority w:val="99"/>
    <w:rsid w:val="00DC6578"/>
    <w:rPr>
      <w:rFonts w:ascii="Arial" w:eastAsia="Times New Roman" w:hAnsi="Arial" w:cs="Times New Roman"/>
      <w:sz w:val="24"/>
      <w:szCs w:val="24"/>
    </w:rPr>
  </w:style>
  <w:style w:type="paragraph" w:styleId="Footer">
    <w:name w:val="footer"/>
    <w:basedOn w:val="Normal"/>
    <w:link w:val="FooterChar"/>
    <w:uiPriority w:val="99"/>
    <w:unhideWhenUsed/>
    <w:rsid w:val="00DC6578"/>
    <w:pPr>
      <w:tabs>
        <w:tab w:val="center" w:pos="4680"/>
        <w:tab w:val="right" w:pos="9360"/>
      </w:tabs>
    </w:pPr>
  </w:style>
  <w:style w:type="character" w:customStyle="1" w:styleId="FooterChar">
    <w:name w:val="Footer Char"/>
    <w:basedOn w:val="DefaultParagraphFont"/>
    <w:link w:val="Footer"/>
    <w:uiPriority w:val="99"/>
    <w:rsid w:val="00DC6578"/>
    <w:rPr>
      <w:rFonts w:ascii="Arial" w:eastAsia="Times New Roman" w:hAnsi="Arial" w:cs="Times New Roman"/>
      <w:sz w:val="24"/>
      <w:szCs w:val="24"/>
    </w:rPr>
  </w:style>
  <w:style w:type="paragraph" w:styleId="PlainText">
    <w:name w:val="Plain Text"/>
    <w:basedOn w:val="Normal"/>
    <w:link w:val="PlainTextChar"/>
    <w:uiPriority w:val="99"/>
    <w:semiHidden/>
    <w:unhideWhenUsed/>
    <w:rsid w:val="00701E42"/>
    <w:rPr>
      <w:rFonts w:eastAsiaTheme="minorHAnsi" w:cstheme="minorBidi"/>
      <w:szCs w:val="21"/>
    </w:rPr>
  </w:style>
  <w:style w:type="character" w:customStyle="1" w:styleId="PlainTextChar">
    <w:name w:val="Plain Text Char"/>
    <w:basedOn w:val="DefaultParagraphFont"/>
    <w:link w:val="PlainText"/>
    <w:uiPriority w:val="99"/>
    <w:semiHidden/>
    <w:rsid w:val="00701E42"/>
    <w:rPr>
      <w:rFonts w:ascii="Arial" w:hAnsi="Arial"/>
      <w:sz w:val="24"/>
      <w:szCs w:val="21"/>
    </w:rPr>
  </w:style>
  <w:style w:type="character" w:styleId="CommentReference">
    <w:name w:val="annotation reference"/>
    <w:basedOn w:val="DefaultParagraphFont"/>
    <w:uiPriority w:val="99"/>
    <w:semiHidden/>
    <w:unhideWhenUsed/>
    <w:rsid w:val="00FA3A7C"/>
    <w:rPr>
      <w:sz w:val="16"/>
      <w:szCs w:val="16"/>
    </w:rPr>
  </w:style>
  <w:style w:type="paragraph" w:styleId="CommentText">
    <w:name w:val="annotation text"/>
    <w:basedOn w:val="Normal"/>
    <w:link w:val="CommentTextChar"/>
    <w:uiPriority w:val="99"/>
    <w:semiHidden/>
    <w:unhideWhenUsed/>
    <w:rsid w:val="00FA3A7C"/>
    <w:rPr>
      <w:sz w:val="20"/>
      <w:szCs w:val="20"/>
    </w:rPr>
  </w:style>
  <w:style w:type="character" w:customStyle="1" w:styleId="CommentTextChar">
    <w:name w:val="Comment Text Char"/>
    <w:basedOn w:val="DefaultParagraphFont"/>
    <w:link w:val="CommentText"/>
    <w:uiPriority w:val="99"/>
    <w:semiHidden/>
    <w:rsid w:val="00FA3A7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A3A7C"/>
    <w:rPr>
      <w:b/>
      <w:bCs/>
    </w:rPr>
  </w:style>
  <w:style w:type="character" w:customStyle="1" w:styleId="CommentSubjectChar">
    <w:name w:val="Comment Subject Char"/>
    <w:basedOn w:val="CommentTextChar"/>
    <w:link w:val="CommentSubject"/>
    <w:uiPriority w:val="99"/>
    <w:semiHidden/>
    <w:rsid w:val="00FA3A7C"/>
    <w:rPr>
      <w:rFonts w:ascii="Arial" w:eastAsia="Times New Roman" w:hAnsi="Arial" w:cs="Times New Roman"/>
      <w:b/>
      <w:bCs/>
      <w:sz w:val="20"/>
      <w:szCs w:val="20"/>
    </w:rPr>
  </w:style>
  <w:style w:type="paragraph" w:styleId="MessageHeader">
    <w:name w:val="Message Header"/>
    <w:basedOn w:val="Normal"/>
    <w:link w:val="MessageHeaderChar"/>
    <w:uiPriority w:val="99"/>
    <w:unhideWhenUsed/>
    <w:rsid w:val="00B166C6"/>
    <w:pPr>
      <w:spacing w:after="360"/>
    </w:pPr>
    <w:rPr>
      <w:b/>
    </w:rPr>
  </w:style>
  <w:style w:type="character" w:customStyle="1" w:styleId="MessageHeaderChar">
    <w:name w:val="Message Header Char"/>
    <w:basedOn w:val="DefaultParagraphFont"/>
    <w:link w:val="MessageHeader"/>
    <w:uiPriority w:val="99"/>
    <w:rsid w:val="00B166C6"/>
    <w:rPr>
      <w:rFonts w:ascii="Arial" w:eastAsia="Times New Roman" w:hAnsi="Arial" w:cs="Times New Roman"/>
      <w:b/>
      <w:sz w:val="24"/>
      <w:szCs w:val="24"/>
    </w:rPr>
  </w:style>
  <w:style w:type="character" w:customStyle="1" w:styleId="Heading3Char">
    <w:name w:val="Heading 3 Char"/>
    <w:basedOn w:val="DefaultParagraphFont"/>
    <w:link w:val="Heading3"/>
    <w:uiPriority w:val="9"/>
    <w:rsid w:val="00B166C6"/>
    <w:rPr>
      <w:rFonts w:ascii="Arial" w:eastAsiaTheme="minorEastAsia" w:hAnsi="Arial" w:cs="Arial"/>
      <w:b/>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60884">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pd/ee/peat.asp"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cde.ca.gov/pd/ee/"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2016-2017 California Teacher Misassignments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D18-4772-8F61-4AC29E0E8E3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D18-4772-8F61-4AC29E0E8E3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D18-4772-8F61-4AC29E0E8E30}"/>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Elementary</c:v>
                </c:pt>
                <c:pt idx="1">
                  <c:v>Middle</c:v>
                </c:pt>
                <c:pt idx="2">
                  <c:v>High</c:v>
                </c:pt>
              </c:strCache>
            </c:strRef>
          </c:cat>
          <c:val>
            <c:numRef>
              <c:f>Sheet1!$B$2:$B$4</c:f>
              <c:numCache>
                <c:formatCode>0.00%</c:formatCode>
                <c:ptCount val="3"/>
                <c:pt idx="0">
                  <c:v>0.28499999999999998</c:v>
                </c:pt>
                <c:pt idx="1">
                  <c:v>0.34499999999999997</c:v>
                </c:pt>
                <c:pt idx="2">
                  <c:v>0.31</c:v>
                </c:pt>
              </c:numCache>
            </c:numRef>
          </c:val>
          <c:extLst>
            <c:ext xmlns:c16="http://schemas.microsoft.com/office/drawing/2014/chart" uri="{C3380CC4-5D6E-409C-BE32-E72D297353CC}">
              <c16:uniqueId val="{00000006-7D18-4772-8F61-4AC29E0E8E3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9ACE5-D79C-4B4E-BC58-4FA81CE8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3323</Words>
  <Characters>18946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August 2019 Memo EAD EEED Item 01 - Information Memorandum (CA State Board of Education)</vt:lpstr>
    </vt:vector>
  </TitlesOfParts>
  <Company>CA Department of Education</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2019 Memo EAD EEED Item 01 - Information Memorandum (CA State Board of Education)</dc:title>
  <dc:subject>2017–18 Educator Equity Data. August 2019 Information Memoranda.</dc:subject>
  <cp:keywords/>
  <dc:description/>
  <cp:lastModifiedBy>Shannon Reel</cp:lastModifiedBy>
  <cp:revision>3</cp:revision>
  <cp:lastPrinted>2019-09-09T16:06:00Z</cp:lastPrinted>
  <dcterms:created xsi:type="dcterms:W3CDTF">2019-09-09T16:06:00Z</dcterms:created>
  <dcterms:modified xsi:type="dcterms:W3CDTF">2019-09-09T21:40:00Z</dcterms:modified>
</cp:coreProperties>
</file>